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DD0" w:rsidRDefault="00004DD0" w:rsidP="00004DD0">
      <w:pPr>
        <w:pBdr>
          <w:bottom w:val="single" w:sz="6" w:space="1" w:color="auto"/>
        </w:pBdr>
        <w:spacing w:line="360" w:lineRule="auto"/>
        <w:rPr>
          <w:rFonts w:cs="Arial"/>
          <w:b/>
          <w:color w:val="FF0000"/>
          <w:sz w:val="24"/>
          <w:szCs w:val="28"/>
        </w:rPr>
      </w:pPr>
    </w:p>
    <w:p w:rsidR="00004DD0" w:rsidRDefault="00004DD0" w:rsidP="00004DD0">
      <w:pPr>
        <w:pBdr>
          <w:bottom w:val="single" w:sz="6" w:space="1" w:color="auto"/>
        </w:pBdr>
        <w:spacing w:line="360" w:lineRule="auto"/>
        <w:rPr>
          <w:rFonts w:cs="Arial"/>
          <w:b/>
          <w:color w:val="FF0000"/>
          <w:sz w:val="24"/>
          <w:szCs w:val="28"/>
        </w:rPr>
      </w:pPr>
    </w:p>
    <w:p w:rsidR="009D7DB6" w:rsidRPr="00004DD0" w:rsidRDefault="00004DD0" w:rsidP="00004DD0">
      <w:pPr>
        <w:pBdr>
          <w:bottom w:val="single" w:sz="6" w:space="1" w:color="auto"/>
        </w:pBdr>
        <w:spacing w:line="360" w:lineRule="auto"/>
        <w:rPr>
          <w:rFonts w:cs="Arial"/>
          <w:b/>
          <w:color w:val="FF0000"/>
          <w:sz w:val="24"/>
          <w:szCs w:val="28"/>
        </w:rPr>
      </w:pPr>
      <w:r w:rsidRPr="00004DD0">
        <w:rPr>
          <w:noProof/>
          <w:sz w:val="18"/>
          <w:lang w:eastAsia="en-GB"/>
        </w:rPr>
        <w:drawing>
          <wp:anchor distT="0" distB="0" distL="114300" distR="114300" simplePos="0" relativeHeight="251659264" behindDoc="0" locked="0" layoutInCell="1" allowOverlap="1" wp14:anchorId="675BB40D" wp14:editId="44174C36">
            <wp:simplePos x="0" y="0"/>
            <wp:positionH relativeFrom="page">
              <wp:posOffset>3810000</wp:posOffset>
            </wp:positionH>
            <wp:positionV relativeFrom="page">
              <wp:posOffset>304800</wp:posOffset>
            </wp:positionV>
            <wp:extent cx="3183255" cy="796290"/>
            <wp:effectExtent l="19050" t="0" r="0" b="0"/>
            <wp:wrapNone/>
            <wp:docPr id="1" name="Picture 11" descr="ENU_Logo_be0f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U_Logo_be0f34"/>
                    <pic:cNvPicPr>
                      <a:picLocks noChangeAspect="1" noChangeArrowheads="1"/>
                    </pic:cNvPicPr>
                  </pic:nvPicPr>
                  <pic:blipFill>
                    <a:blip r:embed="rId5"/>
                    <a:srcRect/>
                    <a:stretch>
                      <a:fillRect/>
                    </a:stretch>
                  </pic:blipFill>
                  <pic:spPr bwMode="auto">
                    <a:xfrm>
                      <a:off x="0" y="0"/>
                      <a:ext cx="3183255" cy="796290"/>
                    </a:xfrm>
                    <a:prstGeom prst="rect">
                      <a:avLst/>
                    </a:prstGeom>
                    <a:noFill/>
                    <a:ln w="9525">
                      <a:noFill/>
                      <a:miter lim="800000"/>
                      <a:headEnd/>
                      <a:tailEnd/>
                    </a:ln>
                  </pic:spPr>
                </pic:pic>
              </a:graphicData>
            </a:graphic>
          </wp:anchor>
        </w:drawing>
      </w:r>
      <w:r w:rsidR="009D7DB6" w:rsidRPr="00004DD0">
        <w:rPr>
          <w:rFonts w:cs="Arial"/>
          <w:b/>
          <w:color w:val="FF0000"/>
          <w:sz w:val="24"/>
          <w:szCs w:val="28"/>
        </w:rPr>
        <w:t>Lawrence Ho Scholarship</w:t>
      </w:r>
    </w:p>
    <w:p w:rsidR="009D7DB6" w:rsidRPr="00004DD0" w:rsidRDefault="009D7DB6" w:rsidP="00004DD0">
      <w:pPr>
        <w:pBdr>
          <w:bottom w:val="single" w:sz="6" w:space="1" w:color="auto"/>
        </w:pBdr>
        <w:spacing w:line="360" w:lineRule="auto"/>
        <w:rPr>
          <w:rFonts w:cs="Arial"/>
          <w:b/>
          <w:color w:val="FF0000"/>
          <w:sz w:val="24"/>
          <w:szCs w:val="28"/>
        </w:rPr>
      </w:pPr>
      <w:r w:rsidRPr="00004DD0">
        <w:rPr>
          <w:rFonts w:cs="Arial"/>
          <w:b/>
          <w:color w:val="FF0000"/>
          <w:sz w:val="24"/>
          <w:szCs w:val="28"/>
        </w:rPr>
        <w:t xml:space="preserve">Guidance Notes </w:t>
      </w:r>
    </w:p>
    <w:p w:rsidR="009D7DB6" w:rsidRPr="00004DD0" w:rsidRDefault="009D7DB6" w:rsidP="00004DD0">
      <w:pPr>
        <w:spacing w:line="360" w:lineRule="auto"/>
        <w:rPr>
          <w:rFonts w:cs="Arial"/>
        </w:rPr>
      </w:pPr>
    </w:p>
    <w:p w:rsidR="009D7DB6" w:rsidRPr="00004DD0" w:rsidRDefault="009D7DB6" w:rsidP="00004DD0">
      <w:pPr>
        <w:spacing w:line="360" w:lineRule="auto"/>
        <w:rPr>
          <w:rFonts w:cs="Arial"/>
          <w:b/>
          <w:color w:val="FF0000"/>
        </w:rPr>
      </w:pPr>
      <w:r w:rsidRPr="00004DD0">
        <w:rPr>
          <w:rFonts w:cs="Arial"/>
          <w:b/>
          <w:color w:val="FF0000"/>
        </w:rPr>
        <w:t>Scholarship Overview</w:t>
      </w:r>
    </w:p>
    <w:p w:rsidR="009D7DB6" w:rsidRPr="00004DD0" w:rsidRDefault="009D7DB6" w:rsidP="00004DD0">
      <w:pPr>
        <w:spacing w:line="360" w:lineRule="auto"/>
        <w:rPr>
          <w:rFonts w:cs="Arial"/>
        </w:rPr>
      </w:pPr>
      <w:r w:rsidRPr="00004DD0">
        <w:rPr>
          <w:rFonts w:cs="Arial"/>
        </w:rPr>
        <w:t xml:space="preserve">Established in 2009, ‘The Lawrence Ho Scholarship and Research Fund’ will be used to provide scholarships and work placements; internships and travel bursaries; student prizes; and course development and research funding.  </w:t>
      </w:r>
    </w:p>
    <w:p w:rsidR="009D7DB6" w:rsidRPr="00004DD0" w:rsidRDefault="009D7DB6" w:rsidP="00004DD0">
      <w:pPr>
        <w:tabs>
          <w:tab w:val="left" w:pos="2310"/>
        </w:tabs>
        <w:snapToGrid w:val="0"/>
        <w:spacing w:line="360" w:lineRule="auto"/>
        <w:rPr>
          <w:rFonts w:cs="Arial"/>
        </w:rPr>
      </w:pPr>
    </w:p>
    <w:p w:rsidR="009D7DB6" w:rsidRPr="00004DD0" w:rsidRDefault="00AB356D" w:rsidP="00004DD0">
      <w:pPr>
        <w:tabs>
          <w:tab w:val="left" w:pos="2310"/>
        </w:tabs>
        <w:snapToGrid w:val="0"/>
        <w:spacing w:line="360" w:lineRule="auto"/>
        <w:rPr>
          <w:rFonts w:cs="Arial"/>
          <w:b/>
          <w:u w:val="single"/>
        </w:rPr>
      </w:pPr>
      <w:r w:rsidRPr="00004DD0">
        <w:rPr>
          <w:rFonts w:cs="Arial"/>
          <w:b/>
          <w:u w:val="single"/>
        </w:rPr>
        <w:t>Undergraduate/Postgraduate Scholarships</w:t>
      </w:r>
    </w:p>
    <w:p w:rsidR="009D7DB6" w:rsidRPr="00004DD0" w:rsidRDefault="00004DD0" w:rsidP="00004DD0">
      <w:pPr>
        <w:spacing w:line="360" w:lineRule="auto"/>
        <w:rPr>
          <w:rFonts w:cs="Arial"/>
        </w:rPr>
      </w:pPr>
      <w:r>
        <w:rPr>
          <w:rFonts w:cs="Arial"/>
          <w:szCs w:val="24"/>
        </w:rPr>
        <w:t>A limited number of</w:t>
      </w:r>
      <w:r w:rsidR="009D7DB6" w:rsidRPr="00004DD0">
        <w:rPr>
          <w:rFonts w:cs="Arial"/>
        </w:rPr>
        <w:t xml:space="preserve"> concurrent scholarships will be awarded to students from China, Macau and Hong Kong, who wish to study full-time undergraduate or postgraduate level programmes at Edinburgh Napier University campuses in the UK or at partner institutions in Hong Kong. These scholarships will also be made available for students who wish to study in China, Hong Kong or Macau for a semester or for a full year of their programme.</w:t>
      </w:r>
    </w:p>
    <w:p w:rsidR="009D7DB6" w:rsidRPr="00004DD0" w:rsidRDefault="009D7DB6" w:rsidP="00004DD0">
      <w:pPr>
        <w:spacing w:line="360" w:lineRule="auto"/>
        <w:rPr>
          <w:rFonts w:cs="Arial"/>
        </w:rPr>
      </w:pPr>
    </w:p>
    <w:p w:rsidR="009D7DB6" w:rsidRPr="00004DD0" w:rsidRDefault="009D7DB6" w:rsidP="00004DD0">
      <w:pPr>
        <w:spacing w:line="360" w:lineRule="auto"/>
        <w:rPr>
          <w:rFonts w:cs="Arial"/>
        </w:rPr>
      </w:pPr>
      <w:r w:rsidRPr="00004DD0">
        <w:rPr>
          <w:rFonts w:cs="Arial"/>
        </w:rPr>
        <w:t>Preference will be given to students applying to study in one of the following disciplines:</w:t>
      </w:r>
      <w:r w:rsidR="00004DD0">
        <w:rPr>
          <w:rFonts w:cs="Arial"/>
        </w:rPr>
        <w:t xml:space="preserve"> </w:t>
      </w:r>
    </w:p>
    <w:p w:rsidR="00004DD0" w:rsidRPr="00004DD0" w:rsidRDefault="00004DD0" w:rsidP="00004DD0">
      <w:pPr>
        <w:pStyle w:val="ListParagraph"/>
        <w:numPr>
          <w:ilvl w:val="0"/>
          <w:numId w:val="1"/>
        </w:numPr>
        <w:spacing w:line="360" w:lineRule="auto"/>
        <w:rPr>
          <w:rFonts w:cs="Arial"/>
        </w:rPr>
      </w:pPr>
      <w:r w:rsidRPr="00004DD0">
        <w:rPr>
          <w:rFonts w:cs="Arial"/>
        </w:rPr>
        <w:t>Marketing Management</w:t>
      </w:r>
    </w:p>
    <w:p w:rsidR="009D7DB6" w:rsidRPr="00004DD0" w:rsidRDefault="009D7DB6" w:rsidP="00004DD0">
      <w:pPr>
        <w:pStyle w:val="ListParagraph"/>
        <w:numPr>
          <w:ilvl w:val="0"/>
          <w:numId w:val="1"/>
        </w:numPr>
        <w:snapToGrid w:val="0"/>
        <w:spacing w:line="360" w:lineRule="auto"/>
        <w:rPr>
          <w:rFonts w:ascii="Arial" w:hAnsi="Arial" w:cs="Arial"/>
          <w:sz w:val="20"/>
          <w:szCs w:val="20"/>
        </w:rPr>
      </w:pPr>
      <w:r w:rsidRPr="00004DD0">
        <w:rPr>
          <w:rFonts w:ascii="Arial" w:hAnsi="Arial" w:cs="Arial"/>
          <w:sz w:val="20"/>
          <w:szCs w:val="20"/>
        </w:rPr>
        <w:t xml:space="preserve">Tourism Management </w:t>
      </w:r>
    </w:p>
    <w:p w:rsidR="009D7DB6" w:rsidRPr="00004DD0" w:rsidRDefault="009D7DB6" w:rsidP="00004DD0">
      <w:pPr>
        <w:pStyle w:val="ListParagraph"/>
        <w:numPr>
          <w:ilvl w:val="0"/>
          <w:numId w:val="1"/>
        </w:numPr>
        <w:snapToGrid w:val="0"/>
        <w:spacing w:line="360" w:lineRule="auto"/>
        <w:rPr>
          <w:rFonts w:ascii="Arial" w:hAnsi="Arial" w:cs="Arial"/>
          <w:sz w:val="20"/>
          <w:szCs w:val="20"/>
        </w:rPr>
      </w:pPr>
      <w:r w:rsidRPr="00004DD0">
        <w:rPr>
          <w:rFonts w:ascii="Arial" w:hAnsi="Arial" w:cs="Arial"/>
          <w:sz w:val="20"/>
          <w:szCs w:val="20"/>
        </w:rPr>
        <w:t>Event &amp; Festival Management</w:t>
      </w:r>
    </w:p>
    <w:p w:rsidR="009D7DB6" w:rsidRPr="00004DD0" w:rsidRDefault="009D7DB6" w:rsidP="00004DD0">
      <w:pPr>
        <w:pStyle w:val="ListParagraph"/>
        <w:numPr>
          <w:ilvl w:val="0"/>
          <w:numId w:val="1"/>
        </w:numPr>
        <w:snapToGrid w:val="0"/>
        <w:spacing w:line="360" w:lineRule="auto"/>
        <w:rPr>
          <w:rFonts w:ascii="Arial" w:hAnsi="Arial" w:cs="Arial"/>
          <w:sz w:val="20"/>
          <w:szCs w:val="20"/>
        </w:rPr>
      </w:pPr>
      <w:r w:rsidRPr="00004DD0">
        <w:rPr>
          <w:rFonts w:ascii="Arial" w:hAnsi="Arial" w:cs="Arial"/>
          <w:sz w:val="20"/>
          <w:szCs w:val="20"/>
        </w:rPr>
        <w:t>Hospitality Management</w:t>
      </w:r>
    </w:p>
    <w:p w:rsidR="009D7DB6" w:rsidRPr="00004DD0" w:rsidRDefault="009D7DB6" w:rsidP="00004DD0">
      <w:pPr>
        <w:pStyle w:val="ListParagraph"/>
        <w:numPr>
          <w:ilvl w:val="0"/>
          <w:numId w:val="1"/>
        </w:numPr>
        <w:snapToGrid w:val="0"/>
        <w:spacing w:line="360" w:lineRule="auto"/>
        <w:rPr>
          <w:rFonts w:ascii="Arial" w:hAnsi="Arial" w:cs="Arial"/>
          <w:sz w:val="20"/>
          <w:szCs w:val="20"/>
        </w:rPr>
      </w:pPr>
      <w:r w:rsidRPr="00004DD0">
        <w:rPr>
          <w:rFonts w:ascii="Arial" w:hAnsi="Arial" w:cs="Arial"/>
          <w:sz w:val="20"/>
          <w:szCs w:val="20"/>
        </w:rPr>
        <w:t>Interactive Media Design</w:t>
      </w:r>
    </w:p>
    <w:p w:rsidR="009D7DB6" w:rsidRPr="00004DD0" w:rsidRDefault="009D7DB6" w:rsidP="00004DD0">
      <w:pPr>
        <w:pStyle w:val="ListParagraph"/>
        <w:numPr>
          <w:ilvl w:val="0"/>
          <w:numId w:val="1"/>
        </w:numPr>
        <w:snapToGrid w:val="0"/>
        <w:spacing w:line="360" w:lineRule="auto"/>
        <w:rPr>
          <w:rFonts w:ascii="Arial" w:hAnsi="Arial" w:cs="Arial"/>
          <w:sz w:val="20"/>
          <w:szCs w:val="20"/>
        </w:rPr>
      </w:pPr>
      <w:r w:rsidRPr="00004DD0">
        <w:rPr>
          <w:rFonts w:ascii="Arial" w:hAnsi="Arial" w:cs="Arial"/>
          <w:sz w:val="20"/>
          <w:szCs w:val="20"/>
        </w:rPr>
        <w:t>Environmental Development and Research.</w:t>
      </w:r>
    </w:p>
    <w:p w:rsidR="009D7DB6" w:rsidRPr="00004DD0" w:rsidRDefault="009D7DB6" w:rsidP="00004DD0">
      <w:pPr>
        <w:snapToGrid w:val="0"/>
        <w:spacing w:line="360" w:lineRule="auto"/>
        <w:rPr>
          <w:rFonts w:cs="Arial"/>
          <w:color w:val="000000"/>
        </w:rPr>
      </w:pPr>
    </w:p>
    <w:p w:rsidR="009D7DB6" w:rsidRPr="00004DD0" w:rsidRDefault="009D7DB6" w:rsidP="00004DD0">
      <w:pPr>
        <w:snapToGrid w:val="0"/>
        <w:spacing w:line="360" w:lineRule="auto"/>
        <w:rPr>
          <w:rFonts w:cs="Arial"/>
        </w:rPr>
      </w:pPr>
      <w:r w:rsidRPr="00004DD0">
        <w:rPr>
          <w:rFonts w:cs="Arial"/>
        </w:rPr>
        <w:t>Successful applicants will be awarded up to £10,000 per annum, or the cost of their course fees, whichever is the lowest, for the duration of their course.  Undergraduates entering first year will be eligible to apply for a scholarship from second year, based on their academic achievements in first year. Lawren</w:t>
      </w:r>
      <w:r w:rsidR="00AB356D" w:rsidRPr="00004DD0">
        <w:rPr>
          <w:rFonts w:cs="Arial"/>
        </w:rPr>
        <w:t>ce Ho will review the applications,</w:t>
      </w:r>
      <w:r w:rsidRPr="00004DD0">
        <w:rPr>
          <w:rFonts w:cs="Arial"/>
        </w:rPr>
        <w:t xml:space="preserve"> and in discussion with Edinburgh Napier University</w:t>
      </w:r>
      <w:r w:rsidR="00AB356D" w:rsidRPr="00004DD0">
        <w:rPr>
          <w:rFonts w:cs="Arial"/>
        </w:rPr>
        <w:t>,</w:t>
      </w:r>
      <w:r w:rsidRPr="00004DD0">
        <w:rPr>
          <w:rFonts w:cs="Arial"/>
        </w:rPr>
        <w:t xml:space="preserve"> will select the recipients. </w:t>
      </w:r>
    </w:p>
    <w:p w:rsidR="009D7DB6" w:rsidRPr="00004DD0" w:rsidRDefault="009D7DB6" w:rsidP="00004DD0">
      <w:pPr>
        <w:snapToGrid w:val="0"/>
        <w:spacing w:line="360" w:lineRule="auto"/>
        <w:rPr>
          <w:rFonts w:cs="Arial"/>
        </w:rPr>
      </w:pPr>
    </w:p>
    <w:p w:rsidR="009D7DB6" w:rsidRPr="00004DD0" w:rsidRDefault="009D7DB6" w:rsidP="00004DD0">
      <w:pPr>
        <w:snapToGrid w:val="0"/>
        <w:spacing w:line="360" w:lineRule="auto"/>
        <w:rPr>
          <w:rFonts w:cs="Arial"/>
        </w:rPr>
      </w:pPr>
      <w:r w:rsidRPr="00004DD0">
        <w:rPr>
          <w:rFonts w:cs="Arial"/>
        </w:rPr>
        <w:t xml:space="preserve">Where appropriate, scholarships will include a placement in Hong Kong or Macau, with Melco International Development Ltd or its associated companies (“Melco Group”). </w:t>
      </w:r>
    </w:p>
    <w:p w:rsidR="009D7DB6" w:rsidRPr="00004DD0" w:rsidRDefault="009D7DB6" w:rsidP="00004DD0">
      <w:pPr>
        <w:snapToGrid w:val="0"/>
        <w:spacing w:line="360" w:lineRule="auto"/>
        <w:rPr>
          <w:rFonts w:cs="Arial"/>
        </w:rPr>
      </w:pPr>
    </w:p>
    <w:p w:rsidR="009D7DB6" w:rsidRPr="00004DD0" w:rsidRDefault="009D7DB6" w:rsidP="00004DD0">
      <w:pPr>
        <w:snapToGrid w:val="0"/>
        <w:spacing w:line="360" w:lineRule="auto"/>
        <w:rPr>
          <w:rFonts w:cs="Arial"/>
        </w:rPr>
      </w:pPr>
      <w:r w:rsidRPr="00004DD0">
        <w:rPr>
          <w:rFonts w:cs="Arial"/>
        </w:rPr>
        <w:t>Usually awards made for a September start can be carried forward to the following January: please contact us for confirmation of this in writing.</w:t>
      </w:r>
    </w:p>
    <w:p w:rsidR="009D7DB6" w:rsidRPr="00004DD0" w:rsidRDefault="009D7DB6" w:rsidP="00004DD0">
      <w:pPr>
        <w:snapToGrid w:val="0"/>
        <w:spacing w:line="360" w:lineRule="auto"/>
        <w:rPr>
          <w:rFonts w:cs="Arial"/>
        </w:rPr>
      </w:pPr>
    </w:p>
    <w:p w:rsidR="00F81A49" w:rsidRPr="00004DD0" w:rsidRDefault="00F81A49" w:rsidP="00004DD0">
      <w:pPr>
        <w:spacing w:line="360" w:lineRule="auto"/>
        <w:rPr>
          <w:rFonts w:cs="Arial"/>
          <w:b/>
          <w:color w:val="FF0000"/>
        </w:rPr>
      </w:pPr>
      <w:r w:rsidRPr="00004DD0">
        <w:rPr>
          <w:rFonts w:cs="Arial"/>
          <w:b/>
          <w:color w:val="FF0000"/>
        </w:rPr>
        <w:t>Submitting your form</w:t>
      </w:r>
    </w:p>
    <w:p w:rsidR="00F81A49" w:rsidRPr="00004DD0" w:rsidRDefault="00F81A49" w:rsidP="00004DD0">
      <w:pPr>
        <w:spacing w:line="360" w:lineRule="auto"/>
        <w:rPr>
          <w:rFonts w:cs="Arial"/>
        </w:rPr>
      </w:pPr>
      <w:r w:rsidRPr="00004DD0">
        <w:rPr>
          <w:rFonts w:cs="Arial"/>
        </w:rPr>
        <w:t>Completed application forms, including photocopies of all relevant supporting documents</w:t>
      </w:r>
      <w:r w:rsidR="00F74987" w:rsidRPr="00004DD0">
        <w:rPr>
          <w:rFonts w:cs="Arial"/>
        </w:rPr>
        <w:t>,</w:t>
      </w:r>
      <w:r w:rsidRPr="00004DD0">
        <w:rPr>
          <w:rFonts w:cs="Arial"/>
        </w:rPr>
        <w:t xml:space="preserve"> should be sent to:</w:t>
      </w:r>
    </w:p>
    <w:p w:rsidR="00004DD0" w:rsidRPr="009F555E" w:rsidRDefault="00004DD0" w:rsidP="00004DD0">
      <w:pPr>
        <w:pBdr>
          <w:bottom w:val="single" w:sz="4" w:space="1" w:color="auto"/>
        </w:pBdr>
        <w:spacing w:line="360" w:lineRule="auto"/>
        <w:rPr>
          <w:rFonts w:cs="Arial"/>
          <w:b/>
          <w:szCs w:val="24"/>
        </w:rPr>
      </w:pPr>
      <w:r w:rsidRPr="009F555E">
        <w:rPr>
          <w:rFonts w:cs="Arial"/>
          <w:b/>
          <w:szCs w:val="24"/>
        </w:rPr>
        <w:t>Development &amp; External Relations</w:t>
      </w:r>
    </w:p>
    <w:p w:rsidR="00004DD0" w:rsidRPr="009F555E" w:rsidRDefault="00004DD0" w:rsidP="00004DD0">
      <w:pPr>
        <w:pBdr>
          <w:bottom w:val="single" w:sz="4" w:space="1" w:color="auto"/>
        </w:pBdr>
        <w:spacing w:line="360" w:lineRule="auto"/>
        <w:rPr>
          <w:rFonts w:cs="Arial"/>
          <w:b/>
          <w:szCs w:val="24"/>
        </w:rPr>
      </w:pPr>
      <w:r w:rsidRPr="009F555E">
        <w:rPr>
          <w:rFonts w:cs="Arial"/>
          <w:b/>
          <w:szCs w:val="24"/>
        </w:rPr>
        <w:t>Edinburgh Napier University</w:t>
      </w:r>
    </w:p>
    <w:p w:rsidR="00004DD0" w:rsidRPr="009F555E" w:rsidRDefault="00004DD0" w:rsidP="00004DD0">
      <w:pPr>
        <w:pBdr>
          <w:bottom w:val="single" w:sz="4" w:space="1" w:color="auto"/>
        </w:pBdr>
        <w:spacing w:line="360" w:lineRule="auto"/>
        <w:rPr>
          <w:rFonts w:cs="Arial"/>
          <w:b/>
          <w:szCs w:val="24"/>
        </w:rPr>
      </w:pPr>
      <w:r w:rsidRPr="009F555E">
        <w:rPr>
          <w:rFonts w:cs="Arial"/>
          <w:b/>
          <w:szCs w:val="24"/>
        </w:rPr>
        <w:t xml:space="preserve">Room 5.B.24 </w:t>
      </w:r>
      <w:proofErr w:type="spellStart"/>
      <w:r w:rsidRPr="009F555E">
        <w:rPr>
          <w:rFonts w:cs="Arial"/>
          <w:b/>
          <w:szCs w:val="24"/>
        </w:rPr>
        <w:t>Sighthill</w:t>
      </w:r>
      <w:proofErr w:type="spellEnd"/>
      <w:r w:rsidRPr="009F555E">
        <w:rPr>
          <w:rFonts w:cs="Arial"/>
          <w:b/>
          <w:szCs w:val="24"/>
        </w:rPr>
        <w:t xml:space="preserve"> Campus</w:t>
      </w:r>
    </w:p>
    <w:p w:rsidR="00004DD0" w:rsidRPr="009F555E" w:rsidRDefault="00004DD0" w:rsidP="00004DD0">
      <w:pPr>
        <w:pBdr>
          <w:bottom w:val="single" w:sz="4" w:space="1" w:color="auto"/>
        </w:pBdr>
        <w:spacing w:line="360" w:lineRule="auto"/>
        <w:rPr>
          <w:rFonts w:cs="Arial"/>
          <w:b/>
          <w:szCs w:val="24"/>
        </w:rPr>
      </w:pPr>
      <w:proofErr w:type="spellStart"/>
      <w:r w:rsidRPr="009F555E">
        <w:rPr>
          <w:rFonts w:cs="Arial"/>
          <w:b/>
          <w:szCs w:val="24"/>
        </w:rPr>
        <w:t>Sighthill</w:t>
      </w:r>
      <w:proofErr w:type="spellEnd"/>
      <w:r w:rsidRPr="009F555E">
        <w:rPr>
          <w:rFonts w:cs="Arial"/>
          <w:b/>
          <w:szCs w:val="24"/>
        </w:rPr>
        <w:t xml:space="preserve"> Court</w:t>
      </w:r>
    </w:p>
    <w:p w:rsidR="00004DD0" w:rsidRPr="009F555E" w:rsidRDefault="00004DD0" w:rsidP="00004DD0">
      <w:pPr>
        <w:pBdr>
          <w:bottom w:val="single" w:sz="4" w:space="1" w:color="auto"/>
        </w:pBdr>
        <w:spacing w:line="360" w:lineRule="auto"/>
        <w:rPr>
          <w:rFonts w:cs="Arial"/>
          <w:b/>
          <w:szCs w:val="24"/>
        </w:rPr>
      </w:pPr>
      <w:r w:rsidRPr="009F555E">
        <w:rPr>
          <w:rFonts w:cs="Arial"/>
          <w:b/>
          <w:szCs w:val="24"/>
        </w:rPr>
        <w:t xml:space="preserve">Edinburgh </w:t>
      </w:r>
    </w:p>
    <w:p w:rsidR="00004DD0" w:rsidRPr="009F555E" w:rsidRDefault="00004DD0" w:rsidP="00004DD0">
      <w:pPr>
        <w:pBdr>
          <w:bottom w:val="single" w:sz="4" w:space="1" w:color="auto"/>
        </w:pBdr>
        <w:spacing w:line="360" w:lineRule="auto"/>
        <w:rPr>
          <w:rFonts w:cs="Arial"/>
          <w:b/>
          <w:szCs w:val="24"/>
        </w:rPr>
      </w:pPr>
      <w:r w:rsidRPr="009F555E">
        <w:rPr>
          <w:rFonts w:cs="Arial"/>
          <w:b/>
          <w:szCs w:val="24"/>
        </w:rPr>
        <w:t>EH11 4BN</w:t>
      </w:r>
    </w:p>
    <w:p w:rsidR="00004DD0" w:rsidRDefault="00004DD0" w:rsidP="00004DD0">
      <w:pPr>
        <w:pBdr>
          <w:bottom w:val="single" w:sz="4" w:space="1" w:color="auto"/>
        </w:pBdr>
        <w:spacing w:line="360" w:lineRule="auto"/>
        <w:rPr>
          <w:rStyle w:val="Hyperlink"/>
          <w:rFonts w:cs="Arial"/>
          <w:szCs w:val="24"/>
        </w:rPr>
      </w:pPr>
      <w:hyperlink r:id="rId6" w:history="1">
        <w:r w:rsidRPr="009F555E">
          <w:rPr>
            <w:rStyle w:val="Hyperlink"/>
            <w:rFonts w:cs="Arial"/>
            <w:szCs w:val="24"/>
          </w:rPr>
          <w:t>development@napier.ac.uk</w:t>
        </w:r>
      </w:hyperlink>
    </w:p>
    <w:p w:rsidR="00004DD0" w:rsidRPr="00004DD0" w:rsidRDefault="00004DD0" w:rsidP="00004DD0">
      <w:pPr>
        <w:pBdr>
          <w:bottom w:val="single" w:sz="4" w:space="1" w:color="auto"/>
        </w:pBdr>
        <w:spacing w:line="360" w:lineRule="auto"/>
        <w:rPr>
          <w:rFonts w:cs="Arial"/>
          <w:color w:val="0000FF"/>
          <w:szCs w:val="24"/>
          <w:u w:val="single"/>
        </w:rPr>
      </w:pPr>
      <w:bookmarkStart w:id="0" w:name="_GoBack"/>
      <w:bookmarkEnd w:id="0"/>
    </w:p>
    <w:p w:rsidR="00AB356D" w:rsidRPr="00004DD0" w:rsidRDefault="00AB356D" w:rsidP="00004DD0">
      <w:pPr>
        <w:spacing w:line="360" w:lineRule="auto"/>
        <w:rPr>
          <w:rFonts w:cs="Arial"/>
          <w:b/>
        </w:rPr>
      </w:pPr>
    </w:p>
    <w:p w:rsidR="00F81A49" w:rsidRPr="00004DD0" w:rsidRDefault="00F81A49" w:rsidP="00004DD0">
      <w:pPr>
        <w:spacing w:line="360" w:lineRule="auto"/>
        <w:rPr>
          <w:rFonts w:cs="Arial"/>
          <w:b/>
          <w:color w:val="FF0000"/>
        </w:rPr>
      </w:pPr>
      <w:r w:rsidRPr="00004DD0">
        <w:rPr>
          <w:rFonts w:cs="Arial"/>
          <w:b/>
          <w:color w:val="FF0000"/>
        </w:rPr>
        <w:t>Closing Dates</w:t>
      </w:r>
    </w:p>
    <w:p w:rsidR="00004DD0" w:rsidRPr="009F555E" w:rsidRDefault="00004DD0" w:rsidP="00004DD0">
      <w:pPr>
        <w:spacing w:line="360" w:lineRule="auto"/>
        <w:rPr>
          <w:rFonts w:cs="Arial"/>
          <w:b/>
          <w:szCs w:val="24"/>
        </w:rPr>
      </w:pPr>
      <w:r w:rsidRPr="009F555E">
        <w:rPr>
          <w:rFonts w:cs="Arial"/>
          <w:b/>
          <w:szCs w:val="24"/>
        </w:rPr>
        <w:t xml:space="preserve">The closing dates for applications for the academic year 2017/18 </w:t>
      </w:r>
    </w:p>
    <w:p w:rsidR="00F81A49" w:rsidRPr="00004DD0" w:rsidRDefault="00F81A49" w:rsidP="00004DD0">
      <w:pPr>
        <w:spacing w:line="360" w:lineRule="auto"/>
        <w:rPr>
          <w:rFonts w:cs="Arial"/>
          <w:b/>
        </w:rPr>
      </w:pPr>
      <w:r w:rsidRPr="00004DD0">
        <w:rPr>
          <w:rFonts w:cs="Arial"/>
        </w:rPr>
        <w:t>Postgraduate and Undergradu</w:t>
      </w:r>
      <w:r w:rsidR="00836FC4" w:rsidRPr="00004DD0">
        <w:rPr>
          <w:rFonts w:cs="Arial"/>
        </w:rPr>
        <w:t>ate Scholarships (September 201</w:t>
      </w:r>
      <w:r w:rsidR="00004DD0">
        <w:rPr>
          <w:rFonts w:cs="Arial"/>
        </w:rPr>
        <w:t>7</w:t>
      </w:r>
      <w:r w:rsidRPr="00004DD0">
        <w:rPr>
          <w:rFonts w:cs="Arial"/>
        </w:rPr>
        <w:t xml:space="preserve"> start): </w:t>
      </w:r>
      <w:r w:rsidR="003F7F64" w:rsidRPr="00004DD0">
        <w:rPr>
          <w:rFonts w:cs="Arial"/>
          <w:b/>
        </w:rPr>
        <w:t>May 31st</w:t>
      </w:r>
      <w:r w:rsidRPr="00004DD0">
        <w:rPr>
          <w:rFonts w:cs="Arial"/>
          <w:b/>
        </w:rPr>
        <w:t xml:space="preserve"> 201</w:t>
      </w:r>
      <w:r w:rsidR="00004DD0">
        <w:rPr>
          <w:rFonts w:cs="Arial"/>
          <w:b/>
        </w:rPr>
        <w:t>7</w:t>
      </w:r>
      <w:r w:rsidRPr="00004DD0">
        <w:rPr>
          <w:rFonts w:cs="Arial"/>
        </w:rPr>
        <w:br/>
        <w:t>Postgraduate and Undergra</w:t>
      </w:r>
      <w:r w:rsidR="00836FC4" w:rsidRPr="00004DD0">
        <w:rPr>
          <w:rFonts w:cs="Arial"/>
        </w:rPr>
        <w:t>duate Scholarships (January 201</w:t>
      </w:r>
      <w:r w:rsidR="00004DD0">
        <w:rPr>
          <w:rFonts w:cs="Arial"/>
        </w:rPr>
        <w:t>8</w:t>
      </w:r>
      <w:r w:rsidRPr="00004DD0">
        <w:rPr>
          <w:rFonts w:cs="Arial"/>
        </w:rPr>
        <w:t xml:space="preserve"> start): </w:t>
      </w:r>
      <w:r w:rsidRPr="00004DD0">
        <w:rPr>
          <w:rFonts w:cs="Arial"/>
          <w:b/>
        </w:rPr>
        <w:t>November 1</w:t>
      </w:r>
      <w:r w:rsidR="00004DD0">
        <w:rPr>
          <w:rFonts w:cs="Arial"/>
          <w:b/>
        </w:rPr>
        <w:t>2</w:t>
      </w:r>
      <w:r w:rsidRPr="00004DD0">
        <w:rPr>
          <w:rFonts w:cs="Arial"/>
          <w:b/>
        </w:rPr>
        <w:t>th 201</w:t>
      </w:r>
      <w:r w:rsidR="00004DD0">
        <w:rPr>
          <w:rFonts w:cs="Arial"/>
          <w:b/>
        </w:rPr>
        <w:t>7</w:t>
      </w:r>
    </w:p>
    <w:p w:rsidR="00AB356D" w:rsidRPr="00004DD0" w:rsidRDefault="00AB356D" w:rsidP="00004DD0">
      <w:pPr>
        <w:pBdr>
          <w:bottom w:val="single" w:sz="4" w:space="1" w:color="auto"/>
        </w:pBdr>
        <w:spacing w:line="360" w:lineRule="auto"/>
        <w:rPr>
          <w:rFonts w:cs="Arial"/>
          <w:b/>
        </w:rPr>
      </w:pPr>
    </w:p>
    <w:p w:rsidR="00AB356D" w:rsidRPr="00004DD0" w:rsidRDefault="00AB356D" w:rsidP="00004DD0">
      <w:pPr>
        <w:spacing w:line="360" w:lineRule="auto"/>
        <w:rPr>
          <w:rFonts w:cs="Arial"/>
          <w:b/>
        </w:rPr>
      </w:pPr>
    </w:p>
    <w:p w:rsidR="00AB356D" w:rsidRPr="00004DD0" w:rsidRDefault="00AB356D" w:rsidP="00004DD0">
      <w:pPr>
        <w:spacing w:line="360" w:lineRule="auto"/>
        <w:rPr>
          <w:rFonts w:cs="Arial"/>
          <w:color w:val="000000"/>
        </w:rPr>
      </w:pPr>
      <w:r w:rsidRPr="00004DD0">
        <w:rPr>
          <w:rFonts w:cs="Arial"/>
          <w:b/>
          <w:color w:val="FF0000"/>
        </w:rPr>
        <w:t>Appeals</w:t>
      </w:r>
      <w:r w:rsidRPr="00004DD0">
        <w:rPr>
          <w:rFonts w:cs="Arial"/>
          <w:b/>
        </w:rPr>
        <w:br/>
      </w:r>
      <w:proofErr w:type="gramStart"/>
      <w:r w:rsidRPr="00004DD0">
        <w:rPr>
          <w:rFonts w:cs="Arial"/>
          <w:color w:val="000000"/>
        </w:rPr>
        <w:t>The</w:t>
      </w:r>
      <w:proofErr w:type="gramEnd"/>
      <w:r w:rsidRPr="00004DD0">
        <w:rPr>
          <w:rFonts w:cs="Arial"/>
          <w:color w:val="000000"/>
        </w:rPr>
        <w:t xml:space="preserve"> decision of the awarding committee is final.  Applicants have no right of appeal.</w:t>
      </w:r>
    </w:p>
    <w:sectPr w:rsidR="00AB356D" w:rsidRPr="00004DD0" w:rsidSect="00004D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12E3B"/>
    <w:multiLevelType w:val="hybridMultilevel"/>
    <w:tmpl w:val="1EAE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B6"/>
    <w:rsid w:val="00004DD0"/>
    <w:rsid w:val="000A28A8"/>
    <w:rsid w:val="003D3047"/>
    <w:rsid w:val="003F7F64"/>
    <w:rsid w:val="00836FC4"/>
    <w:rsid w:val="009D7DB6"/>
    <w:rsid w:val="00AB356D"/>
    <w:rsid w:val="00E579F5"/>
    <w:rsid w:val="00F74987"/>
    <w:rsid w:val="00F81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8DA2C-3E4C-4818-ADBF-BE6646D5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DB6"/>
    <w:pPr>
      <w:spacing w:after="0" w:line="240" w:lineRule="auto"/>
    </w:pPr>
    <w:rPr>
      <w:rFonts w:ascii="Arial" w:eastAsia="SimSu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DB6"/>
    <w:rPr>
      <w:rFonts w:cs="Times New Roman"/>
      <w:color w:val="0000FF"/>
      <w:u w:val="single"/>
    </w:rPr>
  </w:style>
  <w:style w:type="paragraph" w:styleId="ListParagraph">
    <w:name w:val="List Paragraph"/>
    <w:basedOn w:val="Normal"/>
    <w:qFormat/>
    <w:rsid w:val="009D7DB6"/>
    <w:pPr>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velopment@napier.ac.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Sheila</dc:creator>
  <cp:keywords/>
  <dc:description/>
  <cp:lastModifiedBy>Waite, Benjamin</cp:lastModifiedBy>
  <cp:revision>7</cp:revision>
  <dcterms:created xsi:type="dcterms:W3CDTF">2016-02-05T13:59:00Z</dcterms:created>
  <dcterms:modified xsi:type="dcterms:W3CDTF">2017-02-24T10:05:00Z</dcterms:modified>
</cp:coreProperties>
</file>