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2D95D" w14:textId="77777777" w:rsidR="00134EDD" w:rsidRPr="00134EDD" w:rsidRDefault="00134EDD" w:rsidP="00134EDD">
      <w:pPr>
        <w:rPr>
          <w:b/>
          <w:bCs/>
        </w:rPr>
      </w:pPr>
      <w:r w:rsidRPr="00134EDD">
        <w:rPr>
          <w:b/>
          <w:bCs/>
        </w:rPr>
        <w:t xml:space="preserve">Island Happiness in an ocean of Misery: ubiquitous paradigms and realities of tourism in SIDS </w:t>
      </w:r>
    </w:p>
    <w:p w14:paraId="4658B77D" w14:textId="77777777" w:rsidR="00134EDD" w:rsidRDefault="00134EDD" w:rsidP="00134EDD">
      <w:r w:rsidRPr="00134EDD">
        <w:t xml:space="preserve">Happiness, wellbeing, life quality and satisfaction are often used interchangeably in tourism studies (Uysal, </w:t>
      </w:r>
      <w:proofErr w:type="spellStart"/>
      <w:r w:rsidRPr="00134EDD">
        <w:t>Sirgy</w:t>
      </w:r>
      <w:proofErr w:type="spellEnd"/>
      <w:r w:rsidRPr="00134EDD">
        <w:t>, Woo, &amp; Kim, 2016). However, happiness and well-being are concepts constructed by varied indicators underpinned by a spectrum of competing paradigms, for instance, from capitalistic to community-centred, Westernised to Colonised, wealthy to impoverished, and religious to atheist (Cheer, 2020; Higgins-</w:t>
      </w:r>
      <w:proofErr w:type="spellStart"/>
      <w:r w:rsidRPr="00134EDD">
        <w:t>Desbiolles</w:t>
      </w:r>
      <w:proofErr w:type="spellEnd"/>
      <w:r w:rsidRPr="00134EDD">
        <w:t>, 2006). The diversity of paradigms widens as tourism is often seen as a microscope of societies’ haves and have-nots. Further, there exists a stark paradox in the priorities and realities of tourists and local residents. For instance, from a tourist perspective, happiness and well-being tend to translate to capitalistic indicators of quality of life inclusive of health, wealth, status, access, and hedonistic measures of satisfaction (Higgins-</w:t>
      </w:r>
      <w:proofErr w:type="spellStart"/>
      <w:r w:rsidRPr="00134EDD">
        <w:t>Desbiolles</w:t>
      </w:r>
      <w:proofErr w:type="spellEnd"/>
      <w:r w:rsidRPr="00134EDD">
        <w:t>, 2006). While locals tend to adopt a more sociocultural logic of happiness and well-being that prioritizes culture, community, equality, and human and environmental flourishing (Cheer, 2020).</w:t>
      </w:r>
    </w:p>
    <w:p w14:paraId="714AE613" w14:textId="1DD987CE" w:rsidR="00134EDD" w:rsidRPr="00134EDD" w:rsidRDefault="00134EDD" w:rsidP="00134EDD">
      <w:r w:rsidRPr="00134EDD">
        <w:t xml:space="preserve">Tourism in Small Island Development States (SIDS), in particular, maintained its appeal as a prime destination for solitary pleasures, hedonism and escapism by key tourist source markets from the developed countries (Baker, 2022; Butler &amp; Dodds, 2022; Galvin et al., 2021). Most recently </w:t>
      </w:r>
      <w:proofErr w:type="spellStart"/>
      <w:r w:rsidRPr="00134EDD">
        <w:t>bleisure</w:t>
      </w:r>
      <w:proofErr w:type="spellEnd"/>
      <w:r w:rsidRPr="00134EDD">
        <w:t xml:space="preserve"> tourists, digital nomads and remote workers were a major source of tourism in the Caribbean during and post-COVID (Bremner, 2022). Under a capitalistic paradigm, the tourist is sovereign and growth in tourist numbers indicates success. The opposite is true for local residents. For Caribbean locals, such indicators in the existing status quo come with a whirlwind of implications including economic leakage, employee exploitation, diseases, environmental costs, and competition with other community priorities, such as agriculture, education, and healthcare (Butler &amp; Dodds, 2022). According to Baker (2022), the modern-day tourism model is a reflection of the legacy of the Caribbean’s colonial past that positions the quality of life for visitors over that of local residents. Here, tourism is seen as the shackles that create overdependency and vulnerability at the mercy of residents. These implications are often exacerbated during and post-disaster, crisis, conflict events and climate emergencies that frequently impact the Caribbean. Nonetheless, the Caribbean tourism industry continuously rebounds to form resiliency and adaptation strategies underpinned by social capital and cohesion among Caribbean locals and the diaspora (Galvin et al., 2021; Holder, 2023). The case of Caribbean wellbeing and resiliency can be a benchmarking tool for tourism policymakers and stakeholders to rethink existing tourism development and management models. Yet, much is needed to capture a full account of the key indicators that contribute to natural and human well-being, and by extension individual and collective happiness for both tourists and locals. </w:t>
      </w:r>
    </w:p>
    <w:p w14:paraId="51359FB0" w14:textId="77777777" w:rsidR="00134EDD" w:rsidRPr="00045DF4" w:rsidRDefault="00134EDD" w:rsidP="00134EDD">
      <w:pPr>
        <w:rPr>
          <w:b/>
          <w:bCs/>
        </w:rPr>
      </w:pPr>
      <w:r w:rsidRPr="00045DF4">
        <w:rPr>
          <w:b/>
          <w:bCs/>
        </w:rPr>
        <w:t xml:space="preserve">References </w:t>
      </w:r>
    </w:p>
    <w:p w14:paraId="5BEF8323" w14:textId="77777777" w:rsidR="00134EDD" w:rsidRDefault="00134EDD" w:rsidP="00134EDD">
      <w:r w:rsidRPr="00134EDD">
        <w:t xml:space="preserve">Baker, D. M. A. (2022). Caribbean Tourism Development, Sustainability, and Impacts. In C. Cannonier &amp; M. Galloway Burke (Eds.), </w:t>
      </w:r>
      <w:r w:rsidRPr="00045DF4">
        <w:rPr>
          <w:i/>
          <w:iCs/>
        </w:rPr>
        <w:t>Contemporary Issues Within Caribbean Economies</w:t>
      </w:r>
      <w:r w:rsidRPr="00134EDD">
        <w:t xml:space="preserve"> (pp. 235-264). Cham: Springer International Publishing. </w:t>
      </w:r>
    </w:p>
    <w:p w14:paraId="44DB43D9" w14:textId="77777777" w:rsidR="00134EDD" w:rsidRDefault="00134EDD" w:rsidP="00134EDD">
      <w:r w:rsidRPr="00134EDD">
        <w:t xml:space="preserve">Bremner, C. (2022). Megatrends Shaping the Future of Travel. </w:t>
      </w:r>
      <w:r w:rsidRPr="00045DF4">
        <w:rPr>
          <w:i/>
          <w:iCs/>
        </w:rPr>
        <w:t>Euromonitor International</w:t>
      </w:r>
      <w:r w:rsidRPr="00134EDD">
        <w:t xml:space="preserve">, 13, 2021. </w:t>
      </w:r>
    </w:p>
    <w:p w14:paraId="25E94580" w14:textId="77777777" w:rsidR="00134EDD" w:rsidRDefault="00134EDD" w:rsidP="00134EDD">
      <w:r w:rsidRPr="00134EDD">
        <w:t xml:space="preserve">Butler, R. W., &amp; Dodds, R. (2022). Island Tourism: Vulnerable or Resistant to Overtourism? </w:t>
      </w:r>
      <w:r w:rsidRPr="00045DF4">
        <w:rPr>
          <w:i/>
          <w:iCs/>
        </w:rPr>
        <w:t>Highlights of Sustainability</w:t>
      </w:r>
      <w:r w:rsidRPr="00134EDD">
        <w:t xml:space="preserve">, 1(2), 54-64. </w:t>
      </w:r>
    </w:p>
    <w:p w14:paraId="1AA6B436" w14:textId="77777777" w:rsidR="00134EDD" w:rsidRDefault="00134EDD" w:rsidP="00134EDD">
      <w:r w:rsidRPr="00134EDD">
        <w:lastRenderedPageBreak/>
        <w:t xml:space="preserve">Cheer, J. M. (2020). Human flourishing, tourism transformation and COVID-19: a conceptual touchstone. </w:t>
      </w:r>
      <w:r w:rsidRPr="00045DF4">
        <w:rPr>
          <w:i/>
          <w:iCs/>
        </w:rPr>
        <w:t>Tourism Geographies</w:t>
      </w:r>
      <w:r w:rsidRPr="00134EDD">
        <w:t xml:space="preserve">, 22(3), 514-524. doi:10.1080/14616688.2020.1765016 </w:t>
      </w:r>
    </w:p>
    <w:p w14:paraId="7EEB42B9" w14:textId="2C10C6C8" w:rsidR="00134EDD" w:rsidRDefault="00134EDD" w:rsidP="00134EDD">
      <w:r w:rsidRPr="00134EDD">
        <w:t xml:space="preserve">Galvin, D., Elliott, K., </w:t>
      </w:r>
      <w:proofErr w:type="spellStart"/>
      <w:r w:rsidRPr="00134EDD">
        <w:t>Handijaya</w:t>
      </w:r>
      <w:proofErr w:type="spellEnd"/>
      <w:r w:rsidRPr="00134EDD">
        <w:t xml:space="preserve"> </w:t>
      </w:r>
      <w:proofErr w:type="spellStart"/>
      <w:r w:rsidRPr="00134EDD">
        <w:t>Dewantara</w:t>
      </w:r>
      <w:proofErr w:type="spellEnd"/>
      <w:r w:rsidRPr="00134EDD">
        <w:t xml:space="preserve">, M., Lewis, L., </w:t>
      </w:r>
      <w:proofErr w:type="spellStart"/>
      <w:r w:rsidRPr="00134EDD">
        <w:t>Platroz</w:t>
      </w:r>
      <w:proofErr w:type="spellEnd"/>
      <w:r w:rsidRPr="00134EDD">
        <w:t xml:space="preserve">, J., Solomon, W., . . . West-Gerald, R. (2021). A Post COVID19 Blueprint for Sustainable Tourism in Small Island Developing States. In COVID-19: </w:t>
      </w:r>
      <w:r w:rsidRPr="00045DF4">
        <w:rPr>
          <w:i/>
          <w:iCs/>
        </w:rPr>
        <w:t>Paving the Way for a More Sustainable World</w:t>
      </w:r>
      <w:r w:rsidRPr="00134EDD">
        <w:t xml:space="preserve"> (pp. 61-78): Springer. </w:t>
      </w:r>
    </w:p>
    <w:p w14:paraId="19E56846" w14:textId="37B4E232" w:rsidR="00134EDD" w:rsidRDefault="00134EDD" w:rsidP="00134EDD">
      <w:r w:rsidRPr="00134EDD">
        <w:t>Higgins-</w:t>
      </w:r>
      <w:proofErr w:type="spellStart"/>
      <w:r w:rsidRPr="00134EDD">
        <w:t>Desbiolles</w:t>
      </w:r>
      <w:proofErr w:type="spellEnd"/>
      <w:r w:rsidRPr="00134EDD">
        <w:t xml:space="preserve">, F. (2006). More than an “industry”: The forgotten power of tourism as a social force. </w:t>
      </w:r>
      <w:r w:rsidRPr="00045DF4">
        <w:rPr>
          <w:i/>
          <w:iCs/>
        </w:rPr>
        <w:t xml:space="preserve">Tourism </w:t>
      </w:r>
      <w:r w:rsidR="00045DF4">
        <w:rPr>
          <w:i/>
          <w:iCs/>
        </w:rPr>
        <w:t>M</w:t>
      </w:r>
      <w:r w:rsidRPr="00045DF4">
        <w:rPr>
          <w:i/>
          <w:iCs/>
        </w:rPr>
        <w:t>anagement</w:t>
      </w:r>
      <w:r w:rsidRPr="00134EDD">
        <w:t xml:space="preserve">, </w:t>
      </w:r>
      <w:r w:rsidRPr="00045DF4">
        <w:rPr>
          <w:i/>
          <w:iCs/>
        </w:rPr>
        <w:t>27(6)</w:t>
      </w:r>
      <w:r w:rsidRPr="00134EDD">
        <w:t xml:space="preserve">, 1192-1208. </w:t>
      </w:r>
    </w:p>
    <w:p w14:paraId="553DD9AB" w14:textId="77777777" w:rsidR="00134EDD" w:rsidRDefault="00134EDD" w:rsidP="00134EDD">
      <w:r w:rsidRPr="00134EDD">
        <w:t xml:space="preserve">Holder, A. (2023). </w:t>
      </w:r>
      <w:r w:rsidRPr="00045DF4">
        <w:rPr>
          <w:i/>
          <w:iCs/>
        </w:rPr>
        <w:t>Weathering the Storm: a case study of tourism resilience in Small Island Developing States (SIDs)</w:t>
      </w:r>
      <w:r w:rsidRPr="00134EDD">
        <w:t xml:space="preserve">. Paper presented at the International Conference: From Recovery to Resilience in Tourism – Sustainable Pathways for Transforming Tourism, The University of Johannesburg, South Africa. </w:t>
      </w:r>
    </w:p>
    <w:p w14:paraId="1A1BD706" w14:textId="034B4908" w:rsidR="00C432DD" w:rsidRPr="00134EDD" w:rsidRDefault="00134EDD" w:rsidP="00134EDD">
      <w:r w:rsidRPr="00134EDD">
        <w:t xml:space="preserve">Uysal, M., </w:t>
      </w:r>
      <w:proofErr w:type="spellStart"/>
      <w:r w:rsidRPr="00134EDD">
        <w:t>Sirgy</w:t>
      </w:r>
      <w:proofErr w:type="spellEnd"/>
      <w:r w:rsidRPr="00134EDD">
        <w:t xml:space="preserve">, M. J., Woo, E., &amp; Kim, H. (2016). Quality of life (QOL) and well-being research in tourism. </w:t>
      </w:r>
      <w:r w:rsidRPr="00045DF4">
        <w:rPr>
          <w:i/>
          <w:iCs/>
        </w:rPr>
        <w:t xml:space="preserve">Tourism </w:t>
      </w:r>
      <w:r w:rsidR="00045DF4">
        <w:rPr>
          <w:i/>
          <w:iCs/>
        </w:rPr>
        <w:t>M</w:t>
      </w:r>
      <w:r w:rsidRPr="00045DF4">
        <w:rPr>
          <w:i/>
          <w:iCs/>
        </w:rPr>
        <w:t>anagement, 53</w:t>
      </w:r>
      <w:r w:rsidRPr="00134EDD">
        <w:t xml:space="preserve">, 244-261. </w:t>
      </w:r>
      <w:proofErr w:type="spellStart"/>
      <w:r w:rsidRPr="00134EDD">
        <w:t>doi</w:t>
      </w:r>
      <w:proofErr w:type="spellEnd"/>
      <w:r w:rsidRPr="00134EDD">
        <w:t>:</w:t>
      </w:r>
      <w:r>
        <w:t xml:space="preserve"> </w:t>
      </w:r>
      <w:hyperlink r:id="rId4" w:history="1">
        <w:r w:rsidRPr="00860CF3">
          <w:rPr>
            <w:rStyle w:val="Hyperlink"/>
          </w:rPr>
          <w:t>https://doi.org/10.1016/j.tourman.2015.07.01</w:t>
        </w:r>
      </w:hyperlink>
    </w:p>
    <w:sectPr w:rsidR="00C432DD" w:rsidRPr="00134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DD"/>
    <w:rsid w:val="00045DF4"/>
    <w:rsid w:val="00134EDD"/>
    <w:rsid w:val="00860CF3"/>
    <w:rsid w:val="00A32C32"/>
    <w:rsid w:val="00C43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B16D"/>
  <w15:chartTrackingRefBased/>
  <w15:docId w15:val="{DCF40E4E-5C48-4862-8870-F4592733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EDD"/>
    <w:rPr>
      <w:rFonts w:eastAsiaTheme="majorEastAsia" w:cstheme="majorBidi"/>
      <w:color w:val="272727" w:themeColor="text1" w:themeTint="D8"/>
    </w:rPr>
  </w:style>
  <w:style w:type="paragraph" w:styleId="Title">
    <w:name w:val="Title"/>
    <w:basedOn w:val="Normal"/>
    <w:next w:val="Normal"/>
    <w:link w:val="TitleChar"/>
    <w:uiPriority w:val="10"/>
    <w:qFormat/>
    <w:rsid w:val="00134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EDD"/>
    <w:pPr>
      <w:spacing w:before="160"/>
      <w:jc w:val="center"/>
    </w:pPr>
    <w:rPr>
      <w:i/>
      <w:iCs/>
      <w:color w:val="404040" w:themeColor="text1" w:themeTint="BF"/>
    </w:rPr>
  </w:style>
  <w:style w:type="character" w:customStyle="1" w:styleId="QuoteChar">
    <w:name w:val="Quote Char"/>
    <w:basedOn w:val="DefaultParagraphFont"/>
    <w:link w:val="Quote"/>
    <w:uiPriority w:val="29"/>
    <w:rsid w:val="00134EDD"/>
    <w:rPr>
      <w:i/>
      <w:iCs/>
      <w:color w:val="404040" w:themeColor="text1" w:themeTint="BF"/>
    </w:rPr>
  </w:style>
  <w:style w:type="paragraph" w:styleId="ListParagraph">
    <w:name w:val="List Paragraph"/>
    <w:basedOn w:val="Normal"/>
    <w:uiPriority w:val="34"/>
    <w:qFormat/>
    <w:rsid w:val="00134EDD"/>
    <w:pPr>
      <w:ind w:left="720"/>
      <w:contextualSpacing/>
    </w:pPr>
  </w:style>
  <w:style w:type="character" w:styleId="IntenseEmphasis">
    <w:name w:val="Intense Emphasis"/>
    <w:basedOn w:val="DefaultParagraphFont"/>
    <w:uiPriority w:val="21"/>
    <w:qFormat/>
    <w:rsid w:val="00134EDD"/>
    <w:rPr>
      <w:i/>
      <w:iCs/>
      <w:color w:val="0F4761" w:themeColor="accent1" w:themeShade="BF"/>
    </w:rPr>
  </w:style>
  <w:style w:type="paragraph" w:styleId="IntenseQuote">
    <w:name w:val="Intense Quote"/>
    <w:basedOn w:val="Normal"/>
    <w:next w:val="Normal"/>
    <w:link w:val="IntenseQuoteChar"/>
    <w:uiPriority w:val="30"/>
    <w:qFormat/>
    <w:rsid w:val="00134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EDD"/>
    <w:rPr>
      <w:i/>
      <w:iCs/>
      <w:color w:val="0F4761" w:themeColor="accent1" w:themeShade="BF"/>
    </w:rPr>
  </w:style>
  <w:style w:type="character" w:styleId="IntenseReference">
    <w:name w:val="Intense Reference"/>
    <w:basedOn w:val="DefaultParagraphFont"/>
    <w:uiPriority w:val="32"/>
    <w:qFormat/>
    <w:rsid w:val="00134EDD"/>
    <w:rPr>
      <w:b/>
      <w:bCs/>
      <w:smallCaps/>
      <w:color w:val="0F4761" w:themeColor="accent1" w:themeShade="BF"/>
      <w:spacing w:val="5"/>
    </w:rPr>
  </w:style>
  <w:style w:type="character" w:styleId="Hyperlink">
    <w:name w:val="Hyperlink"/>
    <w:basedOn w:val="DefaultParagraphFont"/>
    <w:uiPriority w:val="99"/>
    <w:unhideWhenUsed/>
    <w:rsid w:val="00860CF3"/>
    <w:rPr>
      <w:color w:val="467886" w:themeColor="hyperlink"/>
      <w:u w:val="single"/>
    </w:rPr>
  </w:style>
  <w:style w:type="character" w:styleId="UnresolvedMention">
    <w:name w:val="Unresolved Mention"/>
    <w:basedOn w:val="DefaultParagraphFont"/>
    <w:uiPriority w:val="99"/>
    <w:semiHidden/>
    <w:unhideWhenUsed/>
    <w:rsid w:val="00860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8119">
      <w:bodyDiv w:val="1"/>
      <w:marLeft w:val="0"/>
      <w:marRight w:val="0"/>
      <w:marTop w:val="0"/>
      <w:marBottom w:val="0"/>
      <w:divBdr>
        <w:top w:val="none" w:sz="0" w:space="0" w:color="auto"/>
        <w:left w:val="none" w:sz="0" w:space="0" w:color="auto"/>
        <w:bottom w:val="none" w:sz="0" w:space="0" w:color="auto"/>
        <w:right w:val="none" w:sz="0" w:space="0" w:color="auto"/>
      </w:divBdr>
    </w:div>
    <w:div w:id="787311607">
      <w:bodyDiv w:val="1"/>
      <w:marLeft w:val="0"/>
      <w:marRight w:val="0"/>
      <w:marTop w:val="0"/>
      <w:marBottom w:val="0"/>
      <w:divBdr>
        <w:top w:val="none" w:sz="0" w:space="0" w:color="auto"/>
        <w:left w:val="none" w:sz="0" w:space="0" w:color="auto"/>
        <w:bottom w:val="none" w:sz="0" w:space="0" w:color="auto"/>
        <w:right w:val="none" w:sz="0" w:space="0" w:color="auto"/>
      </w:divBdr>
    </w:div>
    <w:div w:id="1830320657">
      <w:bodyDiv w:val="1"/>
      <w:marLeft w:val="0"/>
      <w:marRight w:val="0"/>
      <w:marTop w:val="0"/>
      <w:marBottom w:val="0"/>
      <w:divBdr>
        <w:top w:val="none" w:sz="0" w:space="0" w:color="auto"/>
        <w:left w:val="none" w:sz="0" w:space="0" w:color="auto"/>
        <w:bottom w:val="none" w:sz="0" w:space="0" w:color="auto"/>
        <w:right w:val="none" w:sz="0" w:space="0" w:color="auto"/>
      </w:divBdr>
    </w:div>
    <w:div w:id="21473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tourman.2015.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 Ron</dc:creator>
  <cp:keywords/>
  <dc:description/>
  <cp:lastModifiedBy>Ronald Aitken</cp:lastModifiedBy>
  <cp:revision>2</cp:revision>
  <dcterms:created xsi:type="dcterms:W3CDTF">2024-09-24T12:46:00Z</dcterms:created>
  <dcterms:modified xsi:type="dcterms:W3CDTF">2024-09-24T13:01:00Z</dcterms:modified>
</cp:coreProperties>
</file>