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46" w:rsidRDefault="001F6846" w:rsidP="003A71F4">
      <w:pPr>
        <w:jc w:val="center"/>
        <w:rPr>
          <w:b/>
          <w:szCs w:val="24"/>
        </w:rPr>
      </w:pPr>
      <w:r>
        <w:rPr>
          <w:noProof/>
          <w:lang w:eastAsia="en-GB"/>
        </w:rPr>
        <w:drawing>
          <wp:anchor distT="0" distB="0" distL="114300" distR="114300" simplePos="0" relativeHeight="251659264" behindDoc="1" locked="0" layoutInCell="1" allowOverlap="1" wp14:anchorId="7EF7E12D" wp14:editId="0686848C">
            <wp:simplePos x="0" y="0"/>
            <wp:positionH relativeFrom="page">
              <wp:posOffset>4372610</wp:posOffset>
            </wp:positionH>
            <wp:positionV relativeFrom="page">
              <wp:posOffset>431165</wp:posOffset>
            </wp:positionV>
            <wp:extent cx="3074670" cy="768985"/>
            <wp:effectExtent l="0" t="0" r="0" b="0"/>
            <wp:wrapNone/>
            <wp:docPr id="4" name="Picture 7"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U_Logo_be0f34"/>
                    <pic:cNvPicPr>
                      <a:picLocks noChangeAspect="1" noChangeArrowheads="1"/>
                    </pic:cNvPicPr>
                  </pic:nvPicPr>
                  <pic:blipFill>
                    <a:blip r:embed="rId8" cstate="print"/>
                    <a:srcRect/>
                    <a:stretch>
                      <a:fillRect/>
                    </a:stretch>
                  </pic:blipFill>
                  <pic:spPr bwMode="auto">
                    <a:xfrm>
                      <a:off x="0" y="0"/>
                      <a:ext cx="3074670" cy="768985"/>
                    </a:xfrm>
                    <a:prstGeom prst="rect">
                      <a:avLst/>
                    </a:prstGeom>
                    <a:noFill/>
                  </pic:spPr>
                </pic:pic>
              </a:graphicData>
            </a:graphic>
          </wp:anchor>
        </w:drawing>
      </w:r>
    </w:p>
    <w:p w:rsidR="001F6846" w:rsidRDefault="001F6846" w:rsidP="003A71F4">
      <w:pPr>
        <w:jc w:val="center"/>
        <w:rPr>
          <w:b/>
          <w:szCs w:val="24"/>
        </w:rPr>
      </w:pPr>
    </w:p>
    <w:p w:rsidR="00A9090E" w:rsidRDefault="00A9090E" w:rsidP="001F6846">
      <w:pPr>
        <w:rPr>
          <w:b/>
          <w:szCs w:val="24"/>
        </w:rPr>
      </w:pPr>
      <w:r w:rsidRPr="00A9090E">
        <w:rPr>
          <w:b/>
          <w:szCs w:val="24"/>
        </w:rPr>
        <w:t>Edinburgh Napier University</w:t>
      </w:r>
      <w:r w:rsidR="001F6846">
        <w:rPr>
          <w:b/>
          <w:szCs w:val="24"/>
        </w:rPr>
        <w:t xml:space="preserve"> </w:t>
      </w:r>
      <w:r w:rsidR="003A71F4">
        <w:rPr>
          <w:b/>
          <w:szCs w:val="24"/>
        </w:rPr>
        <w:t xml:space="preserve">Admissions Policy </w:t>
      </w:r>
    </w:p>
    <w:p w:rsidR="003A71F4" w:rsidRPr="00A9090E" w:rsidRDefault="003A71F4" w:rsidP="00A9090E">
      <w:pPr>
        <w:jc w:val="center"/>
        <w:rPr>
          <w:b/>
          <w:szCs w:val="24"/>
        </w:rPr>
      </w:pPr>
    </w:p>
    <w:p w:rsidR="00A9090E" w:rsidRPr="00A9090E" w:rsidRDefault="001F6846" w:rsidP="001F6846">
      <w:pPr>
        <w:tabs>
          <w:tab w:val="left" w:pos="1134"/>
        </w:tabs>
        <w:rPr>
          <w:b/>
          <w:szCs w:val="24"/>
        </w:rPr>
      </w:pPr>
      <w:r>
        <w:rPr>
          <w:b/>
          <w:szCs w:val="24"/>
        </w:rPr>
        <w:t xml:space="preserve">Policy for </w:t>
      </w:r>
      <w:r w:rsidR="00A9090E" w:rsidRPr="00A9090E">
        <w:rPr>
          <w:b/>
          <w:szCs w:val="24"/>
        </w:rPr>
        <w:t>Applicants with Declared Criminal Convictions</w:t>
      </w:r>
      <w:r w:rsidR="00351D6F">
        <w:rPr>
          <w:b/>
          <w:szCs w:val="24"/>
        </w:rPr>
        <w:t xml:space="preserve"> 2018</w:t>
      </w:r>
    </w:p>
    <w:p w:rsidR="00A9090E" w:rsidRDefault="00A9090E">
      <w:pPr>
        <w:rPr>
          <w:szCs w:val="24"/>
        </w:rPr>
      </w:pPr>
    </w:p>
    <w:p w:rsidR="007F33F6" w:rsidRPr="00A9090E" w:rsidRDefault="007F33F6">
      <w:pPr>
        <w:rPr>
          <w:szCs w:val="24"/>
        </w:rPr>
      </w:pPr>
    </w:p>
    <w:p w:rsidR="00A9090E" w:rsidRPr="00A27297" w:rsidRDefault="00D56200" w:rsidP="00A9090E">
      <w:pPr>
        <w:pStyle w:val="ListParagraph"/>
        <w:numPr>
          <w:ilvl w:val="0"/>
          <w:numId w:val="2"/>
        </w:numPr>
        <w:ind w:left="1134" w:hanging="774"/>
        <w:rPr>
          <w:b/>
          <w:sz w:val="24"/>
          <w:szCs w:val="24"/>
        </w:rPr>
      </w:pPr>
      <w:r>
        <w:rPr>
          <w:b/>
          <w:sz w:val="24"/>
          <w:szCs w:val="24"/>
        </w:rPr>
        <w:t xml:space="preserve">General Principles </w:t>
      </w:r>
      <w:r w:rsidR="00A9090E" w:rsidRPr="00A27297">
        <w:rPr>
          <w:b/>
          <w:sz w:val="24"/>
          <w:szCs w:val="24"/>
        </w:rPr>
        <w:t xml:space="preserve"> </w:t>
      </w:r>
    </w:p>
    <w:p w:rsidR="00A9090E" w:rsidRPr="00D56200" w:rsidRDefault="00A9090E" w:rsidP="00A9090E">
      <w:pPr>
        <w:rPr>
          <w:szCs w:val="24"/>
        </w:rPr>
      </w:pPr>
    </w:p>
    <w:p w:rsidR="00D56200" w:rsidRDefault="00A9090E" w:rsidP="00D56200">
      <w:pPr>
        <w:pStyle w:val="ListParagraph"/>
        <w:numPr>
          <w:ilvl w:val="1"/>
          <w:numId w:val="2"/>
        </w:numPr>
        <w:rPr>
          <w:sz w:val="24"/>
          <w:szCs w:val="24"/>
        </w:rPr>
      </w:pPr>
      <w:r w:rsidRPr="00D56200">
        <w:rPr>
          <w:sz w:val="24"/>
          <w:szCs w:val="24"/>
        </w:rPr>
        <w:t>In line with the Edinburgh Napier University Admissions Policy, this policy has been developed to ensure applicants decl</w:t>
      </w:r>
      <w:r w:rsidR="00A236B5" w:rsidRPr="00D56200">
        <w:rPr>
          <w:sz w:val="24"/>
          <w:szCs w:val="24"/>
        </w:rPr>
        <w:t>aring a criminal conviction are treated fairly and transparently with regard to their application f</w:t>
      </w:r>
      <w:r w:rsidR="00A01C93">
        <w:rPr>
          <w:sz w:val="24"/>
          <w:szCs w:val="24"/>
        </w:rPr>
        <w:t>or admission to the institution.</w:t>
      </w:r>
    </w:p>
    <w:p w:rsidR="00D56200" w:rsidRPr="00D56200" w:rsidRDefault="00D56200" w:rsidP="00D56200">
      <w:pPr>
        <w:pStyle w:val="ListParagraph"/>
        <w:ind w:left="1080"/>
        <w:rPr>
          <w:sz w:val="24"/>
          <w:szCs w:val="24"/>
        </w:rPr>
      </w:pPr>
    </w:p>
    <w:p w:rsidR="00D56200" w:rsidRDefault="00D56200" w:rsidP="00D56200">
      <w:pPr>
        <w:pStyle w:val="ListParagraph"/>
        <w:numPr>
          <w:ilvl w:val="1"/>
          <w:numId w:val="2"/>
        </w:numPr>
        <w:rPr>
          <w:sz w:val="24"/>
          <w:szCs w:val="24"/>
        </w:rPr>
      </w:pPr>
      <w:r w:rsidRPr="00D56200">
        <w:rPr>
          <w:sz w:val="24"/>
          <w:szCs w:val="24"/>
        </w:rPr>
        <w:t>Information received in connection to the investigation of a criminal conviction is treated in confidence and is normally only available to those directly involved in the assess</w:t>
      </w:r>
      <w:r>
        <w:rPr>
          <w:sz w:val="24"/>
          <w:szCs w:val="24"/>
        </w:rPr>
        <w:t xml:space="preserve">ment of the criminal conviction. </w:t>
      </w:r>
    </w:p>
    <w:p w:rsidR="00D56200" w:rsidRPr="00D56200" w:rsidRDefault="00D56200" w:rsidP="00D56200">
      <w:pPr>
        <w:pStyle w:val="ListParagraph"/>
        <w:rPr>
          <w:sz w:val="24"/>
          <w:szCs w:val="24"/>
        </w:rPr>
      </w:pPr>
    </w:p>
    <w:p w:rsidR="00D56200" w:rsidRPr="00D56200" w:rsidRDefault="00061FB4" w:rsidP="00D56200">
      <w:pPr>
        <w:pStyle w:val="ListParagraph"/>
        <w:numPr>
          <w:ilvl w:val="1"/>
          <w:numId w:val="2"/>
        </w:numPr>
        <w:rPr>
          <w:sz w:val="24"/>
          <w:szCs w:val="24"/>
        </w:rPr>
      </w:pPr>
      <w:r>
        <w:rPr>
          <w:sz w:val="24"/>
          <w:szCs w:val="24"/>
        </w:rPr>
        <w:t>All i</w:t>
      </w:r>
      <w:r w:rsidR="00D56200" w:rsidRPr="00D56200">
        <w:rPr>
          <w:sz w:val="24"/>
          <w:szCs w:val="24"/>
        </w:rPr>
        <w:t xml:space="preserve">nformation received relating to the investigation of a criminal conviction is held in line with the Edinburgh Napier University’s Data Protection Policy. </w:t>
      </w:r>
    </w:p>
    <w:p w:rsidR="00A236B5" w:rsidRPr="00D56200" w:rsidRDefault="00A236B5" w:rsidP="00A236B5">
      <w:pPr>
        <w:ind w:left="360"/>
        <w:rPr>
          <w:szCs w:val="24"/>
        </w:rPr>
      </w:pPr>
    </w:p>
    <w:p w:rsidR="00D56200" w:rsidRDefault="00A236B5" w:rsidP="00D56200">
      <w:pPr>
        <w:pStyle w:val="ListParagraph"/>
        <w:numPr>
          <w:ilvl w:val="1"/>
          <w:numId w:val="2"/>
        </w:numPr>
        <w:rPr>
          <w:sz w:val="24"/>
          <w:szCs w:val="24"/>
        </w:rPr>
      </w:pPr>
      <w:r w:rsidRPr="00D56200">
        <w:rPr>
          <w:sz w:val="24"/>
          <w:szCs w:val="24"/>
        </w:rPr>
        <w:t>The University has a duty</w:t>
      </w:r>
      <w:r w:rsidRPr="00A236B5">
        <w:rPr>
          <w:sz w:val="24"/>
          <w:szCs w:val="24"/>
        </w:rPr>
        <w:t xml:space="preserve"> of care to its students and staff to ensure that it does not admit students who may pose a significant risk to the University community. </w:t>
      </w:r>
      <w:r w:rsidR="00D56200">
        <w:rPr>
          <w:sz w:val="24"/>
          <w:szCs w:val="24"/>
        </w:rPr>
        <w:t xml:space="preserve"> As part of the investigation into a criminal conviction the following issues will be considered: </w:t>
      </w:r>
    </w:p>
    <w:p w:rsidR="00D56200" w:rsidRDefault="00D56200" w:rsidP="00D56200">
      <w:pPr>
        <w:tabs>
          <w:tab w:val="left" w:pos="1843"/>
        </w:tabs>
        <w:rPr>
          <w:rFonts w:eastAsia="SimSun" w:cs="Arial"/>
          <w:szCs w:val="24"/>
        </w:rPr>
      </w:pPr>
    </w:p>
    <w:p w:rsidR="00D56200" w:rsidRDefault="00D56200" w:rsidP="00D56200">
      <w:pPr>
        <w:pStyle w:val="ListParagraph"/>
        <w:numPr>
          <w:ilvl w:val="2"/>
          <w:numId w:val="6"/>
        </w:numPr>
        <w:tabs>
          <w:tab w:val="left" w:pos="1843"/>
        </w:tabs>
        <w:ind w:left="1843" w:hanging="709"/>
        <w:rPr>
          <w:sz w:val="24"/>
          <w:szCs w:val="24"/>
        </w:rPr>
      </w:pPr>
      <w:r w:rsidRPr="00D56200">
        <w:rPr>
          <w:sz w:val="24"/>
          <w:szCs w:val="24"/>
        </w:rPr>
        <w:t>Whether admission of the applicant to their chosen course of   study would pose a significant and unacceptable r</w:t>
      </w:r>
      <w:r w:rsidR="0088016E">
        <w:rPr>
          <w:sz w:val="24"/>
          <w:szCs w:val="24"/>
        </w:rPr>
        <w:t>isk to the University community.</w:t>
      </w:r>
    </w:p>
    <w:p w:rsidR="00D56200" w:rsidRDefault="00D56200" w:rsidP="00D56200">
      <w:pPr>
        <w:pStyle w:val="ListParagraph"/>
        <w:tabs>
          <w:tab w:val="left" w:pos="1843"/>
        </w:tabs>
        <w:ind w:left="1843"/>
        <w:rPr>
          <w:sz w:val="24"/>
          <w:szCs w:val="24"/>
        </w:rPr>
      </w:pPr>
    </w:p>
    <w:p w:rsidR="00D56200" w:rsidRPr="00D56200" w:rsidRDefault="00D56200" w:rsidP="00D56200">
      <w:pPr>
        <w:pStyle w:val="ListParagraph"/>
        <w:numPr>
          <w:ilvl w:val="2"/>
          <w:numId w:val="6"/>
        </w:numPr>
        <w:tabs>
          <w:tab w:val="left" w:pos="1843"/>
        </w:tabs>
        <w:ind w:left="1843" w:hanging="709"/>
        <w:rPr>
          <w:sz w:val="24"/>
          <w:szCs w:val="24"/>
        </w:rPr>
      </w:pPr>
      <w:r>
        <w:rPr>
          <w:sz w:val="24"/>
          <w:szCs w:val="24"/>
        </w:rPr>
        <w:t>Whether there are specific professional requirements related to the course applied for which need to be considered in relation to admission of the applicant to the University</w:t>
      </w:r>
      <w:r w:rsidR="0088016E">
        <w:rPr>
          <w:sz w:val="24"/>
          <w:szCs w:val="24"/>
        </w:rPr>
        <w:t>.</w:t>
      </w:r>
      <w:r>
        <w:rPr>
          <w:sz w:val="24"/>
          <w:szCs w:val="24"/>
        </w:rPr>
        <w:t xml:space="preserve"> </w:t>
      </w:r>
    </w:p>
    <w:p w:rsidR="00A236B5" w:rsidRPr="00A236B5" w:rsidRDefault="00A236B5" w:rsidP="00A236B5">
      <w:pPr>
        <w:pStyle w:val="ListParagraph"/>
        <w:rPr>
          <w:sz w:val="24"/>
          <w:szCs w:val="24"/>
        </w:rPr>
      </w:pPr>
    </w:p>
    <w:p w:rsidR="007817E7" w:rsidRDefault="00AB13CB" w:rsidP="007817E7">
      <w:pPr>
        <w:pStyle w:val="ListParagraph"/>
        <w:numPr>
          <w:ilvl w:val="1"/>
          <w:numId w:val="2"/>
        </w:numPr>
        <w:rPr>
          <w:sz w:val="24"/>
          <w:szCs w:val="24"/>
        </w:rPr>
      </w:pPr>
      <w:r>
        <w:rPr>
          <w:sz w:val="24"/>
          <w:szCs w:val="24"/>
        </w:rPr>
        <w:t>This policy distinguishes between th</w:t>
      </w:r>
      <w:r w:rsidR="00A27297">
        <w:rPr>
          <w:sz w:val="24"/>
          <w:szCs w:val="24"/>
        </w:rPr>
        <w:t>e following type of courses</w:t>
      </w:r>
      <w:r w:rsidR="007817E7">
        <w:rPr>
          <w:sz w:val="24"/>
          <w:szCs w:val="24"/>
        </w:rPr>
        <w:t xml:space="preserve"> offered by Edinburgh Napier </w:t>
      </w:r>
      <w:r w:rsidR="0088016E">
        <w:rPr>
          <w:sz w:val="24"/>
          <w:szCs w:val="24"/>
        </w:rPr>
        <w:t>University:</w:t>
      </w:r>
    </w:p>
    <w:p w:rsidR="007817E7" w:rsidRPr="007817E7" w:rsidRDefault="007817E7" w:rsidP="007817E7">
      <w:pPr>
        <w:pStyle w:val="ListParagraph"/>
        <w:rPr>
          <w:sz w:val="24"/>
          <w:szCs w:val="24"/>
        </w:rPr>
      </w:pPr>
    </w:p>
    <w:p w:rsidR="007817E7" w:rsidRPr="00D56200" w:rsidRDefault="007817E7" w:rsidP="00D56200">
      <w:pPr>
        <w:pStyle w:val="ListParagraph"/>
        <w:numPr>
          <w:ilvl w:val="2"/>
          <w:numId w:val="7"/>
        </w:numPr>
        <w:rPr>
          <w:sz w:val="24"/>
          <w:szCs w:val="24"/>
        </w:rPr>
      </w:pPr>
      <w:r w:rsidRPr="00D56200">
        <w:rPr>
          <w:sz w:val="24"/>
          <w:szCs w:val="24"/>
        </w:rPr>
        <w:t>Those courses which do not require a Disclosure Scotland criminal record check (or equivalent) as part of the admissions process</w:t>
      </w:r>
      <w:r w:rsidR="0088016E">
        <w:rPr>
          <w:sz w:val="24"/>
          <w:szCs w:val="24"/>
        </w:rPr>
        <w:t>.</w:t>
      </w:r>
      <w:r w:rsidRPr="00D56200">
        <w:rPr>
          <w:sz w:val="24"/>
          <w:szCs w:val="24"/>
        </w:rPr>
        <w:t xml:space="preserve"> </w:t>
      </w:r>
    </w:p>
    <w:p w:rsidR="007817E7" w:rsidRPr="00D56200" w:rsidRDefault="007817E7" w:rsidP="007817E7">
      <w:pPr>
        <w:pStyle w:val="ListParagraph"/>
        <w:ind w:left="1800"/>
        <w:rPr>
          <w:sz w:val="24"/>
          <w:szCs w:val="24"/>
        </w:rPr>
      </w:pPr>
    </w:p>
    <w:p w:rsidR="007817E7" w:rsidRDefault="007817E7" w:rsidP="00D56200">
      <w:pPr>
        <w:pStyle w:val="ListParagraph"/>
        <w:numPr>
          <w:ilvl w:val="2"/>
          <w:numId w:val="7"/>
        </w:numPr>
        <w:rPr>
          <w:sz w:val="24"/>
          <w:szCs w:val="24"/>
        </w:rPr>
      </w:pPr>
      <w:r w:rsidRPr="00D56200">
        <w:rPr>
          <w:sz w:val="24"/>
          <w:szCs w:val="24"/>
        </w:rPr>
        <w:t xml:space="preserve">Those courses, such as </w:t>
      </w:r>
      <w:r w:rsidR="00342DAE">
        <w:rPr>
          <w:sz w:val="24"/>
          <w:szCs w:val="24"/>
        </w:rPr>
        <w:t xml:space="preserve">Career Guidance, Nursing, Midwifery, Physiotherapy, Occupational Therapy, Social Work and Secondary Education which </w:t>
      </w:r>
      <w:r w:rsidRPr="00D56200">
        <w:rPr>
          <w:sz w:val="24"/>
          <w:szCs w:val="24"/>
        </w:rPr>
        <w:t xml:space="preserve">require all successful applicants to complete a </w:t>
      </w:r>
      <w:r w:rsidR="00351D6F">
        <w:rPr>
          <w:sz w:val="24"/>
          <w:szCs w:val="24"/>
        </w:rPr>
        <w:t xml:space="preserve">current check for Protecting Vulnerable Groups (PVG) </w:t>
      </w:r>
      <w:r w:rsidR="004E5630">
        <w:rPr>
          <w:sz w:val="24"/>
          <w:szCs w:val="24"/>
        </w:rPr>
        <w:t xml:space="preserve">Scheme Disclosure Scotland </w:t>
      </w:r>
      <w:r w:rsidRPr="00D56200">
        <w:rPr>
          <w:sz w:val="24"/>
          <w:szCs w:val="24"/>
        </w:rPr>
        <w:t>as</w:t>
      </w:r>
      <w:r w:rsidR="0088016E">
        <w:rPr>
          <w:sz w:val="24"/>
          <w:szCs w:val="24"/>
        </w:rPr>
        <w:t xml:space="preserve"> part of the admissions process.</w:t>
      </w:r>
    </w:p>
    <w:p w:rsidR="00AD6C91" w:rsidRDefault="00AD6C91" w:rsidP="00AD6C91">
      <w:pPr>
        <w:pStyle w:val="ListParagraph"/>
        <w:rPr>
          <w:sz w:val="24"/>
          <w:szCs w:val="24"/>
        </w:rPr>
      </w:pPr>
      <w:bookmarkStart w:id="0" w:name="_GoBack"/>
      <w:bookmarkEnd w:id="0"/>
    </w:p>
    <w:p w:rsidR="007F33F6" w:rsidRDefault="007F33F6" w:rsidP="00AD6C91">
      <w:pPr>
        <w:pStyle w:val="ListParagraph"/>
        <w:rPr>
          <w:sz w:val="24"/>
          <w:szCs w:val="24"/>
        </w:rPr>
      </w:pPr>
    </w:p>
    <w:p w:rsidR="007F33F6" w:rsidRDefault="007F33F6" w:rsidP="00AD6C91">
      <w:pPr>
        <w:pStyle w:val="ListParagraph"/>
        <w:rPr>
          <w:sz w:val="24"/>
          <w:szCs w:val="24"/>
        </w:rPr>
      </w:pPr>
    </w:p>
    <w:p w:rsidR="007F33F6" w:rsidRDefault="007F33F6" w:rsidP="00AD6C91">
      <w:pPr>
        <w:pStyle w:val="ListParagraph"/>
        <w:rPr>
          <w:sz w:val="24"/>
          <w:szCs w:val="24"/>
        </w:rPr>
      </w:pPr>
    </w:p>
    <w:p w:rsidR="007F33F6" w:rsidRDefault="007F33F6" w:rsidP="00AD6C91">
      <w:pPr>
        <w:pStyle w:val="ListParagraph"/>
        <w:rPr>
          <w:sz w:val="24"/>
          <w:szCs w:val="24"/>
        </w:rPr>
      </w:pPr>
    </w:p>
    <w:p w:rsidR="007F33F6" w:rsidRPr="00AD6C91" w:rsidRDefault="007F33F6" w:rsidP="00AD6C91">
      <w:pPr>
        <w:pStyle w:val="ListParagraph"/>
        <w:rPr>
          <w:sz w:val="24"/>
          <w:szCs w:val="24"/>
        </w:rPr>
      </w:pPr>
    </w:p>
    <w:p w:rsidR="00AD6C91" w:rsidRPr="00AD6C91" w:rsidRDefault="00AD6C91" w:rsidP="00AD6C91">
      <w:pPr>
        <w:pStyle w:val="ListParagraph"/>
        <w:numPr>
          <w:ilvl w:val="0"/>
          <w:numId w:val="2"/>
        </w:numPr>
        <w:rPr>
          <w:b/>
          <w:sz w:val="24"/>
          <w:szCs w:val="24"/>
        </w:rPr>
      </w:pPr>
      <w:r w:rsidRPr="00AD6C91">
        <w:rPr>
          <w:b/>
          <w:sz w:val="24"/>
          <w:szCs w:val="24"/>
        </w:rPr>
        <w:t xml:space="preserve">The Application Process </w:t>
      </w:r>
    </w:p>
    <w:p w:rsidR="00AD6C91" w:rsidRDefault="00AD6C91" w:rsidP="00AD6C91">
      <w:pPr>
        <w:pStyle w:val="ListParagraph"/>
        <w:rPr>
          <w:sz w:val="24"/>
          <w:szCs w:val="24"/>
        </w:rPr>
      </w:pPr>
    </w:p>
    <w:p w:rsidR="006D7ED4" w:rsidRDefault="00AD6C91" w:rsidP="006D7ED4">
      <w:pPr>
        <w:pStyle w:val="ListParagraph"/>
        <w:numPr>
          <w:ilvl w:val="1"/>
          <w:numId w:val="2"/>
        </w:numPr>
        <w:rPr>
          <w:sz w:val="24"/>
          <w:szCs w:val="24"/>
        </w:rPr>
      </w:pPr>
      <w:r>
        <w:rPr>
          <w:sz w:val="24"/>
          <w:szCs w:val="24"/>
        </w:rPr>
        <w:t>As part of the application, all applicants are asked to declare if they have a relevant criminal conviction</w:t>
      </w:r>
      <w:r w:rsidR="00A01C93">
        <w:rPr>
          <w:rStyle w:val="FootnoteReference"/>
          <w:sz w:val="24"/>
          <w:szCs w:val="24"/>
        </w:rPr>
        <w:footnoteReference w:id="1"/>
      </w:r>
      <w:r w:rsidR="006D7ED4">
        <w:rPr>
          <w:sz w:val="24"/>
          <w:szCs w:val="24"/>
        </w:rPr>
        <w:t xml:space="preserve"> that is not spent. </w:t>
      </w:r>
      <w:r w:rsidR="00342DAE">
        <w:rPr>
          <w:sz w:val="24"/>
          <w:szCs w:val="24"/>
        </w:rPr>
        <w:t xml:space="preserve">For applicants applying via UCAS, upon submitting an application, applicants with a relevant criminal conviction are required to send an email declaring this to the Undergraduate Admissions team. Applicants applying for Nursing, Midwifery and Secondary Education via UCAS will be asked to declare whether they have a criminal conviction via their UCAS application. For applicants applying via the University’s Direct Application form, applicants must declare on the application from whether they have </w:t>
      </w:r>
      <w:proofErr w:type="spellStart"/>
      <w:r w:rsidR="00342DAE">
        <w:rPr>
          <w:sz w:val="24"/>
          <w:szCs w:val="24"/>
        </w:rPr>
        <w:t>have</w:t>
      </w:r>
      <w:proofErr w:type="spellEnd"/>
      <w:r w:rsidR="00342DAE">
        <w:rPr>
          <w:sz w:val="24"/>
          <w:szCs w:val="24"/>
        </w:rPr>
        <w:t xml:space="preserve"> a relevant criminal conviction.</w:t>
      </w:r>
    </w:p>
    <w:p w:rsidR="00C52FF3" w:rsidRDefault="00C52FF3" w:rsidP="00C52FF3">
      <w:pPr>
        <w:pStyle w:val="ListParagraph"/>
        <w:ind w:left="1080"/>
        <w:rPr>
          <w:sz w:val="24"/>
          <w:szCs w:val="24"/>
        </w:rPr>
      </w:pPr>
    </w:p>
    <w:p w:rsidR="00C3556A" w:rsidRDefault="006D7ED4" w:rsidP="006D7ED4">
      <w:pPr>
        <w:pStyle w:val="ListParagraph"/>
        <w:numPr>
          <w:ilvl w:val="1"/>
          <w:numId w:val="2"/>
        </w:numPr>
        <w:rPr>
          <w:sz w:val="24"/>
          <w:szCs w:val="24"/>
        </w:rPr>
      </w:pPr>
      <w:r w:rsidRPr="006D7ED4">
        <w:rPr>
          <w:sz w:val="24"/>
          <w:szCs w:val="24"/>
        </w:rPr>
        <w:lastRenderedPageBreak/>
        <w:t>So</w:t>
      </w:r>
      <w:r w:rsidR="0088016E">
        <w:rPr>
          <w:sz w:val="24"/>
          <w:szCs w:val="24"/>
        </w:rPr>
        <w:t xml:space="preserve">me programmes, such as Nursing, </w:t>
      </w:r>
      <w:r w:rsidRPr="006D7ED4">
        <w:rPr>
          <w:sz w:val="24"/>
          <w:szCs w:val="24"/>
        </w:rPr>
        <w:t>Midwifery</w:t>
      </w:r>
      <w:r w:rsidR="00342DAE">
        <w:rPr>
          <w:sz w:val="24"/>
          <w:szCs w:val="24"/>
        </w:rPr>
        <w:t>, Physiotherapy, Occupational Therapy, Secondary Teaching and Social Work</w:t>
      </w:r>
      <w:r w:rsidR="00C649A2">
        <w:rPr>
          <w:sz w:val="24"/>
          <w:szCs w:val="24"/>
        </w:rPr>
        <w:t xml:space="preserve"> </w:t>
      </w:r>
      <w:r w:rsidRPr="006D7ED4">
        <w:rPr>
          <w:sz w:val="24"/>
          <w:szCs w:val="24"/>
        </w:rPr>
        <w:t>are not covered by the Rehabilitation of Offenders Act 1974 and as such applic</w:t>
      </w:r>
      <w:r w:rsidR="00D52BF4">
        <w:rPr>
          <w:sz w:val="24"/>
          <w:szCs w:val="24"/>
        </w:rPr>
        <w:t>ants are required to complete a</w:t>
      </w:r>
      <w:r w:rsidRPr="006D7ED4">
        <w:rPr>
          <w:sz w:val="24"/>
          <w:szCs w:val="24"/>
        </w:rPr>
        <w:t xml:space="preserve"> </w:t>
      </w:r>
      <w:r w:rsidR="00D52BF4">
        <w:rPr>
          <w:sz w:val="24"/>
          <w:szCs w:val="24"/>
        </w:rPr>
        <w:t xml:space="preserve">PVG (Protecting Vulnerable Groups) Disclosure Scotland criminal record check </w:t>
      </w:r>
      <w:r w:rsidRPr="006D7ED4">
        <w:rPr>
          <w:sz w:val="24"/>
          <w:szCs w:val="24"/>
        </w:rPr>
        <w:t>prior to commencing studies.  This is a mandatory requirement to practise for al</w:t>
      </w:r>
      <w:r w:rsidR="00C649A2">
        <w:rPr>
          <w:sz w:val="24"/>
          <w:szCs w:val="24"/>
        </w:rPr>
        <w:t>l Nursing &amp; Midwifery courses and for the PG Diploma in Career Guidance &amp; Development</w:t>
      </w:r>
    </w:p>
    <w:p w:rsidR="006D7ED4" w:rsidRDefault="006D7ED4" w:rsidP="006D7ED4">
      <w:pPr>
        <w:pStyle w:val="ListParagraph"/>
        <w:ind w:left="1080"/>
        <w:rPr>
          <w:sz w:val="24"/>
          <w:szCs w:val="24"/>
        </w:rPr>
      </w:pPr>
    </w:p>
    <w:p w:rsidR="00C3556A" w:rsidRDefault="00C3556A" w:rsidP="00AD6C91">
      <w:pPr>
        <w:pStyle w:val="ListParagraph"/>
        <w:numPr>
          <w:ilvl w:val="1"/>
          <w:numId w:val="2"/>
        </w:numPr>
        <w:rPr>
          <w:sz w:val="24"/>
          <w:szCs w:val="24"/>
        </w:rPr>
      </w:pPr>
      <w:r>
        <w:rPr>
          <w:sz w:val="24"/>
          <w:szCs w:val="24"/>
        </w:rPr>
        <w:t xml:space="preserve">Where an applicant has indicated </w:t>
      </w:r>
      <w:r w:rsidR="00342DAE">
        <w:rPr>
          <w:sz w:val="24"/>
          <w:szCs w:val="24"/>
        </w:rPr>
        <w:t>when applying</w:t>
      </w:r>
      <w:r>
        <w:rPr>
          <w:sz w:val="24"/>
          <w:szCs w:val="24"/>
        </w:rPr>
        <w:t xml:space="preserve"> that they have either a relevant criminal conviction or a relevant unspent criminal conviction for a course which involves children and/or </w:t>
      </w:r>
      <w:r w:rsidR="00E45B7F">
        <w:rPr>
          <w:sz w:val="24"/>
          <w:szCs w:val="24"/>
        </w:rPr>
        <w:t>protected</w:t>
      </w:r>
      <w:r>
        <w:rPr>
          <w:sz w:val="24"/>
          <w:szCs w:val="24"/>
        </w:rPr>
        <w:t xml:space="preserve"> adults, further investigation is required and the applicant will be contacted and asked to provide additional information.  </w:t>
      </w:r>
    </w:p>
    <w:p w:rsidR="00C3556A" w:rsidRPr="00C3556A" w:rsidRDefault="00C3556A" w:rsidP="00C3556A">
      <w:pPr>
        <w:pStyle w:val="ListParagraph"/>
        <w:rPr>
          <w:sz w:val="24"/>
          <w:szCs w:val="24"/>
        </w:rPr>
      </w:pPr>
    </w:p>
    <w:p w:rsidR="00FD2DB6" w:rsidRDefault="00FD2DB6" w:rsidP="00AD6C91">
      <w:pPr>
        <w:pStyle w:val="ListParagraph"/>
        <w:numPr>
          <w:ilvl w:val="1"/>
          <w:numId w:val="2"/>
        </w:numPr>
        <w:rPr>
          <w:sz w:val="24"/>
          <w:szCs w:val="24"/>
        </w:rPr>
      </w:pPr>
      <w:r>
        <w:rPr>
          <w:sz w:val="24"/>
          <w:szCs w:val="24"/>
        </w:rPr>
        <w:t>Where an applicant has declared a criminal conviction the following principles apply:</w:t>
      </w:r>
    </w:p>
    <w:p w:rsidR="00FD2DB6" w:rsidRPr="00FD2DB6" w:rsidRDefault="00FD2DB6" w:rsidP="00FD2DB6">
      <w:pPr>
        <w:pStyle w:val="ListParagraph"/>
        <w:rPr>
          <w:sz w:val="24"/>
          <w:szCs w:val="24"/>
        </w:rPr>
      </w:pPr>
    </w:p>
    <w:p w:rsidR="00FD2DB6" w:rsidRDefault="00FD2DB6" w:rsidP="00487F97">
      <w:pPr>
        <w:pStyle w:val="ListParagraph"/>
        <w:numPr>
          <w:ilvl w:val="2"/>
          <w:numId w:val="2"/>
        </w:numPr>
        <w:tabs>
          <w:tab w:val="left" w:pos="1843"/>
        </w:tabs>
        <w:ind w:left="1843" w:hanging="709"/>
        <w:rPr>
          <w:sz w:val="24"/>
          <w:szCs w:val="24"/>
        </w:rPr>
      </w:pPr>
      <w:r>
        <w:rPr>
          <w:sz w:val="24"/>
          <w:szCs w:val="24"/>
        </w:rPr>
        <w:t xml:space="preserve">For all applications the academic decision to admit the student is </w:t>
      </w:r>
      <w:r w:rsidR="00487F97">
        <w:rPr>
          <w:sz w:val="24"/>
          <w:szCs w:val="24"/>
        </w:rPr>
        <w:t xml:space="preserve">taken </w:t>
      </w:r>
      <w:r>
        <w:rPr>
          <w:sz w:val="24"/>
          <w:szCs w:val="24"/>
        </w:rPr>
        <w:t>first with no reference to any criminal record information</w:t>
      </w:r>
      <w:r w:rsidR="0088016E">
        <w:rPr>
          <w:sz w:val="24"/>
          <w:szCs w:val="24"/>
        </w:rPr>
        <w:t>.</w:t>
      </w:r>
      <w:r>
        <w:rPr>
          <w:sz w:val="24"/>
          <w:szCs w:val="24"/>
        </w:rPr>
        <w:t xml:space="preserve"> </w:t>
      </w:r>
    </w:p>
    <w:p w:rsidR="00FD2DB6" w:rsidRDefault="00FD2DB6" w:rsidP="00FD2DB6">
      <w:pPr>
        <w:pStyle w:val="ListParagraph"/>
        <w:ind w:left="1146"/>
        <w:rPr>
          <w:sz w:val="24"/>
          <w:szCs w:val="24"/>
        </w:rPr>
      </w:pPr>
    </w:p>
    <w:p w:rsidR="00FD2DB6" w:rsidRDefault="00FD2DB6" w:rsidP="00487F97">
      <w:pPr>
        <w:pStyle w:val="ListParagraph"/>
        <w:numPr>
          <w:ilvl w:val="2"/>
          <w:numId w:val="2"/>
        </w:numPr>
        <w:tabs>
          <w:tab w:val="left" w:pos="1843"/>
        </w:tabs>
        <w:ind w:left="1843" w:hanging="709"/>
        <w:rPr>
          <w:sz w:val="24"/>
          <w:szCs w:val="24"/>
        </w:rPr>
      </w:pPr>
      <w:r>
        <w:rPr>
          <w:sz w:val="24"/>
          <w:szCs w:val="24"/>
        </w:rPr>
        <w:t>Where an applicant does not meet the minimum entry requirements, no further action is required with regard to the criminal conviction and an unsuccessful decision is communicated to the applicant</w:t>
      </w:r>
      <w:r w:rsidR="0088016E">
        <w:rPr>
          <w:sz w:val="24"/>
          <w:szCs w:val="24"/>
        </w:rPr>
        <w:t>.</w:t>
      </w:r>
      <w:r>
        <w:rPr>
          <w:sz w:val="24"/>
          <w:szCs w:val="24"/>
        </w:rPr>
        <w:t xml:space="preserve"> </w:t>
      </w:r>
    </w:p>
    <w:p w:rsidR="00FD2DB6" w:rsidRPr="00FD2DB6" w:rsidRDefault="001F3F8C" w:rsidP="001F3F8C">
      <w:pPr>
        <w:tabs>
          <w:tab w:val="left" w:pos="5325"/>
        </w:tabs>
        <w:rPr>
          <w:szCs w:val="24"/>
        </w:rPr>
      </w:pPr>
      <w:r>
        <w:rPr>
          <w:szCs w:val="24"/>
        </w:rPr>
        <w:tab/>
      </w:r>
    </w:p>
    <w:p w:rsidR="00FD2DB6" w:rsidRDefault="00FD2DB6" w:rsidP="00487F97">
      <w:pPr>
        <w:pStyle w:val="ListParagraph"/>
        <w:numPr>
          <w:ilvl w:val="2"/>
          <w:numId w:val="2"/>
        </w:numPr>
        <w:tabs>
          <w:tab w:val="left" w:pos="1843"/>
        </w:tabs>
        <w:ind w:left="1843" w:hanging="709"/>
        <w:rPr>
          <w:sz w:val="24"/>
          <w:szCs w:val="24"/>
        </w:rPr>
      </w:pPr>
      <w:r>
        <w:rPr>
          <w:sz w:val="24"/>
          <w:szCs w:val="24"/>
        </w:rPr>
        <w:t>Where an applicant is eligible for an offer of admission the following process i</w:t>
      </w:r>
      <w:r w:rsidR="007E78DF">
        <w:rPr>
          <w:sz w:val="24"/>
          <w:szCs w:val="24"/>
        </w:rPr>
        <w:t>s</w:t>
      </w:r>
      <w:r>
        <w:rPr>
          <w:sz w:val="24"/>
          <w:szCs w:val="24"/>
        </w:rPr>
        <w:t xml:space="preserve"> followed, dependent on the type of course applied for. </w:t>
      </w:r>
    </w:p>
    <w:p w:rsidR="00C3556A" w:rsidRPr="00FD2DB6" w:rsidRDefault="00C3556A" w:rsidP="007E78DF">
      <w:pPr>
        <w:rPr>
          <w:szCs w:val="24"/>
        </w:rPr>
      </w:pPr>
    </w:p>
    <w:p w:rsidR="00BA3ED1" w:rsidRDefault="00252CAF" w:rsidP="00342DAE">
      <w:pPr>
        <w:tabs>
          <w:tab w:val="left" w:pos="1134"/>
        </w:tabs>
        <w:ind w:left="1134" w:hanging="850"/>
        <w:rPr>
          <w:szCs w:val="24"/>
        </w:rPr>
      </w:pPr>
      <w:r w:rsidRPr="00FF031E">
        <w:rPr>
          <w:szCs w:val="24"/>
        </w:rPr>
        <w:t>2.5</w:t>
      </w:r>
      <w:r w:rsidRPr="00FF031E">
        <w:rPr>
          <w:szCs w:val="24"/>
        </w:rPr>
        <w:tab/>
        <w:t xml:space="preserve">Where an applicant fails to disclose a criminal conviction (as defined in 2.1- 2.2 above) and it subsequently </w:t>
      </w:r>
      <w:r w:rsidR="00FF031E" w:rsidRPr="00FF031E">
        <w:rPr>
          <w:szCs w:val="24"/>
        </w:rPr>
        <w:t>comes to light</w:t>
      </w:r>
      <w:r w:rsidRPr="00FF031E">
        <w:rPr>
          <w:szCs w:val="24"/>
        </w:rPr>
        <w:t xml:space="preserve"> that the applicant does have a conviction, the University reserves the right to fully investigate the case and withdraw </w:t>
      </w:r>
      <w:r w:rsidR="00FF031E" w:rsidRPr="00FF031E">
        <w:rPr>
          <w:szCs w:val="24"/>
        </w:rPr>
        <w:t>any place which has been offered.</w:t>
      </w:r>
      <w:r>
        <w:rPr>
          <w:szCs w:val="24"/>
        </w:rPr>
        <w:t xml:space="preserve">  </w:t>
      </w:r>
    </w:p>
    <w:p w:rsidR="00252CAF" w:rsidRDefault="00252CAF" w:rsidP="00252CAF">
      <w:pPr>
        <w:ind w:left="284"/>
        <w:rPr>
          <w:szCs w:val="24"/>
        </w:rPr>
      </w:pPr>
    </w:p>
    <w:p w:rsidR="00071822" w:rsidRPr="00C3556A" w:rsidRDefault="00C3556A" w:rsidP="00C3556A">
      <w:pPr>
        <w:pStyle w:val="ListParagraph"/>
        <w:numPr>
          <w:ilvl w:val="0"/>
          <w:numId w:val="2"/>
        </w:numPr>
        <w:rPr>
          <w:b/>
          <w:sz w:val="24"/>
          <w:szCs w:val="24"/>
        </w:rPr>
      </w:pPr>
      <w:r w:rsidRPr="00C3556A">
        <w:rPr>
          <w:b/>
          <w:sz w:val="24"/>
          <w:szCs w:val="24"/>
        </w:rPr>
        <w:lastRenderedPageBreak/>
        <w:t xml:space="preserve">Courses that do not </w:t>
      </w:r>
      <w:r w:rsidR="00D52BF4">
        <w:rPr>
          <w:b/>
          <w:sz w:val="24"/>
          <w:szCs w:val="24"/>
        </w:rPr>
        <w:t xml:space="preserve">involve contact with Vulnerable Groups </w:t>
      </w:r>
      <w:r w:rsidRPr="00C3556A">
        <w:rPr>
          <w:b/>
          <w:sz w:val="24"/>
          <w:szCs w:val="24"/>
        </w:rPr>
        <w:t xml:space="preserve"> </w:t>
      </w:r>
    </w:p>
    <w:p w:rsidR="00C3556A" w:rsidRDefault="00C3556A" w:rsidP="00C3556A">
      <w:pPr>
        <w:pStyle w:val="ListParagraph"/>
        <w:rPr>
          <w:szCs w:val="24"/>
        </w:rPr>
      </w:pPr>
    </w:p>
    <w:p w:rsidR="00395A0F" w:rsidRDefault="00BF6A85" w:rsidP="00BF6A85">
      <w:pPr>
        <w:ind w:left="1134" w:hanging="774"/>
        <w:rPr>
          <w:szCs w:val="24"/>
        </w:rPr>
      </w:pPr>
      <w:r>
        <w:rPr>
          <w:szCs w:val="24"/>
        </w:rPr>
        <w:t>3.1</w:t>
      </w:r>
      <w:r>
        <w:rPr>
          <w:szCs w:val="24"/>
        </w:rPr>
        <w:tab/>
        <w:t>Applicants who declare they have relevant criminal conviction will be asked to provide additional inform</w:t>
      </w:r>
      <w:r w:rsidR="00395A0F">
        <w:rPr>
          <w:szCs w:val="24"/>
        </w:rPr>
        <w:t xml:space="preserve">ation relating to the offence and any cases which are pending.  </w:t>
      </w:r>
    </w:p>
    <w:p w:rsidR="00395A0F" w:rsidRDefault="00395A0F" w:rsidP="00BF6A85">
      <w:pPr>
        <w:ind w:left="1134" w:hanging="774"/>
        <w:rPr>
          <w:szCs w:val="24"/>
        </w:rPr>
      </w:pPr>
    </w:p>
    <w:p w:rsidR="00BF6A85" w:rsidRDefault="00395A0F" w:rsidP="00BF6A85">
      <w:pPr>
        <w:ind w:left="1134" w:hanging="774"/>
        <w:rPr>
          <w:szCs w:val="24"/>
        </w:rPr>
      </w:pPr>
      <w:r>
        <w:rPr>
          <w:szCs w:val="24"/>
        </w:rPr>
        <w:t>3.2</w:t>
      </w:r>
      <w:r>
        <w:rPr>
          <w:szCs w:val="24"/>
        </w:rPr>
        <w:tab/>
        <w:t xml:space="preserve">Applicants may also choose to provide the name of a third party, such as social worker or probation officer, whom the University may contact for additional information relating to the case. </w:t>
      </w:r>
    </w:p>
    <w:p w:rsidR="00395A0F" w:rsidRDefault="00395A0F" w:rsidP="00BF6A85">
      <w:pPr>
        <w:ind w:left="1134" w:hanging="774"/>
        <w:rPr>
          <w:szCs w:val="24"/>
        </w:rPr>
      </w:pPr>
    </w:p>
    <w:p w:rsidR="00BF6A85" w:rsidRDefault="00BF6A85" w:rsidP="00BF6A85">
      <w:pPr>
        <w:ind w:left="1134" w:hanging="774"/>
        <w:rPr>
          <w:szCs w:val="24"/>
        </w:rPr>
      </w:pPr>
      <w:r>
        <w:rPr>
          <w:szCs w:val="24"/>
        </w:rPr>
        <w:t>3.2</w:t>
      </w:r>
      <w:r>
        <w:rPr>
          <w:szCs w:val="24"/>
        </w:rPr>
        <w:tab/>
      </w:r>
      <w:r w:rsidR="00395A0F">
        <w:rPr>
          <w:szCs w:val="24"/>
        </w:rPr>
        <w:t>Dependent on the details provided to the University and the nature of the offence, the University reserves the right to request a Disclosure Scotland check to be carried out subsequent to this information being r</w:t>
      </w:r>
      <w:r w:rsidR="0088016E">
        <w:rPr>
          <w:szCs w:val="24"/>
        </w:rPr>
        <w:t>eceived.  Where this</w:t>
      </w:r>
      <w:r w:rsidR="00395A0F">
        <w:rPr>
          <w:szCs w:val="24"/>
        </w:rPr>
        <w:t xml:space="preserve"> is requested, the applicant is required to pay any costs associated with this. </w:t>
      </w:r>
    </w:p>
    <w:p w:rsidR="00486AE0" w:rsidRDefault="00486AE0" w:rsidP="00BF6A85">
      <w:pPr>
        <w:ind w:left="1134" w:hanging="774"/>
        <w:rPr>
          <w:szCs w:val="24"/>
        </w:rPr>
      </w:pPr>
    </w:p>
    <w:p w:rsidR="00395A0F" w:rsidRDefault="00486AE0" w:rsidP="00CD1455">
      <w:pPr>
        <w:ind w:left="1134" w:hanging="774"/>
        <w:rPr>
          <w:szCs w:val="24"/>
        </w:rPr>
      </w:pPr>
      <w:r>
        <w:rPr>
          <w:szCs w:val="24"/>
        </w:rPr>
        <w:t xml:space="preserve">3.3. </w:t>
      </w:r>
      <w:r>
        <w:rPr>
          <w:szCs w:val="24"/>
        </w:rPr>
        <w:tab/>
        <w:t xml:space="preserve">When all relevant </w:t>
      </w:r>
      <w:r w:rsidR="00CD1455">
        <w:rPr>
          <w:szCs w:val="24"/>
        </w:rPr>
        <w:t xml:space="preserve">information is received a decision is made regarding referral to the University’s Disclosure Panel. </w:t>
      </w:r>
      <w:r w:rsidR="005562CA">
        <w:rPr>
          <w:szCs w:val="24"/>
        </w:rPr>
        <w:t xml:space="preserve"> </w:t>
      </w:r>
    </w:p>
    <w:p w:rsidR="00CD1455" w:rsidRDefault="00CD1455" w:rsidP="00CD1455">
      <w:pPr>
        <w:ind w:left="1134" w:hanging="774"/>
        <w:rPr>
          <w:szCs w:val="24"/>
        </w:rPr>
      </w:pPr>
    </w:p>
    <w:p w:rsidR="00CD1455" w:rsidRDefault="00CD1455" w:rsidP="00CD1455">
      <w:pPr>
        <w:tabs>
          <w:tab w:val="left" w:pos="1843"/>
        </w:tabs>
        <w:ind w:left="1839" w:hanging="705"/>
        <w:rPr>
          <w:szCs w:val="24"/>
        </w:rPr>
      </w:pPr>
      <w:r>
        <w:rPr>
          <w:szCs w:val="24"/>
        </w:rPr>
        <w:t>3.3.1</w:t>
      </w:r>
      <w:r>
        <w:rPr>
          <w:szCs w:val="24"/>
        </w:rPr>
        <w:tab/>
        <w:t xml:space="preserve">Where the offence is deemed as </w:t>
      </w:r>
      <w:r w:rsidRPr="00D06FDD">
        <w:rPr>
          <w:i/>
          <w:szCs w:val="24"/>
        </w:rPr>
        <w:t>minor</w:t>
      </w:r>
      <w:r>
        <w:rPr>
          <w:szCs w:val="24"/>
        </w:rPr>
        <w:t xml:space="preserve"> </w:t>
      </w:r>
      <w:r w:rsidR="00D06FDD">
        <w:rPr>
          <w:rStyle w:val="FootnoteReference"/>
          <w:szCs w:val="24"/>
        </w:rPr>
        <w:footnoteReference w:id="2"/>
      </w:r>
      <w:r w:rsidR="00D06FDD">
        <w:rPr>
          <w:szCs w:val="24"/>
        </w:rPr>
        <w:t xml:space="preserve"> </w:t>
      </w:r>
      <w:r>
        <w:rPr>
          <w:szCs w:val="24"/>
        </w:rPr>
        <w:t>a decision can be taken to ad</w:t>
      </w:r>
      <w:r w:rsidR="00D06FDD">
        <w:rPr>
          <w:szCs w:val="24"/>
        </w:rPr>
        <w:t>mi</w:t>
      </w:r>
      <w:r w:rsidR="00A909FD">
        <w:rPr>
          <w:szCs w:val="24"/>
        </w:rPr>
        <w:t xml:space="preserve">t the applicant to the course.  The applicant will then be informed in writing of this decision.  </w:t>
      </w:r>
    </w:p>
    <w:p w:rsidR="00CD1455" w:rsidRDefault="00CD1455" w:rsidP="00CD1455">
      <w:pPr>
        <w:tabs>
          <w:tab w:val="left" w:pos="1843"/>
        </w:tabs>
        <w:ind w:left="1839" w:hanging="705"/>
        <w:rPr>
          <w:szCs w:val="24"/>
        </w:rPr>
      </w:pPr>
    </w:p>
    <w:p w:rsidR="00C72455" w:rsidRDefault="00D06FDD" w:rsidP="00C72455">
      <w:pPr>
        <w:tabs>
          <w:tab w:val="left" w:pos="1843"/>
        </w:tabs>
        <w:ind w:left="1839" w:hanging="705"/>
        <w:rPr>
          <w:szCs w:val="24"/>
        </w:rPr>
      </w:pPr>
      <w:r>
        <w:rPr>
          <w:szCs w:val="24"/>
        </w:rPr>
        <w:t>3.3.2</w:t>
      </w:r>
      <w:r>
        <w:rPr>
          <w:szCs w:val="24"/>
        </w:rPr>
        <w:tab/>
        <w:t xml:space="preserve">Where the offence carried a custodial sentence or where </w:t>
      </w:r>
      <w:r w:rsidR="005562CA">
        <w:rPr>
          <w:szCs w:val="24"/>
        </w:rPr>
        <w:t xml:space="preserve">a pattern of minor offending is identified, </w:t>
      </w:r>
      <w:r>
        <w:rPr>
          <w:szCs w:val="24"/>
        </w:rPr>
        <w:t xml:space="preserve">the case will normally be referred to the University Disclosure Panel for further consideration. </w:t>
      </w:r>
    </w:p>
    <w:p w:rsidR="00D06FDD" w:rsidRDefault="00D06FDD" w:rsidP="00CD1455">
      <w:pPr>
        <w:tabs>
          <w:tab w:val="left" w:pos="1843"/>
        </w:tabs>
        <w:ind w:left="1839" w:hanging="705"/>
        <w:rPr>
          <w:szCs w:val="24"/>
        </w:rPr>
      </w:pPr>
    </w:p>
    <w:p w:rsidR="00D06FDD" w:rsidRDefault="00D06FDD" w:rsidP="00CD1455">
      <w:pPr>
        <w:tabs>
          <w:tab w:val="left" w:pos="1843"/>
        </w:tabs>
        <w:ind w:left="1839" w:hanging="705"/>
        <w:rPr>
          <w:szCs w:val="24"/>
        </w:rPr>
      </w:pPr>
      <w:r>
        <w:rPr>
          <w:szCs w:val="24"/>
        </w:rPr>
        <w:t>3.3.3</w:t>
      </w:r>
      <w:r>
        <w:rPr>
          <w:szCs w:val="24"/>
        </w:rPr>
        <w:tab/>
        <w:t>The University reserves the right to refer cases to</w:t>
      </w:r>
      <w:r w:rsidR="00A76D9C">
        <w:rPr>
          <w:szCs w:val="24"/>
        </w:rPr>
        <w:t xml:space="preserve"> the </w:t>
      </w:r>
      <w:r>
        <w:rPr>
          <w:szCs w:val="24"/>
        </w:rPr>
        <w:t xml:space="preserve">Disclosure Panel </w:t>
      </w:r>
      <w:r w:rsidR="00A76D9C">
        <w:rPr>
          <w:szCs w:val="24"/>
        </w:rPr>
        <w:t xml:space="preserve">on a case-by-case basis as is </w:t>
      </w:r>
      <w:r w:rsidR="005562CA">
        <w:rPr>
          <w:szCs w:val="24"/>
        </w:rPr>
        <w:t xml:space="preserve">deemed </w:t>
      </w:r>
      <w:r w:rsidR="006441A8">
        <w:rPr>
          <w:szCs w:val="24"/>
        </w:rPr>
        <w:t>necessary</w:t>
      </w:r>
    </w:p>
    <w:p w:rsidR="007F33F6" w:rsidRDefault="007F33F6" w:rsidP="00C3556A">
      <w:pPr>
        <w:rPr>
          <w:b/>
          <w:szCs w:val="24"/>
        </w:rPr>
      </w:pPr>
    </w:p>
    <w:p w:rsidR="00A718B7" w:rsidRPr="00A718B7" w:rsidRDefault="00C72455" w:rsidP="00A718B7">
      <w:pPr>
        <w:pStyle w:val="ListParagraph"/>
        <w:numPr>
          <w:ilvl w:val="0"/>
          <w:numId w:val="2"/>
        </w:numPr>
        <w:rPr>
          <w:b/>
          <w:sz w:val="24"/>
          <w:szCs w:val="24"/>
        </w:rPr>
      </w:pPr>
      <w:r w:rsidRPr="00C72455">
        <w:rPr>
          <w:b/>
          <w:sz w:val="24"/>
          <w:szCs w:val="24"/>
        </w:rPr>
        <w:t xml:space="preserve">The University Disclosure Panel </w:t>
      </w:r>
    </w:p>
    <w:p w:rsidR="00C72455" w:rsidRPr="00C72455" w:rsidRDefault="00C72455" w:rsidP="00C72455">
      <w:pPr>
        <w:ind w:left="360"/>
        <w:rPr>
          <w:szCs w:val="24"/>
        </w:rPr>
      </w:pPr>
    </w:p>
    <w:p w:rsidR="00C72455" w:rsidRDefault="00C72455" w:rsidP="00A718B7">
      <w:pPr>
        <w:tabs>
          <w:tab w:val="left" w:pos="1134"/>
        </w:tabs>
        <w:ind w:left="426"/>
        <w:rPr>
          <w:szCs w:val="24"/>
        </w:rPr>
      </w:pPr>
      <w:r w:rsidRPr="00C72455">
        <w:rPr>
          <w:szCs w:val="24"/>
        </w:rPr>
        <w:t>4.1</w:t>
      </w:r>
      <w:r w:rsidRPr="00C72455">
        <w:rPr>
          <w:szCs w:val="24"/>
        </w:rPr>
        <w:tab/>
        <w:t xml:space="preserve"> The University Disclosure Panel normally comprises: </w:t>
      </w:r>
    </w:p>
    <w:p w:rsidR="00C72455" w:rsidRDefault="00C72455" w:rsidP="00C72455">
      <w:pPr>
        <w:ind w:left="360"/>
        <w:rPr>
          <w:szCs w:val="24"/>
        </w:rPr>
      </w:pPr>
    </w:p>
    <w:p w:rsidR="00C72455" w:rsidRPr="00C72455" w:rsidRDefault="00C451DE" w:rsidP="00C72455">
      <w:pPr>
        <w:pStyle w:val="ListParagraph"/>
        <w:numPr>
          <w:ilvl w:val="0"/>
          <w:numId w:val="9"/>
        </w:numPr>
        <w:rPr>
          <w:sz w:val="24"/>
          <w:szCs w:val="24"/>
        </w:rPr>
      </w:pPr>
      <w:r>
        <w:rPr>
          <w:sz w:val="24"/>
          <w:szCs w:val="24"/>
        </w:rPr>
        <w:t xml:space="preserve">Head of </w:t>
      </w:r>
      <w:r w:rsidR="00342DAE">
        <w:rPr>
          <w:sz w:val="24"/>
          <w:szCs w:val="24"/>
        </w:rPr>
        <w:t>International Operations &amp; Student Recruitment</w:t>
      </w:r>
      <w:r>
        <w:rPr>
          <w:sz w:val="24"/>
          <w:szCs w:val="24"/>
        </w:rPr>
        <w:t xml:space="preserve"> </w:t>
      </w:r>
      <w:r w:rsidR="00C72455" w:rsidRPr="00C72455">
        <w:rPr>
          <w:sz w:val="24"/>
          <w:szCs w:val="24"/>
        </w:rPr>
        <w:t xml:space="preserve"> </w:t>
      </w:r>
    </w:p>
    <w:p w:rsidR="00C72455" w:rsidRPr="00C72455" w:rsidRDefault="00C451DE" w:rsidP="00C72455">
      <w:pPr>
        <w:pStyle w:val="ListParagraph"/>
        <w:numPr>
          <w:ilvl w:val="0"/>
          <w:numId w:val="9"/>
        </w:numPr>
        <w:rPr>
          <w:sz w:val="24"/>
          <w:szCs w:val="24"/>
        </w:rPr>
      </w:pPr>
      <w:r>
        <w:rPr>
          <w:sz w:val="24"/>
          <w:szCs w:val="24"/>
        </w:rPr>
        <w:t>Head of Admissions</w:t>
      </w:r>
    </w:p>
    <w:p w:rsidR="00C72455" w:rsidRDefault="00C72455" w:rsidP="00C72455">
      <w:pPr>
        <w:pStyle w:val="ListParagraph"/>
        <w:numPr>
          <w:ilvl w:val="0"/>
          <w:numId w:val="9"/>
        </w:numPr>
        <w:rPr>
          <w:sz w:val="24"/>
          <w:szCs w:val="24"/>
        </w:rPr>
      </w:pPr>
      <w:r w:rsidRPr="00C72455">
        <w:rPr>
          <w:sz w:val="24"/>
          <w:szCs w:val="24"/>
        </w:rPr>
        <w:t xml:space="preserve">Appeals, Complaints &amp; Conduct Officer </w:t>
      </w:r>
    </w:p>
    <w:p w:rsidR="000323ED" w:rsidRDefault="009453DB" w:rsidP="00C72455">
      <w:pPr>
        <w:pStyle w:val="ListParagraph"/>
        <w:numPr>
          <w:ilvl w:val="0"/>
          <w:numId w:val="9"/>
        </w:numPr>
        <w:rPr>
          <w:sz w:val="24"/>
          <w:szCs w:val="24"/>
        </w:rPr>
      </w:pPr>
      <w:r>
        <w:rPr>
          <w:sz w:val="24"/>
          <w:szCs w:val="24"/>
        </w:rPr>
        <w:t xml:space="preserve">The Head of School (or nominee) from the School to which </w:t>
      </w:r>
      <w:r w:rsidR="000323ED">
        <w:rPr>
          <w:sz w:val="24"/>
          <w:szCs w:val="24"/>
        </w:rPr>
        <w:t>the applicant is to be admitted</w:t>
      </w:r>
    </w:p>
    <w:p w:rsidR="00C72455" w:rsidRDefault="000323ED" w:rsidP="00C72455">
      <w:pPr>
        <w:pStyle w:val="ListParagraph"/>
        <w:numPr>
          <w:ilvl w:val="0"/>
          <w:numId w:val="9"/>
        </w:numPr>
        <w:rPr>
          <w:sz w:val="24"/>
          <w:szCs w:val="24"/>
        </w:rPr>
      </w:pPr>
      <w:r>
        <w:rPr>
          <w:sz w:val="24"/>
          <w:szCs w:val="24"/>
        </w:rPr>
        <w:t xml:space="preserve">One </w:t>
      </w:r>
      <w:r w:rsidR="009453DB">
        <w:rPr>
          <w:sz w:val="24"/>
          <w:szCs w:val="24"/>
        </w:rPr>
        <w:t xml:space="preserve">further </w:t>
      </w:r>
      <w:r w:rsidR="00C72455" w:rsidRPr="00C72455">
        <w:rPr>
          <w:sz w:val="24"/>
          <w:szCs w:val="24"/>
        </w:rPr>
        <w:t xml:space="preserve">nominee from the </w:t>
      </w:r>
      <w:r w:rsidR="009453DB">
        <w:rPr>
          <w:sz w:val="24"/>
          <w:szCs w:val="24"/>
        </w:rPr>
        <w:t xml:space="preserve">Subject Area </w:t>
      </w:r>
      <w:r w:rsidR="00C72455" w:rsidRPr="00C72455">
        <w:rPr>
          <w:sz w:val="24"/>
          <w:szCs w:val="24"/>
        </w:rPr>
        <w:t>to which the applicant will be admitted</w:t>
      </w:r>
    </w:p>
    <w:p w:rsidR="00C72455" w:rsidRDefault="00C72455" w:rsidP="00C72455">
      <w:pPr>
        <w:rPr>
          <w:szCs w:val="24"/>
        </w:rPr>
      </w:pPr>
    </w:p>
    <w:p w:rsidR="00C72455" w:rsidRDefault="00C72455" w:rsidP="00A718B7">
      <w:pPr>
        <w:tabs>
          <w:tab w:val="left" w:pos="1134"/>
        </w:tabs>
        <w:ind w:left="1134" w:hanging="708"/>
        <w:rPr>
          <w:szCs w:val="24"/>
        </w:rPr>
      </w:pPr>
      <w:r>
        <w:rPr>
          <w:szCs w:val="24"/>
        </w:rPr>
        <w:t xml:space="preserve">4.2 </w:t>
      </w:r>
      <w:r w:rsidR="00A718B7">
        <w:rPr>
          <w:szCs w:val="24"/>
        </w:rPr>
        <w:tab/>
      </w:r>
      <w:r>
        <w:rPr>
          <w:szCs w:val="24"/>
        </w:rPr>
        <w:t xml:space="preserve">The University reserves the right to co-opt other members of staff to </w:t>
      </w:r>
      <w:r w:rsidR="00A718B7">
        <w:rPr>
          <w:szCs w:val="24"/>
        </w:rPr>
        <w:t xml:space="preserve">attend </w:t>
      </w:r>
      <w:r>
        <w:rPr>
          <w:szCs w:val="24"/>
        </w:rPr>
        <w:t xml:space="preserve">the Disclosure Panel </w:t>
      </w:r>
      <w:r w:rsidR="00A718B7">
        <w:rPr>
          <w:szCs w:val="24"/>
        </w:rPr>
        <w:t xml:space="preserve">as necessary, in order to ensure the required expertise is available to make a decision on admission.  </w:t>
      </w:r>
    </w:p>
    <w:p w:rsidR="002B2D19" w:rsidRDefault="002B2D19" w:rsidP="00A718B7">
      <w:pPr>
        <w:tabs>
          <w:tab w:val="left" w:pos="1134"/>
        </w:tabs>
        <w:ind w:left="1134" w:hanging="708"/>
        <w:rPr>
          <w:szCs w:val="24"/>
        </w:rPr>
      </w:pPr>
    </w:p>
    <w:p w:rsidR="002B2D19" w:rsidRDefault="002B2D19" w:rsidP="00A718B7">
      <w:pPr>
        <w:tabs>
          <w:tab w:val="left" w:pos="1134"/>
        </w:tabs>
        <w:ind w:left="1134" w:hanging="708"/>
        <w:rPr>
          <w:szCs w:val="24"/>
        </w:rPr>
      </w:pPr>
      <w:r>
        <w:rPr>
          <w:szCs w:val="24"/>
        </w:rPr>
        <w:t>4.3</w:t>
      </w:r>
      <w:r>
        <w:rPr>
          <w:szCs w:val="24"/>
        </w:rPr>
        <w:tab/>
        <w:t>The Disclosure Panel carries out a risk assessment for each case it considers, taking into account the information received from the applicant.</w:t>
      </w:r>
    </w:p>
    <w:p w:rsidR="00A718B7" w:rsidRDefault="00A718B7" w:rsidP="002B2D19">
      <w:pPr>
        <w:tabs>
          <w:tab w:val="left" w:pos="1134"/>
        </w:tabs>
        <w:rPr>
          <w:szCs w:val="24"/>
        </w:rPr>
      </w:pPr>
    </w:p>
    <w:p w:rsidR="00CD4732" w:rsidRDefault="002B2D19" w:rsidP="00A718B7">
      <w:pPr>
        <w:tabs>
          <w:tab w:val="left" w:pos="1134"/>
        </w:tabs>
        <w:ind w:left="1134" w:hanging="708"/>
        <w:rPr>
          <w:szCs w:val="24"/>
        </w:rPr>
      </w:pPr>
      <w:r>
        <w:rPr>
          <w:szCs w:val="24"/>
        </w:rPr>
        <w:t>4.4</w:t>
      </w:r>
      <w:r w:rsidR="00A718B7">
        <w:rPr>
          <w:szCs w:val="24"/>
        </w:rPr>
        <w:t xml:space="preserve"> </w:t>
      </w:r>
      <w:r w:rsidR="00A718B7">
        <w:rPr>
          <w:szCs w:val="24"/>
        </w:rPr>
        <w:tab/>
      </w:r>
      <w:r w:rsidR="00CD4732">
        <w:rPr>
          <w:szCs w:val="24"/>
        </w:rPr>
        <w:t xml:space="preserve">Following the consideration of </w:t>
      </w:r>
      <w:r w:rsidR="00B01715">
        <w:rPr>
          <w:szCs w:val="24"/>
        </w:rPr>
        <w:t xml:space="preserve">the case, the Head of Admissions </w:t>
      </w:r>
      <w:r w:rsidR="00CD4732">
        <w:rPr>
          <w:szCs w:val="24"/>
        </w:rPr>
        <w:t>will contact the applicant to inform him/her of the Panel decision which will normally be</w:t>
      </w:r>
      <w:r w:rsidR="0088016E">
        <w:rPr>
          <w:szCs w:val="24"/>
        </w:rPr>
        <w:t xml:space="preserve"> one of the following</w:t>
      </w:r>
      <w:r w:rsidR="00CD4732">
        <w:rPr>
          <w:szCs w:val="24"/>
        </w:rPr>
        <w:t xml:space="preserve">: </w:t>
      </w:r>
    </w:p>
    <w:p w:rsidR="00CD4732" w:rsidRDefault="00CD4732" w:rsidP="00A718B7">
      <w:pPr>
        <w:tabs>
          <w:tab w:val="left" w:pos="1134"/>
        </w:tabs>
        <w:ind w:left="1134" w:hanging="708"/>
        <w:rPr>
          <w:szCs w:val="24"/>
        </w:rPr>
      </w:pPr>
    </w:p>
    <w:p w:rsidR="0090667B" w:rsidRDefault="002B2D19" w:rsidP="0090667B">
      <w:pPr>
        <w:tabs>
          <w:tab w:val="left" w:pos="1134"/>
          <w:tab w:val="left" w:pos="1843"/>
        </w:tabs>
        <w:ind w:left="1134"/>
        <w:rPr>
          <w:szCs w:val="24"/>
        </w:rPr>
      </w:pPr>
      <w:r>
        <w:rPr>
          <w:szCs w:val="24"/>
        </w:rPr>
        <w:t>4.4</w:t>
      </w:r>
      <w:r w:rsidR="00CD4732">
        <w:rPr>
          <w:szCs w:val="24"/>
        </w:rPr>
        <w:t>.1</w:t>
      </w:r>
      <w:r w:rsidR="00CD4732">
        <w:rPr>
          <w:szCs w:val="24"/>
        </w:rPr>
        <w:tab/>
      </w:r>
      <w:r w:rsidR="0090667B">
        <w:rPr>
          <w:szCs w:val="24"/>
        </w:rPr>
        <w:t xml:space="preserve">To admit the applicant to the University </w:t>
      </w:r>
    </w:p>
    <w:p w:rsidR="0090667B" w:rsidRDefault="002B2D19" w:rsidP="0090667B">
      <w:pPr>
        <w:tabs>
          <w:tab w:val="left" w:pos="1134"/>
          <w:tab w:val="left" w:pos="1843"/>
        </w:tabs>
        <w:ind w:left="1839" w:hanging="705"/>
        <w:rPr>
          <w:szCs w:val="24"/>
        </w:rPr>
      </w:pPr>
      <w:r>
        <w:rPr>
          <w:szCs w:val="24"/>
        </w:rPr>
        <w:t>4.4</w:t>
      </w:r>
      <w:r w:rsidR="0090667B">
        <w:rPr>
          <w:szCs w:val="24"/>
        </w:rPr>
        <w:t>.2</w:t>
      </w:r>
      <w:r w:rsidR="0090667B">
        <w:rPr>
          <w:szCs w:val="24"/>
        </w:rPr>
        <w:tab/>
        <w:t xml:space="preserve">To admit the applicant to the University, subject to clearly identified restrictions, caveats or support arrangements </w:t>
      </w:r>
    </w:p>
    <w:p w:rsidR="0090667B" w:rsidRDefault="002B2D19" w:rsidP="0090667B">
      <w:pPr>
        <w:tabs>
          <w:tab w:val="left" w:pos="1134"/>
          <w:tab w:val="left" w:pos="1843"/>
        </w:tabs>
        <w:ind w:left="1839" w:hanging="705"/>
        <w:rPr>
          <w:szCs w:val="24"/>
        </w:rPr>
      </w:pPr>
      <w:r>
        <w:rPr>
          <w:szCs w:val="24"/>
        </w:rPr>
        <w:t>4.4</w:t>
      </w:r>
      <w:r w:rsidR="0090667B">
        <w:rPr>
          <w:szCs w:val="24"/>
        </w:rPr>
        <w:t>.3</w:t>
      </w:r>
      <w:r w:rsidR="0090667B">
        <w:rPr>
          <w:szCs w:val="24"/>
        </w:rPr>
        <w:tab/>
        <w:t xml:space="preserve">Not to admit the applicant to their chosen course, but to offer an alternative course of study within the University </w:t>
      </w:r>
    </w:p>
    <w:p w:rsidR="0090667B" w:rsidRDefault="002B2D19" w:rsidP="0090667B">
      <w:pPr>
        <w:tabs>
          <w:tab w:val="left" w:pos="1134"/>
          <w:tab w:val="left" w:pos="1843"/>
        </w:tabs>
        <w:ind w:left="1839" w:hanging="705"/>
        <w:rPr>
          <w:szCs w:val="24"/>
        </w:rPr>
      </w:pPr>
      <w:r>
        <w:rPr>
          <w:szCs w:val="24"/>
        </w:rPr>
        <w:t>4.4</w:t>
      </w:r>
      <w:r w:rsidR="0090667B">
        <w:rPr>
          <w:szCs w:val="24"/>
        </w:rPr>
        <w:t>.4</w:t>
      </w:r>
      <w:r w:rsidR="0090667B">
        <w:rPr>
          <w:szCs w:val="24"/>
        </w:rPr>
        <w:tab/>
        <w:t>Not to admit the applicant to the University</w:t>
      </w:r>
    </w:p>
    <w:p w:rsidR="0090667B" w:rsidRDefault="002B2D19" w:rsidP="0090667B">
      <w:pPr>
        <w:tabs>
          <w:tab w:val="left" w:pos="1134"/>
          <w:tab w:val="left" w:pos="1843"/>
        </w:tabs>
        <w:ind w:left="1839" w:hanging="705"/>
        <w:rPr>
          <w:szCs w:val="24"/>
        </w:rPr>
      </w:pPr>
      <w:r>
        <w:rPr>
          <w:szCs w:val="24"/>
        </w:rPr>
        <w:t>4.4</w:t>
      </w:r>
      <w:r w:rsidR="0090667B">
        <w:rPr>
          <w:szCs w:val="24"/>
        </w:rPr>
        <w:t>.5.</w:t>
      </w:r>
      <w:r w:rsidR="0090667B">
        <w:rPr>
          <w:szCs w:val="24"/>
        </w:rPr>
        <w:tab/>
        <w:t xml:space="preserve">To request additional information in order to enable the Panel to make a final decision regarding admission. </w:t>
      </w:r>
    </w:p>
    <w:p w:rsidR="0090667B" w:rsidRDefault="0090667B" w:rsidP="0090667B">
      <w:pPr>
        <w:tabs>
          <w:tab w:val="left" w:pos="1134"/>
          <w:tab w:val="left" w:pos="1843"/>
        </w:tabs>
        <w:ind w:left="1134"/>
        <w:rPr>
          <w:szCs w:val="24"/>
        </w:rPr>
      </w:pPr>
    </w:p>
    <w:p w:rsidR="00A718B7" w:rsidRPr="00C72455" w:rsidRDefault="00A718B7" w:rsidP="00A718B7">
      <w:pPr>
        <w:tabs>
          <w:tab w:val="left" w:pos="1134"/>
        </w:tabs>
        <w:ind w:left="1134" w:hanging="708"/>
        <w:rPr>
          <w:szCs w:val="24"/>
        </w:rPr>
      </w:pPr>
      <w:r>
        <w:rPr>
          <w:szCs w:val="24"/>
        </w:rPr>
        <w:t xml:space="preserve"> </w:t>
      </w:r>
      <w:r w:rsidR="002B2D19">
        <w:rPr>
          <w:szCs w:val="24"/>
        </w:rPr>
        <w:t>4.5</w:t>
      </w:r>
      <w:r w:rsidR="0090667B">
        <w:rPr>
          <w:szCs w:val="24"/>
        </w:rPr>
        <w:tab/>
        <w:t>The University Disclosure Panel seeks to make decisions as quickly as possible, however where the investigation of a criminal conviction commences close to the start of the academic trimester, the Panel may request the applicant defers his/her plac</w:t>
      </w:r>
      <w:r w:rsidR="00A66817">
        <w:rPr>
          <w:szCs w:val="24"/>
        </w:rPr>
        <w:t xml:space="preserve">e to the next available intake, in order to ensure </w:t>
      </w:r>
      <w:r w:rsidR="0088016E">
        <w:rPr>
          <w:szCs w:val="24"/>
        </w:rPr>
        <w:t xml:space="preserve">sufficient time for </w:t>
      </w:r>
      <w:r w:rsidR="00A66817">
        <w:rPr>
          <w:szCs w:val="24"/>
        </w:rPr>
        <w:t>due process</w:t>
      </w:r>
      <w:r w:rsidR="0088016E">
        <w:rPr>
          <w:szCs w:val="24"/>
        </w:rPr>
        <w:t>.</w:t>
      </w:r>
      <w:r w:rsidR="00A66817">
        <w:rPr>
          <w:szCs w:val="24"/>
        </w:rPr>
        <w:t xml:space="preserve"> </w:t>
      </w:r>
    </w:p>
    <w:p w:rsidR="00C72455" w:rsidRPr="00BA3ED1" w:rsidRDefault="00C72455" w:rsidP="00BA3ED1">
      <w:pPr>
        <w:ind w:left="360"/>
        <w:rPr>
          <w:szCs w:val="24"/>
        </w:rPr>
      </w:pPr>
      <w:r w:rsidRPr="00C72455">
        <w:rPr>
          <w:szCs w:val="24"/>
        </w:rPr>
        <w:tab/>
      </w:r>
      <w:r w:rsidRPr="00C72455">
        <w:rPr>
          <w:szCs w:val="24"/>
        </w:rPr>
        <w:tab/>
      </w:r>
    </w:p>
    <w:p w:rsidR="00A909FD" w:rsidRPr="00D52BF4" w:rsidRDefault="00A909FD" w:rsidP="00A909FD">
      <w:pPr>
        <w:pStyle w:val="ListParagraph"/>
        <w:numPr>
          <w:ilvl w:val="0"/>
          <w:numId w:val="2"/>
        </w:numPr>
        <w:ind w:left="360"/>
        <w:rPr>
          <w:b/>
          <w:szCs w:val="24"/>
        </w:rPr>
      </w:pPr>
      <w:r w:rsidRPr="00D52BF4">
        <w:rPr>
          <w:b/>
          <w:sz w:val="24"/>
          <w:szCs w:val="24"/>
        </w:rPr>
        <w:lastRenderedPageBreak/>
        <w:t xml:space="preserve">Courses </w:t>
      </w:r>
      <w:r w:rsidR="00D52BF4" w:rsidRPr="00D52BF4">
        <w:rPr>
          <w:b/>
          <w:sz w:val="24"/>
          <w:szCs w:val="24"/>
        </w:rPr>
        <w:t xml:space="preserve">that involve contact with Vulnerable Groups </w:t>
      </w:r>
    </w:p>
    <w:p w:rsidR="00D52BF4" w:rsidRPr="00D52BF4" w:rsidRDefault="00D52BF4" w:rsidP="00D52BF4">
      <w:pPr>
        <w:pStyle w:val="ListParagraph"/>
        <w:ind w:left="360"/>
        <w:rPr>
          <w:b/>
          <w:szCs w:val="24"/>
        </w:rPr>
      </w:pPr>
    </w:p>
    <w:p w:rsidR="00224E50" w:rsidRDefault="00224E50" w:rsidP="00224E50">
      <w:pPr>
        <w:pStyle w:val="ListParagraph"/>
        <w:numPr>
          <w:ilvl w:val="1"/>
          <w:numId w:val="2"/>
        </w:numPr>
        <w:rPr>
          <w:sz w:val="24"/>
          <w:szCs w:val="24"/>
        </w:rPr>
      </w:pPr>
      <w:r w:rsidRPr="00B956D5">
        <w:rPr>
          <w:sz w:val="24"/>
          <w:szCs w:val="24"/>
        </w:rPr>
        <w:t>The Protecti</w:t>
      </w:r>
      <w:r w:rsidR="00EE7792" w:rsidRPr="00B956D5">
        <w:rPr>
          <w:sz w:val="24"/>
          <w:szCs w:val="24"/>
        </w:rPr>
        <w:t xml:space="preserve">ng Vulnerable Groups Scheme </w:t>
      </w:r>
      <w:r w:rsidR="00B956D5">
        <w:rPr>
          <w:sz w:val="24"/>
          <w:szCs w:val="24"/>
        </w:rPr>
        <w:t xml:space="preserve">(PVG) </w:t>
      </w:r>
      <w:r w:rsidR="00EE7792" w:rsidRPr="00B956D5">
        <w:rPr>
          <w:sz w:val="24"/>
          <w:szCs w:val="24"/>
        </w:rPr>
        <w:t xml:space="preserve">came into effect on 28 February 2011.  The scheme is operated by Disclosure Scotland and further information is available at </w:t>
      </w:r>
      <w:hyperlink r:id="rId9" w:history="1">
        <w:r w:rsidR="00EE7792" w:rsidRPr="00B956D5">
          <w:rPr>
            <w:rStyle w:val="Hyperlink"/>
            <w:sz w:val="24"/>
            <w:szCs w:val="24"/>
          </w:rPr>
          <w:t>www.pvgschemescotland.org</w:t>
        </w:r>
      </w:hyperlink>
      <w:r w:rsidR="00B956D5">
        <w:rPr>
          <w:sz w:val="24"/>
          <w:szCs w:val="24"/>
        </w:rPr>
        <w:t xml:space="preserve">. </w:t>
      </w:r>
    </w:p>
    <w:p w:rsidR="00B956D5" w:rsidRDefault="00B956D5" w:rsidP="00B956D5">
      <w:pPr>
        <w:pStyle w:val="ListParagraph"/>
        <w:ind w:left="1080"/>
        <w:rPr>
          <w:sz w:val="24"/>
          <w:szCs w:val="24"/>
        </w:rPr>
      </w:pPr>
    </w:p>
    <w:p w:rsidR="00B956D5" w:rsidRPr="00B956D5" w:rsidRDefault="00B956D5" w:rsidP="00224E50">
      <w:pPr>
        <w:pStyle w:val="ListParagraph"/>
        <w:numPr>
          <w:ilvl w:val="1"/>
          <w:numId w:val="2"/>
        </w:numPr>
        <w:rPr>
          <w:sz w:val="24"/>
          <w:szCs w:val="24"/>
        </w:rPr>
      </w:pPr>
      <w:r>
        <w:rPr>
          <w:sz w:val="24"/>
          <w:szCs w:val="24"/>
        </w:rPr>
        <w:t xml:space="preserve">The aim of the PVG </w:t>
      </w:r>
      <w:r w:rsidR="00C2541A">
        <w:rPr>
          <w:sz w:val="24"/>
          <w:szCs w:val="24"/>
        </w:rPr>
        <w:t xml:space="preserve">membership </w:t>
      </w:r>
      <w:r>
        <w:rPr>
          <w:sz w:val="24"/>
          <w:szCs w:val="24"/>
        </w:rPr>
        <w:t xml:space="preserve">scheme is to help ensure that those who have regular contact with children and protected adults, through paid or unpaid work, do not have a known history of harmful behaviour.  </w:t>
      </w:r>
    </w:p>
    <w:p w:rsidR="00B956D5" w:rsidRDefault="00B956D5" w:rsidP="00224E50">
      <w:pPr>
        <w:pStyle w:val="ListParagraph"/>
        <w:ind w:left="1080"/>
        <w:rPr>
          <w:sz w:val="24"/>
          <w:szCs w:val="24"/>
        </w:rPr>
      </w:pPr>
    </w:p>
    <w:p w:rsidR="00291D2A" w:rsidRDefault="00B956D5" w:rsidP="00492A0F">
      <w:pPr>
        <w:pStyle w:val="ListParagraph"/>
        <w:numPr>
          <w:ilvl w:val="1"/>
          <w:numId w:val="2"/>
        </w:numPr>
        <w:rPr>
          <w:sz w:val="24"/>
          <w:szCs w:val="24"/>
        </w:rPr>
      </w:pPr>
      <w:r w:rsidRPr="0069180F">
        <w:rPr>
          <w:sz w:val="24"/>
          <w:szCs w:val="24"/>
        </w:rPr>
        <w:t>A</w:t>
      </w:r>
      <w:r w:rsidR="00C2541A" w:rsidRPr="0069180F">
        <w:rPr>
          <w:sz w:val="24"/>
          <w:szCs w:val="24"/>
        </w:rPr>
        <w:t>ny applicant accepting a place on a course which, includes as an integral part of their studies, regular contact with ch</w:t>
      </w:r>
      <w:r w:rsidR="007B2290" w:rsidRPr="0069180F">
        <w:rPr>
          <w:sz w:val="24"/>
          <w:szCs w:val="24"/>
        </w:rPr>
        <w:t xml:space="preserve">ildren and/or protected adults, </w:t>
      </w:r>
      <w:r w:rsidR="00C2541A" w:rsidRPr="0069180F">
        <w:rPr>
          <w:sz w:val="24"/>
          <w:szCs w:val="24"/>
        </w:rPr>
        <w:t>is required to a</w:t>
      </w:r>
      <w:r w:rsidR="007B2290" w:rsidRPr="0069180F">
        <w:rPr>
          <w:sz w:val="24"/>
          <w:szCs w:val="24"/>
        </w:rPr>
        <w:t xml:space="preserve">pply for PVG scheme membership, or if they are already a member, to provide a PVG scheme record update. </w:t>
      </w:r>
      <w:r w:rsidR="0069180F" w:rsidRPr="0069180F">
        <w:rPr>
          <w:sz w:val="24"/>
          <w:szCs w:val="24"/>
        </w:rPr>
        <w:t xml:space="preserve"> </w:t>
      </w:r>
    </w:p>
    <w:p w:rsidR="00291D2A" w:rsidRPr="00291D2A" w:rsidRDefault="00291D2A" w:rsidP="00291D2A">
      <w:pPr>
        <w:pStyle w:val="ListParagraph"/>
        <w:rPr>
          <w:sz w:val="24"/>
          <w:szCs w:val="24"/>
        </w:rPr>
      </w:pPr>
    </w:p>
    <w:p w:rsidR="004A10FC" w:rsidRDefault="00291D2A" w:rsidP="00492A0F">
      <w:pPr>
        <w:pStyle w:val="ListParagraph"/>
        <w:numPr>
          <w:ilvl w:val="1"/>
          <w:numId w:val="2"/>
        </w:numPr>
        <w:rPr>
          <w:sz w:val="24"/>
          <w:szCs w:val="24"/>
        </w:rPr>
      </w:pPr>
      <w:r w:rsidRPr="0069180F">
        <w:rPr>
          <w:sz w:val="24"/>
          <w:szCs w:val="24"/>
        </w:rPr>
        <w:t xml:space="preserve">In addition, </w:t>
      </w:r>
      <w:r>
        <w:rPr>
          <w:sz w:val="24"/>
          <w:szCs w:val="24"/>
        </w:rPr>
        <w:t xml:space="preserve">programmes which include a work placement involving </w:t>
      </w:r>
      <w:r w:rsidRPr="0069180F">
        <w:rPr>
          <w:sz w:val="24"/>
          <w:szCs w:val="24"/>
        </w:rPr>
        <w:t>children and/or protected adults</w:t>
      </w:r>
      <w:r>
        <w:rPr>
          <w:sz w:val="24"/>
          <w:szCs w:val="24"/>
        </w:rPr>
        <w:t xml:space="preserve"> may also require students to undertake a PVG check, as may students participating in the University’s graduate employability scheme (where appropriate). </w:t>
      </w:r>
    </w:p>
    <w:p w:rsidR="0069180F" w:rsidRPr="0069180F" w:rsidRDefault="0069180F" w:rsidP="0069180F">
      <w:pPr>
        <w:rPr>
          <w:szCs w:val="24"/>
        </w:rPr>
      </w:pPr>
    </w:p>
    <w:p w:rsidR="0069180F" w:rsidRPr="0069180F" w:rsidRDefault="00D52BF4" w:rsidP="00D83D90">
      <w:pPr>
        <w:pStyle w:val="ListParagraph"/>
        <w:numPr>
          <w:ilvl w:val="1"/>
          <w:numId w:val="2"/>
        </w:numPr>
        <w:rPr>
          <w:sz w:val="24"/>
          <w:szCs w:val="24"/>
        </w:rPr>
      </w:pPr>
      <w:r w:rsidRPr="0069180F">
        <w:rPr>
          <w:sz w:val="24"/>
          <w:szCs w:val="24"/>
        </w:rPr>
        <w:t xml:space="preserve">For Edinburgh Napier University, at the time of writing, this </w:t>
      </w:r>
      <w:r w:rsidR="00291D2A">
        <w:rPr>
          <w:sz w:val="24"/>
          <w:szCs w:val="24"/>
        </w:rPr>
        <w:t xml:space="preserve">means </w:t>
      </w:r>
      <w:r w:rsidRPr="0069180F">
        <w:rPr>
          <w:sz w:val="24"/>
          <w:szCs w:val="24"/>
        </w:rPr>
        <w:t>all Nursing, Midwifery</w:t>
      </w:r>
      <w:r w:rsidR="00342DAE">
        <w:rPr>
          <w:sz w:val="24"/>
          <w:szCs w:val="24"/>
        </w:rPr>
        <w:t>, Physiotherapy, Occupational Therapy, Secondary Teaching, Social Work</w:t>
      </w:r>
      <w:r w:rsidRPr="0069180F">
        <w:rPr>
          <w:sz w:val="24"/>
          <w:szCs w:val="24"/>
        </w:rPr>
        <w:t xml:space="preserve"> and the PG</w:t>
      </w:r>
      <w:r w:rsidR="00C2541A" w:rsidRPr="0069180F">
        <w:rPr>
          <w:sz w:val="24"/>
          <w:szCs w:val="24"/>
        </w:rPr>
        <w:t xml:space="preserve"> Diploma in Career Guidance &amp; </w:t>
      </w:r>
      <w:r w:rsidR="00291D2A">
        <w:rPr>
          <w:sz w:val="24"/>
          <w:szCs w:val="24"/>
        </w:rPr>
        <w:t>Development</w:t>
      </w:r>
      <w:r w:rsidR="00342DAE">
        <w:rPr>
          <w:sz w:val="24"/>
          <w:szCs w:val="24"/>
        </w:rPr>
        <w:t xml:space="preserve"> programmes</w:t>
      </w:r>
      <w:r w:rsidR="00291D2A">
        <w:rPr>
          <w:sz w:val="24"/>
          <w:szCs w:val="24"/>
        </w:rPr>
        <w:t xml:space="preserve"> require a PVG check. </w:t>
      </w:r>
    </w:p>
    <w:p w:rsidR="00D16EC5" w:rsidRDefault="00D16EC5" w:rsidP="00D16EC5">
      <w:pPr>
        <w:pStyle w:val="ListParagraph"/>
        <w:ind w:left="1080"/>
        <w:rPr>
          <w:sz w:val="24"/>
          <w:szCs w:val="24"/>
        </w:rPr>
      </w:pPr>
    </w:p>
    <w:p w:rsidR="003B201A" w:rsidRDefault="00D52BF4" w:rsidP="00BA3ED1">
      <w:pPr>
        <w:pStyle w:val="ListParagraph"/>
        <w:numPr>
          <w:ilvl w:val="1"/>
          <w:numId w:val="2"/>
        </w:numPr>
        <w:rPr>
          <w:sz w:val="24"/>
          <w:szCs w:val="24"/>
        </w:rPr>
      </w:pPr>
      <w:r>
        <w:rPr>
          <w:sz w:val="24"/>
          <w:szCs w:val="24"/>
        </w:rPr>
        <w:t xml:space="preserve">For these programmes applicants will be required to </w:t>
      </w:r>
      <w:r w:rsidR="00C2541A">
        <w:rPr>
          <w:sz w:val="24"/>
          <w:szCs w:val="24"/>
        </w:rPr>
        <w:t>join the PVG membership scheme</w:t>
      </w:r>
      <w:r w:rsidR="00766FB5">
        <w:rPr>
          <w:sz w:val="24"/>
          <w:szCs w:val="24"/>
        </w:rPr>
        <w:t xml:space="preserve"> or provide a PVG scheme record update</w:t>
      </w:r>
      <w:r w:rsidR="00C2541A">
        <w:rPr>
          <w:sz w:val="24"/>
          <w:szCs w:val="24"/>
        </w:rPr>
        <w:t>, prior to c</w:t>
      </w:r>
      <w:r>
        <w:rPr>
          <w:sz w:val="24"/>
          <w:szCs w:val="24"/>
        </w:rPr>
        <w:t>ommencing the place</w:t>
      </w:r>
      <w:r w:rsidR="00C2541A">
        <w:rPr>
          <w:sz w:val="24"/>
          <w:szCs w:val="24"/>
        </w:rPr>
        <w:t>ment element of their programme.</w:t>
      </w:r>
    </w:p>
    <w:p w:rsidR="00342DAE" w:rsidRPr="00342DAE" w:rsidRDefault="00342DAE" w:rsidP="00342DAE">
      <w:pPr>
        <w:rPr>
          <w:szCs w:val="24"/>
        </w:rPr>
      </w:pPr>
    </w:p>
    <w:p w:rsidR="003B201A" w:rsidRPr="00D16EC5" w:rsidRDefault="003B201A" w:rsidP="00D16EC5">
      <w:pPr>
        <w:pStyle w:val="ListParagraph"/>
        <w:numPr>
          <w:ilvl w:val="1"/>
          <w:numId w:val="2"/>
        </w:numPr>
        <w:rPr>
          <w:sz w:val="24"/>
          <w:szCs w:val="24"/>
        </w:rPr>
      </w:pPr>
      <w:r>
        <w:rPr>
          <w:sz w:val="24"/>
          <w:szCs w:val="24"/>
        </w:rPr>
        <w:t xml:space="preserve">For these </w:t>
      </w:r>
      <w:r w:rsidR="0069180F">
        <w:rPr>
          <w:sz w:val="24"/>
          <w:szCs w:val="24"/>
        </w:rPr>
        <w:t>programmes</w:t>
      </w:r>
      <w:r>
        <w:rPr>
          <w:sz w:val="24"/>
          <w:szCs w:val="24"/>
        </w:rPr>
        <w:t xml:space="preserve"> there are professional body requirements</w:t>
      </w:r>
      <w:r w:rsidR="00D52BF4">
        <w:rPr>
          <w:sz w:val="24"/>
          <w:szCs w:val="24"/>
        </w:rPr>
        <w:t xml:space="preserve"> and fitness to practice issues</w:t>
      </w:r>
      <w:r>
        <w:rPr>
          <w:sz w:val="24"/>
          <w:szCs w:val="24"/>
        </w:rPr>
        <w:t xml:space="preserve"> which may need to be taken into consideration as part of an</w:t>
      </w:r>
      <w:r w:rsidR="003A67FE">
        <w:rPr>
          <w:sz w:val="24"/>
          <w:szCs w:val="24"/>
        </w:rPr>
        <w:t>y</w:t>
      </w:r>
      <w:r>
        <w:rPr>
          <w:sz w:val="24"/>
          <w:szCs w:val="24"/>
        </w:rPr>
        <w:t xml:space="preserve"> investigation into a criminal conviction.  For this reason the responsibility for the investigation into any criminal conviction lies with the relevant School, rather than the University </w:t>
      </w:r>
      <w:r>
        <w:rPr>
          <w:sz w:val="24"/>
          <w:szCs w:val="24"/>
        </w:rPr>
        <w:lastRenderedPageBreak/>
        <w:t>D</w:t>
      </w:r>
      <w:r w:rsidR="000323ED">
        <w:rPr>
          <w:sz w:val="24"/>
          <w:szCs w:val="24"/>
        </w:rPr>
        <w:t>isclosure Panel.  The relevant S</w:t>
      </w:r>
      <w:r>
        <w:rPr>
          <w:sz w:val="24"/>
          <w:szCs w:val="24"/>
        </w:rPr>
        <w:t xml:space="preserve">chool carries out these investigations in line with the </w:t>
      </w:r>
      <w:r w:rsidR="000323ED">
        <w:rPr>
          <w:sz w:val="24"/>
          <w:szCs w:val="24"/>
        </w:rPr>
        <w:t xml:space="preserve">principles </w:t>
      </w:r>
      <w:r>
        <w:rPr>
          <w:sz w:val="24"/>
          <w:szCs w:val="24"/>
        </w:rPr>
        <w:t xml:space="preserve">outlined in this document. </w:t>
      </w:r>
    </w:p>
    <w:p w:rsidR="00C1025B" w:rsidRPr="00C1025B" w:rsidRDefault="00C1025B" w:rsidP="00C1025B">
      <w:pPr>
        <w:pStyle w:val="ListParagraph"/>
        <w:rPr>
          <w:sz w:val="24"/>
          <w:szCs w:val="24"/>
        </w:rPr>
      </w:pPr>
    </w:p>
    <w:p w:rsidR="00981D8F" w:rsidRDefault="00C1025B" w:rsidP="00A909FD">
      <w:pPr>
        <w:pStyle w:val="ListParagraph"/>
        <w:numPr>
          <w:ilvl w:val="1"/>
          <w:numId w:val="2"/>
        </w:numPr>
        <w:rPr>
          <w:sz w:val="24"/>
          <w:szCs w:val="24"/>
        </w:rPr>
      </w:pPr>
      <w:r>
        <w:rPr>
          <w:sz w:val="24"/>
          <w:szCs w:val="24"/>
        </w:rPr>
        <w:t xml:space="preserve">Where an applicant has </w:t>
      </w:r>
      <w:r w:rsidR="00D16EC5">
        <w:rPr>
          <w:sz w:val="24"/>
          <w:szCs w:val="24"/>
        </w:rPr>
        <w:t xml:space="preserve">declared a criminal conviction in their application, </w:t>
      </w:r>
      <w:r w:rsidR="00B80B7C">
        <w:rPr>
          <w:sz w:val="24"/>
          <w:szCs w:val="24"/>
        </w:rPr>
        <w:t>and where they mee</w:t>
      </w:r>
      <w:r w:rsidR="004C0169">
        <w:rPr>
          <w:sz w:val="24"/>
          <w:szCs w:val="24"/>
        </w:rPr>
        <w:t>t the minimum academic criteria</w:t>
      </w:r>
      <w:r w:rsidR="00981D8F">
        <w:rPr>
          <w:sz w:val="24"/>
          <w:szCs w:val="24"/>
        </w:rPr>
        <w:t xml:space="preserve"> they will normally be invited for interview. </w:t>
      </w:r>
    </w:p>
    <w:p w:rsidR="00981D8F" w:rsidRPr="00981D8F" w:rsidRDefault="00981D8F" w:rsidP="00981D8F">
      <w:pPr>
        <w:pStyle w:val="ListParagraph"/>
        <w:rPr>
          <w:sz w:val="24"/>
          <w:szCs w:val="24"/>
        </w:rPr>
      </w:pPr>
    </w:p>
    <w:p w:rsidR="00981D8F" w:rsidRDefault="00981D8F" w:rsidP="00A909FD">
      <w:pPr>
        <w:pStyle w:val="ListParagraph"/>
        <w:numPr>
          <w:ilvl w:val="1"/>
          <w:numId w:val="2"/>
        </w:numPr>
        <w:rPr>
          <w:sz w:val="24"/>
          <w:szCs w:val="24"/>
        </w:rPr>
      </w:pPr>
      <w:r>
        <w:rPr>
          <w:sz w:val="24"/>
          <w:szCs w:val="24"/>
        </w:rPr>
        <w:t>During the interview process applicants are asked whether they have any criminal convictions to declare.  This is note</w:t>
      </w:r>
      <w:r w:rsidR="0070231F">
        <w:rPr>
          <w:sz w:val="24"/>
          <w:szCs w:val="24"/>
        </w:rPr>
        <w:t xml:space="preserve">d </w:t>
      </w:r>
      <w:r w:rsidR="00E12D45">
        <w:rPr>
          <w:sz w:val="24"/>
          <w:szCs w:val="24"/>
        </w:rPr>
        <w:t xml:space="preserve">on the Interview Record Sheet.  </w:t>
      </w:r>
      <w:r w:rsidR="0070231F">
        <w:rPr>
          <w:sz w:val="24"/>
          <w:szCs w:val="24"/>
        </w:rPr>
        <w:t>A</w:t>
      </w:r>
      <w:r>
        <w:rPr>
          <w:sz w:val="24"/>
          <w:szCs w:val="24"/>
        </w:rPr>
        <w:t>pplicants are made aware</w:t>
      </w:r>
      <w:r w:rsidR="004A10FC">
        <w:rPr>
          <w:sz w:val="24"/>
          <w:szCs w:val="24"/>
        </w:rPr>
        <w:t xml:space="preserve"> at the interview that, </w:t>
      </w:r>
      <w:r>
        <w:rPr>
          <w:sz w:val="24"/>
          <w:szCs w:val="24"/>
        </w:rPr>
        <w:t xml:space="preserve">should their criminal record status change following the interview, they </w:t>
      </w:r>
      <w:r w:rsidR="0070231F">
        <w:rPr>
          <w:sz w:val="24"/>
          <w:szCs w:val="24"/>
        </w:rPr>
        <w:t xml:space="preserve">are required to inform </w:t>
      </w:r>
      <w:r>
        <w:rPr>
          <w:sz w:val="24"/>
          <w:szCs w:val="24"/>
        </w:rPr>
        <w:t xml:space="preserve">the School </w:t>
      </w:r>
      <w:r w:rsidR="0070231F">
        <w:rPr>
          <w:sz w:val="24"/>
          <w:szCs w:val="24"/>
        </w:rPr>
        <w:t xml:space="preserve">immediately. </w:t>
      </w:r>
      <w:r>
        <w:rPr>
          <w:sz w:val="24"/>
          <w:szCs w:val="24"/>
        </w:rPr>
        <w:t xml:space="preserve"> </w:t>
      </w:r>
    </w:p>
    <w:p w:rsidR="00981D8F" w:rsidRPr="00730913" w:rsidRDefault="00981D8F" w:rsidP="00981D8F">
      <w:pPr>
        <w:pStyle w:val="ListParagraph"/>
        <w:rPr>
          <w:sz w:val="24"/>
          <w:szCs w:val="24"/>
        </w:rPr>
      </w:pPr>
    </w:p>
    <w:p w:rsidR="00730913" w:rsidRPr="00730913" w:rsidRDefault="00730913" w:rsidP="00A909FD">
      <w:pPr>
        <w:pStyle w:val="ListParagraph"/>
        <w:numPr>
          <w:ilvl w:val="1"/>
          <w:numId w:val="2"/>
        </w:numPr>
        <w:rPr>
          <w:sz w:val="24"/>
          <w:szCs w:val="24"/>
        </w:rPr>
      </w:pPr>
      <w:r w:rsidRPr="00730913">
        <w:rPr>
          <w:sz w:val="24"/>
          <w:szCs w:val="24"/>
        </w:rPr>
        <w:t>If, during the interview process,</w:t>
      </w:r>
      <w:r w:rsidR="002E66AE">
        <w:rPr>
          <w:sz w:val="24"/>
          <w:szCs w:val="24"/>
        </w:rPr>
        <w:t xml:space="preserve"> an </w:t>
      </w:r>
      <w:r w:rsidRPr="00730913">
        <w:rPr>
          <w:sz w:val="24"/>
          <w:szCs w:val="24"/>
        </w:rPr>
        <w:t>applicant provides additional information about their criminal record and the Admissions Advisor believes the information disclosed presen</w:t>
      </w:r>
      <w:r w:rsidR="002E66AE">
        <w:rPr>
          <w:sz w:val="24"/>
          <w:szCs w:val="24"/>
        </w:rPr>
        <w:t xml:space="preserve">ts a significantly serious risk to fitness to practice, the </w:t>
      </w:r>
      <w:r w:rsidRPr="00730913">
        <w:rPr>
          <w:sz w:val="24"/>
          <w:szCs w:val="24"/>
        </w:rPr>
        <w:t xml:space="preserve">School would ask for an early PVG check to be carried out. </w:t>
      </w:r>
      <w:r w:rsidR="002E66AE">
        <w:rPr>
          <w:sz w:val="24"/>
          <w:szCs w:val="24"/>
        </w:rPr>
        <w:t>Any offer of admission would be held until the PV</w:t>
      </w:r>
      <w:r w:rsidR="009B112A">
        <w:rPr>
          <w:sz w:val="24"/>
          <w:szCs w:val="24"/>
        </w:rPr>
        <w:t>G certificate had been received and reviewed.</w:t>
      </w:r>
      <w:r w:rsidR="002E66AE">
        <w:rPr>
          <w:sz w:val="24"/>
          <w:szCs w:val="24"/>
        </w:rPr>
        <w:t xml:space="preserve"> </w:t>
      </w:r>
    </w:p>
    <w:p w:rsidR="00730913" w:rsidRPr="00730913" w:rsidRDefault="00730913" w:rsidP="00730913">
      <w:pPr>
        <w:pStyle w:val="ListParagraph"/>
        <w:ind w:left="1080"/>
        <w:rPr>
          <w:sz w:val="24"/>
          <w:szCs w:val="24"/>
        </w:rPr>
      </w:pPr>
    </w:p>
    <w:p w:rsidR="00D16EC5" w:rsidRDefault="00CF1267" w:rsidP="00A909FD">
      <w:pPr>
        <w:pStyle w:val="ListParagraph"/>
        <w:numPr>
          <w:ilvl w:val="1"/>
          <w:numId w:val="2"/>
        </w:numPr>
        <w:rPr>
          <w:sz w:val="24"/>
          <w:szCs w:val="24"/>
        </w:rPr>
      </w:pPr>
      <w:r>
        <w:rPr>
          <w:sz w:val="24"/>
          <w:szCs w:val="24"/>
        </w:rPr>
        <w:t>Following interview, where an applicant meets the entry criteria for the course,</w:t>
      </w:r>
      <w:r w:rsidR="00E12D45">
        <w:rPr>
          <w:sz w:val="24"/>
          <w:szCs w:val="24"/>
        </w:rPr>
        <w:t xml:space="preserve"> an offer of admission will be made</w:t>
      </w:r>
      <w:r>
        <w:rPr>
          <w:sz w:val="24"/>
          <w:szCs w:val="24"/>
        </w:rPr>
        <w:t>.  Any offer is subject to</w:t>
      </w:r>
      <w:r w:rsidR="004A10FC">
        <w:rPr>
          <w:sz w:val="24"/>
          <w:szCs w:val="24"/>
        </w:rPr>
        <w:t xml:space="preserve"> satisfactory completion of a</w:t>
      </w:r>
      <w:r w:rsidR="0070231F">
        <w:rPr>
          <w:sz w:val="24"/>
          <w:szCs w:val="24"/>
        </w:rPr>
        <w:t xml:space="preserve"> </w:t>
      </w:r>
      <w:r w:rsidR="00D52BF4">
        <w:rPr>
          <w:sz w:val="24"/>
          <w:szCs w:val="24"/>
        </w:rPr>
        <w:t>PVG check</w:t>
      </w:r>
      <w:r w:rsidR="004A10FC">
        <w:rPr>
          <w:sz w:val="24"/>
          <w:szCs w:val="24"/>
        </w:rPr>
        <w:t xml:space="preserve"> and it is made clear to applicants that failure to meet this requirement will result in their place being withdrawn. </w:t>
      </w:r>
      <w:r>
        <w:rPr>
          <w:sz w:val="24"/>
          <w:szCs w:val="24"/>
        </w:rPr>
        <w:t xml:space="preserve"> </w:t>
      </w:r>
    </w:p>
    <w:p w:rsidR="00E12D45" w:rsidRPr="00E12D45" w:rsidRDefault="00E12D45" w:rsidP="00E12D45">
      <w:pPr>
        <w:rPr>
          <w:szCs w:val="24"/>
        </w:rPr>
      </w:pPr>
    </w:p>
    <w:p w:rsidR="00E12D45" w:rsidRDefault="00D52BF4" w:rsidP="005E2935">
      <w:pPr>
        <w:pStyle w:val="ListParagraph"/>
        <w:numPr>
          <w:ilvl w:val="1"/>
          <w:numId w:val="2"/>
        </w:numPr>
        <w:rPr>
          <w:sz w:val="24"/>
          <w:szCs w:val="24"/>
        </w:rPr>
      </w:pPr>
      <w:r>
        <w:rPr>
          <w:sz w:val="24"/>
          <w:szCs w:val="24"/>
        </w:rPr>
        <w:t>PVGs</w:t>
      </w:r>
      <w:r w:rsidR="00E12D45">
        <w:rPr>
          <w:sz w:val="24"/>
          <w:szCs w:val="24"/>
        </w:rPr>
        <w:t xml:space="preserve"> are not normally received until after the start of trimester</w:t>
      </w:r>
      <w:r w:rsidR="004A10FC">
        <w:rPr>
          <w:sz w:val="24"/>
          <w:szCs w:val="24"/>
        </w:rPr>
        <w:t xml:space="preserve">, but must be received by the point at which the student begins their placement.  </w:t>
      </w:r>
      <w:r w:rsidR="00E12D45">
        <w:rPr>
          <w:sz w:val="24"/>
          <w:szCs w:val="24"/>
        </w:rPr>
        <w:t>As a result all students are made aware during matriculation and induction that continuation on their programme of study is subject to receipt of a satisfac</w:t>
      </w:r>
      <w:r w:rsidR="004A10FC">
        <w:rPr>
          <w:sz w:val="24"/>
          <w:szCs w:val="24"/>
        </w:rPr>
        <w:t xml:space="preserve">tory PVG check. </w:t>
      </w:r>
    </w:p>
    <w:p w:rsidR="00E12D45" w:rsidRPr="00E12D45" w:rsidRDefault="00E12D45" w:rsidP="00E12D45">
      <w:pPr>
        <w:pStyle w:val="ListParagraph"/>
        <w:rPr>
          <w:sz w:val="24"/>
          <w:szCs w:val="24"/>
        </w:rPr>
      </w:pPr>
    </w:p>
    <w:p w:rsidR="00D52BF4" w:rsidRDefault="00D52BF4" w:rsidP="00E12D45">
      <w:pPr>
        <w:pStyle w:val="ListParagraph"/>
        <w:numPr>
          <w:ilvl w:val="1"/>
          <w:numId w:val="2"/>
        </w:numPr>
        <w:rPr>
          <w:sz w:val="24"/>
          <w:szCs w:val="24"/>
        </w:rPr>
      </w:pPr>
      <w:r>
        <w:rPr>
          <w:sz w:val="24"/>
          <w:szCs w:val="24"/>
        </w:rPr>
        <w:t xml:space="preserve">The </w:t>
      </w:r>
      <w:r w:rsidR="00AA4FDC">
        <w:rPr>
          <w:sz w:val="24"/>
          <w:szCs w:val="24"/>
        </w:rPr>
        <w:t>School of Nursing, Midwifery and Social Care</w:t>
      </w:r>
      <w:r w:rsidR="00342DAE">
        <w:rPr>
          <w:sz w:val="24"/>
          <w:szCs w:val="24"/>
        </w:rPr>
        <w:t xml:space="preserve"> and School of Applied Sciences</w:t>
      </w:r>
      <w:r w:rsidR="00AA4FDC">
        <w:rPr>
          <w:sz w:val="24"/>
          <w:szCs w:val="24"/>
        </w:rPr>
        <w:t xml:space="preserve"> </w:t>
      </w:r>
      <w:r w:rsidR="00342DAE">
        <w:rPr>
          <w:sz w:val="24"/>
          <w:szCs w:val="24"/>
        </w:rPr>
        <w:t>have</w:t>
      </w:r>
      <w:r w:rsidR="004A10FC">
        <w:rPr>
          <w:sz w:val="24"/>
          <w:szCs w:val="24"/>
        </w:rPr>
        <w:t xml:space="preserve"> </w:t>
      </w:r>
      <w:r w:rsidR="004D533D">
        <w:rPr>
          <w:sz w:val="24"/>
          <w:szCs w:val="24"/>
        </w:rPr>
        <w:t xml:space="preserve">responsibility for ensuring </w:t>
      </w:r>
      <w:r>
        <w:rPr>
          <w:sz w:val="24"/>
          <w:szCs w:val="24"/>
        </w:rPr>
        <w:t>that all students have a valid PVG prior to commencing any placement</w:t>
      </w:r>
      <w:r w:rsidR="004A10FC">
        <w:rPr>
          <w:sz w:val="24"/>
          <w:szCs w:val="24"/>
        </w:rPr>
        <w:t>.</w:t>
      </w:r>
    </w:p>
    <w:p w:rsidR="00D52BF4" w:rsidRDefault="00D52BF4" w:rsidP="00D52BF4">
      <w:pPr>
        <w:pStyle w:val="ListParagraph"/>
        <w:ind w:left="1080"/>
        <w:rPr>
          <w:sz w:val="24"/>
          <w:szCs w:val="24"/>
        </w:rPr>
      </w:pPr>
    </w:p>
    <w:p w:rsidR="005E2935" w:rsidRPr="00E12D45" w:rsidRDefault="00D52BF4" w:rsidP="00E12D45">
      <w:pPr>
        <w:pStyle w:val="ListParagraph"/>
        <w:numPr>
          <w:ilvl w:val="1"/>
          <w:numId w:val="2"/>
        </w:numPr>
        <w:rPr>
          <w:sz w:val="24"/>
          <w:szCs w:val="24"/>
        </w:rPr>
      </w:pPr>
      <w:r>
        <w:rPr>
          <w:sz w:val="24"/>
          <w:szCs w:val="24"/>
        </w:rPr>
        <w:lastRenderedPageBreak/>
        <w:t xml:space="preserve">On receipt of the PVG, </w:t>
      </w:r>
      <w:r w:rsidR="004D533D">
        <w:rPr>
          <w:sz w:val="24"/>
          <w:szCs w:val="24"/>
        </w:rPr>
        <w:t xml:space="preserve">the </w:t>
      </w:r>
      <w:r w:rsidR="00342DAE">
        <w:rPr>
          <w:sz w:val="24"/>
          <w:szCs w:val="24"/>
        </w:rPr>
        <w:t>Schools</w:t>
      </w:r>
      <w:r w:rsidR="00AA4FDC">
        <w:rPr>
          <w:sz w:val="24"/>
          <w:szCs w:val="24"/>
        </w:rPr>
        <w:t xml:space="preserve"> </w:t>
      </w:r>
      <w:r w:rsidR="00342DAE">
        <w:rPr>
          <w:sz w:val="24"/>
          <w:szCs w:val="24"/>
        </w:rPr>
        <w:t>have</w:t>
      </w:r>
      <w:r w:rsidR="004D533D">
        <w:rPr>
          <w:sz w:val="24"/>
          <w:szCs w:val="24"/>
        </w:rPr>
        <w:t xml:space="preserve"> responsibility for reviewing each case and making a decision on whether any further investigation is required: </w:t>
      </w:r>
    </w:p>
    <w:p w:rsidR="00A66817" w:rsidRPr="00A66817" w:rsidRDefault="00A66817" w:rsidP="00A66817">
      <w:pPr>
        <w:rPr>
          <w:szCs w:val="24"/>
        </w:rPr>
      </w:pPr>
    </w:p>
    <w:p w:rsidR="005E2935" w:rsidRDefault="00976CBD" w:rsidP="005E2935">
      <w:pPr>
        <w:tabs>
          <w:tab w:val="left" w:pos="1843"/>
        </w:tabs>
        <w:ind w:left="1839" w:hanging="705"/>
        <w:rPr>
          <w:szCs w:val="24"/>
        </w:rPr>
      </w:pPr>
      <w:r>
        <w:rPr>
          <w:szCs w:val="24"/>
        </w:rPr>
        <w:t>5</w:t>
      </w:r>
      <w:r w:rsidR="005E2935">
        <w:rPr>
          <w:szCs w:val="24"/>
        </w:rPr>
        <w:t>.7.1</w:t>
      </w:r>
      <w:r w:rsidR="005E2935">
        <w:rPr>
          <w:szCs w:val="24"/>
        </w:rPr>
        <w:tab/>
        <w:t xml:space="preserve">Where the offence is deemed as </w:t>
      </w:r>
      <w:r w:rsidR="005E2935" w:rsidRPr="00D06FDD">
        <w:rPr>
          <w:i/>
          <w:szCs w:val="24"/>
        </w:rPr>
        <w:t>minor</w:t>
      </w:r>
      <w:r w:rsidR="005E2935">
        <w:rPr>
          <w:szCs w:val="24"/>
        </w:rPr>
        <w:t xml:space="preserve"> </w:t>
      </w:r>
      <w:r w:rsidR="005E2935">
        <w:rPr>
          <w:rStyle w:val="FootnoteReference"/>
          <w:szCs w:val="24"/>
        </w:rPr>
        <w:footnoteReference w:id="3"/>
      </w:r>
      <w:r w:rsidR="005E2935">
        <w:rPr>
          <w:szCs w:val="24"/>
        </w:rPr>
        <w:t xml:space="preserve"> a decision can be taken to </w:t>
      </w:r>
      <w:r w:rsidR="000C08E0">
        <w:rPr>
          <w:szCs w:val="24"/>
        </w:rPr>
        <w:t xml:space="preserve">allow the student to continue on their course.  </w:t>
      </w:r>
    </w:p>
    <w:p w:rsidR="009B112A" w:rsidRDefault="009B112A" w:rsidP="009B112A">
      <w:pPr>
        <w:tabs>
          <w:tab w:val="left" w:pos="1843"/>
        </w:tabs>
        <w:rPr>
          <w:szCs w:val="24"/>
        </w:rPr>
      </w:pPr>
    </w:p>
    <w:p w:rsidR="0070231F" w:rsidRDefault="00976CBD" w:rsidP="000C08E0">
      <w:pPr>
        <w:tabs>
          <w:tab w:val="left" w:pos="1843"/>
        </w:tabs>
        <w:ind w:left="1839" w:hanging="705"/>
        <w:rPr>
          <w:szCs w:val="24"/>
        </w:rPr>
      </w:pPr>
      <w:r>
        <w:rPr>
          <w:szCs w:val="24"/>
        </w:rPr>
        <w:t>5</w:t>
      </w:r>
      <w:r w:rsidR="005E2935">
        <w:rPr>
          <w:szCs w:val="24"/>
        </w:rPr>
        <w:t>.7.2</w:t>
      </w:r>
      <w:r w:rsidR="005E2935">
        <w:rPr>
          <w:szCs w:val="24"/>
        </w:rPr>
        <w:tab/>
        <w:t>Where the offence carried a custodial sentence or where a pattern of minor offending is ide</w:t>
      </w:r>
      <w:r w:rsidR="000323ED">
        <w:rPr>
          <w:szCs w:val="24"/>
        </w:rPr>
        <w:t xml:space="preserve">ntified, the case will </w:t>
      </w:r>
      <w:r w:rsidR="005E2935">
        <w:rPr>
          <w:szCs w:val="24"/>
        </w:rPr>
        <w:t>be consi</w:t>
      </w:r>
      <w:r w:rsidR="000C08E0">
        <w:rPr>
          <w:szCs w:val="24"/>
        </w:rPr>
        <w:t>dered within the School</w:t>
      </w:r>
      <w:r w:rsidR="005E2935">
        <w:rPr>
          <w:szCs w:val="24"/>
        </w:rPr>
        <w:t xml:space="preserve"> by the </w:t>
      </w:r>
      <w:r w:rsidR="000C08E0">
        <w:rPr>
          <w:szCs w:val="24"/>
        </w:rPr>
        <w:t xml:space="preserve">School’s </w:t>
      </w:r>
      <w:r w:rsidR="004D533D">
        <w:rPr>
          <w:szCs w:val="24"/>
        </w:rPr>
        <w:t>‘</w:t>
      </w:r>
      <w:r w:rsidR="000C08E0">
        <w:rPr>
          <w:szCs w:val="24"/>
        </w:rPr>
        <w:t>Fitness to Practice</w:t>
      </w:r>
      <w:r w:rsidR="004D533D">
        <w:rPr>
          <w:szCs w:val="24"/>
        </w:rPr>
        <w:t>’</w:t>
      </w:r>
      <w:r w:rsidR="000C08E0">
        <w:rPr>
          <w:szCs w:val="24"/>
        </w:rPr>
        <w:t xml:space="preserve"> Panel</w:t>
      </w:r>
      <w:r w:rsidR="005E2935">
        <w:rPr>
          <w:szCs w:val="24"/>
        </w:rPr>
        <w:t xml:space="preserve">. </w:t>
      </w:r>
      <w:r w:rsidR="00A66817">
        <w:rPr>
          <w:szCs w:val="24"/>
        </w:rPr>
        <w:t xml:space="preserve"> </w:t>
      </w:r>
      <w:r w:rsidR="000C08E0">
        <w:rPr>
          <w:szCs w:val="24"/>
        </w:rPr>
        <w:t xml:space="preserve">This Panel considers any implications relating to professional accreditation and fitness to practice. </w:t>
      </w:r>
      <w:r w:rsidR="0070231F">
        <w:rPr>
          <w:szCs w:val="24"/>
        </w:rPr>
        <w:t xml:space="preserve"> </w:t>
      </w:r>
    </w:p>
    <w:p w:rsidR="0070231F" w:rsidRDefault="0070231F" w:rsidP="005E2935">
      <w:pPr>
        <w:tabs>
          <w:tab w:val="left" w:pos="1843"/>
        </w:tabs>
        <w:ind w:left="1839" w:hanging="705"/>
        <w:rPr>
          <w:szCs w:val="24"/>
        </w:rPr>
      </w:pPr>
    </w:p>
    <w:p w:rsidR="007F33F6" w:rsidRDefault="0070231F" w:rsidP="000C08E0">
      <w:pPr>
        <w:tabs>
          <w:tab w:val="left" w:pos="1843"/>
        </w:tabs>
        <w:ind w:left="1839" w:hanging="705"/>
        <w:rPr>
          <w:szCs w:val="24"/>
        </w:rPr>
      </w:pPr>
      <w:r>
        <w:rPr>
          <w:szCs w:val="24"/>
        </w:rPr>
        <w:t>5.7.4</w:t>
      </w:r>
      <w:r>
        <w:rPr>
          <w:szCs w:val="24"/>
        </w:rPr>
        <w:tab/>
        <w:t>F</w:t>
      </w:r>
      <w:r w:rsidR="00A66817">
        <w:rPr>
          <w:szCs w:val="24"/>
        </w:rPr>
        <w:t xml:space="preserve">ollowing this process the applicant will be informed in writing of the </w:t>
      </w:r>
      <w:r w:rsidR="000C08E0">
        <w:rPr>
          <w:szCs w:val="24"/>
        </w:rPr>
        <w:t>Fitness to Practice Panel decision</w:t>
      </w:r>
      <w:r w:rsidR="00A66817">
        <w:rPr>
          <w:szCs w:val="24"/>
        </w:rPr>
        <w:t xml:space="preserve">. </w:t>
      </w:r>
    </w:p>
    <w:p w:rsidR="004D533D" w:rsidRDefault="004D533D" w:rsidP="000C08E0">
      <w:pPr>
        <w:tabs>
          <w:tab w:val="left" w:pos="1843"/>
        </w:tabs>
        <w:ind w:left="1839" w:hanging="705"/>
        <w:rPr>
          <w:szCs w:val="24"/>
        </w:rPr>
      </w:pPr>
    </w:p>
    <w:p w:rsidR="004D533D" w:rsidRDefault="004D533D" w:rsidP="000C08E0">
      <w:pPr>
        <w:tabs>
          <w:tab w:val="left" w:pos="1843"/>
        </w:tabs>
        <w:ind w:left="1839" w:hanging="705"/>
        <w:rPr>
          <w:szCs w:val="24"/>
        </w:rPr>
      </w:pPr>
      <w:r>
        <w:rPr>
          <w:szCs w:val="24"/>
        </w:rPr>
        <w:t>5.7.5</w:t>
      </w:r>
      <w:r>
        <w:rPr>
          <w:szCs w:val="24"/>
        </w:rPr>
        <w:tab/>
        <w:t xml:space="preserve">The ‘Fitness to Practice’ Panel must make its final decision, prior to the student going on placement. </w:t>
      </w:r>
    </w:p>
    <w:p w:rsidR="009B112A" w:rsidRDefault="009B112A" w:rsidP="00BA3ED1">
      <w:pPr>
        <w:tabs>
          <w:tab w:val="left" w:pos="1843"/>
        </w:tabs>
        <w:rPr>
          <w:szCs w:val="24"/>
        </w:rPr>
      </w:pPr>
    </w:p>
    <w:p w:rsidR="00493E1A" w:rsidRDefault="00493E1A" w:rsidP="00493E1A">
      <w:pPr>
        <w:tabs>
          <w:tab w:val="left" w:pos="1134"/>
        </w:tabs>
        <w:ind w:left="1839" w:hanging="1555"/>
        <w:rPr>
          <w:b/>
          <w:szCs w:val="24"/>
        </w:rPr>
      </w:pPr>
      <w:r w:rsidRPr="00493E1A">
        <w:rPr>
          <w:b/>
          <w:szCs w:val="24"/>
        </w:rPr>
        <w:t xml:space="preserve">6. </w:t>
      </w:r>
      <w:r>
        <w:rPr>
          <w:b/>
          <w:szCs w:val="24"/>
        </w:rPr>
        <w:tab/>
      </w:r>
      <w:r w:rsidRPr="00493E1A">
        <w:rPr>
          <w:b/>
          <w:szCs w:val="24"/>
        </w:rPr>
        <w:t xml:space="preserve">International Applicants </w:t>
      </w:r>
    </w:p>
    <w:p w:rsidR="00493E1A" w:rsidRDefault="00493E1A" w:rsidP="00493E1A">
      <w:pPr>
        <w:tabs>
          <w:tab w:val="left" w:pos="1134"/>
        </w:tabs>
        <w:ind w:left="1839" w:hanging="1555"/>
        <w:rPr>
          <w:b/>
          <w:szCs w:val="24"/>
        </w:rPr>
      </w:pPr>
    </w:p>
    <w:p w:rsidR="00684780" w:rsidRDefault="00493E1A" w:rsidP="00684780">
      <w:pPr>
        <w:tabs>
          <w:tab w:val="left" w:pos="1134"/>
        </w:tabs>
        <w:ind w:left="1134" w:hanging="850"/>
        <w:rPr>
          <w:szCs w:val="24"/>
        </w:rPr>
      </w:pPr>
      <w:r w:rsidRPr="00493E1A">
        <w:rPr>
          <w:szCs w:val="24"/>
        </w:rPr>
        <w:t>6.1</w:t>
      </w:r>
      <w:r>
        <w:rPr>
          <w:szCs w:val="24"/>
        </w:rPr>
        <w:tab/>
        <w:t xml:space="preserve">International applicants must complete their application for study in the same way as UK students, ensuring they </w:t>
      </w:r>
      <w:r w:rsidR="005E726F">
        <w:rPr>
          <w:szCs w:val="24"/>
        </w:rPr>
        <w:t xml:space="preserve">comply with declaring any relevant criminal conviction. </w:t>
      </w:r>
    </w:p>
    <w:p w:rsidR="00493E1A" w:rsidRDefault="00493E1A" w:rsidP="00493E1A">
      <w:pPr>
        <w:tabs>
          <w:tab w:val="left" w:pos="1134"/>
        </w:tabs>
        <w:ind w:left="1134" w:hanging="850"/>
        <w:rPr>
          <w:szCs w:val="24"/>
        </w:rPr>
      </w:pPr>
    </w:p>
    <w:p w:rsidR="00C2541A" w:rsidRDefault="00493E1A" w:rsidP="00684780">
      <w:pPr>
        <w:tabs>
          <w:tab w:val="left" w:pos="1134"/>
        </w:tabs>
        <w:ind w:left="1134" w:hanging="850"/>
        <w:rPr>
          <w:szCs w:val="24"/>
        </w:rPr>
      </w:pPr>
      <w:r>
        <w:rPr>
          <w:szCs w:val="24"/>
        </w:rPr>
        <w:t>6.2</w:t>
      </w:r>
      <w:r>
        <w:rPr>
          <w:szCs w:val="24"/>
        </w:rPr>
        <w:tab/>
      </w:r>
      <w:r w:rsidR="00C2541A">
        <w:rPr>
          <w:szCs w:val="24"/>
        </w:rPr>
        <w:t xml:space="preserve">Investigation into any declared criminal conviction will be carried out in line with the above policy.  Where the applicant is applying for a course which does not require a </w:t>
      </w:r>
      <w:r w:rsidR="007B2290">
        <w:rPr>
          <w:szCs w:val="24"/>
        </w:rPr>
        <w:t xml:space="preserve">membership of the PVG scheme, </w:t>
      </w:r>
      <w:r w:rsidR="00C2541A">
        <w:rPr>
          <w:szCs w:val="24"/>
        </w:rPr>
        <w:t xml:space="preserve">the applicant may be asked for a ‘Certificate of Good Conduct’ from their own country, in place of a basic disclosure.  </w:t>
      </w:r>
    </w:p>
    <w:p w:rsidR="00C2541A" w:rsidRDefault="00C2541A" w:rsidP="00684780">
      <w:pPr>
        <w:tabs>
          <w:tab w:val="left" w:pos="1134"/>
        </w:tabs>
        <w:ind w:left="1134" w:hanging="850"/>
        <w:rPr>
          <w:szCs w:val="24"/>
        </w:rPr>
      </w:pPr>
    </w:p>
    <w:p w:rsidR="00D14E50" w:rsidRDefault="00C2541A" w:rsidP="00684780">
      <w:pPr>
        <w:tabs>
          <w:tab w:val="left" w:pos="1134"/>
        </w:tabs>
        <w:ind w:left="1134" w:hanging="850"/>
        <w:rPr>
          <w:szCs w:val="24"/>
        </w:rPr>
      </w:pPr>
      <w:r>
        <w:rPr>
          <w:szCs w:val="24"/>
        </w:rPr>
        <w:t xml:space="preserve">6.3 </w:t>
      </w:r>
      <w:r>
        <w:rPr>
          <w:szCs w:val="24"/>
        </w:rPr>
        <w:tab/>
        <w:t xml:space="preserve">For courses which require </w:t>
      </w:r>
      <w:r w:rsidR="007B2290">
        <w:rPr>
          <w:szCs w:val="24"/>
        </w:rPr>
        <w:t xml:space="preserve">membership of the PVG scheme, international applicants will be asked to </w:t>
      </w:r>
      <w:r w:rsidR="00D14E50">
        <w:rPr>
          <w:szCs w:val="24"/>
        </w:rPr>
        <w:t xml:space="preserve">join the PVG scheme, or complete a PVG scheme record update as per the above policy. </w:t>
      </w:r>
    </w:p>
    <w:p w:rsidR="00D14E50" w:rsidRDefault="00D14E50" w:rsidP="00684780">
      <w:pPr>
        <w:tabs>
          <w:tab w:val="left" w:pos="1134"/>
        </w:tabs>
        <w:ind w:left="1134" w:hanging="850"/>
        <w:rPr>
          <w:szCs w:val="24"/>
        </w:rPr>
      </w:pPr>
    </w:p>
    <w:p w:rsidR="007B2290" w:rsidRDefault="00D14E50" w:rsidP="00684780">
      <w:pPr>
        <w:tabs>
          <w:tab w:val="left" w:pos="1134"/>
        </w:tabs>
        <w:ind w:left="1134" w:hanging="850"/>
        <w:rPr>
          <w:szCs w:val="24"/>
        </w:rPr>
      </w:pPr>
      <w:r>
        <w:rPr>
          <w:szCs w:val="24"/>
        </w:rPr>
        <w:t>6.4</w:t>
      </w:r>
      <w:r>
        <w:rPr>
          <w:szCs w:val="24"/>
        </w:rPr>
        <w:tab/>
        <w:t xml:space="preserve">If an applicant has never lived in the UK, in addition to </w:t>
      </w:r>
      <w:r w:rsidR="00725191">
        <w:rPr>
          <w:szCs w:val="24"/>
        </w:rPr>
        <w:t xml:space="preserve">joining the PVG scheme they are also required to provide one of the following: </w:t>
      </w:r>
    </w:p>
    <w:p w:rsidR="00725191" w:rsidRDefault="00725191" w:rsidP="00725191">
      <w:pPr>
        <w:tabs>
          <w:tab w:val="left" w:pos="1134"/>
        </w:tabs>
        <w:ind w:left="1134" w:hanging="850"/>
        <w:rPr>
          <w:szCs w:val="24"/>
        </w:rPr>
      </w:pPr>
    </w:p>
    <w:p w:rsidR="00725191" w:rsidRDefault="00725191" w:rsidP="00725191">
      <w:pPr>
        <w:tabs>
          <w:tab w:val="left" w:pos="1134"/>
        </w:tabs>
        <w:ind w:left="1134" w:hanging="850"/>
        <w:rPr>
          <w:szCs w:val="24"/>
        </w:rPr>
      </w:pPr>
      <w:r>
        <w:rPr>
          <w:szCs w:val="24"/>
        </w:rPr>
        <w:tab/>
        <w:t>6.4.1</w:t>
      </w:r>
      <w:r>
        <w:rPr>
          <w:szCs w:val="24"/>
        </w:rPr>
        <w:tab/>
        <w:t>A certificate of good conduct and/or police certificate</w:t>
      </w:r>
      <w:r w:rsidR="00B30FF4">
        <w:rPr>
          <w:rStyle w:val="FootnoteReference"/>
          <w:szCs w:val="24"/>
        </w:rPr>
        <w:footnoteReference w:id="4"/>
      </w:r>
      <w:r>
        <w:rPr>
          <w:szCs w:val="24"/>
        </w:rPr>
        <w:t xml:space="preserve"> </w:t>
      </w:r>
    </w:p>
    <w:p w:rsidR="00725191" w:rsidRDefault="00725191" w:rsidP="00A52217">
      <w:pPr>
        <w:tabs>
          <w:tab w:val="left" w:pos="1134"/>
        </w:tabs>
        <w:ind w:left="2159" w:hanging="1875"/>
        <w:rPr>
          <w:szCs w:val="24"/>
        </w:rPr>
      </w:pPr>
      <w:r>
        <w:rPr>
          <w:szCs w:val="24"/>
        </w:rPr>
        <w:tab/>
        <w:t>6.4.2</w:t>
      </w:r>
      <w:r>
        <w:rPr>
          <w:szCs w:val="24"/>
        </w:rPr>
        <w:tab/>
        <w:t xml:space="preserve">If the applicant’s home country does not provide the above, </w:t>
      </w:r>
      <w:r w:rsidR="00A52217">
        <w:rPr>
          <w:szCs w:val="24"/>
        </w:rPr>
        <w:t xml:space="preserve">the applicant must complete a self-certificate which confirms they have no criminal record in their home country </w:t>
      </w:r>
    </w:p>
    <w:p w:rsidR="00684780" w:rsidRDefault="00684780" w:rsidP="00A52217">
      <w:pPr>
        <w:tabs>
          <w:tab w:val="left" w:pos="1134"/>
        </w:tabs>
        <w:rPr>
          <w:szCs w:val="24"/>
        </w:rPr>
      </w:pPr>
    </w:p>
    <w:p w:rsidR="00A52217" w:rsidRDefault="00A52217" w:rsidP="00B65AD0">
      <w:pPr>
        <w:tabs>
          <w:tab w:val="left" w:pos="1134"/>
        </w:tabs>
        <w:ind w:left="1134" w:hanging="850"/>
        <w:rPr>
          <w:szCs w:val="24"/>
        </w:rPr>
      </w:pPr>
      <w:r>
        <w:rPr>
          <w:szCs w:val="24"/>
        </w:rPr>
        <w:t>6.5</w:t>
      </w:r>
      <w:r w:rsidR="00684780">
        <w:rPr>
          <w:szCs w:val="24"/>
        </w:rPr>
        <w:tab/>
      </w:r>
      <w:r>
        <w:rPr>
          <w:szCs w:val="24"/>
        </w:rPr>
        <w:t xml:space="preserve">Investigations into any declared criminal convictions will be dealt with as outlined in Sections 1-5 of this policy </w:t>
      </w:r>
    </w:p>
    <w:p w:rsidR="00F103DD" w:rsidRDefault="00F103DD" w:rsidP="00B65AD0">
      <w:pPr>
        <w:tabs>
          <w:tab w:val="left" w:pos="1134"/>
        </w:tabs>
        <w:ind w:left="1134" w:hanging="850"/>
        <w:rPr>
          <w:szCs w:val="24"/>
        </w:rPr>
      </w:pPr>
    </w:p>
    <w:p w:rsidR="00F103DD" w:rsidRPr="00F103DD" w:rsidRDefault="00F103DD" w:rsidP="00F103DD">
      <w:pPr>
        <w:tabs>
          <w:tab w:val="left" w:pos="1134"/>
        </w:tabs>
        <w:ind w:left="1134" w:hanging="850"/>
        <w:rPr>
          <w:b/>
          <w:szCs w:val="24"/>
        </w:rPr>
      </w:pPr>
      <w:r w:rsidRPr="00F103DD">
        <w:rPr>
          <w:b/>
          <w:szCs w:val="24"/>
        </w:rPr>
        <w:t>7.</w:t>
      </w:r>
      <w:r w:rsidRPr="00F103DD">
        <w:rPr>
          <w:b/>
          <w:szCs w:val="24"/>
        </w:rPr>
        <w:tab/>
        <w:t xml:space="preserve">Transition to Study </w:t>
      </w:r>
    </w:p>
    <w:p w:rsidR="00F103DD" w:rsidRDefault="00F103DD" w:rsidP="00F103DD">
      <w:pPr>
        <w:tabs>
          <w:tab w:val="left" w:pos="1134"/>
        </w:tabs>
        <w:ind w:left="1134" w:hanging="850"/>
        <w:rPr>
          <w:szCs w:val="24"/>
        </w:rPr>
      </w:pPr>
    </w:p>
    <w:p w:rsidR="00F858F7" w:rsidRPr="00F858F7" w:rsidRDefault="00F103DD" w:rsidP="00AA4FDC">
      <w:pPr>
        <w:tabs>
          <w:tab w:val="left" w:pos="1134"/>
        </w:tabs>
        <w:ind w:left="1134" w:hanging="850"/>
      </w:pPr>
      <w:r>
        <w:rPr>
          <w:szCs w:val="24"/>
        </w:rPr>
        <w:tab/>
        <w:t xml:space="preserve">Where the final decision of the University is to admit the student to their chosen programme of study, consent will be sought from the applicant to pass the information relating to their case to their Personal Development Tutor (PDT). </w:t>
      </w:r>
    </w:p>
    <w:sectPr w:rsidR="00F858F7" w:rsidRPr="00F858F7" w:rsidSect="00E809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CE" w:rsidRDefault="000218CE" w:rsidP="00A9090E">
      <w:r>
        <w:separator/>
      </w:r>
    </w:p>
  </w:endnote>
  <w:endnote w:type="continuationSeparator" w:id="0">
    <w:p w:rsidR="000218CE" w:rsidRDefault="000218CE" w:rsidP="00A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75" w:rsidRPr="00C61E54" w:rsidRDefault="00897675">
    <w:pPr>
      <w:pStyle w:val="Footer"/>
      <w:rPr>
        <w:color w:val="808080" w:themeColor="background1" w:themeShade="80"/>
        <w:sz w:val="20"/>
        <w:szCs w:val="20"/>
      </w:rPr>
    </w:pPr>
    <w:r w:rsidRPr="00C61E54">
      <w:rPr>
        <w:color w:val="808080" w:themeColor="background1" w:themeShade="80"/>
        <w:sz w:val="20"/>
        <w:szCs w:val="20"/>
      </w:rPr>
      <w:t>Policy for Applicants wit</w:t>
    </w:r>
    <w:r w:rsidR="00C61E54" w:rsidRPr="00C61E54">
      <w:rPr>
        <w:color w:val="808080" w:themeColor="background1" w:themeShade="80"/>
        <w:sz w:val="20"/>
        <w:szCs w:val="20"/>
      </w:rPr>
      <w:t>h Declared Criminal Convictions. Academic Board 051214</w:t>
    </w:r>
    <w:r w:rsidR="0040279D">
      <w:rPr>
        <w:color w:val="808080" w:themeColor="background1" w:themeShade="80"/>
        <w:sz w:val="20"/>
        <w:szCs w:val="20"/>
      </w:rPr>
      <w:t xml:space="preserve">. Updated </w:t>
    </w:r>
    <w:r w:rsidR="00502958">
      <w:rPr>
        <w:color w:val="808080" w:themeColor="background1" w:themeShade="80"/>
        <w:sz w:val="20"/>
        <w:szCs w:val="20"/>
      </w:rPr>
      <w:t>30/10/18</w:t>
    </w:r>
    <w:r w:rsidR="0040279D">
      <w:rPr>
        <w:color w:val="808080" w:themeColor="background1"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CE" w:rsidRDefault="000218CE" w:rsidP="00A9090E">
      <w:r>
        <w:separator/>
      </w:r>
    </w:p>
  </w:footnote>
  <w:footnote w:type="continuationSeparator" w:id="0">
    <w:p w:rsidR="000218CE" w:rsidRDefault="000218CE" w:rsidP="00A9090E">
      <w:r>
        <w:continuationSeparator/>
      </w:r>
    </w:p>
  </w:footnote>
  <w:footnote w:id="1">
    <w:p w:rsidR="00E644A8" w:rsidRDefault="00E644A8" w:rsidP="00A01C93">
      <w:pPr>
        <w:pStyle w:val="FootnoteText"/>
      </w:pPr>
      <w:r>
        <w:rPr>
          <w:rStyle w:val="FootnoteReference"/>
        </w:rPr>
        <w:footnoteRef/>
      </w:r>
      <w:r>
        <w:t xml:space="preserve"> Relevant Criminal Conviction is defined as offences against the person, whether of a violent or sexual nature, or offences involving unlawfully supplying controlled drugs or substances where the conviction concerns commercial drug dealing or trafficking.  Convictions that are spent (as defined by the Rehabilitation of Offenders Act 1974) are not considered to be relevant. </w:t>
      </w:r>
    </w:p>
    <w:p w:rsidR="00E644A8" w:rsidRDefault="00E644A8">
      <w:pPr>
        <w:pStyle w:val="FootnoteText"/>
      </w:pPr>
    </w:p>
  </w:footnote>
  <w:footnote w:id="2">
    <w:p w:rsidR="00E644A8" w:rsidRDefault="00E644A8">
      <w:pPr>
        <w:pStyle w:val="FootnoteText"/>
      </w:pPr>
      <w:r>
        <w:rPr>
          <w:rStyle w:val="FootnoteReference"/>
        </w:rPr>
        <w:footnoteRef/>
      </w:r>
      <w:r>
        <w:t xml:space="preserve"> Minor offences are normally defined by the University as those which resulted in a warning, caution, reprimand, fine or absolute discharge  </w:t>
      </w:r>
    </w:p>
  </w:footnote>
  <w:footnote w:id="3">
    <w:p w:rsidR="00E644A8" w:rsidRDefault="00E644A8" w:rsidP="005E2935">
      <w:pPr>
        <w:pStyle w:val="FootnoteText"/>
      </w:pPr>
      <w:r>
        <w:rPr>
          <w:rStyle w:val="FootnoteReference"/>
        </w:rPr>
        <w:footnoteRef/>
      </w:r>
      <w:r>
        <w:t xml:space="preserve"> Minor offences are normally defined by the University as those which resulted in a warning, caution, reprimand, fine or absolute discharge  </w:t>
      </w:r>
    </w:p>
  </w:footnote>
  <w:footnote w:id="4">
    <w:p w:rsidR="00B30FF4" w:rsidRDefault="00B30FF4">
      <w:pPr>
        <w:pStyle w:val="FootnoteText"/>
      </w:pPr>
      <w:r>
        <w:rPr>
          <w:rStyle w:val="FootnoteReference"/>
        </w:rPr>
        <w:footnoteRef/>
      </w:r>
      <w:r>
        <w:t xml:space="preserve"> Further information on countries where criminal record checks are available can be found at </w:t>
      </w:r>
      <w:hyperlink r:id="rId1" w:history="1">
        <w:r w:rsidRPr="00AC56C3">
          <w:rPr>
            <w:rStyle w:val="Hyperlink"/>
          </w:rPr>
          <w:t>https://www.gov.uk/government/publications/criminal-records-checks-for-overseas-applicants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EB5"/>
    <w:multiLevelType w:val="hybridMultilevel"/>
    <w:tmpl w:val="31CE3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470E7"/>
    <w:multiLevelType w:val="multilevel"/>
    <w:tmpl w:val="296C7A2A"/>
    <w:lvl w:ilvl="0">
      <w:start w:val="1"/>
      <w:numFmt w:val="decimal"/>
      <w:lvlText w:val="%1"/>
      <w:lvlJc w:val="left"/>
      <w:pPr>
        <w:ind w:left="525" w:hanging="525"/>
      </w:pPr>
      <w:rPr>
        <w:rFonts w:eastAsia="SimSun" w:cs="Arial" w:hint="default"/>
      </w:rPr>
    </w:lvl>
    <w:lvl w:ilvl="1">
      <w:start w:val="4"/>
      <w:numFmt w:val="decimal"/>
      <w:lvlText w:val="%1.%2"/>
      <w:lvlJc w:val="left"/>
      <w:pPr>
        <w:ind w:left="525" w:hanging="525"/>
      </w:pPr>
      <w:rPr>
        <w:rFonts w:eastAsia="SimSun" w:cs="Arial" w:hint="default"/>
      </w:rPr>
    </w:lvl>
    <w:lvl w:ilvl="2">
      <w:start w:val="1"/>
      <w:numFmt w:val="decimal"/>
      <w:lvlText w:val="%1.%2.%3"/>
      <w:lvlJc w:val="left"/>
      <w:pPr>
        <w:ind w:left="720" w:hanging="720"/>
      </w:pPr>
      <w:rPr>
        <w:rFonts w:eastAsia="SimSun" w:cs="Arial" w:hint="default"/>
      </w:rPr>
    </w:lvl>
    <w:lvl w:ilvl="3">
      <w:start w:val="1"/>
      <w:numFmt w:val="decimal"/>
      <w:lvlText w:val="%1.%2.%3.%4"/>
      <w:lvlJc w:val="left"/>
      <w:pPr>
        <w:ind w:left="1080" w:hanging="1080"/>
      </w:pPr>
      <w:rPr>
        <w:rFonts w:eastAsia="SimSun" w:cs="Arial" w:hint="default"/>
      </w:rPr>
    </w:lvl>
    <w:lvl w:ilvl="4">
      <w:start w:val="1"/>
      <w:numFmt w:val="decimal"/>
      <w:lvlText w:val="%1.%2.%3.%4.%5"/>
      <w:lvlJc w:val="left"/>
      <w:pPr>
        <w:ind w:left="1080" w:hanging="1080"/>
      </w:pPr>
      <w:rPr>
        <w:rFonts w:eastAsia="SimSun" w:cs="Arial" w:hint="default"/>
      </w:rPr>
    </w:lvl>
    <w:lvl w:ilvl="5">
      <w:start w:val="1"/>
      <w:numFmt w:val="decimal"/>
      <w:lvlText w:val="%1.%2.%3.%4.%5.%6"/>
      <w:lvlJc w:val="left"/>
      <w:pPr>
        <w:ind w:left="1440" w:hanging="1440"/>
      </w:pPr>
      <w:rPr>
        <w:rFonts w:eastAsia="SimSun" w:cs="Arial" w:hint="default"/>
      </w:rPr>
    </w:lvl>
    <w:lvl w:ilvl="6">
      <w:start w:val="1"/>
      <w:numFmt w:val="decimal"/>
      <w:lvlText w:val="%1.%2.%3.%4.%5.%6.%7"/>
      <w:lvlJc w:val="left"/>
      <w:pPr>
        <w:ind w:left="1440" w:hanging="1440"/>
      </w:pPr>
      <w:rPr>
        <w:rFonts w:eastAsia="SimSun" w:cs="Arial" w:hint="default"/>
      </w:rPr>
    </w:lvl>
    <w:lvl w:ilvl="7">
      <w:start w:val="1"/>
      <w:numFmt w:val="decimal"/>
      <w:lvlText w:val="%1.%2.%3.%4.%5.%6.%7.%8"/>
      <w:lvlJc w:val="left"/>
      <w:pPr>
        <w:ind w:left="1800" w:hanging="1800"/>
      </w:pPr>
      <w:rPr>
        <w:rFonts w:eastAsia="SimSun" w:cs="Arial" w:hint="default"/>
      </w:rPr>
    </w:lvl>
    <w:lvl w:ilvl="8">
      <w:start w:val="1"/>
      <w:numFmt w:val="decimal"/>
      <w:lvlText w:val="%1.%2.%3.%4.%5.%6.%7.%8.%9"/>
      <w:lvlJc w:val="left"/>
      <w:pPr>
        <w:ind w:left="1800" w:hanging="1800"/>
      </w:pPr>
      <w:rPr>
        <w:rFonts w:eastAsia="SimSun" w:cs="Arial" w:hint="default"/>
      </w:rPr>
    </w:lvl>
  </w:abstractNum>
  <w:abstractNum w:abstractNumId="2" w15:restartNumberingAfterBreak="0">
    <w:nsid w:val="1AB00405"/>
    <w:multiLevelType w:val="multilevel"/>
    <w:tmpl w:val="E1400710"/>
    <w:lvl w:ilvl="0">
      <w:start w:val="1"/>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2402770"/>
    <w:multiLevelType w:val="multilevel"/>
    <w:tmpl w:val="EB62D4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C02EB6"/>
    <w:multiLevelType w:val="hybridMultilevel"/>
    <w:tmpl w:val="85E28F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371611B4"/>
    <w:multiLevelType w:val="multilevel"/>
    <w:tmpl w:val="B0A4F07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4D976307"/>
    <w:multiLevelType w:val="hybridMultilevel"/>
    <w:tmpl w:val="38E8AB6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E3CE3"/>
    <w:multiLevelType w:val="multilevel"/>
    <w:tmpl w:val="D4E841CC"/>
    <w:lvl w:ilvl="0">
      <w:start w:val="2"/>
      <w:numFmt w:val="decimal"/>
      <w:lvlText w:val="%1"/>
      <w:lvlJc w:val="left"/>
      <w:pPr>
        <w:ind w:left="1376" w:hanging="525"/>
      </w:pPr>
      <w:rPr>
        <w:rFonts w:hint="default"/>
        <w:b/>
      </w:rPr>
    </w:lvl>
    <w:lvl w:ilvl="1">
      <w:start w:val="1"/>
      <w:numFmt w:val="decimal"/>
      <w:lvlText w:val="%1.%2"/>
      <w:lvlJc w:val="left"/>
      <w:pPr>
        <w:ind w:left="951"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BAC192E"/>
    <w:multiLevelType w:val="multilevel"/>
    <w:tmpl w:val="5E78B306"/>
    <w:lvl w:ilvl="0">
      <w:start w:val="1"/>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83D2CB6"/>
    <w:multiLevelType w:val="hybridMultilevel"/>
    <w:tmpl w:val="F25AE8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6C40159"/>
    <w:multiLevelType w:val="multilevel"/>
    <w:tmpl w:val="D3D894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
  </w:num>
  <w:num w:numId="3">
    <w:abstractNumId w:val="2"/>
  </w:num>
  <w:num w:numId="4">
    <w:abstractNumId w:val="0"/>
  </w:num>
  <w:num w:numId="5">
    <w:abstractNumId w:val="10"/>
  </w:num>
  <w:num w:numId="6">
    <w:abstractNumId w:val="1"/>
  </w:num>
  <w:num w:numId="7">
    <w:abstractNumId w:val="8"/>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E"/>
    <w:rsid w:val="000218CE"/>
    <w:rsid w:val="000307DF"/>
    <w:rsid w:val="00031F74"/>
    <w:rsid w:val="000323ED"/>
    <w:rsid w:val="00061FB4"/>
    <w:rsid w:val="00071822"/>
    <w:rsid w:val="000C08E0"/>
    <w:rsid w:val="000F3CAF"/>
    <w:rsid w:val="001B569F"/>
    <w:rsid w:val="001E35BA"/>
    <w:rsid w:val="001E4E03"/>
    <w:rsid w:val="001F3B13"/>
    <w:rsid w:val="001F3F8C"/>
    <w:rsid w:val="001F6846"/>
    <w:rsid w:val="0022156C"/>
    <w:rsid w:val="00224E50"/>
    <w:rsid w:val="00252CAF"/>
    <w:rsid w:val="00271C24"/>
    <w:rsid w:val="00291D2A"/>
    <w:rsid w:val="002A18AA"/>
    <w:rsid w:val="002A288F"/>
    <w:rsid w:val="002B2D19"/>
    <w:rsid w:val="002C25EB"/>
    <w:rsid w:val="002E66AE"/>
    <w:rsid w:val="00337B8E"/>
    <w:rsid w:val="00342DAE"/>
    <w:rsid w:val="00351D6F"/>
    <w:rsid w:val="0039053F"/>
    <w:rsid w:val="00395A0F"/>
    <w:rsid w:val="003A67FE"/>
    <w:rsid w:val="003A71F4"/>
    <w:rsid w:val="003B201A"/>
    <w:rsid w:val="003B2E74"/>
    <w:rsid w:val="003C08CB"/>
    <w:rsid w:val="003D16E9"/>
    <w:rsid w:val="003D2820"/>
    <w:rsid w:val="003F429E"/>
    <w:rsid w:val="0040279D"/>
    <w:rsid w:val="00415884"/>
    <w:rsid w:val="0042063B"/>
    <w:rsid w:val="0042420A"/>
    <w:rsid w:val="0043085A"/>
    <w:rsid w:val="00486AE0"/>
    <w:rsid w:val="00487F97"/>
    <w:rsid w:val="00493E1A"/>
    <w:rsid w:val="004A10FC"/>
    <w:rsid w:val="004C0169"/>
    <w:rsid w:val="004D533D"/>
    <w:rsid w:val="004E5630"/>
    <w:rsid w:val="00502958"/>
    <w:rsid w:val="005562CA"/>
    <w:rsid w:val="005E2935"/>
    <w:rsid w:val="005E726F"/>
    <w:rsid w:val="006441A8"/>
    <w:rsid w:val="00662905"/>
    <w:rsid w:val="00684780"/>
    <w:rsid w:val="0069180F"/>
    <w:rsid w:val="006D7ED4"/>
    <w:rsid w:val="0070231F"/>
    <w:rsid w:val="00725191"/>
    <w:rsid w:val="00730913"/>
    <w:rsid w:val="00750C23"/>
    <w:rsid w:val="00766FB5"/>
    <w:rsid w:val="00775BAC"/>
    <w:rsid w:val="007817E7"/>
    <w:rsid w:val="00792499"/>
    <w:rsid w:val="007B2290"/>
    <w:rsid w:val="007E5311"/>
    <w:rsid w:val="007E78DF"/>
    <w:rsid w:val="007F33F6"/>
    <w:rsid w:val="0088016E"/>
    <w:rsid w:val="00897675"/>
    <w:rsid w:val="0090667B"/>
    <w:rsid w:val="009453DB"/>
    <w:rsid w:val="00976CBD"/>
    <w:rsid w:val="00981D8F"/>
    <w:rsid w:val="00986460"/>
    <w:rsid w:val="009B112A"/>
    <w:rsid w:val="009B7F51"/>
    <w:rsid w:val="00A01C93"/>
    <w:rsid w:val="00A236B5"/>
    <w:rsid w:val="00A27297"/>
    <w:rsid w:val="00A52217"/>
    <w:rsid w:val="00A66817"/>
    <w:rsid w:val="00A714A5"/>
    <w:rsid w:val="00A718B7"/>
    <w:rsid w:val="00A76D9C"/>
    <w:rsid w:val="00A9090E"/>
    <w:rsid w:val="00A909FD"/>
    <w:rsid w:val="00AA4FDC"/>
    <w:rsid w:val="00AB13CB"/>
    <w:rsid w:val="00AD6C91"/>
    <w:rsid w:val="00B01715"/>
    <w:rsid w:val="00B04944"/>
    <w:rsid w:val="00B30DD2"/>
    <w:rsid w:val="00B30FF4"/>
    <w:rsid w:val="00B45C3E"/>
    <w:rsid w:val="00B65AD0"/>
    <w:rsid w:val="00B743C0"/>
    <w:rsid w:val="00B80B7C"/>
    <w:rsid w:val="00B956D5"/>
    <w:rsid w:val="00BA1097"/>
    <w:rsid w:val="00BA3ED1"/>
    <w:rsid w:val="00BF6A85"/>
    <w:rsid w:val="00C016C8"/>
    <w:rsid w:val="00C1025B"/>
    <w:rsid w:val="00C2541A"/>
    <w:rsid w:val="00C3556A"/>
    <w:rsid w:val="00C4441B"/>
    <w:rsid w:val="00C451DE"/>
    <w:rsid w:val="00C52FF3"/>
    <w:rsid w:val="00C61E54"/>
    <w:rsid w:val="00C649A2"/>
    <w:rsid w:val="00C660B4"/>
    <w:rsid w:val="00C715C9"/>
    <w:rsid w:val="00C72455"/>
    <w:rsid w:val="00C9451E"/>
    <w:rsid w:val="00CD1455"/>
    <w:rsid w:val="00CD4732"/>
    <w:rsid w:val="00CF1267"/>
    <w:rsid w:val="00CF14F5"/>
    <w:rsid w:val="00D06FDD"/>
    <w:rsid w:val="00D14E50"/>
    <w:rsid w:val="00D16EC5"/>
    <w:rsid w:val="00D24F91"/>
    <w:rsid w:val="00D30592"/>
    <w:rsid w:val="00D50B59"/>
    <w:rsid w:val="00D52BF4"/>
    <w:rsid w:val="00D56200"/>
    <w:rsid w:val="00D74767"/>
    <w:rsid w:val="00DE530E"/>
    <w:rsid w:val="00E11FF9"/>
    <w:rsid w:val="00E12D45"/>
    <w:rsid w:val="00E4422A"/>
    <w:rsid w:val="00E45B7F"/>
    <w:rsid w:val="00E644A8"/>
    <w:rsid w:val="00E809BC"/>
    <w:rsid w:val="00EC7CA1"/>
    <w:rsid w:val="00EE513D"/>
    <w:rsid w:val="00EE7792"/>
    <w:rsid w:val="00F103DD"/>
    <w:rsid w:val="00F178DE"/>
    <w:rsid w:val="00F26F38"/>
    <w:rsid w:val="00F43A3B"/>
    <w:rsid w:val="00F858F7"/>
    <w:rsid w:val="00FA227D"/>
    <w:rsid w:val="00FD2DB6"/>
    <w:rsid w:val="00FF03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2A1BE"/>
  <w15:docId w15:val="{A301D193-9CBF-4929-AAF0-75D207A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90E"/>
    <w:pPr>
      <w:ind w:left="720"/>
      <w:contextualSpacing/>
    </w:pPr>
    <w:rPr>
      <w:rFonts w:eastAsia="SimSun" w:cs="Arial"/>
      <w:sz w:val="22"/>
    </w:rPr>
  </w:style>
  <w:style w:type="paragraph" w:styleId="FootnoteText">
    <w:name w:val="footnote text"/>
    <w:basedOn w:val="Normal"/>
    <w:link w:val="FootnoteTextChar"/>
    <w:uiPriority w:val="99"/>
    <w:semiHidden/>
    <w:unhideWhenUsed/>
    <w:rsid w:val="00A9090E"/>
    <w:pPr>
      <w:ind w:left="720"/>
    </w:pPr>
    <w:rPr>
      <w:rFonts w:eastAsia="SimSun" w:cs="Arial"/>
      <w:sz w:val="20"/>
      <w:szCs w:val="20"/>
    </w:rPr>
  </w:style>
  <w:style w:type="character" w:customStyle="1" w:styleId="FootnoteTextChar">
    <w:name w:val="Footnote Text Char"/>
    <w:basedOn w:val="DefaultParagraphFont"/>
    <w:link w:val="FootnoteText"/>
    <w:uiPriority w:val="99"/>
    <w:semiHidden/>
    <w:rsid w:val="00A9090E"/>
    <w:rPr>
      <w:rFonts w:eastAsia="SimSun" w:cs="Arial"/>
      <w:sz w:val="20"/>
      <w:szCs w:val="20"/>
    </w:rPr>
  </w:style>
  <w:style w:type="character" w:styleId="FootnoteReference">
    <w:name w:val="footnote reference"/>
    <w:basedOn w:val="DefaultParagraphFont"/>
    <w:uiPriority w:val="99"/>
    <w:semiHidden/>
    <w:unhideWhenUsed/>
    <w:rsid w:val="00A9090E"/>
    <w:rPr>
      <w:vertAlign w:val="superscript"/>
    </w:rPr>
  </w:style>
  <w:style w:type="paragraph" w:styleId="Header">
    <w:name w:val="header"/>
    <w:basedOn w:val="Normal"/>
    <w:link w:val="HeaderChar"/>
    <w:uiPriority w:val="99"/>
    <w:unhideWhenUsed/>
    <w:rsid w:val="00A27297"/>
    <w:pPr>
      <w:tabs>
        <w:tab w:val="center" w:pos="4513"/>
        <w:tab w:val="right" w:pos="9026"/>
      </w:tabs>
    </w:pPr>
  </w:style>
  <w:style w:type="character" w:customStyle="1" w:styleId="HeaderChar">
    <w:name w:val="Header Char"/>
    <w:basedOn w:val="DefaultParagraphFont"/>
    <w:link w:val="Header"/>
    <w:uiPriority w:val="99"/>
    <w:rsid w:val="00A27297"/>
  </w:style>
  <w:style w:type="paragraph" w:styleId="Footer">
    <w:name w:val="footer"/>
    <w:basedOn w:val="Normal"/>
    <w:link w:val="FooterChar"/>
    <w:uiPriority w:val="99"/>
    <w:unhideWhenUsed/>
    <w:rsid w:val="00A27297"/>
    <w:pPr>
      <w:tabs>
        <w:tab w:val="center" w:pos="4513"/>
        <w:tab w:val="right" w:pos="9026"/>
      </w:tabs>
    </w:pPr>
  </w:style>
  <w:style w:type="character" w:customStyle="1" w:styleId="FooterChar">
    <w:name w:val="Footer Char"/>
    <w:basedOn w:val="DefaultParagraphFont"/>
    <w:link w:val="Footer"/>
    <w:uiPriority w:val="99"/>
    <w:rsid w:val="00A27297"/>
  </w:style>
  <w:style w:type="character" w:styleId="Hyperlink">
    <w:name w:val="Hyperlink"/>
    <w:basedOn w:val="DefaultParagraphFont"/>
    <w:uiPriority w:val="99"/>
    <w:unhideWhenUsed/>
    <w:rsid w:val="00684780"/>
    <w:rPr>
      <w:color w:val="0000FF" w:themeColor="hyperlink"/>
      <w:u w:val="single"/>
    </w:rPr>
  </w:style>
  <w:style w:type="paragraph" w:styleId="BalloonText">
    <w:name w:val="Balloon Text"/>
    <w:basedOn w:val="Normal"/>
    <w:link w:val="BalloonTextChar"/>
    <w:uiPriority w:val="99"/>
    <w:semiHidden/>
    <w:unhideWhenUsed/>
    <w:rsid w:val="001E4E03"/>
    <w:rPr>
      <w:rFonts w:ascii="Tahoma" w:hAnsi="Tahoma" w:cs="Tahoma"/>
      <w:sz w:val="16"/>
      <w:szCs w:val="16"/>
    </w:rPr>
  </w:style>
  <w:style w:type="character" w:customStyle="1" w:styleId="BalloonTextChar">
    <w:name w:val="Balloon Text Char"/>
    <w:basedOn w:val="DefaultParagraphFont"/>
    <w:link w:val="BalloonText"/>
    <w:uiPriority w:val="99"/>
    <w:semiHidden/>
    <w:rsid w:val="001E4E03"/>
    <w:rPr>
      <w:rFonts w:ascii="Tahoma" w:hAnsi="Tahoma" w:cs="Tahoma"/>
      <w:sz w:val="16"/>
      <w:szCs w:val="16"/>
    </w:rPr>
  </w:style>
  <w:style w:type="character" w:styleId="FollowedHyperlink">
    <w:name w:val="FollowedHyperlink"/>
    <w:basedOn w:val="DefaultParagraphFont"/>
    <w:uiPriority w:val="99"/>
    <w:semiHidden/>
    <w:unhideWhenUsed/>
    <w:rsid w:val="00EE7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vgschemescotlan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636C-DB5E-4A47-AA84-A802F4DF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1982</Words>
  <Characters>11300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sa17</dc:creator>
  <cp:lastModifiedBy>Renucci, Paola</cp:lastModifiedBy>
  <cp:revision>2</cp:revision>
  <cp:lastPrinted>2013-06-12T15:52:00Z</cp:lastPrinted>
  <dcterms:created xsi:type="dcterms:W3CDTF">2018-10-30T13:44:00Z</dcterms:created>
  <dcterms:modified xsi:type="dcterms:W3CDTF">2018-10-30T13:44:00Z</dcterms:modified>
</cp:coreProperties>
</file>