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8B6BE" w14:textId="77777777" w:rsidR="002A5D0A" w:rsidRPr="007E17C7" w:rsidRDefault="006D6B2F" w:rsidP="00785788">
      <w:pPr>
        <w:pStyle w:val="ASNumberedLevel1"/>
        <w:spacing w:before="0"/>
        <w:rPr>
          <w:color w:val="44546A" w:themeColor="text2"/>
        </w:rPr>
      </w:pPr>
      <w:r w:rsidRPr="007E17C7">
        <w:rPr>
          <w:b/>
          <w:color w:val="44546A" w:themeColor="text2"/>
        </w:rPr>
        <w:t>Check-in / Check-out</w:t>
      </w:r>
    </w:p>
    <w:p w14:paraId="51775F41" w14:textId="52079653" w:rsidR="002A5D0A" w:rsidRPr="00B37DAE" w:rsidRDefault="006D6B2F" w:rsidP="002A5D0A">
      <w:pPr>
        <w:pStyle w:val="ASNumberedLevel2"/>
      </w:pPr>
      <w:r w:rsidRPr="00B37DAE">
        <w:t>Check in is from 3.00 pm on the day of arrival</w:t>
      </w:r>
      <w:r w:rsidR="007E17C7">
        <w:t>.</w:t>
      </w:r>
    </w:p>
    <w:p w14:paraId="6B8E1E59" w14:textId="081ED389" w:rsidR="002A5D0A" w:rsidRPr="00B37DAE" w:rsidRDefault="006D6B2F" w:rsidP="002A5D0A">
      <w:pPr>
        <w:pStyle w:val="ASNumberedLevel2"/>
      </w:pPr>
      <w:r w:rsidRPr="00B37DAE">
        <w:t>Check-out is by 1</w:t>
      </w:r>
      <w:r w:rsidR="004D0DBA" w:rsidRPr="00B37DAE">
        <w:t>0</w:t>
      </w:r>
      <w:r w:rsidRPr="00B37DAE">
        <w:t>.00 am on the day of departure</w:t>
      </w:r>
      <w:r w:rsidR="007E17C7">
        <w:t>.</w:t>
      </w:r>
    </w:p>
    <w:p w14:paraId="462F1F16" w14:textId="6F3F4DE6" w:rsidR="0012206C" w:rsidRPr="00263AA1" w:rsidRDefault="005F5352" w:rsidP="00263AA1">
      <w:pPr>
        <w:pStyle w:val="ASNumberedLevel2"/>
        <w:ind w:left="454"/>
      </w:pPr>
      <w:r w:rsidRPr="003F2C0C">
        <w:t xml:space="preserve">Please note, we do not offer early check ins or late check outs at our apartments. </w:t>
      </w:r>
      <w:r w:rsidR="003F2C0C">
        <w:t xml:space="preserve">We can store luggage on request. </w:t>
      </w:r>
      <w:r w:rsidR="00263AA1">
        <w:t xml:space="preserve">Please note </w:t>
      </w:r>
      <w:r w:rsidR="00263AA1" w:rsidRPr="00AE7CB6">
        <w:t>items left are at the owner’s risk and that there</w:t>
      </w:r>
      <w:r w:rsidR="00263AA1">
        <w:t xml:space="preserve"> is no liability for loss and/</w:t>
      </w:r>
      <w:r w:rsidR="00263AA1" w:rsidRPr="00AE7CB6">
        <w:t>or damage on the part of the University.</w:t>
      </w:r>
    </w:p>
    <w:p w14:paraId="18C8786B" w14:textId="77777777" w:rsidR="002A5D0A" w:rsidRPr="007E17C7" w:rsidRDefault="004D0DBA" w:rsidP="002A5D0A">
      <w:pPr>
        <w:pStyle w:val="ASNumberedLevel1"/>
        <w:rPr>
          <w:color w:val="44546A" w:themeColor="text2"/>
        </w:rPr>
      </w:pPr>
      <w:r w:rsidRPr="007E17C7">
        <w:rPr>
          <w:b/>
          <w:color w:val="44546A" w:themeColor="text2"/>
        </w:rPr>
        <w:t>Out of Hours Access</w:t>
      </w:r>
    </w:p>
    <w:p w14:paraId="5DC06A26" w14:textId="0AFE3995" w:rsidR="004D0DBA" w:rsidRPr="00B37DAE" w:rsidRDefault="001815D3" w:rsidP="002A5D0A">
      <w:pPr>
        <w:pStyle w:val="ASNumberedLevel2"/>
      </w:pPr>
      <w:r w:rsidRPr="00B37DAE">
        <w:t xml:space="preserve">Reception is open </w:t>
      </w:r>
      <w:r w:rsidRPr="003F2C0C">
        <w:t xml:space="preserve">from </w:t>
      </w:r>
      <w:r w:rsidR="003F2C0C">
        <w:t>9</w:t>
      </w:r>
      <w:r w:rsidR="00DD1ADB" w:rsidRPr="003F2C0C">
        <w:t>am til</w:t>
      </w:r>
      <w:r w:rsidR="00C03360" w:rsidRPr="003F2C0C">
        <w:t>l</w:t>
      </w:r>
      <w:r w:rsidR="00DD1ADB" w:rsidRPr="003F2C0C">
        <w:t xml:space="preserve"> </w:t>
      </w:r>
      <w:r w:rsidR="003F2C0C">
        <w:t>7pm</w:t>
      </w:r>
      <w:r w:rsidR="00026C63" w:rsidRPr="00026C63">
        <w:rPr>
          <w:color w:val="FF0000"/>
        </w:rPr>
        <w:t xml:space="preserve"> </w:t>
      </w:r>
      <w:r w:rsidR="00DD1ADB" w:rsidRPr="00B37DAE">
        <w:t>daily at</w:t>
      </w:r>
      <w:r w:rsidRPr="00B37DAE">
        <w:t xml:space="preserve"> both</w:t>
      </w:r>
      <w:r w:rsidR="00DD1ADB" w:rsidRPr="00B37DAE">
        <w:t xml:space="preserve"> our </w:t>
      </w:r>
      <w:proofErr w:type="spellStart"/>
      <w:r w:rsidR="00DD1ADB" w:rsidRPr="00B37DAE">
        <w:t>Bainfield</w:t>
      </w:r>
      <w:proofErr w:type="spellEnd"/>
      <w:r w:rsidR="003E0E1C" w:rsidRPr="00B37DAE">
        <w:t xml:space="preserve"> </w:t>
      </w:r>
      <w:r w:rsidR="00707E63" w:rsidRPr="00B37DAE">
        <w:t>&amp; Orwell Ter</w:t>
      </w:r>
      <w:r w:rsidRPr="00B37DAE">
        <w:t>race</w:t>
      </w:r>
      <w:r w:rsidR="00DD1ADB" w:rsidRPr="00B37DAE">
        <w:t xml:space="preserve"> residence</w:t>
      </w:r>
      <w:r w:rsidRPr="00B37DAE">
        <w:t>s.</w:t>
      </w:r>
      <w:r w:rsidR="00E82525">
        <w:t xml:space="preserve"> </w:t>
      </w:r>
    </w:p>
    <w:p w14:paraId="39B5265F" w14:textId="07251833" w:rsidR="004D0DBA" w:rsidRPr="005F5352" w:rsidRDefault="00DD1ADB" w:rsidP="006D6B2F">
      <w:pPr>
        <w:pStyle w:val="ASNumberedLevel2"/>
      </w:pPr>
      <w:r w:rsidRPr="00B37DAE">
        <w:rPr>
          <w:rFonts w:asciiTheme="minorHAnsi" w:hAnsiTheme="minorHAnsi"/>
        </w:rPr>
        <w:t>For arrivals out</w:t>
      </w:r>
      <w:r w:rsidR="00E82525">
        <w:rPr>
          <w:rFonts w:asciiTheme="minorHAnsi" w:hAnsiTheme="minorHAnsi"/>
        </w:rPr>
        <w:t>-</w:t>
      </w:r>
      <w:r w:rsidRPr="00B37DAE">
        <w:rPr>
          <w:rFonts w:asciiTheme="minorHAnsi" w:hAnsiTheme="minorHAnsi"/>
        </w:rPr>
        <w:t>with these hours, p</w:t>
      </w:r>
      <w:r w:rsidR="004D0DBA" w:rsidRPr="00B37DAE">
        <w:rPr>
          <w:rFonts w:asciiTheme="minorHAnsi" w:hAnsiTheme="minorHAnsi"/>
        </w:rPr>
        <w:t xml:space="preserve">lease follow the instructions on the signage at reception. You will need to call our Security Team </w:t>
      </w:r>
      <w:r w:rsidR="00E82525">
        <w:rPr>
          <w:rFonts w:asciiTheme="minorHAnsi" w:hAnsiTheme="minorHAnsi"/>
        </w:rPr>
        <w:t xml:space="preserve">0131 455 6119 </w:t>
      </w:r>
      <w:r w:rsidR="004D0DBA" w:rsidRPr="00B37DAE">
        <w:rPr>
          <w:rFonts w:asciiTheme="minorHAnsi" w:hAnsiTheme="minorHAnsi"/>
        </w:rPr>
        <w:t xml:space="preserve">who will be expecting you and will give you access to your room. If members of your group have already arrived during reception open hours, they can also sign out your key in advance for you. </w:t>
      </w:r>
    </w:p>
    <w:p w14:paraId="147D9DF5" w14:textId="0D0F3BDB" w:rsidR="005F5352" w:rsidRPr="003F2C0C" w:rsidRDefault="005F5352" w:rsidP="005F5352">
      <w:pPr>
        <w:pStyle w:val="ASNumberedLevel1"/>
        <w:rPr>
          <w:b/>
          <w:color w:val="44546A" w:themeColor="text2"/>
        </w:rPr>
      </w:pPr>
      <w:r w:rsidRPr="003F2C0C">
        <w:rPr>
          <w:b/>
          <w:color w:val="44546A" w:themeColor="text2"/>
        </w:rPr>
        <w:t>Rooming Allocations</w:t>
      </w:r>
      <w:r w:rsidR="00026C63" w:rsidRPr="003F2C0C">
        <w:rPr>
          <w:b/>
          <w:color w:val="44546A" w:themeColor="text2"/>
        </w:rPr>
        <w:t xml:space="preserve"> &amp; Occup</w:t>
      </w:r>
      <w:r w:rsidRPr="003F2C0C">
        <w:rPr>
          <w:b/>
          <w:color w:val="44546A" w:themeColor="text2"/>
        </w:rPr>
        <w:t xml:space="preserve">ancy </w:t>
      </w:r>
    </w:p>
    <w:p w14:paraId="3AEEF97D" w14:textId="693BFF9C" w:rsidR="005F5352" w:rsidRPr="003F2C0C" w:rsidRDefault="005F5352" w:rsidP="005F5352">
      <w:pPr>
        <w:pStyle w:val="ASNumberedLevel2"/>
        <w:rPr>
          <w:b/>
        </w:rPr>
      </w:pPr>
      <w:r w:rsidRPr="003F2C0C">
        <w:rPr>
          <w:rFonts w:asciiTheme="minorHAnsi" w:hAnsiTheme="minorHAnsi"/>
        </w:rPr>
        <w:t xml:space="preserve">Our apartments range in size from studios to 9 bedrooms. </w:t>
      </w:r>
      <w:r w:rsidR="001A1D39">
        <w:rPr>
          <w:rFonts w:asciiTheme="minorHAnsi" w:hAnsiTheme="minorHAnsi"/>
        </w:rPr>
        <w:t xml:space="preserve">The names of all guests </w:t>
      </w:r>
      <w:r w:rsidRPr="003F2C0C">
        <w:rPr>
          <w:rFonts w:asciiTheme="minorHAnsi" w:hAnsiTheme="minorHAnsi"/>
        </w:rPr>
        <w:t xml:space="preserve">must be </w:t>
      </w:r>
      <w:r w:rsidR="001A1D39">
        <w:rPr>
          <w:rFonts w:asciiTheme="minorHAnsi" w:hAnsiTheme="minorHAnsi"/>
        </w:rPr>
        <w:t xml:space="preserve">provided for all rooms. </w:t>
      </w:r>
    </w:p>
    <w:p w14:paraId="641EAEEB" w14:textId="448A4EB5" w:rsidR="005F5352" w:rsidRPr="003F2C0C" w:rsidRDefault="005F5352" w:rsidP="005F5352">
      <w:pPr>
        <w:pStyle w:val="ASNumberedLevel2"/>
        <w:rPr>
          <w:b/>
        </w:rPr>
      </w:pPr>
      <w:r w:rsidRPr="003F2C0C">
        <w:rPr>
          <w:rFonts w:asciiTheme="minorHAnsi" w:hAnsiTheme="minorHAnsi"/>
        </w:rPr>
        <w:t xml:space="preserve">The names of each guest/s using each room must be provided to ENU prior to check in. Forms to fill in will be sent by email </w:t>
      </w:r>
      <w:r w:rsidR="002767C9">
        <w:rPr>
          <w:rFonts w:asciiTheme="minorHAnsi" w:hAnsiTheme="minorHAnsi"/>
        </w:rPr>
        <w:t>3</w:t>
      </w:r>
      <w:r w:rsidRPr="003F2C0C">
        <w:rPr>
          <w:rFonts w:asciiTheme="minorHAnsi" w:hAnsiTheme="minorHAnsi"/>
        </w:rPr>
        <w:t xml:space="preserve"> weeks prior to arrival date</w:t>
      </w:r>
      <w:r w:rsidR="007F6215">
        <w:rPr>
          <w:rFonts w:asciiTheme="minorHAnsi" w:hAnsiTheme="minorHAnsi"/>
        </w:rPr>
        <w:t xml:space="preserve"> and must be returned by 1 week prior to arrival</w:t>
      </w:r>
      <w:r w:rsidRPr="003F2C0C">
        <w:rPr>
          <w:rFonts w:asciiTheme="minorHAnsi" w:hAnsiTheme="minorHAnsi"/>
        </w:rPr>
        <w:t xml:space="preserve">. </w:t>
      </w:r>
      <w:r w:rsidR="00263AA1">
        <w:rPr>
          <w:rFonts w:asciiTheme="minorHAnsi" w:hAnsiTheme="minorHAnsi"/>
        </w:rPr>
        <w:t>I</w:t>
      </w:r>
      <w:r w:rsidR="00026C63" w:rsidRPr="003F2C0C">
        <w:rPr>
          <w:rFonts w:asciiTheme="minorHAnsi" w:hAnsiTheme="minorHAnsi"/>
        </w:rPr>
        <w:t xml:space="preserve">f a guests name is not on the bedding list provided, or the bedding list is not completed and returned prior to check in we cannot guarantee access to the accommodation. </w:t>
      </w:r>
    </w:p>
    <w:p w14:paraId="351E1B18" w14:textId="5707F7CE" w:rsidR="005F5352" w:rsidRPr="006D64AC" w:rsidRDefault="005F5352" w:rsidP="00026C63">
      <w:pPr>
        <w:pStyle w:val="ASNumberedLevel2"/>
        <w:rPr>
          <w:b/>
        </w:rPr>
      </w:pPr>
      <w:r w:rsidRPr="003F2C0C">
        <w:rPr>
          <w:rFonts w:asciiTheme="minorHAnsi" w:hAnsiTheme="minorHAnsi"/>
        </w:rPr>
        <w:t>Only the named guests for each room are permitted to stay in the room. No changeovers of guests are permitted mid-way through a stay as cleans and li</w:t>
      </w:r>
      <w:r w:rsidR="00026C63" w:rsidRPr="003F2C0C">
        <w:rPr>
          <w:rFonts w:asciiTheme="minorHAnsi" w:hAnsiTheme="minorHAnsi"/>
        </w:rPr>
        <w:t>nen change schedules cannot be altered</w:t>
      </w:r>
      <w:r w:rsidRPr="003F2C0C">
        <w:rPr>
          <w:rFonts w:asciiTheme="minorHAnsi" w:hAnsiTheme="minorHAnsi"/>
        </w:rPr>
        <w:t xml:space="preserve"> to accommodate multiple changeovers to individual rooms. </w:t>
      </w:r>
    </w:p>
    <w:p w14:paraId="3DB25F9E" w14:textId="77777777" w:rsidR="006D64AC" w:rsidRPr="006D64AC" w:rsidRDefault="006D64AC" w:rsidP="006D64AC">
      <w:pPr>
        <w:pStyle w:val="ASNumberedLevel1"/>
        <w:rPr>
          <w:b/>
          <w:color w:val="44546A"/>
          <w:sz w:val="24"/>
        </w:rPr>
      </w:pPr>
      <w:r w:rsidRPr="006D64AC">
        <w:rPr>
          <w:b/>
          <w:color w:val="44546A"/>
          <w:sz w:val="24"/>
        </w:rPr>
        <w:t>Housekeeping</w:t>
      </w:r>
    </w:p>
    <w:p w14:paraId="1906FBDA" w14:textId="478763BD" w:rsidR="006D64AC" w:rsidRPr="002767C9" w:rsidRDefault="006D64AC" w:rsidP="002767C9">
      <w:pPr>
        <w:pStyle w:val="ASNumberedLevel2"/>
        <w:rPr>
          <w:rFonts w:asciiTheme="minorHAnsi" w:hAnsiTheme="minorHAnsi"/>
        </w:rPr>
      </w:pPr>
      <w:r w:rsidRPr="006D64AC">
        <w:rPr>
          <w:rFonts w:asciiTheme="minorHAnsi" w:hAnsiTheme="minorHAnsi"/>
        </w:rPr>
        <w:t xml:space="preserve">Your flat will be cleaned and prepared ready for your arrival. All bed linen, duvets and pillows are provided, along with 1 bath towel and 1 hand towel. </w:t>
      </w:r>
    </w:p>
    <w:p w14:paraId="17A043C8" w14:textId="43516324" w:rsidR="006D64AC" w:rsidRPr="006D64AC" w:rsidRDefault="006D64AC" w:rsidP="006D64AC">
      <w:pPr>
        <w:pStyle w:val="ASNumberedLevel2"/>
        <w:rPr>
          <w:rFonts w:asciiTheme="minorHAnsi" w:hAnsiTheme="minorHAnsi"/>
        </w:rPr>
      </w:pPr>
      <w:r w:rsidRPr="006D64AC">
        <w:rPr>
          <w:rFonts w:asciiTheme="minorHAnsi" w:hAnsiTheme="minorHAnsi"/>
        </w:rPr>
        <w:t>Please dispose of your rubbish regularly during your stay in the central refuse collection areas and leave the flats in a tidy condition as found.</w:t>
      </w:r>
    </w:p>
    <w:p w14:paraId="47631070" w14:textId="3CA24F08" w:rsidR="006D64AC" w:rsidRDefault="006D64AC" w:rsidP="006D64AC">
      <w:pPr>
        <w:pStyle w:val="ASNumberedLevel1"/>
        <w:rPr>
          <w:b/>
          <w:color w:val="44546A"/>
          <w:sz w:val="24"/>
        </w:rPr>
      </w:pPr>
      <w:r>
        <w:rPr>
          <w:b/>
          <w:color w:val="44546A"/>
          <w:sz w:val="24"/>
        </w:rPr>
        <w:t>Flat Inclusions and Equipment</w:t>
      </w:r>
      <w:r w:rsidRPr="006D64AC">
        <w:rPr>
          <w:b/>
          <w:color w:val="44546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279"/>
        <w:gridCol w:w="2912"/>
      </w:tblGrid>
      <w:tr w:rsidR="006D64AC" w:rsidRPr="0043103D" w14:paraId="6EB8FB0A" w14:textId="77777777" w:rsidTr="00AB5F7F">
        <w:trPr>
          <w:jc w:val="center"/>
        </w:trPr>
        <w:tc>
          <w:tcPr>
            <w:tcW w:w="3095" w:type="dxa"/>
            <w:shd w:val="clear" w:color="auto" w:fill="auto"/>
          </w:tcPr>
          <w:p w14:paraId="52D65A67" w14:textId="77777777" w:rsidR="006D64AC" w:rsidRPr="00E51AF2" w:rsidRDefault="006D64AC" w:rsidP="006D64AC">
            <w:pPr>
              <w:numPr>
                <w:ilvl w:val="0"/>
                <w:numId w:val="40"/>
              </w:numPr>
              <w:jc w:val="both"/>
            </w:pPr>
            <w:r w:rsidRPr="00E51AF2">
              <w:t>Wi-Fi</w:t>
            </w:r>
          </w:p>
        </w:tc>
        <w:tc>
          <w:tcPr>
            <w:tcW w:w="3279" w:type="dxa"/>
            <w:shd w:val="clear" w:color="auto" w:fill="auto"/>
          </w:tcPr>
          <w:p w14:paraId="0457054D" w14:textId="77777777" w:rsidR="006D64AC" w:rsidRPr="00E51AF2" w:rsidRDefault="006D64AC" w:rsidP="006D64AC">
            <w:pPr>
              <w:numPr>
                <w:ilvl w:val="0"/>
                <w:numId w:val="40"/>
              </w:numPr>
              <w:jc w:val="both"/>
            </w:pPr>
            <w:r w:rsidRPr="00E51AF2">
              <w:t>Microwave</w:t>
            </w:r>
          </w:p>
        </w:tc>
        <w:tc>
          <w:tcPr>
            <w:tcW w:w="2912" w:type="dxa"/>
            <w:shd w:val="clear" w:color="auto" w:fill="auto"/>
          </w:tcPr>
          <w:p w14:paraId="19731352" w14:textId="77777777" w:rsidR="006D64AC" w:rsidRPr="00E51AF2" w:rsidRDefault="006D64AC" w:rsidP="006D64AC">
            <w:pPr>
              <w:numPr>
                <w:ilvl w:val="0"/>
                <w:numId w:val="40"/>
              </w:numPr>
              <w:jc w:val="both"/>
            </w:pPr>
            <w:r w:rsidRPr="00E51AF2">
              <w:t>Iron</w:t>
            </w:r>
            <w:r>
              <w:t xml:space="preserve"> &amp; Ironing</w:t>
            </w:r>
            <w:r w:rsidRPr="00E51AF2">
              <w:t xml:space="preserve"> Board</w:t>
            </w:r>
          </w:p>
        </w:tc>
      </w:tr>
      <w:tr w:rsidR="006D64AC" w:rsidRPr="0043103D" w14:paraId="2F2A9A2C" w14:textId="77777777" w:rsidTr="00AB5F7F">
        <w:trPr>
          <w:jc w:val="center"/>
        </w:trPr>
        <w:tc>
          <w:tcPr>
            <w:tcW w:w="3095" w:type="dxa"/>
            <w:shd w:val="clear" w:color="auto" w:fill="auto"/>
          </w:tcPr>
          <w:p w14:paraId="4983AF0F" w14:textId="77777777" w:rsidR="006D64AC" w:rsidRPr="00E51AF2" w:rsidRDefault="006D64AC" w:rsidP="006D64AC">
            <w:pPr>
              <w:numPr>
                <w:ilvl w:val="0"/>
                <w:numId w:val="40"/>
              </w:numPr>
              <w:jc w:val="both"/>
            </w:pPr>
            <w:r w:rsidRPr="00E51AF2">
              <w:t>Toaster &amp; Kettle</w:t>
            </w:r>
          </w:p>
        </w:tc>
        <w:tc>
          <w:tcPr>
            <w:tcW w:w="3279" w:type="dxa"/>
            <w:shd w:val="clear" w:color="auto" w:fill="auto"/>
          </w:tcPr>
          <w:p w14:paraId="5BDFB92D" w14:textId="77777777" w:rsidR="006D64AC" w:rsidRPr="00E51AF2" w:rsidRDefault="006D64AC" w:rsidP="006D64AC">
            <w:pPr>
              <w:numPr>
                <w:ilvl w:val="0"/>
                <w:numId w:val="40"/>
              </w:numPr>
              <w:jc w:val="both"/>
            </w:pPr>
            <w:r w:rsidRPr="00E51AF2">
              <w:t>Mop &amp; Bucket</w:t>
            </w:r>
          </w:p>
        </w:tc>
        <w:tc>
          <w:tcPr>
            <w:tcW w:w="2912" w:type="dxa"/>
            <w:shd w:val="clear" w:color="auto" w:fill="auto"/>
          </w:tcPr>
          <w:p w14:paraId="30CFCE50" w14:textId="77777777" w:rsidR="006D64AC" w:rsidRPr="00E51AF2" w:rsidRDefault="006D64AC" w:rsidP="006D64AC">
            <w:pPr>
              <w:numPr>
                <w:ilvl w:val="0"/>
                <w:numId w:val="40"/>
              </w:numPr>
              <w:jc w:val="both"/>
            </w:pPr>
            <w:r w:rsidRPr="00E51AF2">
              <w:t>Basin &amp; Cloth</w:t>
            </w:r>
          </w:p>
        </w:tc>
      </w:tr>
      <w:tr w:rsidR="006D64AC" w:rsidRPr="0043103D" w14:paraId="0D0A160B" w14:textId="77777777" w:rsidTr="00AB5F7F">
        <w:trPr>
          <w:jc w:val="center"/>
        </w:trPr>
        <w:tc>
          <w:tcPr>
            <w:tcW w:w="3095" w:type="dxa"/>
            <w:shd w:val="clear" w:color="auto" w:fill="auto"/>
          </w:tcPr>
          <w:p w14:paraId="10694BED" w14:textId="77777777" w:rsidR="006D64AC" w:rsidRPr="00E51AF2" w:rsidRDefault="006D64AC" w:rsidP="006D64AC">
            <w:pPr>
              <w:numPr>
                <w:ilvl w:val="0"/>
                <w:numId w:val="40"/>
              </w:numPr>
              <w:jc w:val="both"/>
            </w:pPr>
            <w:r w:rsidRPr="00E51AF2">
              <w:t>Dustpan &amp; Brush</w:t>
            </w:r>
          </w:p>
        </w:tc>
        <w:tc>
          <w:tcPr>
            <w:tcW w:w="3279" w:type="dxa"/>
            <w:shd w:val="clear" w:color="auto" w:fill="auto"/>
          </w:tcPr>
          <w:p w14:paraId="32927095" w14:textId="77777777" w:rsidR="006D64AC" w:rsidRPr="00E51AF2" w:rsidRDefault="006D64AC" w:rsidP="006D64AC">
            <w:pPr>
              <w:numPr>
                <w:ilvl w:val="0"/>
                <w:numId w:val="40"/>
              </w:numPr>
              <w:jc w:val="both"/>
            </w:pPr>
            <w:r w:rsidRPr="00E51AF2">
              <w:t>Kitchen Utensils</w:t>
            </w:r>
          </w:p>
        </w:tc>
        <w:tc>
          <w:tcPr>
            <w:tcW w:w="2912" w:type="dxa"/>
            <w:shd w:val="clear" w:color="auto" w:fill="auto"/>
          </w:tcPr>
          <w:p w14:paraId="36F5C16C" w14:textId="77777777" w:rsidR="006D64AC" w:rsidRPr="00E51AF2" w:rsidRDefault="006D64AC" w:rsidP="006D64AC">
            <w:pPr>
              <w:numPr>
                <w:ilvl w:val="0"/>
                <w:numId w:val="40"/>
              </w:numPr>
              <w:jc w:val="both"/>
            </w:pPr>
            <w:r w:rsidRPr="00E51AF2">
              <w:t>Crockery</w:t>
            </w:r>
            <w:r>
              <w:t xml:space="preserve"> &amp; Cutlery</w:t>
            </w:r>
          </w:p>
        </w:tc>
      </w:tr>
      <w:tr w:rsidR="006D64AC" w:rsidRPr="0043103D" w14:paraId="645B003E" w14:textId="77777777" w:rsidTr="00AB5F7F">
        <w:trPr>
          <w:jc w:val="center"/>
        </w:trPr>
        <w:tc>
          <w:tcPr>
            <w:tcW w:w="3095" w:type="dxa"/>
            <w:shd w:val="clear" w:color="auto" w:fill="auto"/>
          </w:tcPr>
          <w:p w14:paraId="56FC5440" w14:textId="77777777" w:rsidR="006D64AC" w:rsidRPr="00E51AF2" w:rsidRDefault="006D64AC" w:rsidP="006D64AC">
            <w:pPr>
              <w:numPr>
                <w:ilvl w:val="0"/>
                <w:numId w:val="40"/>
              </w:numPr>
              <w:jc w:val="both"/>
            </w:pPr>
            <w:r>
              <w:t>Cleaning Supplies*</w:t>
            </w:r>
          </w:p>
        </w:tc>
        <w:tc>
          <w:tcPr>
            <w:tcW w:w="3279" w:type="dxa"/>
            <w:shd w:val="clear" w:color="auto" w:fill="auto"/>
          </w:tcPr>
          <w:p w14:paraId="2938F431" w14:textId="77777777" w:rsidR="006D64AC" w:rsidRPr="00E51AF2" w:rsidRDefault="006D64AC" w:rsidP="006D64AC">
            <w:pPr>
              <w:numPr>
                <w:ilvl w:val="0"/>
                <w:numId w:val="40"/>
              </w:numPr>
              <w:jc w:val="both"/>
            </w:pPr>
            <w:r w:rsidRPr="00E51AF2">
              <w:t>Glassware</w:t>
            </w:r>
          </w:p>
        </w:tc>
        <w:tc>
          <w:tcPr>
            <w:tcW w:w="2912" w:type="dxa"/>
            <w:shd w:val="clear" w:color="auto" w:fill="auto"/>
          </w:tcPr>
          <w:p w14:paraId="08FCC695" w14:textId="77777777" w:rsidR="006D64AC" w:rsidRPr="00E51AF2" w:rsidRDefault="006D64AC" w:rsidP="006D64AC">
            <w:pPr>
              <w:numPr>
                <w:ilvl w:val="0"/>
                <w:numId w:val="40"/>
              </w:numPr>
              <w:jc w:val="both"/>
            </w:pPr>
            <w:r w:rsidRPr="00E51AF2">
              <w:t>Pots &amp; Pans</w:t>
            </w:r>
          </w:p>
        </w:tc>
      </w:tr>
      <w:tr w:rsidR="006D64AC" w:rsidRPr="0043103D" w14:paraId="5D7FA5A3" w14:textId="77777777" w:rsidTr="00AB5F7F">
        <w:trPr>
          <w:jc w:val="center"/>
        </w:trPr>
        <w:tc>
          <w:tcPr>
            <w:tcW w:w="3095" w:type="dxa"/>
            <w:shd w:val="clear" w:color="auto" w:fill="auto"/>
          </w:tcPr>
          <w:p w14:paraId="12253A9F" w14:textId="77777777" w:rsidR="006D64AC" w:rsidRPr="00E51AF2" w:rsidRDefault="006D64AC" w:rsidP="006D64AC">
            <w:pPr>
              <w:numPr>
                <w:ilvl w:val="0"/>
                <w:numId w:val="40"/>
              </w:numPr>
              <w:jc w:val="both"/>
            </w:pPr>
            <w:r w:rsidRPr="00E51AF2">
              <w:t xml:space="preserve">Tea Towels </w:t>
            </w:r>
          </w:p>
        </w:tc>
        <w:tc>
          <w:tcPr>
            <w:tcW w:w="3279" w:type="dxa"/>
            <w:shd w:val="clear" w:color="auto" w:fill="auto"/>
          </w:tcPr>
          <w:p w14:paraId="39468F0C" w14:textId="77777777" w:rsidR="006D64AC" w:rsidRPr="006D64AC" w:rsidRDefault="006D64AC" w:rsidP="006D64AC">
            <w:pPr>
              <w:pStyle w:val="ListParagraph"/>
              <w:numPr>
                <w:ilvl w:val="0"/>
                <w:numId w:val="40"/>
              </w:numPr>
              <w:spacing w:after="0" w:line="240" w:lineRule="auto"/>
              <w:contextualSpacing/>
              <w:rPr>
                <w:sz w:val="22"/>
                <w:szCs w:val="22"/>
              </w:rPr>
            </w:pPr>
            <w:r w:rsidRPr="006D64AC">
              <w:rPr>
                <w:sz w:val="22"/>
                <w:szCs w:val="22"/>
              </w:rPr>
              <w:t>Toilet Roll – 2 per room**</w:t>
            </w:r>
          </w:p>
        </w:tc>
        <w:tc>
          <w:tcPr>
            <w:tcW w:w="2912" w:type="dxa"/>
            <w:shd w:val="clear" w:color="auto" w:fill="auto"/>
          </w:tcPr>
          <w:p w14:paraId="62EA9C6B" w14:textId="77777777" w:rsidR="006D64AC" w:rsidRPr="00E51AF2" w:rsidRDefault="006D64AC" w:rsidP="006D64AC">
            <w:pPr>
              <w:numPr>
                <w:ilvl w:val="0"/>
                <w:numId w:val="40"/>
              </w:numPr>
              <w:jc w:val="both"/>
            </w:pPr>
            <w:r w:rsidRPr="00E51AF2">
              <w:t xml:space="preserve">Soap </w:t>
            </w:r>
          </w:p>
        </w:tc>
      </w:tr>
      <w:tr w:rsidR="006D64AC" w:rsidRPr="0043103D" w14:paraId="75E47A32" w14:textId="77777777" w:rsidTr="00AB5F7F">
        <w:trPr>
          <w:jc w:val="center"/>
        </w:trPr>
        <w:tc>
          <w:tcPr>
            <w:tcW w:w="3095" w:type="dxa"/>
            <w:shd w:val="clear" w:color="auto" w:fill="auto"/>
          </w:tcPr>
          <w:p w14:paraId="05024638" w14:textId="77777777" w:rsidR="006D64AC" w:rsidRPr="00E51AF2" w:rsidRDefault="006D64AC" w:rsidP="006D64AC">
            <w:pPr>
              <w:numPr>
                <w:ilvl w:val="0"/>
                <w:numId w:val="40"/>
              </w:numPr>
              <w:jc w:val="both"/>
            </w:pPr>
            <w:r>
              <w:t>Tea and Coffee</w:t>
            </w:r>
          </w:p>
        </w:tc>
        <w:tc>
          <w:tcPr>
            <w:tcW w:w="3279" w:type="dxa"/>
            <w:shd w:val="clear" w:color="auto" w:fill="auto"/>
          </w:tcPr>
          <w:p w14:paraId="434C8A51" w14:textId="77777777" w:rsidR="006D64AC" w:rsidRPr="009D754D" w:rsidRDefault="006D64AC" w:rsidP="006D64AC">
            <w:pPr>
              <w:numPr>
                <w:ilvl w:val="0"/>
                <w:numId w:val="40"/>
              </w:numPr>
              <w:jc w:val="both"/>
            </w:pPr>
            <w:r>
              <w:t xml:space="preserve">Bath &amp; Hand Towels </w:t>
            </w:r>
          </w:p>
        </w:tc>
        <w:tc>
          <w:tcPr>
            <w:tcW w:w="2912" w:type="dxa"/>
            <w:shd w:val="clear" w:color="auto" w:fill="auto"/>
          </w:tcPr>
          <w:p w14:paraId="6A631333" w14:textId="77777777" w:rsidR="006D64AC" w:rsidRPr="00E51AF2" w:rsidRDefault="006D64AC" w:rsidP="006D64AC">
            <w:pPr>
              <w:numPr>
                <w:ilvl w:val="0"/>
                <w:numId w:val="40"/>
              </w:numPr>
              <w:jc w:val="both"/>
            </w:pPr>
            <w:r w:rsidRPr="00E51AF2">
              <w:t>Bed Linen</w:t>
            </w:r>
          </w:p>
        </w:tc>
      </w:tr>
    </w:tbl>
    <w:p w14:paraId="67340CA7" w14:textId="77777777" w:rsidR="006D64AC" w:rsidRDefault="006D64AC" w:rsidP="006D64AC">
      <w:pPr>
        <w:pStyle w:val="ASNumberedLevel1"/>
        <w:numPr>
          <w:ilvl w:val="0"/>
          <w:numId w:val="0"/>
        </w:numPr>
        <w:rPr>
          <w:b/>
          <w:color w:val="44546A"/>
          <w:sz w:val="24"/>
        </w:rPr>
      </w:pPr>
    </w:p>
    <w:p w14:paraId="2FE5A332" w14:textId="77777777" w:rsidR="006D64AC" w:rsidRPr="006D64AC" w:rsidRDefault="006D64AC" w:rsidP="006D64AC">
      <w:pPr>
        <w:pStyle w:val="ASNumberedLevel2"/>
        <w:rPr>
          <w:rFonts w:asciiTheme="minorHAnsi" w:hAnsiTheme="minorHAnsi"/>
        </w:rPr>
      </w:pPr>
      <w:r w:rsidRPr="006D64AC">
        <w:rPr>
          <w:rFonts w:asciiTheme="minorHAnsi" w:hAnsiTheme="minorHAnsi"/>
        </w:rPr>
        <w:t>A limited number of hairdryers are available on request from reception.</w:t>
      </w:r>
    </w:p>
    <w:p w14:paraId="17B291EE" w14:textId="77777777" w:rsidR="006D64AC" w:rsidRPr="006D64AC" w:rsidRDefault="006D64AC" w:rsidP="006D64AC">
      <w:pPr>
        <w:pStyle w:val="ASNumberedLevel2"/>
        <w:rPr>
          <w:rFonts w:asciiTheme="minorHAnsi" w:hAnsiTheme="minorHAnsi"/>
        </w:rPr>
      </w:pPr>
      <w:r w:rsidRPr="006D64AC">
        <w:rPr>
          <w:rFonts w:asciiTheme="minorHAnsi" w:hAnsiTheme="minorHAnsi"/>
        </w:rPr>
        <w:t>*A starter pack of cleaning supplies is provided in the kitchen areas. Any further required should be purchased by guests for continued use.</w:t>
      </w:r>
    </w:p>
    <w:p w14:paraId="66B4B5E1" w14:textId="7D355BBB" w:rsidR="006D64AC" w:rsidRPr="001A1D39" w:rsidRDefault="006D64AC" w:rsidP="001A1D39">
      <w:pPr>
        <w:pStyle w:val="ASNumberedLevel2"/>
        <w:rPr>
          <w:rFonts w:asciiTheme="minorHAnsi" w:hAnsiTheme="minorHAnsi"/>
        </w:rPr>
      </w:pPr>
      <w:r w:rsidRPr="006D64AC">
        <w:rPr>
          <w:rFonts w:asciiTheme="minorHAnsi" w:hAnsiTheme="minorHAnsi"/>
        </w:rPr>
        <w:t xml:space="preserve">*2 toilet rolls are provided per room. Any further required should be purchased by guests for use.  These is a supermarket directly below the </w:t>
      </w:r>
      <w:proofErr w:type="spellStart"/>
      <w:r w:rsidRPr="006D64AC">
        <w:rPr>
          <w:rFonts w:asciiTheme="minorHAnsi" w:hAnsiTheme="minorHAnsi"/>
        </w:rPr>
        <w:t>Bainfiled</w:t>
      </w:r>
      <w:proofErr w:type="spellEnd"/>
      <w:r w:rsidRPr="006D64AC">
        <w:rPr>
          <w:rFonts w:asciiTheme="minorHAnsi" w:hAnsiTheme="minorHAnsi"/>
        </w:rPr>
        <w:t xml:space="preserve"> flats and within a 5 minute walk of Orwell Terrace. </w:t>
      </w:r>
    </w:p>
    <w:p w14:paraId="7A589E76" w14:textId="2593063C" w:rsidR="00026C63" w:rsidRPr="003F2C0C" w:rsidRDefault="003F2C0C" w:rsidP="00026C63">
      <w:pPr>
        <w:pStyle w:val="ASNumberedLevel1"/>
        <w:rPr>
          <w:b/>
          <w:color w:val="44546A" w:themeColor="text2"/>
        </w:rPr>
      </w:pPr>
      <w:r w:rsidRPr="003F2C0C">
        <w:rPr>
          <w:b/>
          <w:color w:val="44546A" w:themeColor="text2"/>
        </w:rPr>
        <w:t xml:space="preserve">Deliveries &amp; Packages </w:t>
      </w:r>
    </w:p>
    <w:p w14:paraId="264D3C24" w14:textId="77777777" w:rsidR="00026C63" w:rsidRPr="003F2C0C" w:rsidRDefault="00026C63" w:rsidP="00026C63">
      <w:pPr>
        <w:pStyle w:val="ASNumberedLevel2"/>
        <w:rPr>
          <w:b/>
        </w:rPr>
      </w:pPr>
      <w:r w:rsidRPr="003F2C0C">
        <w:rPr>
          <w:rFonts w:asciiTheme="minorHAnsi" w:hAnsiTheme="minorHAnsi"/>
        </w:rPr>
        <w:t xml:space="preserve">Please note your flat street address and number for any deliveries. This varies from block to block at our residences. </w:t>
      </w:r>
    </w:p>
    <w:p w14:paraId="34C403B0" w14:textId="4D42B86C" w:rsidR="00026C63" w:rsidRPr="003F2C0C" w:rsidRDefault="00026C63" w:rsidP="00026C63">
      <w:pPr>
        <w:pStyle w:val="ASNumberedLevel2"/>
        <w:rPr>
          <w:b/>
        </w:rPr>
      </w:pPr>
      <w:r w:rsidRPr="003F2C0C">
        <w:rPr>
          <w:rFonts w:asciiTheme="minorHAnsi" w:hAnsiTheme="minorHAnsi"/>
        </w:rPr>
        <w:t>You must be on site to receive your package as our reception cannot accept deliveries on your behalf.</w:t>
      </w:r>
    </w:p>
    <w:p w14:paraId="34610B8F" w14:textId="5B886A12" w:rsidR="00263AA1" w:rsidRPr="00AE7CB6" w:rsidRDefault="00026C63" w:rsidP="00263AA1">
      <w:pPr>
        <w:pStyle w:val="ASNumberedLevel2"/>
        <w:ind w:left="454"/>
        <w:rPr>
          <w:rFonts w:asciiTheme="minorHAnsi" w:hAnsiTheme="minorHAnsi"/>
        </w:rPr>
      </w:pPr>
      <w:r w:rsidRPr="003F2C0C">
        <w:rPr>
          <w:rFonts w:asciiTheme="minorHAnsi" w:hAnsiTheme="minorHAnsi"/>
        </w:rPr>
        <w:t xml:space="preserve">There are amazon lockers on site at </w:t>
      </w:r>
      <w:r w:rsidR="00263AA1">
        <w:rPr>
          <w:rFonts w:asciiTheme="minorHAnsi" w:hAnsiTheme="minorHAnsi"/>
        </w:rPr>
        <w:t xml:space="preserve">our </w:t>
      </w:r>
      <w:proofErr w:type="spellStart"/>
      <w:r w:rsidR="00263AA1">
        <w:rPr>
          <w:rFonts w:asciiTheme="minorHAnsi" w:hAnsiTheme="minorHAnsi"/>
        </w:rPr>
        <w:t>Bainfield</w:t>
      </w:r>
      <w:proofErr w:type="spellEnd"/>
      <w:r w:rsidR="00263AA1">
        <w:rPr>
          <w:rFonts w:asciiTheme="minorHAnsi" w:hAnsiTheme="minorHAnsi"/>
        </w:rPr>
        <w:t xml:space="preserve"> location</w:t>
      </w:r>
      <w:r w:rsidRPr="003F2C0C">
        <w:rPr>
          <w:rFonts w:asciiTheme="minorHAnsi" w:hAnsiTheme="minorHAnsi"/>
        </w:rPr>
        <w:t xml:space="preserve"> which you can use for deliveries during your stay. </w:t>
      </w:r>
      <w:r w:rsidR="00263AA1">
        <w:rPr>
          <w:rFonts w:asciiTheme="minorHAnsi" w:hAnsiTheme="minorHAnsi"/>
        </w:rPr>
        <w:t xml:space="preserve">Amazon lockers ensure the security and safety of your package and are recommended. </w:t>
      </w:r>
    </w:p>
    <w:p w14:paraId="13A9E725" w14:textId="6C1F6BCB" w:rsidR="00026C63" w:rsidRPr="003F2C0C" w:rsidRDefault="00263AA1" w:rsidP="00026C63">
      <w:pPr>
        <w:pStyle w:val="ASNumberedLevel2"/>
        <w:rPr>
          <w:b/>
        </w:rPr>
      </w:pPr>
      <w:r w:rsidRPr="00AE7CB6">
        <w:rPr>
          <w:rFonts w:asciiTheme="minorHAnsi" w:hAnsiTheme="minorHAnsi"/>
        </w:rPr>
        <w:t xml:space="preserve">In special circumstances Reception through prior arrangement only may accept a package on your behalf. </w:t>
      </w:r>
      <w:r>
        <w:rPr>
          <w:rFonts w:asciiTheme="minorHAnsi" w:hAnsiTheme="minorHAnsi"/>
        </w:rPr>
        <w:t xml:space="preserve">  </w:t>
      </w:r>
      <w:r w:rsidRPr="00AE7CB6">
        <w:rPr>
          <w:rFonts w:asciiTheme="minorHAnsi" w:hAnsiTheme="minorHAnsi"/>
        </w:rPr>
        <w:t>Sufficient notice must be provided prior to delivery. Please speak to Reception on arrival.</w:t>
      </w:r>
    </w:p>
    <w:p w14:paraId="285C7089" w14:textId="2AB3327C" w:rsidR="0012206C" w:rsidRPr="007E17C7" w:rsidRDefault="00911188" w:rsidP="00F57AE5">
      <w:pPr>
        <w:pStyle w:val="ASNumberedLevel1"/>
        <w:rPr>
          <w:b/>
          <w:color w:val="44546A" w:themeColor="text2"/>
        </w:rPr>
      </w:pPr>
      <w:r>
        <w:rPr>
          <w:b/>
          <w:color w:val="44546A" w:themeColor="text2"/>
        </w:rPr>
        <w:t>Payment T</w:t>
      </w:r>
      <w:r w:rsidR="00F57AE5" w:rsidRPr="007E17C7">
        <w:rPr>
          <w:b/>
          <w:color w:val="44546A" w:themeColor="text2"/>
        </w:rPr>
        <w:t>erms</w:t>
      </w:r>
    </w:p>
    <w:p w14:paraId="7A534ED3" w14:textId="3254151C" w:rsidR="005F5352" w:rsidRPr="005F5352" w:rsidRDefault="005F5352" w:rsidP="005F5352">
      <w:pPr>
        <w:pStyle w:val="ASNumberedLevel2"/>
        <w:rPr>
          <w:b/>
        </w:rPr>
      </w:pPr>
      <w:r>
        <w:rPr>
          <w:rFonts w:asciiTheme="minorHAnsi" w:hAnsiTheme="minorHAnsi"/>
        </w:rPr>
        <w:t>B</w:t>
      </w:r>
      <w:r w:rsidRPr="00B37DAE">
        <w:rPr>
          <w:rFonts w:asciiTheme="minorHAnsi" w:hAnsiTheme="minorHAnsi"/>
        </w:rPr>
        <w:t xml:space="preserve">ookings </w:t>
      </w:r>
      <w:r w:rsidR="002767C9">
        <w:rPr>
          <w:rFonts w:asciiTheme="minorHAnsi" w:hAnsiTheme="minorHAnsi"/>
        </w:rPr>
        <w:t>must be paid by credit/debit card. No payment on account or invoice is available.</w:t>
      </w:r>
      <w:r w:rsidRPr="00B37DAE">
        <w:rPr>
          <w:rFonts w:asciiTheme="minorHAnsi" w:hAnsiTheme="minorHAnsi"/>
        </w:rPr>
        <w:t xml:space="preserve">  </w:t>
      </w:r>
    </w:p>
    <w:p w14:paraId="4059E1EA" w14:textId="37C4599E" w:rsidR="005F5352" w:rsidRPr="005F5352" w:rsidRDefault="005F5352" w:rsidP="005F5352">
      <w:pPr>
        <w:pStyle w:val="ASNumberedLevel2"/>
        <w:rPr>
          <w:b/>
        </w:rPr>
      </w:pPr>
      <w:r>
        <w:rPr>
          <w:rFonts w:asciiTheme="minorHAnsi" w:hAnsiTheme="minorHAnsi"/>
        </w:rPr>
        <w:t xml:space="preserve">All payments must be made and cleared by the date of check in or access may be denied. No payments can be taken at our on-site reception on arrival. </w:t>
      </w:r>
    </w:p>
    <w:p w14:paraId="6191861E" w14:textId="6AA7E99D" w:rsidR="00C020F0" w:rsidRPr="002767C9" w:rsidRDefault="00D03358" w:rsidP="002767C9">
      <w:pPr>
        <w:pStyle w:val="ASNumberedLevel2"/>
        <w:rPr>
          <w:b/>
        </w:rPr>
      </w:pPr>
      <w:r>
        <w:rPr>
          <w:rFonts w:asciiTheme="minorHAnsi" w:hAnsiTheme="minorHAnsi"/>
        </w:rPr>
        <w:t>Online card payment link</w:t>
      </w:r>
      <w:r w:rsidR="00B37DAE" w:rsidRPr="00B37DAE">
        <w:rPr>
          <w:rFonts w:asciiTheme="minorHAnsi" w:hAnsiTheme="minorHAnsi"/>
        </w:rPr>
        <w:t xml:space="preserve"> </w:t>
      </w:r>
      <w:r w:rsidR="00C020F0">
        <w:rPr>
          <w:rFonts w:asciiTheme="minorHAnsi" w:hAnsiTheme="minorHAnsi"/>
        </w:rPr>
        <w:t xml:space="preserve">will be sent for all payments. Payments can be made by bank transfer if required, but this may be subject to a transaction charge. </w:t>
      </w:r>
    </w:p>
    <w:p w14:paraId="1EE14B6F" w14:textId="62C98536" w:rsidR="00F57AE5" w:rsidRPr="007E17C7" w:rsidRDefault="00186C52" w:rsidP="00F57AE5">
      <w:pPr>
        <w:pStyle w:val="ASNumberedLevel1"/>
        <w:rPr>
          <w:b/>
          <w:color w:val="44546A" w:themeColor="text2"/>
        </w:rPr>
      </w:pPr>
      <w:r w:rsidRPr="007E17C7">
        <w:rPr>
          <w:b/>
          <w:color w:val="44546A" w:themeColor="text2"/>
        </w:rPr>
        <w:t>C</w:t>
      </w:r>
      <w:r w:rsidR="00911188">
        <w:rPr>
          <w:b/>
          <w:color w:val="44546A" w:themeColor="text2"/>
        </w:rPr>
        <w:t>ustomer Cancellation T</w:t>
      </w:r>
      <w:r w:rsidR="00F57AE5" w:rsidRPr="007E17C7">
        <w:rPr>
          <w:b/>
          <w:color w:val="44546A" w:themeColor="text2"/>
        </w:rPr>
        <w:t>erms</w:t>
      </w:r>
    </w:p>
    <w:p w14:paraId="4417AB34" w14:textId="1176EBF2" w:rsidR="00186C52" w:rsidRPr="00B37DAE" w:rsidRDefault="00186C52" w:rsidP="00186C52">
      <w:pPr>
        <w:pStyle w:val="ASNumberedLevel2"/>
        <w:rPr>
          <w:b/>
        </w:rPr>
      </w:pPr>
      <w:r w:rsidRPr="00B37DAE">
        <w:t>This clause does not apply to any cancellations due to government public health measures for Covid-19</w:t>
      </w:r>
      <w:r w:rsidR="00BE5117" w:rsidRPr="00B37DAE">
        <w:t xml:space="preserve"> or other Force Major Events</w:t>
      </w:r>
      <w:r w:rsidRPr="00B37DAE">
        <w:t>, which is covered by clause</w:t>
      </w:r>
      <w:r w:rsidR="00BE5117" w:rsidRPr="00B37DAE">
        <w:t xml:space="preserve"> </w:t>
      </w:r>
      <w:r w:rsidR="002F3778" w:rsidRPr="00B37DAE">
        <w:t>7</w:t>
      </w:r>
      <w:r w:rsidRPr="00B37DAE">
        <w:t xml:space="preserve"> (Cancellations due to government public health measures for Covid-19</w:t>
      </w:r>
      <w:r w:rsidR="00BE5117" w:rsidRPr="00B37DAE">
        <w:t xml:space="preserve"> or other Force Major Events</w:t>
      </w:r>
      <w:r w:rsidRPr="00B37DAE">
        <w:t>)</w:t>
      </w:r>
      <w:r w:rsidR="00911188">
        <w:t>.</w:t>
      </w:r>
    </w:p>
    <w:p w14:paraId="5B0FC77A" w14:textId="1A4664C7" w:rsidR="00F57AE5" w:rsidRPr="00B37DAE" w:rsidRDefault="0012206C" w:rsidP="00F57AE5">
      <w:pPr>
        <w:pStyle w:val="ASNumberedLevel2"/>
      </w:pPr>
      <w:r w:rsidRPr="00B37DAE">
        <w:t>Cancellations must be no</w:t>
      </w:r>
      <w:r w:rsidR="00911188">
        <w:t xml:space="preserve">tified in writing by email to </w:t>
      </w:r>
      <w:r w:rsidRPr="00B37DAE">
        <w:t>vacation.lets@napier.ac.uk</w:t>
      </w:r>
      <w:r w:rsidR="00911188">
        <w:t>.</w:t>
      </w:r>
    </w:p>
    <w:p w14:paraId="07646825" w14:textId="2D3ABFDD" w:rsidR="0012206C" w:rsidRPr="00B37DAE" w:rsidRDefault="0012206C" w:rsidP="0012206C">
      <w:pPr>
        <w:pStyle w:val="ASNumberedLevel2"/>
      </w:pPr>
      <w:r w:rsidRPr="00B37DAE">
        <w:rPr>
          <w:rFonts w:asciiTheme="minorHAnsi" w:hAnsiTheme="minorHAnsi"/>
        </w:rPr>
        <w:t xml:space="preserve">No refunds for cancellations made within </w:t>
      </w:r>
      <w:r w:rsidR="00C020F0">
        <w:rPr>
          <w:rFonts w:asciiTheme="minorHAnsi" w:hAnsiTheme="minorHAnsi"/>
        </w:rPr>
        <w:t>four</w:t>
      </w:r>
      <w:r w:rsidRPr="00B37DAE">
        <w:rPr>
          <w:rFonts w:asciiTheme="minorHAnsi" w:hAnsiTheme="minorHAnsi"/>
        </w:rPr>
        <w:t xml:space="preserve"> weeks of arrival date</w:t>
      </w:r>
      <w:r w:rsidR="00B2191D">
        <w:rPr>
          <w:rFonts w:asciiTheme="minorHAnsi" w:hAnsiTheme="minorHAnsi"/>
        </w:rPr>
        <w:t xml:space="preserve"> unless applicable under section 7 below.</w:t>
      </w:r>
    </w:p>
    <w:p w14:paraId="5D6DD8B4" w14:textId="6698C541" w:rsidR="00512A54" w:rsidRPr="00B37DAE" w:rsidRDefault="0012206C" w:rsidP="00512A54">
      <w:pPr>
        <w:pStyle w:val="ASNumberedLevel2"/>
      </w:pPr>
      <w:r w:rsidRPr="00B37DAE">
        <w:rPr>
          <w:rFonts w:asciiTheme="minorHAnsi" w:hAnsiTheme="minorHAnsi"/>
        </w:rPr>
        <w:t xml:space="preserve">Cancellations made </w:t>
      </w:r>
      <w:r w:rsidR="00C020F0">
        <w:rPr>
          <w:rFonts w:asciiTheme="minorHAnsi" w:hAnsiTheme="minorHAnsi"/>
        </w:rPr>
        <w:t>4</w:t>
      </w:r>
      <w:r w:rsidRPr="00B37DAE">
        <w:rPr>
          <w:rFonts w:asciiTheme="minorHAnsi" w:hAnsiTheme="minorHAnsi"/>
        </w:rPr>
        <w:t xml:space="preserve"> weeks prior </w:t>
      </w:r>
      <w:r w:rsidR="00754A5C" w:rsidRPr="00B37DAE">
        <w:rPr>
          <w:rFonts w:asciiTheme="minorHAnsi" w:hAnsiTheme="minorHAnsi"/>
        </w:rPr>
        <w:t>to arrival date will</w:t>
      </w:r>
      <w:r w:rsidR="00B85C8A" w:rsidRPr="00B37DAE">
        <w:rPr>
          <w:rFonts w:asciiTheme="minorHAnsi" w:hAnsiTheme="minorHAnsi"/>
        </w:rPr>
        <w:t xml:space="preserve"> </w:t>
      </w:r>
      <w:r w:rsidRPr="00B37DAE">
        <w:rPr>
          <w:rFonts w:asciiTheme="minorHAnsi" w:hAnsiTheme="minorHAnsi"/>
        </w:rPr>
        <w:t>lose their 20% deposit</w:t>
      </w:r>
      <w:r w:rsidR="00B85C8A" w:rsidRPr="00B37DAE">
        <w:rPr>
          <w:rFonts w:asciiTheme="minorHAnsi" w:hAnsiTheme="minorHAnsi"/>
        </w:rPr>
        <w:t xml:space="preserve">. </w:t>
      </w:r>
    </w:p>
    <w:p w14:paraId="2A6ED064" w14:textId="44A6723E" w:rsidR="00186C52" w:rsidRPr="007E17C7" w:rsidRDefault="00512A54" w:rsidP="00792BE0">
      <w:pPr>
        <w:pStyle w:val="ASNumberedLevel1"/>
        <w:ind w:left="567" w:hanging="567"/>
        <w:rPr>
          <w:b/>
          <w:color w:val="44546A" w:themeColor="text2"/>
        </w:rPr>
      </w:pPr>
      <w:bookmarkStart w:id="0" w:name="_Ref75518968"/>
      <w:r>
        <w:rPr>
          <w:b/>
          <w:color w:val="44546A" w:themeColor="text2"/>
        </w:rPr>
        <w:t>Cancellations due to Government Public Health M</w:t>
      </w:r>
      <w:r w:rsidR="00186C52" w:rsidRPr="007E17C7">
        <w:rPr>
          <w:b/>
          <w:color w:val="44546A" w:themeColor="text2"/>
        </w:rPr>
        <w:t>easures for Covid-19</w:t>
      </w:r>
      <w:bookmarkEnd w:id="0"/>
      <w:r>
        <w:rPr>
          <w:b/>
          <w:color w:val="44546A" w:themeColor="text2"/>
        </w:rPr>
        <w:t xml:space="preserve"> </w:t>
      </w:r>
      <w:r w:rsidR="002F3778" w:rsidRPr="007E17C7">
        <w:rPr>
          <w:b/>
          <w:color w:val="44546A" w:themeColor="text2"/>
        </w:rPr>
        <w:t>or Force Majeure Event</w:t>
      </w:r>
    </w:p>
    <w:p w14:paraId="783D67D0" w14:textId="0F777891" w:rsidR="00186C52" w:rsidRPr="00B37DAE" w:rsidRDefault="00186C52" w:rsidP="002F3778">
      <w:pPr>
        <w:pStyle w:val="ASNumberedLevel2"/>
      </w:pPr>
      <w:bookmarkStart w:id="1" w:name="_Ref75359425"/>
      <w:r w:rsidRPr="00B37DAE">
        <w:t>If you have to cancel your booking because</w:t>
      </w:r>
      <w:r w:rsidR="002F3778" w:rsidRPr="00B37DAE">
        <w:t xml:space="preserve"> of;</w:t>
      </w:r>
      <w:r w:rsidRPr="00B37DAE">
        <w:t xml:space="preserve"> UK government public health measures imposed as a result of the Covid 19 pandemic mean it is unlawful to travel to or to make use of the accommodation you booked,</w:t>
      </w:r>
      <w:r w:rsidR="002F3778" w:rsidRPr="00B37DAE">
        <w:t xml:space="preserve"> or b</w:t>
      </w:r>
      <w:r w:rsidR="00512A54">
        <w:t>ecause of a Force Majeure Event</w:t>
      </w:r>
      <w:r w:rsidR="002F3778" w:rsidRPr="00B37DAE">
        <w:t>,</w:t>
      </w:r>
      <w:r w:rsidRPr="00B37DAE">
        <w:t xml:space="preserve"> you may choose to :</w:t>
      </w:r>
      <w:bookmarkEnd w:id="1"/>
    </w:p>
    <w:p w14:paraId="66C48E72" w14:textId="18F10B9D" w:rsidR="00186C52" w:rsidRPr="00B37DAE" w:rsidRDefault="00512A54" w:rsidP="002F3778">
      <w:pPr>
        <w:pStyle w:val="ASNumberedLevel3"/>
        <w:ind w:left="680" w:hanging="226"/>
      </w:pPr>
      <w:r>
        <w:lastRenderedPageBreak/>
        <w:t xml:space="preserve"> T</w:t>
      </w:r>
      <w:r w:rsidR="00186C52" w:rsidRPr="00B37DAE">
        <w:t>ransfer your booking to a later date free of any administration char</w:t>
      </w:r>
      <w:r>
        <w:t>ges, subject to availability - Y</w:t>
      </w:r>
      <w:r w:rsidR="00186C52" w:rsidRPr="00B37DAE">
        <w:t>ou will have to pay any difference in price if the cost of the new booking is higher or be reimbursed the difference if the cost of the new booking is lower;</w:t>
      </w:r>
    </w:p>
    <w:p w14:paraId="1D999D3C" w14:textId="47E63764" w:rsidR="00186C52" w:rsidRPr="00B37DAE" w:rsidRDefault="00512A54" w:rsidP="002F3778">
      <w:pPr>
        <w:pStyle w:val="ASNumberedLevel3"/>
        <w:ind w:left="680" w:hanging="226"/>
      </w:pPr>
      <w:r>
        <w:t>R</w:t>
      </w:r>
      <w:r w:rsidR="00186C52" w:rsidRPr="00B37DAE">
        <w:t>equest a voucher with a redemption value equal to the amount previous</w:t>
      </w:r>
      <w:r w:rsidR="00BE5117" w:rsidRPr="00B37DAE">
        <w:t>ly paid by you for the booking</w:t>
      </w:r>
      <w:r w:rsidR="00186C52" w:rsidRPr="00B37DAE">
        <w:t xml:space="preserve">; or </w:t>
      </w:r>
    </w:p>
    <w:p w14:paraId="2931B6E7" w14:textId="14CE9C07" w:rsidR="00186C52" w:rsidRDefault="00512A54" w:rsidP="002F3778">
      <w:pPr>
        <w:pStyle w:val="ASNumberedLevel3"/>
        <w:ind w:left="680" w:hanging="226"/>
      </w:pPr>
      <w:r>
        <w:t>O</w:t>
      </w:r>
      <w:r w:rsidR="00186C52" w:rsidRPr="00B37DAE">
        <w:t>btain a refund of the amount already paid by you for the booking</w:t>
      </w:r>
      <w:r w:rsidR="0026761B" w:rsidRPr="00B37DAE">
        <w:t>.</w:t>
      </w:r>
    </w:p>
    <w:p w14:paraId="734286EB" w14:textId="77777777" w:rsidR="00186C52" w:rsidRPr="00B37DAE" w:rsidRDefault="00186C52" w:rsidP="00BE5117">
      <w:pPr>
        <w:pStyle w:val="ASNumberedLevel2"/>
      </w:pPr>
      <w:r w:rsidRPr="00B37DAE">
        <w:t xml:space="preserve">You will have to contact us in order to </w:t>
      </w:r>
      <w:r w:rsidR="00BE5117" w:rsidRPr="00B37DAE">
        <w:t>choose any of</w:t>
      </w:r>
      <w:r w:rsidRPr="00B37DAE">
        <w:t xml:space="preserve"> these options.</w:t>
      </w:r>
    </w:p>
    <w:p w14:paraId="5A3EDEC1" w14:textId="77777777" w:rsidR="0010626E" w:rsidRPr="007E17C7" w:rsidRDefault="0012206C" w:rsidP="00176FAF">
      <w:pPr>
        <w:pStyle w:val="ASNumberedLevel1"/>
        <w:rPr>
          <w:color w:val="44546A" w:themeColor="text2"/>
        </w:rPr>
      </w:pPr>
      <w:r w:rsidRPr="007E17C7">
        <w:rPr>
          <w:b/>
          <w:color w:val="44546A" w:themeColor="text2"/>
        </w:rPr>
        <w:t>Minimum booking age</w:t>
      </w:r>
    </w:p>
    <w:p w14:paraId="38F475D8" w14:textId="4F30C42F" w:rsidR="0010626E" w:rsidRPr="00B37DAE" w:rsidRDefault="0012206C" w:rsidP="0010626E">
      <w:pPr>
        <w:pStyle w:val="ASNumberedLevel2"/>
      </w:pPr>
      <w:r w:rsidRPr="00B37DAE">
        <w:t>The minim</w:t>
      </w:r>
      <w:r w:rsidR="003F4964" w:rsidRPr="00B37DAE">
        <w:t>um age for a guest checking in is 1</w:t>
      </w:r>
      <w:r w:rsidR="00B37DAE" w:rsidRPr="00B37DAE">
        <w:t>6</w:t>
      </w:r>
      <w:r w:rsidRPr="00B37DAE">
        <w:t>, subject to possession of a valid payment method in their name (credit or debit card</w:t>
      </w:r>
      <w:r w:rsidR="003F4964" w:rsidRPr="00B37DAE">
        <w:t>)</w:t>
      </w:r>
      <w:r w:rsidR="004A5412" w:rsidRPr="00B37DAE">
        <w:t>.</w:t>
      </w:r>
    </w:p>
    <w:p w14:paraId="1559B03F" w14:textId="4E53E549" w:rsidR="00804DA8" w:rsidRPr="00B37DAE" w:rsidRDefault="003F4964" w:rsidP="0010626E">
      <w:pPr>
        <w:pStyle w:val="ASNumberedLevel2"/>
      </w:pPr>
      <w:r w:rsidRPr="00B37DAE">
        <w:t>Children under the age of 1</w:t>
      </w:r>
      <w:r w:rsidR="00B37DAE" w:rsidRPr="00B37DAE">
        <w:t>6</w:t>
      </w:r>
      <w:r w:rsidR="0012206C" w:rsidRPr="00B37DAE">
        <w:t xml:space="preserve"> can stay in a separate room from their parents if checked in via their parents</w:t>
      </w:r>
      <w:r w:rsidR="004A5412" w:rsidRPr="00B37DAE">
        <w:t>.</w:t>
      </w:r>
    </w:p>
    <w:p w14:paraId="2CCB0D05" w14:textId="77777777" w:rsidR="0010626E" w:rsidRPr="007E17C7" w:rsidRDefault="003F4964" w:rsidP="0010626E">
      <w:pPr>
        <w:pStyle w:val="ASNumberedLevel1"/>
        <w:rPr>
          <w:color w:val="44546A" w:themeColor="text2"/>
        </w:rPr>
      </w:pPr>
      <w:r w:rsidRPr="007E17C7">
        <w:rPr>
          <w:b/>
          <w:color w:val="44546A" w:themeColor="text2"/>
        </w:rPr>
        <w:t>Children</w:t>
      </w:r>
    </w:p>
    <w:p w14:paraId="04BF5223" w14:textId="77777777" w:rsidR="003F4964" w:rsidRPr="00B37DAE" w:rsidRDefault="004A5412" w:rsidP="0010626E">
      <w:pPr>
        <w:pStyle w:val="ASNumberedLevel2"/>
      </w:pPr>
      <w:r w:rsidRPr="00B37DAE">
        <w:t>I</w:t>
      </w:r>
      <w:r w:rsidR="003F4964" w:rsidRPr="00B37DAE">
        <w:t>nfants under the age of 3 stay free if staying in the same room as one of their parents/caregivers. Please note</w:t>
      </w:r>
      <w:r w:rsidRPr="00B37DAE">
        <w:t>,</w:t>
      </w:r>
      <w:r w:rsidR="003F4964" w:rsidRPr="00B37DAE">
        <w:t xml:space="preserve"> Edinburgh Napier</w:t>
      </w:r>
      <w:r w:rsidR="00065A64" w:rsidRPr="00B37DAE">
        <w:t xml:space="preserve"> cannot provide cots, rollaway </w:t>
      </w:r>
      <w:r w:rsidR="003F4964" w:rsidRPr="00B37DAE">
        <w:t>beds or highchairs, and any items needed should be brought by guests.</w:t>
      </w:r>
    </w:p>
    <w:p w14:paraId="3ABEA99C" w14:textId="77777777" w:rsidR="003F4964" w:rsidRPr="00B37DAE" w:rsidRDefault="003F4964" w:rsidP="006D6B2F">
      <w:pPr>
        <w:pStyle w:val="ASNumberedLevel2"/>
      </w:pPr>
      <w:r w:rsidRPr="00B37DAE">
        <w:rPr>
          <w:rFonts w:asciiTheme="minorHAnsi" w:hAnsiTheme="minorHAnsi"/>
        </w:rPr>
        <w:t>Children under 16 are permitted to stay in their own room. Standard charges apply.</w:t>
      </w:r>
    </w:p>
    <w:p w14:paraId="3F7D958C" w14:textId="77777777" w:rsidR="00703536" w:rsidRPr="007E17C7" w:rsidRDefault="00200E83" w:rsidP="00703536">
      <w:pPr>
        <w:pStyle w:val="ASNumberedLevel1"/>
        <w:rPr>
          <w:color w:val="44546A" w:themeColor="text2"/>
        </w:rPr>
      </w:pPr>
      <w:r w:rsidRPr="007E17C7">
        <w:rPr>
          <w:b/>
          <w:color w:val="44546A" w:themeColor="text2"/>
        </w:rPr>
        <w:t>Pets</w:t>
      </w:r>
    </w:p>
    <w:p w14:paraId="4FDEE776" w14:textId="2A996556" w:rsidR="00200E83" w:rsidRPr="00B37DAE" w:rsidRDefault="00200E83" w:rsidP="00703536">
      <w:pPr>
        <w:pStyle w:val="ASNumberedLevel2"/>
      </w:pPr>
      <w:r w:rsidRPr="00B37DAE">
        <w:t xml:space="preserve"> No pets are allowed in </w:t>
      </w:r>
      <w:r w:rsidR="00E13FAD">
        <w:t>Edinburgh Napier University A</w:t>
      </w:r>
      <w:r w:rsidRPr="00B37DAE">
        <w:t>ccommodation (except guide dogs and hearing dogs).</w:t>
      </w:r>
    </w:p>
    <w:p w14:paraId="35627E46" w14:textId="77777777" w:rsidR="00703536" w:rsidRPr="007E17C7" w:rsidRDefault="00BF7FDF" w:rsidP="00703536">
      <w:pPr>
        <w:pStyle w:val="ASNumberedLevel1"/>
        <w:rPr>
          <w:color w:val="44546A" w:themeColor="text2"/>
        </w:rPr>
      </w:pPr>
      <w:r w:rsidRPr="007E17C7">
        <w:rPr>
          <w:b/>
          <w:color w:val="44546A" w:themeColor="text2"/>
        </w:rPr>
        <w:t>Wi-Fi</w:t>
      </w:r>
    </w:p>
    <w:p w14:paraId="1E930631" w14:textId="19A1D7A7" w:rsidR="00703536" w:rsidRPr="00B37DAE" w:rsidRDefault="003F4964" w:rsidP="00703536">
      <w:pPr>
        <w:pStyle w:val="ASNumberedLevel2"/>
      </w:pPr>
      <w:r w:rsidRPr="00B37DAE">
        <w:t xml:space="preserve"> </w:t>
      </w:r>
      <w:r w:rsidR="00E13FAD">
        <w:t xml:space="preserve">Edinburgh Napier University </w:t>
      </w:r>
      <w:r w:rsidRPr="00B37DAE">
        <w:t xml:space="preserve">Summer Accommodation offers complimentary </w:t>
      </w:r>
      <w:r w:rsidR="00BF7FDF" w:rsidRPr="00B37DAE">
        <w:t>Wi-Fi</w:t>
      </w:r>
      <w:r w:rsidRPr="00B37DAE">
        <w:t xml:space="preserve"> access for all guests.</w:t>
      </w:r>
    </w:p>
    <w:p w14:paraId="09615993" w14:textId="47375A95" w:rsidR="00703536" w:rsidRPr="00B37DAE" w:rsidRDefault="00E13FAD" w:rsidP="00703536">
      <w:pPr>
        <w:pStyle w:val="ASNumberedLevel2"/>
      </w:pPr>
      <w:r>
        <w:t xml:space="preserve">Edinburgh Napier University </w:t>
      </w:r>
      <w:r w:rsidR="003F4964" w:rsidRPr="00B37DAE">
        <w:t xml:space="preserve">endeavours to keep their </w:t>
      </w:r>
      <w:r w:rsidR="00BF7FDF" w:rsidRPr="00B37DAE">
        <w:t>Wi-Fi</w:t>
      </w:r>
      <w:r w:rsidR="003F4964" w:rsidRPr="00B37DAE">
        <w:t xml:space="preserve"> connection in working order at all times. In the event of maintenance issues or general issues wit</w:t>
      </w:r>
      <w:r w:rsidR="004A5412" w:rsidRPr="00B37DAE">
        <w:t xml:space="preserve">h the </w:t>
      </w:r>
      <w:r w:rsidR="00BF7FDF" w:rsidRPr="00B37DAE">
        <w:t>Wi-Fi</w:t>
      </w:r>
      <w:r>
        <w:t xml:space="preserve"> connection, Edinburgh Napier University</w:t>
      </w:r>
      <w:r w:rsidR="003F4964" w:rsidRPr="00B37DAE">
        <w:t xml:space="preserve"> will endeavour to notify the guest where possible, however no refunds or reductions of rate will be given to the guest as this is a complimentary service provided.</w:t>
      </w:r>
    </w:p>
    <w:p w14:paraId="76B612B9" w14:textId="77777777" w:rsidR="00703536" w:rsidRPr="007E17C7" w:rsidRDefault="003F4964" w:rsidP="00703536">
      <w:pPr>
        <w:pStyle w:val="ASNumberedLevel1"/>
        <w:rPr>
          <w:color w:val="44546A" w:themeColor="text2"/>
        </w:rPr>
      </w:pPr>
      <w:r w:rsidRPr="007E17C7">
        <w:rPr>
          <w:b/>
          <w:color w:val="44546A" w:themeColor="text2"/>
        </w:rPr>
        <w:t>Non-Smoking Policy</w:t>
      </w:r>
    </w:p>
    <w:p w14:paraId="41F9377F" w14:textId="3C31ED85" w:rsidR="005F0DAF" w:rsidRPr="00B37DAE" w:rsidRDefault="00263AA1" w:rsidP="00263AA1">
      <w:pPr>
        <w:pStyle w:val="ASNumberedLevel2"/>
        <w:ind w:left="454"/>
      </w:pPr>
      <w:r>
        <w:t xml:space="preserve">Edinburgh Napier University </w:t>
      </w:r>
      <w:r w:rsidRPr="00B37DAE">
        <w:t>has a strict non-smoking policy, including electronic or smokeless cigarettes. Please use the designated external smoking areas. A fine of £100 will be charged to guests smoking</w:t>
      </w:r>
      <w:r>
        <w:t xml:space="preserve"> </w:t>
      </w:r>
      <w:r w:rsidRPr="004E588F">
        <w:t>or vaping</w:t>
      </w:r>
      <w:r w:rsidRPr="00B37DAE">
        <w:t xml:space="preserve"> in their rooms </w:t>
      </w:r>
      <w:r w:rsidRPr="004E588F">
        <w:t>or flat</w:t>
      </w:r>
      <w:r>
        <w:t xml:space="preserve"> </w:t>
      </w:r>
      <w:r w:rsidRPr="00B37DAE">
        <w:t xml:space="preserve">and management reserves the right to evict guests who have been found smoking </w:t>
      </w:r>
      <w:r w:rsidRPr="004E588F">
        <w:t>or vaping</w:t>
      </w:r>
      <w:r w:rsidRPr="00B37DAE">
        <w:t xml:space="preserve"> in the property.</w:t>
      </w:r>
    </w:p>
    <w:p w14:paraId="10D2D962" w14:textId="77777777" w:rsidR="00703536" w:rsidRPr="007E17C7" w:rsidRDefault="00804DA8" w:rsidP="00703536">
      <w:pPr>
        <w:pStyle w:val="ASNumberedLevel1"/>
        <w:rPr>
          <w:b/>
          <w:color w:val="44546A" w:themeColor="text2"/>
        </w:rPr>
      </w:pPr>
      <w:r w:rsidRPr="007E17C7">
        <w:rPr>
          <w:b/>
          <w:color w:val="44546A" w:themeColor="text2"/>
        </w:rPr>
        <w:t>Relocation of Booking</w:t>
      </w:r>
    </w:p>
    <w:p w14:paraId="0A220BE5" w14:textId="171A35FA" w:rsidR="008078F4" w:rsidRDefault="00804DA8" w:rsidP="005F5352">
      <w:pPr>
        <w:pStyle w:val="ASNumberedLevel2"/>
      </w:pPr>
      <w:r w:rsidRPr="00B37DAE">
        <w:t xml:space="preserve"> </w:t>
      </w:r>
      <w:r w:rsidR="00E13FAD">
        <w:t>Edinburgh Napier University</w:t>
      </w:r>
      <w:r w:rsidRPr="00B37DAE">
        <w:rPr>
          <w:rFonts w:asciiTheme="minorHAnsi" w:hAnsiTheme="minorHAnsi"/>
        </w:rPr>
        <w:t xml:space="preserve"> reserves the right to relocate any booking. When a booking cannot be m</w:t>
      </w:r>
      <w:r w:rsidR="004A5412" w:rsidRPr="00B37DAE">
        <w:rPr>
          <w:rFonts w:asciiTheme="minorHAnsi" w:hAnsiTheme="minorHAnsi"/>
        </w:rPr>
        <w:t xml:space="preserve">oved to an appropriate facility, </w:t>
      </w:r>
      <w:r w:rsidRPr="00B37DAE">
        <w:rPr>
          <w:rFonts w:asciiTheme="minorHAnsi" w:hAnsiTheme="minorHAnsi"/>
        </w:rPr>
        <w:t>the Client will receive written notification and a full refund will be given. Notwithstanding the terms of the above</w:t>
      </w:r>
      <w:r w:rsidR="00D462CA">
        <w:rPr>
          <w:rFonts w:asciiTheme="minorHAnsi" w:hAnsiTheme="minorHAnsi"/>
        </w:rPr>
        <w:t xml:space="preserve">, in no circumstances shall </w:t>
      </w:r>
      <w:r w:rsidR="00D462CA">
        <w:t>Edinburgh Napier University</w:t>
      </w:r>
      <w:r w:rsidRPr="00B37DAE">
        <w:rPr>
          <w:rFonts w:asciiTheme="minorHAnsi" w:hAnsiTheme="minorHAnsi"/>
        </w:rPr>
        <w:t xml:space="preserve"> be liable to the Client for any loss of business or income as resulting from the relocation or cancellation of an accommodation booking.</w:t>
      </w:r>
    </w:p>
    <w:p w14:paraId="4BDAC469" w14:textId="28736669" w:rsidR="00200E83" w:rsidRPr="007E17C7" w:rsidRDefault="00200E83" w:rsidP="00703536">
      <w:pPr>
        <w:pStyle w:val="ASNumberedLevel1"/>
        <w:rPr>
          <w:b/>
          <w:color w:val="44546A" w:themeColor="text2"/>
        </w:rPr>
      </w:pPr>
      <w:r w:rsidRPr="007E17C7">
        <w:rPr>
          <w:b/>
          <w:color w:val="44546A" w:themeColor="text2"/>
        </w:rPr>
        <w:t xml:space="preserve">Building </w:t>
      </w:r>
      <w:r w:rsidR="005F5352">
        <w:rPr>
          <w:b/>
          <w:color w:val="44546A" w:themeColor="text2"/>
        </w:rPr>
        <w:t xml:space="preserve">&amp; Maintenance </w:t>
      </w:r>
      <w:r w:rsidRPr="007E17C7">
        <w:rPr>
          <w:b/>
          <w:color w:val="44546A" w:themeColor="text2"/>
        </w:rPr>
        <w:t>Works</w:t>
      </w:r>
    </w:p>
    <w:p w14:paraId="22ADD2C1" w14:textId="53285B7A" w:rsidR="00200E83" w:rsidRPr="00B37DAE" w:rsidRDefault="00200E83" w:rsidP="00200E83">
      <w:pPr>
        <w:pStyle w:val="ASNumberedLevel2"/>
      </w:pPr>
      <w:r w:rsidRPr="00B37DAE">
        <w:rPr>
          <w:rFonts w:asciiTheme="minorHAnsi" w:hAnsiTheme="minorHAnsi"/>
        </w:rPr>
        <w:t>From time to time, building work</w:t>
      </w:r>
      <w:r w:rsidR="00CA54AA">
        <w:rPr>
          <w:rFonts w:asciiTheme="minorHAnsi" w:hAnsiTheme="minorHAnsi"/>
        </w:rPr>
        <w:t>s</w:t>
      </w:r>
      <w:r w:rsidRPr="00B37DAE">
        <w:rPr>
          <w:rFonts w:asciiTheme="minorHAnsi" w:hAnsiTheme="minorHAnsi"/>
        </w:rPr>
        <w:t xml:space="preserve"> and its associated noise is unavoidable in the locale of the development. We do not control such work, and we do not always receive advance notice of when it will begin or detailed information as to the nature of the work to be undertaken at any specific time.  Any disruption to your visit caused by this work may not form the basis for any claim for discount or compensation.  </w:t>
      </w:r>
    </w:p>
    <w:p w14:paraId="017AEB17" w14:textId="77777777" w:rsidR="00703536" w:rsidRPr="007E17C7" w:rsidRDefault="00200E83" w:rsidP="00703536">
      <w:pPr>
        <w:pStyle w:val="ASNumberedLevel1"/>
        <w:rPr>
          <w:color w:val="44546A" w:themeColor="text2"/>
        </w:rPr>
      </w:pPr>
      <w:r w:rsidRPr="007E17C7">
        <w:rPr>
          <w:b/>
          <w:color w:val="44546A" w:themeColor="text2"/>
        </w:rPr>
        <w:t>Damages</w:t>
      </w:r>
    </w:p>
    <w:p w14:paraId="639994F0" w14:textId="41FCFCD8" w:rsidR="00804DA8" w:rsidRPr="00B37DAE" w:rsidRDefault="00026C63" w:rsidP="00703536">
      <w:pPr>
        <w:pStyle w:val="ASNumberedLevel2"/>
      </w:pPr>
      <w:r>
        <w:t xml:space="preserve">All damages to the apartment, facilities and items within apartments </w:t>
      </w:r>
      <w:r w:rsidR="00200E83" w:rsidRPr="00B37DAE">
        <w:t>will be charged to the gue</w:t>
      </w:r>
      <w:r w:rsidR="00B14D64">
        <w:t>st.</w:t>
      </w:r>
    </w:p>
    <w:p w14:paraId="15F3B540" w14:textId="7D1E1C00" w:rsidR="00200E83" w:rsidRPr="00B37DAE" w:rsidRDefault="00DA7049" w:rsidP="006D6B2F">
      <w:pPr>
        <w:pStyle w:val="ASNumberedLevel2"/>
      </w:pPr>
      <w:r w:rsidRPr="00B37DAE">
        <w:rPr>
          <w:rFonts w:asciiTheme="minorHAnsi" w:hAnsiTheme="minorHAnsi"/>
        </w:rPr>
        <w:t>ENU</w:t>
      </w:r>
      <w:r w:rsidR="00200E83" w:rsidRPr="00B37DAE">
        <w:rPr>
          <w:rFonts w:asciiTheme="minorHAnsi" w:hAnsiTheme="minorHAnsi"/>
        </w:rPr>
        <w:t xml:space="preserve"> cannot accept liability in respect of damage to or loss of guests’ property brought to the premises or in respect of accidents sustained by persons using the accommodation specified.  Guests are advised to check that their own insurance policies provide adequate cover</w:t>
      </w:r>
      <w:r w:rsidR="00186C52" w:rsidRPr="00B37DAE">
        <w:rPr>
          <w:rFonts w:asciiTheme="minorHAnsi" w:hAnsiTheme="minorHAnsi"/>
        </w:rPr>
        <w:t>.</w:t>
      </w:r>
    </w:p>
    <w:p w14:paraId="417D1312" w14:textId="77777777" w:rsidR="00DA7049" w:rsidRPr="007E17C7" w:rsidRDefault="00DA7049" w:rsidP="00DA7049">
      <w:pPr>
        <w:pStyle w:val="ASNumberedLevel1"/>
        <w:rPr>
          <w:b/>
          <w:color w:val="44546A" w:themeColor="text2"/>
        </w:rPr>
      </w:pPr>
      <w:bookmarkStart w:id="2" w:name="_Toc69469464"/>
      <w:r w:rsidRPr="007E17C7">
        <w:rPr>
          <w:b/>
          <w:color w:val="44546A" w:themeColor="text2"/>
        </w:rPr>
        <w:t>Limitation of liability</w:t>
      </w:r>
      <w:bookmarkEnd w:id="2"/>
    </w:p>
    <w:p w14:paraId="76516391" w14:textId="4E4A3E59" w:rsidR="00DA7049" w:rsidRPr="00B37DAE" w:rsidRDefault="00DA7049" w:rsidP="00DA7049">
      <w:pPr>
        <w:pStyle w:val="ASNumberedLevel2"/>
      </w:pPr>
      <w:r w:rsidRPr="00B37DAE">
        <w:rPr>
          <w:b/>
        </w:rPr>
        <w:t>Scope of this clause.</w:t>
      </w:r>
      <w:r w:rsidRPr="00B37DAE">
        <w:t xml:space="preserve"> References to liability in this </w:t>
      </w:r>
      <w:r w:rsidRPr="00B37DAE">
        <w:rPr>
          <w:noProof/>
        </w:rPr>
        <w:t xml:space="preserve">clause </w:t>
      </w:r>
      <w:r w:rsidRPr="00B37DAE">
        <w:t>16 include every kind of liability arising under or in connection with this agreement including but not limited to liability in contract, delict (including negligence), misrepresentation, restitution</w:t>
      </w:r>
      <w:r w:rsidR="00CA54AA">
        <w:t>,</w:t>
      </w:r>
      <w:r w:rsidRPr="00B37DAE">
        <w:t xml:space="preserve"> or otherwise.</w:t>
      </w:r>
    </w:p>
    <w:p w14:paraId="2B659D33" w14:textId="77777777" w:rsidR="00DA7049" w:rsidRPr="00B37DAE" w:rsidRDefault="00DA7049" w:rsidP="00DA7049">
      <w:pPr>
        <w:pStyle w:val="ASNumberedLevel2"/>
      </w:pPr>
      <w:r w:rsidRPr="00B37DAE">
        <w:rPr>
          <w:b/>
        </w:rPr>
        <w:t xml:space="preserve">Liabilities which cannot legally be limited. </w:t>
      </w:r>
      <w:r w:rsidRPr="00B37DAE">
        <w:t>Nothing in this agreement limits any liability which cannot legally be limited, including but not limited to liability for:</w:t>
      </w:r>
    </w:p>
    <w:p w14:paraId="744C7A2D" w14:textId="094A5D17" w:rsidR="00DA7049" w:rsidRPr="00B37DAE" w:rsidRDefault="00CA54AA" w:rsidP="00DA7049">
      <w:pPr>
        <w:pStyle w:val="ASNumberedLevel3"/>
      </w:pPr>
      <w:r>
        <w:t>D</w:t>
      </w:r>
      <w:r w:rsidR="00DA7049" w:rsidRPr="00B37DAE">
        <w:t>eath or personal injury caused by negligence; and</w:t>
      </w:r>
    </w:p>
    <w:p w14:paraId="34F80995" w14:textId="6D94406E" w:rsidR="00DA7049" w:rsidRPr="00B37DAE" w:rsidRDefault="00CA54AA" w:rsidP="00DA7049">
      <w:pPr>
        <w:pStyle w:val="ASNumberedLevel3"/>
      </w:pPr>
      <w:r>
        <w:t>F</w:t>
      </w:r>
      <w:r w:rsidR="00DA7049" w:rsidRPr="00B37DAE">
        <w:t>raud or fraudulent misrepresentation.</w:t>
      </w:r>
    </w:p>
    <w:p w14:paraId="2A946F13" w14:textId="54A8D34E" w:rsidR="00DA7049" w:rsidRPr="00B14D64" w:rsidRDefault="00DA7049" w:rsidP="00DA7049">
      <w:pPr>
        <w:pStyle w:val="ASNumberedLevel2"/>
      </w:pPr>
      <w:r w:rsidRPr="00B14D64">
        <w:rPr>
          <w:b/>
        </w:rPr>
        <w:t>Cap on the ENU's liability</w:t>
      </w:r>
      <w:r w:rsidRPr="00B14D64">
        <w:t xml:space="preserve">. Subject to </w:t>
      </w:r>
      <w:r w:rsidRPr="00B14D64">
        <w:rPr>
          <w:noProof/>
        </w:rPr>
        <w:t xml:space="preserve">clause </w:t>
      </w:r>
      <w:r w:rsidR="002E28CC" w:rsidRPr="00B14D64">
        <w:t>16.2</w:t>
      </w:r>
      <w:r w:rsidRPr="00B14D64">
        <w:t xml:space="preserve"> (liabilities which cannot legally be limited), </w:t>
      </w:r>
      <w:r w:rsidR="00AC6F20" w:rsidRPr="00B14D64">
        <w:t xml:space="preserve">Edinburgh Napier University’s </w:t>
      </w:r>
      <w:r w:rsidRPr="00B14D64">
        <w:t xml:space="preserve">total liability to the </w:t>
      </w:r>
      <w:r w:rsidR="00B14D64" w:rsidRPr="00B14D64">
        <w:t>Client</w:t>
      </w:r>
      <w:r w:rsidRPr="00B14D64">
        <w:t xml:space="preserve"> under this agreement shall </w:t>
      </w:r>
      <w:r w:rsidR="002E28CC" w:rsidRPr="00B14D64">
        <w:t xml:space="preserve">not exceed {£AMOUNT LINKED TO RELEVANT INSURANCE POLICY </w:t>
      </w:r>
      <w:r w:rsidR="002E28CC" w:rsidRPr="00B14D64">
        <w:rPr>
          <w:u w:val="single"/>
        </w:rPr>
        <w:t xml:space="preserve">OR </w:t>
      </w:r>
      <w:r w:rsidR="002E28CC" w:rsidRPr="00B14D64">
        <w:t>OTHER AMOUNT]</w:t>
      </w:r>
      <w:r w:rsidRPr="00B14D64">
        <w:t>.</w:t>
      </w:r>
    </w:p>
    <w:p w14:paraId="1B75EC7E" w14:textId="77777777" w:rsidR="00186C52" w:rsidRPr="007E17C7" w:rsidRDefault="00186C52" w:rsidP="00186C52">
      <w:pPr>
        <w:pStyle w:val="ASNumberedLevel1"/>
        <w:rPr>
          <w:b/>
          <w:color w:val="44546A" w:themeColor="text2"/>
        </w:rPr>
      </w:pPr>
      <w:r w:rsidRPr="007E17C7">
        <w:rPr>
          <w:b/>
          <w:color w:val="44546A" w:themeColor="text2"/>
        </w:rPr>
        <w:t>Force Majeure</w:t>
      </w:r>
    </w:p>
    <w:p w14:paraId="15FE6748" w14:textId="77777777" w:rsidR="00186C52" w:rsidRPr="00B37DAE" w:rsidRDefault="00186C52" w:rsidP="00186C52">
      <w:pPr>
        <w:pStyle w:val="ASNumberedLevel2"/>
      </w:pPr>
      <w:r w:rsidRPr="00B37DAE">
        <w:t xml:space="preserve"> Except where otherwise expressly stated in these </w:t>
      </w:r>
      <w:r w:rsidR="003A56D5" w:rsidRPr="00B37DAE">
        <w:t>terms and conditions</w:t>
      </w:r>
      <w:r w:rsidRPr="00B37DAE">
        <w:t xml:space="preserve"> we will not be liable or pay you compensation, if our contractual obligations to you are affected by “</w:t>
      </w:r>
      <w:r w:rsidR="003A56D5" w:rsidRPr="00B37DAE">
        <w:rPr>
          <w:b/>
        </w:rPr>
        <w:t>Force Majeure Event</w:t>
      </w:r>
      <w:r w:rsidRPr="00B37DAE">
        <w:t xml:space="preserve">”. For the purposes of these </w:t>
      </w:r>
      <w:r w:rsidR="003A56D5" w:rsidRPr="00B37DAE">
        <w:t>terms and conditions</w:t>
      </w:r>
      <w:r w:rsidRPr="00B37DAE">
        <w:t xml:space="preserve">, </w:t>
      </w:r>
      <w:r w:rsidR="003A56D5" w:rsidRPr="00B37DAE">
        <w:t xml:space="preserve">Force Majeure Event </w:t>
      </w:r>
      <w:r w:rsidRPr="00B37DAE">
        <w:t>means any event beyond our control, the consequences of which could not have been avoided even if all reasonable measures had been taken. Examples include warfare and acts of terrorism (and threat thereof), civil strife, significant risks to human health such as the outbreak of serious disease at the travel d</w:t>
      </w:r>
      <w:r w:rsidR="002F3778" w:rsidRPr="00B37DAE">
        <w:t>estination (including epidemics and</w:t>
      </w:r>
      <w:r w:rsidRPr="00B37DAE">
        <w:t xml:space="preserve"> pandemics) or natural disasters such as floods, earthquakes or weather conditions which prevent you from travelling to the travel destination and/or make it impossible to travel safely to the travel destination or remain at the travel destination, the act of any government or other national or local authority including port or river authorities, industrial dispute, labour strikes, lock closure, natural or nuclear disaster, fire,</w:t>
      </w:r>
      <w:r w:rsidR="003A56D5" w:rsidRPr="00B37DAE">
        <w:t xml:space="preserve"> chemical or biological disaste</w:t>
      </w:r>
      <w:r w:rsidRPr="00B37DAE">
        <w:t>r, unavoidable technical problems with transport and all similar events outside our control</w:t>
      </w:r>
    </w:p>
    <w:p w14:paraId="5BCCEFE6" w14:textId="77777777" w:rsidR="004A5412" w:rsidRPr="007E17C7" w:rsidRDefault="00200E83" w:rsidP="00703536">
      <w:pPr>
        <w:pStyle w:val="ASNumberedLevel1"/>
        <w:rPr>
          <w:color w:val="44546A" w:themeColor="text2"/>
        </w:rPr>
      </w:pPr>
      <w:r w:rsidRPr="007E17C7">
        <w:rPr>
          <w:b/>
          <w:color w:val="44546A" w:themeColor="text2"/>
        </w:rPr>
        <w:t>General Booking Terms</w:t>
      </w:r>
    </w:p>
    <w:p w14:paraId="601C33FA" w14:textId="2E442405" w:rsidR="006D6B2F" w:rsidRPr="00B37DAE" w:rsidRDefault="006D6B2F" w:rsidP="006D6B2F">
      <w:pPr>
        <w:pStyle w:val="ASNumberedLevel2"/>
      </w:pPr>
      <w:r w:rsidRPr="00B37DAE">
        <w:rPr>
          <w:rFonts w:asciiTheme="minorHAnsi" w:hAnsiTheme="minorHAnsi"/>
        </w:rPr>
        <w:t xml:space="preserve">Groups, families, and conference delegates occupying </w:t>
      </w:r>
      <w:r w:rsidR="00B14D64">
        <w:t xml:space="preserve">Edinburgh Napier University </w:t>
      </w:r>
      <w:r w:rsidRPr="00B37DAE">
        <w:rPr>
          <w:rFonts w:asciiTheme="minorHAnsi" w:hAnsiTheme="minorHAnsi"/>
        </w:rPr>
        <w:t xml:space="preserve">residential accommodation are liable jointly and severally to implement the conditions of the </w:t>
      </w:r>
      <w:proofErr w:type="spellStart"/>
      <w:r w:rsidRPr="00B37DAE">
        <w:rPr>
          <w:rFonts w:asciiTheme="minorHAnsi" w:hAnsiTheme="minorHAnsi"/>
        </w:rPr>
        <w:t>let</w:t>
      </w:r>
      <w:proofErr w:type="spellEnd"/>
      <w:r w:rsidRPr="00B37DAE">
        <w:rPr>
          <w:rFonts w:asciiTheme="minorHAnsi" w:hAnsiTheme="minorHAnsi"/>
        </w:rPr>
        <w:t>.</w:t>
      </w:r>
    </w:p>
    <w:p w14:paraId="3502ED77" w14:textId="016A359F" w:rsidR="00703536" w:rsidRPr="00B37DAE" w:rsidRDefault="00703536" w:rsidP="00703536">
      <w:pPr>
        <w:pStyle w:val="ASNumberedLevel2"/>
        <w:rPr>
          <w:rFonts w:asciiTheme="minorHAnsi" w:hAnsiTheme="minorHAnsi"/>
        </w:rPr>
      </w:pPr>
      <w:r w:rsidRPr="00B37DAE">
        <w:rPr>
          <w:rFonts w:asciiTheme="minorHAnsi" w:hAnsiTheme="minorHAnsi"/>
        </w:rPr>
        <w:t>The property is let to confer on the Client the right to occupy the property for a</w:t>
      </w:r>
      <w:r w:rsidR="00B14D64">
        <w:rPr>
          <w:rFonts w:asciiTheme="minorHAnsi" w:hAnsiTheme="minorHAnsi"/>
        </w:rPr>
        <w:t xml:space="preserve"> holiday</w:t>
      </w:r>
      <w:r w:rsidRPr="00B37DAE">
        <w:rPr>
          <w:rFonts w:asciiTheme="minorHAnsi" w:hAnsiTheme="minorHAnsi"/>
        </w:rPr>
        <w:t>. This let is a let to which the terms of p</w:t>
      </w:r>
      <w:r w:rsidR="00B14D64">
        <w:rPr>
          <w:rFonts w:asciiTheme="minorHAnsi" w:hAnsiTheme="minorHAnsi"/>
        </w:rPr>
        <w:t>aragraph 6 of Schedule 1 of the</w:t>
      </w:r>
      <w:r w:rsidRPr="00B37DAE">
        <w:rPr>
          <w:rFonts w:asciiTheme="minorHAnsi" w:hAnsiTheme="minorHAnsi"/>
        </w:rPr>
        <w:t xml:space="preserve"> Private Housing (Tenanc</w:t>
      </w:r>
      <w:r w:rsidR="00B14D64">
        <w:rPr>
          <w:rFonts w:asciiTheme="minorHAnsi" w:hAnsiTheme="minorHAnsi"/>
        </w:rPr>
        <w:t>ies) (Scotland) Act 2016 apply.</w:t>
      </w:r>
      <w:r w:rsidRPr="00B37DAE">
        <w:rPr>
          <w:rFonts w:asciiTheme="minorHAnsi" w:hAnsiTheme="minorHAnsi"/>
        </w:rPr>
        <w:t xml:space="preserve"> This booking is for the named Client only and cannot be assigned or sub-let.</w:t>
      </w:r>
    </w:p>
    <w:sectPr w:rsidR="00703536" w:rsidRPr="00B37DAE" w:rsidSect="007E17C7">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7C992" w14:textId="77777777" w:rsidR="00833606" w:rsidRDefault="00833606" w:rsidP="00200E83">
      <w:r>
        <w:separator/>
      </w:r>
    </w:p>
  </w:endnote>
  <w:endnote w:type="continuationSeparator" w:id="0">
    <w:p w14:paraId="4F3AB568" w14:textId="77777777" w:rsidR="00833606" w:rsidRDefault="00833606" w:rsidP="0020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nterstate Bold">
    <w:panose1 w:val="02000503030000020004"/>
    <w:charset w:val="00"/>
    <w:family w:val="modern"/>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8EF3" w14:textId="77777777" w:rsidR="00833606" w:rsidRDefault="00833606" w:rsidP="00200E83">
      <w:r>
        <w:separator/>
      </w:r>
    </w:p>
  </w:footnote>
  <w:footnote w:type="continuationSeparator" w:id="0">
    <w:p w14:paraId="39AB9014" w14:textId="77777777" w:rsidR="00833606" w:rsidRDefault="00833606" w:rsidP="00200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B178" w14:textId="77777777" w:rsidR="007E17C7" w:rsidRPr="007E17C7" w:rsidRDefault="007E17C7" w:rsidP="007E17C7">
    <w:pPr>
      <w:autoSpaceDE w:val="0"/>
      <w:autoSpaceDN w:val="0"/>
      <w:adjustRightInd w:val="0"/>
      <w:rPr>
        <w:rFonts w:ascii="Interstate Bold" w:eastAsia="Calibri" w:hAnsi="Interstate Bold" w:cs="Calibri"/>
        <w:b/>
        <w:bCs/>
        <w:color w:val="000000"/>
        <w:sz w:val="28"/>
        <w:szCs w:val="28"/>
      </w:rPr>
    </w:pPr>
    <w:r w:rsidRPr="007E17C7">
      <w:rPr>
        <w:rFonts w:ascii="Interstate Bold" w:eastAsia="Calibri" w:hAnsi="Interstate Bold" w:cs="Calibri"/>
        <w:noProof/>
        <w:sz w:val="24"/>
        <w:szCs w:val="24"/>
        <w:lang w:eastAsia="en-GB"/>
      </w:rPr>
      <w:drawing>
        <wp:anchor distT="0" distB="0" distL="114300" distR="114300" simplePos="0" relativeHeight="251659264" behindDoc="1" locked="0" layoutInCell="1" allowOverlap="1" wp14:anchorId="7BB9E0BB" wp14:editId="24EF4EC3">
          <wp:simplePos x="0" y="0"/>
          <wp:positionH relativeFrom="margin">
            <wp:posOffset>4853093</wp:posOffset>
          </wp:positionH>
          <wp:positionV relativeFrom="paragraph">
            <wp:posOffset>-215053</wp:posOffset>
          </wp:positionV>
          <wp:extent cx="1955165" cy="596265"/>
          <wp:effectExtent l="0" t="0" r="6985" b="0"/>
          <wp:wrapTight wrapText="bothSides">
            <wp:wrapPolygon edited="0">
              <wp:start x="0" y="0"/>
              <wp:lineTo x="0" y="20703"/>
              <wp:lineTo x="21467" y="20703"/>
              <wp:lineTo x="2146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NapUni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165" cy="596265"/>
                  </a:xfrm>
                  <a:prstGeom prst="rect">
                    <a:avLst/>
                  </a:prstGeom>
                </pic:spPr>
              </pic:pic>
            </a:graphicData>
          </a:graphic>
          <wp14:sizeRelH relativeFrom="page">
            <wp14:pctWidth>0</wp14:pctWidth>
          </wp14:sizeRelH>
          <wp14:sizeRelV relativeFrom="page">
            <wp14:pctHeight>0</wp14:pctHeight>
          </wp14:sizeRelV>
        </wp:anchor>
      </w:drawing>
    </w:r>
    <w:r w:rsidRPr="007E17C7">
      <w:rPr>
        <w:rFonts w:ascii="Interstate Bold" w:eastAsia="Calibri" w:hAnsi="Interstate Bold" w:cs="Calibri"/>
        <w:b/>
        <w:bCs/>
        <w:color w:val="000000"/>
        <w:sz w:val="28"/>
        <w:szCs w:val="28"/>
      </w:rPr>
      <w:t xml:space="preserve">EDINBURGH NAPIER UNIVERSITY </w:t>
    </w:r>
  </w:p>
  <w:p w14:paraId="508E3CA8" w14:textId="1C1C4BFE" w:rsidR="007E17C7" w:rsidRDefault="007E17C7" w:rsidP="007E17C7">
    <w:pPr>
      <w:autoSpaceDE w:val="0"/>
      <w:autoSpaceDN w:val="0"/>
      <w:adjustRightInd w:val="0"/>
      <w:rPr>
        <w:rFonts w:ascii="Interstate Bold" w:eastAsia="Calibri" w:hAnsi="Interstate Bold" w:cs="Interstate Bold"/>
        <w:color w:val="000000"/>
        <w:sz w:val="20"/>
        <w:szCs w:val="20"/>
      </w:rPr>
    </w:pPr>
    <w:r>
      <w:rPr>
        <w:rFonts w:ascii="Interstate Bold" w:eastAsia="Calibri" w:hAnsi="Interstate Bold" w:cs="Interstate Bold"/>
        <w:color w:val="000000"/>
        <w:sz w:val="20"/>
        <w:szCs w:val="20"/>
      </w:rPr>
      <w:t>SUMMER ACCOMMO</w:t>
    </w:r>
    <w:r w:rsidR="00026C63">
      <w:rPr>
        <w:rFonts w:ascii="Interstate Bold" w:eastAsia="Calibri" w:hAnsi="Interstate Bold" w:cs="Interstate Bold"/>
        <w:color w:val="000000"/>
        <w:sz w:val="20"/>
        <w:szCs w:val="20"/>
      </w:rPr>
      <w:t>DATION TERMS AND CONDITIONS 202</w:t>
    </w:r>
    <w:r w:rsidR="007F6215">
      <w:rPr>
        <w:rFonts w:ascii="Interstate Bold" w:eastAsia="Calibri" w:hAnsi="Interstate Bold" w:cs="Interstate Bold"/>
        <w:color w:val="000000"/>
        <w:sz w:val="20"/>
        <w:szCs w:val="20"/>
      </w:rPr>
      <w:t>4</w:t>
    </w:r>
  </w:p>
  <w:p w14:paraId="253321F4" w14:textId="77777777" w:rsidR="00785788" w:rsidRDefault="00785788" w:rsidP="007E17C7">
    <w:pPr>
      <w:autoSpaceDE w:val="0"/>
      <w:autoSpaceDN w:val="0"/>
      <w:adjustRightInd w:val="0"/>
      <w:rPr>
        <w:rFonts w:ascii="Interstate Bold" w:eastAsia="Calibri" w:hAnsi="Interstate Bold" w:cs="Interstate Bold"/>
        <w:color w:val="000000"/>
        <w:sz w:val="20"/>
        <w:szCs w:val="20"/>
      </w:rPr>
    </w:pPr>
  </w:p>
  <w:p w14:paraId="5327AAEA" w14:textId="77777777" w:rsidR="007E17C7" w:rsidRDefault="007E17C7" w:rsidP="007E17C7">
    <w:pPr>
      <w:autoSpaceDE w:val="0"/>
      <w:autoSpaceDN w:val="0"/>
      <w:adjustRightInd w:val="0"/>
      <w:rPr>
        <w:rFonts w:ascii="Interstate Bold" w:eastAsia="Calibri" w:hAnsi="Interstate Bold" w:cs="Interstate Bold"/>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193"/>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5717B0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912A9D"/>
    <w:multiLevelType w:val="hybridMultilevel"/>
    <w:tmpl w:val="09BCB1AE"/>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36B11"/>
    <w:multiLevelType w:val="hybridMultilevel"/>
    <w:tmpl w:val="62CC9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079D9"/>
    <w:multiLevelType w:val="hybridMultilevel"/>
    <w:tmpl w:val="B5C4B7EC"/>
    <w:lvl w:ilvl="0" w:tplc="6C30FFB2">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375063"/>
    <w:multiLevelType w:val="hybridMultilevel"/>
    <w:tmpl w:val="42E26040"/>
    <w:lvl w:ilvl="0" w:tplc="19C2A674">
      <w:start w:val="20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B1B5D"/>
    <w:multiLevelType w:val="hybridMultilevel"/>
    <w:tmpl w:val="82DCCD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F7F72"/>
    <w:multiLevelType w:val="hybridMultilevel"/>
    <w:tmpl w:val="ECB443E0"/>
    <w:lvl w:ilvl="0" w:tplc="B7526590">
      <w:start w:val="1"/>
      <w:numFmt w:val="lowerLetter"/>
      <w:lvlText w:val="(%1)"/>
      <w:lvlJc w:val="left"/>
      <w:pPr>
        <w:ind w:left="1571" w:hanging="360"/>
      </w:pPr>
      <w:rPr>
        <w:rFonts w:hint="default"/>
        <w:b w:val="0"/>
        <w:bCs w:val="0"/>
        <w:i w:val="0"/>
        <w:iCs w:val="0"/>
        <w:sz w:val="18"/>
        <w:szCs w:val="18"/>
      </w:rPr>
    </w:lvl>
    <w:lvl w:ilvl="1" w:tplc="70D86716">
      <w:start w:val="1"/>
      <w:numFmt w:val="lowerLetter"/>
      <w:lvlText w:val="(%2)"/>
      <w:lvlJc w:val="left"/>
      <w:pPr>
        <w:ind w:left="229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8" w15:restartNumberingAfterBreak="0">
    <w:nsid w:val="1CF067A8"/>
    <w:multiLevelType w:val="hybridMultilevel"/>
    <w:tmpl w:val="C5B8BB60"/>
    <w:lvl w:ilvl="0" w:tplc="02C2159E">
      <w:start w:val="200"/>
      <w:numFmt w:val="bullet"/>
      <w:pStyle w:val="ASBullets"/>
      <w:lvlText w:val="•"/>
      <w:lvlJc w:val="left"/>
      <w:pPr>
        <w:ind w:left="700" w:hanging="360"/>
      </w:pPr>
      <w:rPr>
        <w:rFonts w:ascii="Calibri" w:hAnsi="Calibri" w:cs="Calibri" w:hint="default"/>
        <w:b w:val="0"/>
        <w:bCs w:val="0"/>
        <w:i w:val="0"/>
        <w:iCs w:val="0"/>
        <w:color w:val="auto"/>
        <w:sz w:val="16"/>
        <w:szCs w:val="16"/>
      </w:rPr>
    </w:lvl>
    <w:lvl w:ilvl="1" w:tplc="D4A662C0">
      <w:start w:val="1"/>
      <w:numFmt w:val="lowerLetter"/>
      <w:lvlText w:val="(%2)"/>
      <w:lvlJc w:val="left"/>
      <w:pPr>
        <w:ind w:left="1440" w:hanging="360"/>
      </w:pPr>
      <w:rPr>
        <w:rFonts w:hint="default"/>
        <w:b/>
        <w:color w:val="F82B1D"/>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724E78"/>
    <w:multiLevelType w:val="hybridMultilevel"/>
    <w:tmpl w:val="C674C4C4"/>
    <w:lvl w:ilvl="0" w:tplc="1C30DEEE">
      <w:start w:val="1"/>
      <w:numFmt w:val="decimal"/>
      <w:lvlText w:val="%1."/>
      <w:lvlJc w:val="left"/>
      <w:pPr>
        <w:ind w:left="720" w:hanging="360"/>
      </w:pPr>
      <w:rPr>
        <w:rFonts w:hint="default"/>
        <w:b/>
        <w:bCs/>
        <w:i w:val="0"/>
        <w:iCs w:val="0"/>
        <w:color w:val="auto"/>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F11B4B"/>
    <w:multiLevelType w:val="hybridMultilevel"/>
    <w:tmpl w:val="13D4FACA"/>
    <w:lvl w:ilvl="0" w:tplc="CFDA8FF4">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2871DD"/>
    <w:multiLevelType w:val="multilevel"/>
    <w:tmpl w:val="69986732"/>
    <w:lvl w:ilvl="0">
      <w:start w:val="1"/>
      <w:numFmt w:val="decimal"/>
      <w:pStyle w:val="ASNumberedLevel1"/>
      <w:lvlText w:val="%1."/>
      <w:lvlJc w:val="left"/>
      <w:pPr>
        <w:ind w:left="340" w:hanging="34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SNumberedLevel2"/>
      <w:lvlText w:val="%1.%2."/>
      <w:lvlJc w:val="left"/>
      <w:pPr>
        <w:ind w:left="738" w:hanging="454"/>
      </w:pPr>
      <w:rPr>
        <w:rFonts w:hint="default"/>
        <w:b w:val="0"/>
        <w:bCs w:val="0"/>
        <w:i w:val="0"/>
        <w:iCs w:val="0"/>
        <w:color w:val="auto"/>
        <w:sz w:val="22"/>
        <w:szCs w:val="22"/>
      </w:rPr>
    </w:lvl>
    <w:lvl w:ilvl="2">
      <w:start w:val="1"/>
      <w:numFmt w:val="decimal"/>
      <w:pStyle w:val="ASNumberedLevel3"/>
      <w:lvlText w:val="%1.%2.%3."/>
      <w:lvlJc w:val="left"/>
      <w:pPr>
        <w:ind w:left="680" w:hanging="226"/>
      </w:pPr>
      <w:rPr>
        <w:rFonts w:hint="default"/>
        <w:b w:val="0"/>
        <w:bCs w:val="0"/>
        <w:i w:val="0"/>
        <w:iCs w:val="0"/>
        <w:color w:val="auto"/>
        <w:sz w:val="22"/>
        <w:szCs w:val="22"/>
      </w:rPr>
    </w:lvl>
    <w:lvl w:ilvl="3">
      <w:start w:val="1"/>
      <w:numFmt w:val="decimal"/>
      <w:pStyle w:val="ASNumberedLevel4"/>
      <w:lvlText w:val="%1.%2.%3.%4."/>
      <w:lvlJc w:val="left"/>
      <w:pPr>
        <w:ind w:left="1728" w:hanging="648"/>
      </w:pPr>
      <w:rPr>
        <w:rFonts w:hint="default"/>
      </w:rPr>
    </w:lvl>
    <w:lvl w:ilvl="4">
      <w:start w:val="1"/>
      <w:numFmt w:val="decimal"/>
      <w:pStyle w:val="ASNumberedLevel5"/>
      <w:lvlText w:val="%1.%2.%3.%4.%5."/>
      <w:lvlJc w:val="left"/>
      <w:pPr>
        <w:ind w:left="2232" w:hanging="792"/>
      </w:pPr>
      <w:rPr>
        <w:rFonts w:hint="default"/>
      </w:rPr>
    </w:lvl>
    <w:lvl w:ilvl="5">
      <w:start w:val="1"/>
      <w:numFmt w:val="decimal"/>
      <w:pStyle w:val="ASNumberedLevel6"/>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DC4E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7C7509"/>
    <w:multiLevelType w:val="hybridMultilevel"/>
    <w:tmpl w:val="BB509384"/>
    <w:lvl w:ilvl="0" w:tplc="A872A0AC">
      <w:start w:val="1"/>
      <w:numFmt w:val="lowerLetter"/>
      <w:pStyle w:val="ListParagraph"/>
      <w:lvlText w:val="(%1)"/>
      <w:lvlJc w:val="left"/>
      <w:pPr>
        <w:ind w:left="1440" w:hanging="360"/>
      </w:pPr>
      <w:rPr>
        <w:rFonts w:hint="default"/>
        <w:b w:val="0"/>
        <w:bCs w:val="0"/>
        <w:i w:val="0"/>
        <w:iCs w:val="0"/>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D53251"/>
    <w:multiLevelType w:val="hybridMultilevel"/>
    <w:tmpl w:val="FEFA5700"/>
    <w:lvl w:ilvl="0" w:tplc="FAD2EDAC">
      <w:numFmt w:val="bullet"/>
      <w:lvlText w:val="•"/>
      <w:lvlJc w:val="left"/>
      <w:pPr>
        <w:ind w:left="1080" w:hanging="720"/>
      </w:pPr>
      <w:rPr>
        <w:rFonts w:ascii="Century Gothic" w:eastAsiaTheme="minorEastAsia"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10A49"/>
    <w:multiLevelType w:val="hybridMultilevel"/>
    <w:tmpl w:val="D7AEEC6C"/>
    <w:lvl w:ilvl="0" w:tplc="5B8EC0B8">
      <w:start w:val="200"/>
      <w:numFmt w:val="bullet"/>
      <w:lvlText w:val="•"/>
      <w:lvlJc w:val="left"/>
      <w:pPr>
        <w:ind w:left="720" w:hanging="360"/>
      </w:pPr>
      <w:rPr>
        <w:rFonts w:ascii="Calibri" w:hAnsi="Calibri" w:cs="Calibri" w:hint="default"/>
        <w:b w:val="0"/>
        <w:bCs w:val="0"/>
        <w:i w:val="0"/>
        <w:iCs w:val="0"/>
        <w:sz w:val="12"/>
        <w:szCs w:val="1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431C79"/>
    <w:multiLevelType w:val="hybridMultilevel"/>
    <w:tmpl w:val="A15CEF16"/>
    <w:lvl w:ilvl="0" w:tplc="FFFFFFFF">
      <w:start w:val="19"/>
      <w:numFmt w:val="bullet"/>
      <w:lvlText w:val=""/>
      <w:lvlJc w:val="left"/>
      <w:pPr>
        <w:ind w:left="72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7C22256"/>
    <w:multiLevelType w:val="hybridMultilevel"/>
    <w:tmpl w:val="ED9AC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7C35CA"/>
    <w:multiLevelType w:val="hybridMultilevel"/>
    <w:tmpl w:val="8D2A238C"/>
    <w:lvl w:ilvl="0" w:tplc="633695DE">
      <w:start w:val="200"/>
      <w:numFmt w:val="bullet"/>
      <w:lvlText w:val="•"/>
      <w:lvlJc w:val="left"/>
      <w:pPr>
        <w:ind w:left="720" w:hanging="360"/>
      </w:pPr>
      <w:rPr>
        <w:rFonts w:ascii="Calibri" w:hAnsi="Calibri" w:cs="Calibri" w:hint="default"/>
        <w:sz w:val="12"/>
        <w:szCs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E67CEA"/>
    <w:multiLevelType w:val="hybridMultilevel"/>
    <w:tmpl w:val="C91CC5C4"/>
    <w:lvl w:ilvl="0" w:tplc="A6A44C12">
      <w:start w:val="1"/>
      <w:numFmt w:val="upperLetter"/>
      <w:pStyle w:val="ASPreambleLettering"/>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B84CD3"/>
    <w:multiLevelType w:val="hybridMultilevel"/>
    <w:tmpl w:val="FC3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E8056B"/>
    <w:multiLevelType w:val="hybridMultilevel"/>
    <w:tmpl w:val="F24838EC"/>
    <w:lvl w:ilvl="0" w:tplc="C1CE8F08">
      <w:start w:val="200"/>
      <w:numFmt w:val="bullet"/>
      <w:lvlText w:val="•"/>
      <w:lvlJc w:val="left"/>
      <w:pPr>
        <w:ind w:left="720" w:hanging="360"/>
      </w:pPr>
      <w:rPr>
        <w:rFonts w:ascii="Calibri" w:hAnsi="Calibri" w:cs="Calibri"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41040"/>
    <w:multiLevelType w:val="hybridMultilevel"/>
    <w:tmpl w:val="0EFC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914881"/>
    <w:multiLevelType w:val="hybridMultilevel"/>
    <w:tmpl w:val="A43C2494"/>
    <w:lvl w:ilvl="0" w:tplc="AF9A3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157916"/>
    <w:multiLevelType w:val="hybridMultilevel"/>
    <w:tmpl w:val="11D45806"/>
    <w:lvl w:ilvl="0" w:tplc="B128BD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F55389D"/>
    <w:multiLevelType w:val="hybridMultilevel"/>
    <w:tmpl w:val="4C7A754C"/>
    <w:lvl w:ilvl="0" w:tplc="7F429AC6">
      <w:start w:val="1"/>
      <w:numFmt w:val="lowerLetter"/>
      <w:lvlText w:val="(%1)"/>
      <w:lvlJc w:val="left"/>
      <w:pPr>
        <w:ind w:left="720" w:hanging="360"/>
      </w:pPr>
      <w:rPr>
        <w:rFonts w:hint="default"/>
        <w:b w:val="0"/>
        <w:bCs w:val="0"/>
        <w:i w:val="0"/>
        <w:iCs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626300">
    <w:abstractNumId w:val="17"/>
  </w:num>
  <w:num w:numId="2" w16cid:durableId="644046224">
    <w:abstractNumId w:val="6"/>
  </w:num>
  <w:num w:numId="3" w16cid:durableId="1209148041">
    <w:abstractNumId w:val="22"/>
  </w:num>
  <w:num w:numId="4" w16cid:durableId="1559630210">
    <w:abstractNumId w:val="3"/>
  </w:num>
  <w:num w:numId="5" w16cid:durableId="1806850497">
    <w:abstractNumId w:val="2"/>
  </w:num>
  <w:num w:numId="6" w16cid:durableId="1459958198">
    <w:abstractNumId w:val="14"/>
  </w:num>
  <w:num w:numId="7" w16cid:durableId="672300672">
    <w:abstractNumId w:val="0"/>
  </w:num>
  <w:num w:numId="8" w16cid:durableId="824668911">
    <w:abstractNumId w:val="12"/>
  </w:num>
  <w:num w:numId="9" w16cid:durableId="1950163487">
    <w:abstractNumId w:val="11"/>
  </w:num>
  <w:num w:numId="10" w16cid:durableId="1353192692">
    <w:abstractNumId w:val="20"/>
  </w:num>
  <w:num w:numId="11" w16cid:durableId="1261332905">
    <w:abstractNumId w:val="5"/>
  </w:num>
  <w:num w:numId="12" w16cid:durableId="22826417">
    <w:abstractNumId w:val="21"/>
  </w:num>
  <w:num w:numId="13" w16cid:durableId="641691108">
    <w:abstractNumId w:val="18"/>
  </w:num>
  <w:num w:numId="14" w16cid:durableId="45688837">
    <w:abstractNumId w:val="9"/>
  </w:num>
  <w:num w:numId="15" w16cid:durableId="1802503849">
    <w:abstractNumId w:val="4"/>
  </w:num>
  <w:num w:numId="16" w16cid:durableId="1362508923">
    <w:abstractNumId w:val="23"/>
  </w:num>
  <w:num w:numId="17" w16cid:durableId="1175223047">
    <w:abstractNumId w:val="4"/>
    <w:lvlOverride w:ilvl="0">
      <w:startOverride w:val="1"/>
    </w:lvlOverride>
  </w:num>
  <w:num w:numId="18" w16cid:durableId="302853957">
    <w:abstractNumId w:val="4"/>
    <w:lvlOverride w:ilvl="0">
      <w:startOverride w:val="1"/>
    </w:lvlOverride>
  </w:num>
  <w:num w:numId="19" w16cid:durableId="622807792">
    <w:abstractNumId w:val="15"/>
  </w:num>
  <w:num w:numId="20" w16cid:durableId="233508942">
    <w:abstractNumId w:val="25"/>
  </w:num>
  <w:num w:numId="21" w16cid:durableId="396052239">
    <w:abstractNumId w:val="13"/>
  </w:num>
  <w:num w:numId="22" w16cid:durableId="1690914926">
    <w:abstractNumId w:val="13"/>
    <w:lvlOverride w:ilvl="0">
      <w:startOverride w:val="1"/>
    </w:lvlOverride>
  </w:num>
  <w:num w:numId="23" w16cid:durableId="940383334">
    <w:abstractNumId w:val="13"/>
    <w:lvlOverride w:ilvl="0">
      <w:startOverride w:val="1"/>
    </w:lvlOverride>
  </w:num>
  <w:num w:numId="24" w16cid:durableId="249507912">
    <w:abstractNumId w:val="10"/>
  </w:num>
  <w:num w:numId="25" w16cid:durableId="806052066">
    <w:abstractNumId w:val="10"/>
    <w:lvlOverride w:ilvl="0">
      <w:startOverride w:val="1"/>
    </w:lvlOverride>
  </w:num>
  <w:num w:numId="26" w16cid:durableId="1650591765">
    <w:abstractNumId w:val="24"/>
  </w:num>
  <w:num w:numId="27" w16cid:durableId="1670133066">
    <w:abstractNumId w:val="8"/>
  </w:num>
  <w:num w:numId="28" w16cid:durableId="1826360826">
    <w:abstractNumId w:val="7"/>
  </w:num>
  <w:num w:numId="29" w16cid:durableId="43874545">
    <w:abstractNumId w:val="19"/>
  </w:num>
  <w:num w:numId="30" w16cid:durableId="768316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0999549">
    <w:abstractNumId w:val="1"/>
  </w:num>
  <w:num w:numId="32" w16cid:durableId="2628088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94116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11281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53692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71932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1867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915682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84349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78195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DA8"/>
    <w:rsid w:val="00026C63"/>
    <w:rsid w:val="0004757B"/>
    <w:rsid w:val="00065A64"/>
    <w:rsid w:val="00084EC0"/>
    <w:rsid w:val="000E5ECE"/>
    <w:rsid w:val="0010626E"/>
    <w:rsid w:val="0012206C"/>
    <w:rsid w:val="00127F12"/>
    <w:rsid w:val="001815D3"/>
    <w:rsid w:val="00186C52"/>
    <w:rsid w:val="001A1D39"/>
    <w:rsid w:val="00200E83"/>
    <w:rsid w:val="00214A42"/>
    <w:rsid w:val="002377E6"/>
    <w:rsid w:val="00263AA1"/>
    <w:rsid w:val="0026761B"/>
    <w:rsid w:val="002767C9"/>
    <w:rsid w:val="002A3904"/>
    <w:rsid w:val="002A5D0A"/>
    <w:rsid w:val="002E28CC"/>
    <w:rsid w:val="002F3778"/>
    <w:rsid w:val="00383A3B"/>
    <w:rsid w:val="003A56D5"/>
    <w:rsid w:val="003D056E"/>
    <w:rsid w:val="003E0E1C"/>
    <w:rsid w:val="003F2C0C"/>
    <w:rsid w:val="003F4964"/>
    <w:rsid w:val="004A2F12"/>
    <w:rsid w:val="004A5412"/>
    <w:rsid w:val="004C4DD5"/>
    <w:rsid w:val="004C7C45"/>
    <w:rsid w:val="004D0DBA"/>
    <w:rsid w:val="00512A54"/>
    <w:rsid w:val="005F0DAF"/>
    <w:rsid w:val="005F5352"/>
    <w:rsid w:val="00610440"/>
    <w:rsid w:val="006D64AC"/>
    <w:rsid w:val="006D6B2F"/>
    <w:rsid w:val="006F7DCE"/>
    <w:rsid w:val="00703536"/>
    <w:rsid w:val="00707E63"/>
    <w:rsid w:val="00754A5C"/>
    <w:rsid w:val="00785788"/>
    <w:rsid w:val="00785AE9"/>
    <w:rsid w:val="007A1D89"/>
    <w:rsid w:val="007B1FEA"/>
    <w:rsid w:val="007C0C30"/>
    <w:rsid w:val="007E17C7"/>
    <w:rsid w:val="007F6215"/>
    <w:rsid w:val="00804DA8"/>
    <w:rsid w:val="008078F4"/>
    <w:rsid w:val="00833606"/>
    <w:rsid w:val="00911188"/>
    <w:rsid w:val="009D51BA"/>
    <w:rsid w:val="00A14D0C"/>
    <w:rsid w:val="00AC16A6"/>
    <w:rsid w:val="00AC6F20"/>
    <w:rsid w:val="00B14D64"/>
    <w:rsid w:val="00B15FE2"/>
    <w:rsid w:val="00B2191D"/>
    <w:rsid w:val="00B37DAE"/>
    <w:rsid w:val="00B83DAF"/>
    <w:rsid w:val="00B85C8A"/>
    <w:rsid w:val="00BD3A64"/>
    <w:rsid w:val="00BE5117"/>
    <w:rsid w:val="00BE64E5"/>
    <w:rsid w:val="00BF7FDF"/>
    <w:rsid w:val="00C020F0"/>
    <w:rsid w:val="00C03360"/>
    <w:rsid w:val="00C03E6D"/>
    <w:rsid w:val="00C82FFC"/>
    <w:rsid w:val="00CA54AA"/>
    <w:rsid w:val="00CB4A08"/>
    <w:rsid w:val="00CD5BC1"/>
    <w:rsid w:val="00D03358"/>
    <w:rsid w:val="00D462CA"/>
    <w:rsid w:val="00DA2E9E"/>
    <w:rsid w:val="00DA7049"/>
    <w:rsid w:val="00DD1ADB"/>
    <w:rsid w:val="00DE60BB"/>
    <w:rsid w:val="00E13FAD"/>
    <w:rsid w:val="00E21370"/>
    <w:rsid w:val="00E82525"/>
    <w:rsid w:val="00EA7D8B"/>
    <w:rsid w:val="00EB185B"/>
    <w:rsid w:val="00EE0110"/>
    <w:rsid w:val="00EF3616"/>
    <w:rsid w:val="00F370D8"/>
    <w:rsid w:val="00F57AE5"/>
    <w:rsid w:val="00FE16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AC9291B"/>
  <w15:chartTrackingRefBased/>
  <w15:docId w15:val="{DC342429-5EA7-46DF-8C62-57A6024F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rsid w:val="002A5D0A"/>
    <w:pPr>
      <w:spacing w:after="0" w:line="240" w:lineRule="auto"/>
    </w:pPr>
    <w:rPr>
      <w:rFonts w:ascii="Calibri" w:hAnsi="Calibri" w:cs="Arial"/>
    </w:rPr>
  </w:style>
  <w:style w:type="paragraph" w:styleId="Heading1">
    <w:name w:val="heading 1"/>
    <w:basedOn w:val="Normal"/>
    <w:next w:val="Normal"/>
    <w:link w:val="Heading1Char"/>
    <w:uiPriority w:val="9"/>
    <w:qFormat/>
    <w:rsid w:val="002A5D0A"/>
    <w:pPr>
      <w:keepNext/>
      <w:keepLines/>
      <w:spacing w:after="800"/>
      <w:outlineLvl w:val="0"/>
    </w:pPr>
    <w:rPr>
      <w:rFonts w:eastAsiaTheme="majorEastAsia"/>
      <w:b/>
      <w:bCs/>
      <w:color w:val="6E313D"/>
      <w:sz w:val="44"/>
      <w:szCs w:val="44"/>
    </w:rPr>
  </w:style>
  <w:style w:type="paragraph" w:styleId="Heading4">
    <w:name w:val="heading 4"/>
    <w:basedOn w:val="Normal"/>
    <w:next w:val="Normal"/>
    <w:link w:val="Heading4Char"/>
    <w:uiPriority w:val="9"/>
    <w:semiHidden/>
    <w:unhideWhenUsed/>
    <w:qFormat/>
    <w:rsid w:val="006D6B2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D0A"/>
    <w:rPr>
      <w:rFonts w:ascii="Calibri" w:eastAsiaTheme="majorEastAsia" w:hAnsi="Calibri" w:cs="Arial"/>
      <w:b/>
      <w:bCs/>
      <w:color w:val="6E313D"/>
      <w:sz w:val="44"/>
      <w:szCs w:val="44"/>
    </w:rPr>
  </w:style>
  <w:style w:type="paragraph" w:styleId="BodyText2">
    <w:name w:val="Body Text 2"/>
    <w:basedOn w:val="Normal"/>
    <w:link w:val="BodyText2Char"/>
    <w:rsid w:val="00804DA8"/>
    <w:rPr>
      <w:rFonts w:ascii="Times New Roman" w:eastAsia="Times New Roman" w:hAnsi="Times New Roman"/>
      <w:sz w:val="20"/>
      <w:szCs w:val="24"/>
    </w:rPr>
  </w:style>
  <w:style w:type="character" w:customStyle="1" w:styleId="BodyText2Char">
    <w:name w:val="Body Text 2 Char"/>
    <w:basedOn w:val="DefaultParagraphFont"/>
    <w:link w:val="BodyText2"/>
    <w:rsid w:val="00804DA8"/>
    <w:rPr>
      <w:rFonts w:ascii="Times New Roman" w:eastAsia="Times New Roman" w:hAnsi="Times New Roman" w:cs="Times New Roman"/>
      <w:sz w:val="20"/>
      <w:szCs w:val="24"/>
    </w:rPr>
  </w:style>
  <w:style w:type="paragraph" w:styleId="NormalWeb">
    <w:name w:val="Normal (Web)"/>
    <w:basedOn w:val="Normal"/>
    <w:uiPriority w:val="99"/>
    <w:rsid w:val="00804DA8"/>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804DA8"/>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804DA8"/>
    <w:rPr>
      <w:color w:val="0563C1" w:themeColor="hyperlink"/>
      <w:u w:val="single"/>
    </w:rPr>
  </w:style>
  <w:style w:type="paragraph" w:customStyle="1" w:styleId="Default">
    <w:name w:val="Default"/>
    <w:rsid w:val="00804DA8"/>
    <w:pPr>
      <w:autoSpaceDE w:val="0"/>
      <w:autoSpaceDN w:val="0"/>
      <w:adjustRightInd w:val="0"/>
      <w:spacing w:after="0" w:line="240" w:lineRule="auto"/>
    </w:pPr>
    <w:rPr>
      <w:rFonts w:ascii="Arial" w:eastAsia="SimSun" w:hAnsi="Arial" w:cs="Arial"/>
      <w:color w:val="000000"/>
      <w:sz w:val="24"/>
      <w:szCs w:val="24"/>
      <w:lang w:eastAsia="en-GB"/>
    </w:rPr>
  </w:style>
  <w:style w:type="paragraph" w:styleId="ListParagraph">
    <w:name w:val="List Paragraph"/>
    <w:basedOn w:val="Normal"/>
    <w:uiPriority w:val="34"/>
    <w:qFormat/>
    <w:rsid w:val="002A5D0A"/>
    <w:pPr>
      <w:numPr>
        <w:numId w:val="22"/>
      </w:numPr>
      <w:spacing w:after="120" w:line="210" w:lineRule="atLeast"/>
      <w:ind w:left="454" w:hanging="454"/>
    </w:pPr>
    <w:rPr>
      <w:sz w:val="18"/>
      <w:szCs w:val="18"/>
    </w:rPr>
  </w:style>
  <w:style w:type="character" w:customStyle="1" w:styleId="Heading4Char">
    <w:name w:val="Heading 4 Char"/>
    <w:basedOn w:val="DefaultParagraphFont"/>
    <w:link w:val="Heading4"/>
    <w:uiPriority w:val="9"/>
    <w:semiHidden/>
    <w:rsid w:val="006D6B2F"/>
    <w:rPr>
      <w:rFonts w:asciiTheme="majorHAnsi" w:eastAsiaTheme="majorEastAsia" w:hAnsiTheme="majorHAnsi" w:cstheme="majorBidi"/>
      <w:i/>
      <w:iCs/>
      <w:color w:val="2E74B5" w:themeColor="accent1" w:themeShade="BF"/>
      <w:lang w:eastAsia="zh-CN"/>
    </w:rPr>
  </w:style>
  <w:style w:type="paragraph" w:styleId="Header">
    <w:name w:val="header"/>
    <w:basedOn w:val="Normal"/>
    <w:link w:val="HeaderChar"/>
    <w:uiPriority w:val="99"/>
    <w:rsid w:val="002A5D0A"/>
    <w:pPr>
      <w:tabs>
        <w:tab w:val="center" w:pos="4513"/>
        <w:tab w:val="right" w:pos="9026"/>
      </w:tabs>
    </w:pPr>
  </w:style>
  <w:style w:type="character" w:customStyle="1" w:styleId="HeaderChar">
    <w:name w:val="Header Char"/>
    <w:basedOn w:val="DefaultParagraphFont"/>
    <w:link w:val="Header"/>
    <w:uiPriority w:val="99"/>
    <w:rsid w:val="002A5D0A"/>
    <w:rPr>
      <w:rFonts w:ascii="Calibri" w:hAnsi="Calibri" w:cs="Arial"/>
    </w:rPr>
  </w:style>
  <w:style w:type="paragraph" w:styleId="Footer">
    <w:name w:val="footer"/>
    <w:basedOn w:val="Normal"/>
    <w:link w:val="FooterChar"/>
    <w:rsid w:val="002A5D0A"/>
    <w:pPr>
      <w:tabs>
        <w:tab w:val="center" w:pos="4513"/>
        <w:tab w:val="right" w:pos="9026"/>
      </w:tabs>
    </w:pPr>
  </w:style>
  <w:style w:type="character" w:customStyle="1" w:styleId="FooterChar">
    <w:name w:val="Footer Char"/>
    <w:basedOn w:val="DefaultParagraphFont"/>
    <w:link w:val="Footer"/>
    <w:rsid w:val="002A5D0A"/>
    <w:rPr>
      <w:rFonts w:ascii="Calibri" w:hAnsi="Calibri" w:cs="Arial"/>
    </w:rPr>
  </w:style>
  <w:style w:type="paragraph" w:styleId="BalloonText">
    <w:name w:val="Balloon Text"/>
    <w:basedOn w:val="Normal"/>
    <w:link w:val="BalloonTextChar"/>
    <w:uiPriority w:val="99"/>
    <w:semiHidden/>
    <w:rsid w:val="002A5D0A"/>
    <w:rPr>
      <w:rFonts w:ascii="Tahoma" w:hAnsi="Tahoma" w:cs="Tahoma"/>
    </w:rPr>
  </w:style>
  <w:style w:type="character" w:customStyle="1" w:styleId="BalloonTextChar">
    <w:name w:val="Balloon Text Char"/>
    <w:basedOn w:val="DefaultParagraphFont"/>
    <w:link w:val="BalloonText"/>
    <w:uiPriority w:val="99"/>
    <w:semiHidden/>
    <w:rsid w:val="002A5D0A"/>
    <w:rPr>
      <w:rFonts w:ascii="Tahoma" w:hAnsi="Tahoma" w:cs="Tahoma"/>
    </w:rPr>
  </w:style>
  <w:style w:type="table" w:styleId="LightList">
    <w:name w:val="Light List"/>
    <w:basedOn w:val="TableNormal"/>
    <w:uiPriority w:val="61"/>
    <w:rsid w:val="002A5D0A"/>
    <w:pPr>
      <w:spacing w:after="0" w:line="240" w:lineRule="auto"/>
    </w:pPr>
    <w:rPr>
      <w:rFonts w:ascii="Calibri" w:hAnsi="Calibri" w:cs="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ASHeading1">
    <w:name w:val="AS Heading 1"/>
    <w:next w:val="ASNormal"/>
    <w:uiPriority w:val="14"/>
    <w:qFormat/>
    <w:rsid w:val="002A5D0A"/>
    <w:pPr>
      <w:spacing w:after="0" w:line="240" w:lineRule="auto"/>
    </w:pPr>
    <w:rPr>
      <w:rFonts w:ascii="Calibri" w:eastAsiaTheme="majorEastAsia" w:hAnsi="Calibri" w:cs="Arial"/>
      <w:b/>
      <w:bCs/>
      <w:sz w:val="44"/>
      <w:szCs w:val="44"/>
    </w:rPr>
  </w:style>
  <w:style w:type="table" w:styleId="TableGrid">
    <w:name w:val="Table Grid"/>
    <w:basedOn w:val="TableNormal"/>
    <w:uiPriority w:val="59"/>
    <w:rsid w:val="002A5D0A"/>
    <w:pPr>
      <w:spacing w:after="0" w:line="280" w:lineRule="atLeast"/>
    </w:pPr>
    <w:rPr>
      <w:rFonts w:ascii="Calibri" w:hAnsi="Calibri" w:cs="Arial"/>
      <w:sz w:val="24"/>
      <w:szCs w:val="24"/>
    </w:rPr>
    <w:tblPr>
      <w:tblStyleRowBandSize w:val="1"/>
      <w:tblCellSpacing w:w="28" w:type="dxa"/>
      <w:tblInd w:w="227" w:type="dxa"/>
      <w:tblCellMar>
        <w:top w:w="57" w:type="dxa"/>
        <w:left w:w="227" w:type="dxa"/>
        <w:bottom w:w="85" w:type="dxa"/>
        <w:right w:w="85" w:type="dxa"/>
      </w:tblCellMar>
    </w:tblPr>
    <w:trPr>
      <w:cantSplit/>
      <w:tblCellSpacing w:w="28" w:type="dxa"/>
    </w:trPr>
    <w:tcPr>
      <w:shd w:val="clear" w:color="auto" w:fill="F2F2F2" w:themeFill="background1" w:themeFillShade="F2"/>
    </w:tcPr>
    <w:tblStylePr w:type="firstRow">
      <w:rPr>
        <w:b w:val="0"/>
        <w:bCs w:val="0"/>
        <w:i w:val="0"/>
        <w:iCs w:val="0"/>
      </w:rPr>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rPr>
        <w:b w:val="0"/>
        <w:bCs w:val="0"/>
        <w:i w:val="0"/>
        <w:iCs w:val="0"/>
      </w:rPr>
      <w:tblPr/>
      <w:tcPr>
        <w:tcBorders>
          <w:top w:val="nil"/>
          <w:left w:val="nil"/>
          <w:bottom w:val="nil"/>
          <w:right w:val="nil"/>
          <w:insideH w:val="nil"/>
          <w:insideV w:val="nil"/>
          <w:tl2br w:val="nil"/>
          <w:tr2bl w:val="nil"/>
        </w:tcBorders>
      </w:tcPr>
    </w:tblStylePr>
    <w:tblStylePr w:type="band2Horz">
      <w:rPr>
        <w:b w:val="0"/>
        <w:bCs w:val="0"/>
        <w:i w:val="0"/>
        <w:iCs w:val="0"/>
      </w:rPr>
      <w:tblPr/>
      <w:tcPr>
        <w:tcBorders>
          <w:top w:val="nil"/>
          <w:left w:val="nil"/>
          <w:bottom w:val="nil"/>
          <w:right w:val="nil"/>
          <w:insideH w:val="nil"/>
          <w:insideV w:val="nil"/>
          <w:tl2br w:val="nil"/>
          <w:tr2bl w:val="nil"/>
        </w:tcBorders>
      </w:tcPr>
    </w:tblStylePr>
  </w:style>
  <w:style w:type="paragraph" w:customStyle="1" w:styleId="ASMainTitle1">
    <w:name w:val="AS Main Title 1"/>
    <w:basedOn w:val="Normal"/>
    <w:next w:val="ASMainTitle2"/>
    <w:uiPriority w:val="17"/>
    <w:qFormat/>
    <w:rsid w:val="002A5D0A"/>
    <w:pPr>
      <w:spacing w:after="40"/>
      <w:ind w:left="57"/>
    </w:pPr>
    <w:rPr>
      <w:b/>
      <w:bCs/>
      <w:sz w:val="44"/>
      <w:szCs w:val="44"/>
    </w:rPr>
  </w:style>
  <w:style w:type="paragraph" w:customStyle="1" w:styleId="ASBullets">
    <w:name w:val="AS Bullets"/>
    <w:basedOn w:val="ASNormal"/>
    <w:uiPriority w:val="12"/>
    <w:qFormat/>
    <w:rsid w:val="002A5D0A"/>
    <w:pPr>
      <w:numPr>
        <w:numId w:val="27"/>
      </w:numPr>
      <w:spacing w:after="200" w:line="260" w:lineRule="atLeast"/>
      <w:contextualSpacing/>
    </w:pPr>
  </w:style>
  <w:style w:type="paragraph" w:customStyle="1" w:styleId="ASFooter1">
    <w:name w:val="AS Footer 1"/>
    <w:basedOn w:val="Footer"/>
    <w:uiPriority w:val="13"/>
    <w:qFormat/>
    <w:rsid w:val="002A5D0A"/>
    <w:pPr>
      <w:tabs>
        <w:tab w:val="clear" w:pos="4513"/>
        <w:tab w:val="clear" w:pos="9026"/>
        <w:tab w:val="right" w:pos="9639"/>
      </w:tabs>
    </w:pPr>
    <w:rPr>
      <w:b/>
      <w:bCs/>
      <w:noProof/>
      <w:sz w:val="18"/>
      <w:szCs w:val="14"/>
      <w:lang w:eastAsia="en-GB"/>
    </w:rPr>
  </w:style>
  <w:style w:type="paragraph" w:customStyle="1" w:styleId="ASNormal">
    <w:name w:val="AS Normal"/>
    <w:basedOn w:val="Normal"/>
    <w:qFormat/>
    <w:rsid w:val="002A5D0A"/>
    <w:pPr>
      <w:spacing w:after="240"/>
    </w:pPr>
    <w:rPr>
      <w:szCs w:val="20"/>
    </w:rPr>
  </w:style>
  <w:style w:type="paragraph" w:customStyle="1" w:styleId="ASHeading2">
    <w:name w:val="AS Heading 2"/>
    <w:basedOn w:val="ASNormal"/>
    <w:next w:val="ASNormal"/>
    <w:uiPriority w:val="15"/>
    <w:qFormat/>
    <w:rsid w:val="002A5D0A"/>
    <w:pPr>
      <w:spacing w:after="20"/>
    </w:pPr>
    <w:rPr>
      <w:sz w:val="36"/>
      <w:szCs w:val="36"/>
    </w:rPr>
  </w:style>
  <w:style w:type="paragraph" w:customStyle="1" w:styleId="ASHeading3">
    <w:name w:val="AS Heading 3"/>
    <w:basedOn w:val="ASHeading2"/>
    <w:next w:val="ASNormal"/>
    <w:uiPriority w:val="16"/>
    <w:qFormat/>
    <w:rsid w:val="002A5D0A"/>
    <w:pPr>
      <w:spacing w:before="180" w:after="100"/>
    </w:pPr>
    <w:rPr>
      <w:sz w:val="26"/>
      <w:szCs w:val="26"/>
    </w:rPr>
  </w:style>
  <w:style w:type="paragraph" w:customStyle="1" w:styleId="ASNormalBold">
    <w:name w:val="AS Normal (Bold)"/>
    <w:basedOn w:val="ASNormal"/>
    <w:uiPriority w:val="1"/>
    <w:qFormat/>
    <w:rsid w:val="002A5D0A"/>
    <w:rPr>
      <w:b/>
      <w:bCs/>
    </w:rPr>
  </w:style>
  <w:style w:type="paragraph" w:customStyle="1" w:styleId="ASMainTitle2">
    <w:name w:val="AS Main Title 2"/>
    <w:basedOn w:val="Normal"/>
    <w:next w:val="Normal"/>
    <w:uiPriority w:val="18"/>
    <w:qFormat/>
    <w:rsid w:val="002A5D0A"/>
    <w:pPr>
      <w:ind w:left="57"/>
    </w:pPr>
    <w:rPr>
      <w:b/>
      <w:bCs/>
      <w:sz w:val="32"/>
      <w:szCs w:val="32"/>
    </w:rPr>
  </w:style>
  <w:style w:type="paragraph" w:customStyle="1" w:styleId="ASMainTitle3">
    <w:name w:val="AS Main Title 3"/>
    <w:basedOn w:val="Normal"/>
    <w:uiPriority w:val="19"/>
    <w:qFormat/>
    <w:rsid w:val="002A5D0A"/>
    <w:pPr>
      <w:ind w:left="57"/>
      <w:contextualSpacing/>
    </w:pPr>
    <w:rPr>
      <w:sz w:val="32"/>
      <w:szCs w:val="32"/>
    </w:rPr>
  </w:style>
  <w:style w:type="paragraph" w:styleId="FootnoteText">
    <w:name w:val="footnote text"/>
    <w:aliases w:val="AS Footnote Text"/>
    <w:basedOn w:val="ASNormal"/>
    <w:link w:val="FootnoteTextChar"/>
    <w:uiPriority w:val="99"/>
    <w:semiHidden/>
    <w:rsid w:val="002A5D0A"/>
    <w:rPr>
      <w:sz w:val="18"/>
    </w:rPr>
  </w:style>
  <w:style w:type="character" w:customStyle="1" w:styleId="FootnoteTextChar">
    <w:name w:val="Footnote Text Char"/>
    <w:aliases w:val="AS Footnote Text Char"/>
    <w:basedOn w:val="DefaultParagraphFont"/>
    <w:link w:val="FootnoteText"/>
    <w:uiPriority w:val="99"/>
    <w:semiHidden/>
    <w:rsid w:val="002A5D0A"/>
    <w:rPr>
      <w:rFonts w:ascii="Calibri" w:hAnsi="Calibri" w:cs="Arial"/>
      <w:sz w:val="18"/>
      <w:szCs w:val="20"/>
    </w:rPr>
  </w:style>
  <w:style w:type="character" w:styleId="FootnoteReference">
    <w:name w:val="footnote reference"/>
    <w:basedOn w:val="DefaultParagraphFont"/>
    <w:uiPriority w:val="99"/>
    <w:semiHidden/>
    <w:rsid w:val="002A5D0A"/>
    <w:rPr>
      <w:vertAlign w:val="superscript"/>
    </w:rPr>
  </w:style>
  <w:style w:type="paragraph" w:styleId="TOC1">
    <w:name w:val="toc 1"/>
    <w:basedOn w:val="Normal"/>
    <w:next w:val="Normal"/>
    <w:autoRedefine/>
    <w:uiPriority w:val="39"/>
    <w:rsid w:val="002A5D0A"/>
    <w:pPr>
      <w:tabs>
        <w:tab w:val="right" w:leader="dot" w:pos="9639"/>
      </w:tabs>
      <w:spacing w:after="100"/>
      <w:ind w:right="112"/>
    </w:pPr>
    <w:rPr>
      <w:b/>
      <w:bCs/>
      <w:sz w:val="24"/>
      <w:szCs w:val="24"/>
    </w:rPr>
  </w:style>
  <w:style w:type="table" w:customStyle="1" w:styleId="ASFiguresTable">
    <w:name w:val="AS Figures Table"/>
    <w:basedOn w:val="TableNormal"/>
    <w:uiPriority w:val="99"/>
    <w:qFormat/>
    <w:rsid w:val="002A5D0A"/>
    <w:pPr>
      <w:spacing w:after="0" w:line="240" w:lineRule="auto"/>
    </w:pPr>
    <w:rPr>
      <w:rFonts w:ascii="Calibri" w:hAnsi="Calibri" w:cs="Arial"/>
    </w:rPr>
    <w:tblPr>
      <w:tblStyleRowBandSize w:val="1"/>
      <w:tblInd w:w="227" w:type="dxa"/>
      <w:tblCellMar>
        <w:top w:w="85" w:type="dxa"/>
        <w:left w:w="198" w:type="dxa"/>
        <w:bottom w:w="85" w:type="dxa"/>
        <w:right w:w="85"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lastCol">
      <w:pPr>
        <w:wordWrap/>
        <w:jc w:val="right"/>
      </w:pPr>
    </w:tblStylePr>
    <w:tblStylePr w:type="band1Horz">
      <w:tblPr/>
      <w:tcPr>
        <w:tcBorders>
          <w:top w:val="nil"/>
          <w:left w:val="nil"/>
          <w:bottom w:val="single" w:sz="6" w:space="0" w:color="auto"/>
          <w:right w:val="nil"/>
          <w:insideH w:val="nil"/>
          <w:insideV w:val="nil"/>
          <w:tl2br w:val="nil"/>
          <w:tr2bl w:val="nil"/>
        </w:tcBorders>
      </w:tcPr>
    </w:tblStylePr>
    <w:tblStylePr w:type="band2Horz">
      <w:tblPr/>
      <w:tcPr>
        <w:tcBorders>
          <w:top w:val="nil"/>
          <w:left w:val="nil"/>
          <w:bottom w:val="single" w:sz="6" w:space="0" w:color="auto"/>
          <w:right w:val="nil"/>
          <w:insideH w:val="nil"/>
          <w:insideV w:val="nil"/>
          <w:tl2br w:val="nil"/>
          <w:tr2bl w:val="nil"/>
        </w:tcBorders>
      </w:tcPr>
    </w:tblStylePr>
  </w:style>
  <w:style w:type="table" w:customStyle="1" w:styleId="ASTextBoxesTable">
    <w:name w:val="AS Text Boxes Table"/>
    <w:basedOn w:val="TableNormal"/>
    <w:uiPriority w:val="99"/>
    <w:qFormat/>
    <w:rsid w:val="002A5D0A"/>
    <w:pPr>
      <w:spacing w:after="0" w:line="240" w:lineRule="auto"/>
    </w:pPr>
    <w:rPr>
      <w:rFonts w:ascii="Calibri" w:hAnsi="Calibri" w:cs="Arial"/>
    </w:rPr>
    <w:tblPr>
      <w:tblCellSpacing w:w="28" w:type="dxa"/>
      <w:tblInd w:w="227" w:type="dxa"/>
      <w:tblCellMar>
        <w:top w:w="57" w:type="dxa"/>
        <w:left w:w="227" w:type="dxa"/>
        <w:bottom w:w="85" w:type="dxa"/>
        <w:right w:w="85" w:type="dxa"/>
      </w:tblCellMar>
    </w:tblPr>
    <w:trPr>
      <w:tblCellSpacing w:w="28" w:type="dxa"/>
    </w:tr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style>
  <w:style w:type="paragraph" w:customStyle="1" w:styleId="ASNormalLarge">
    <w:name w:val="AS Normal (Large)"/>
    <w:basedOn w:val="ASNormal"/>
    <w:uiPriority w:val="2"/>
    <w:qFormat/>
    <w:rsid w:val="002A5D0A"/>
    <w:pPr>
      <w:spacing w:after="200"/>
      <w:contextualSpacing/>
    </w:pPr>
    <w:rPr>
      <w:sz w:val="24"/>
      <w:szCs w:val="24"/>
    </w:rPr>
  </w:style>
  <w:style w:type="paragraph" w:customStyle="1" w:styleId="ASNumberedLevel1">
    <w:name w:val="AS Numbered (Level 1)"/>
    <w:basedOn w:val="ASNormal"/>
    <w:uiPriority w:val="3"/>
    <w:qFormat/>
    <w:rsid w:val="002A5D0A"/>
    <w:pPr>
      <w:numPr>
        <w:numId w:val="30"/>
      </w:numPr>
      <w:spacing w:before="240"/>
      <w:outlineLvl w:val="0"/>
    </w:pPr>
    <w:rPr>
      <w:szCs w:val="22"/>
    </w:rPr>
  </w:style>
  <w:style w:type="paragraph" w:customStyle="1" w:styleId="ASNumberedLevel2">
    <w:name w:val="AS Numbered (Level 2)"/>
    <w:basedOn w:val="ASNormal"/>
    <w:uiPriority w:val="4"/>
    <w:rsid w:val="002A5D0A"/>
    <w:pPr>
      <w:numPr>
        <w:ilvl w:val="1"/>
        <w:numId w:val="30"/>
      </w:numPr>
      <w:tabs>
        <w:tab w:val="left" w:pos="1276"/>
      </w:tabs>
      <w:outlineLvl w:val="1"/>
    </w:pPr>
    <w:rPr>
      <w:szCs w:val="22"/>
    </w:rPr>
  </w:style>
  <w:style w:type="paragraph" w:customStyle="1" w:styleId="ASNumberedLevel3">
    <w:name w:val="AS Numbered (Level 3)"/>
    <w:basedOn w:val="ASNormal"/>
    <w:uiPriority w:val="5"/>
    <w:rsid w:val="002A5D0A"/>
    <w:pPr>
      <w:numPr>
        <w:ilvl w:val="2"/>
        <w:numId w:val="30"/>
      </w:numPr>
      <w:tabs>
        <w:tab w:val="left" w:pos="2127"/>
      </w:tabs>
      <w:ind w:left="2127" w:hanging="851"/>
      <w:outlineLvl w:val="2"/>
    </w:pPr>
    <w:rPr>
      <w:szCs w:val="22"/>
    </w:rPr>
  </w:style>
  <w:style w:type="paragraph" w:customStyle="1" w:styleId="ASPreambleLettering">
    <w:name w:val="AS Preamble Lettering"/>
    <w:basedOn w:val="ASNormalLarge"/>
    <w:uiPriority w:val="10"/>
    <w:qFormat/>
    <w:rsid w:val="002A5D0A"/>
    <w:pPr>
      <w:numPr>
        <w:numId w:val="29"/>
      </w:numPr>
      <w:spacing w:before="240" w:after="240"/>
    </w:pPr>
  </w:style>
  <w:style w:type="paragraph" w:customStyle="1" w:styleId="ASNumberedLevel4">
    <w:name w:val="AS Numbered (Level 4)"/>
    <w:basedOn w:val="ASNormal"/>
    <w:uiPriority w:val="6"/>
    <w:rsid w:val="002A5D0A"/>
    <w:pPr>
      <w:numPr>
        <w:ilvl w:val="3"/>
        <w:numId w:val="30"/>
      </w:numPr>
      <w:tabs>
        <w:tab w:val="left" w:pos="3119"/>
      </w:tabs>
      <w:ind w:left="3119" w:hanging="992"/>
      <w:outlineLvl w:val="3"/>
    </w:pPr>
  </w:style>
  <w:style w:type="paragraph" w:customStyle="1" w:styleId="ASNumberedLevel5">
    <w:name w:val="AS Numbered (Level 5)"/>
    <w:basedOn w:val="ASNormal"/>
    <w:uiPriority w:val="7"/>
    <w:rsid w:val="002A5D0A"/>
    <w:pPr>
      <w:numPr>
        <w:ilvl w:val="4"/>
        <w:numId w:val="30"/>
      </w:numPr>
      <w:ind w:left="4253" w:hanging="1134"/>
      <w:outlineLvl w:val="4"/>
    </w:pPr>
  </w:style>
  <w:style w:type="paragraph" w:customStyle="1" w:styleId="ASSchedule">
    <w:name w:val="AS Schedule"/>
    <w:basedOn w:val="ASNormalBold"/>
    <w:next w:val="ASNormal"/>
    <w:uiPriority w:val="11"/>
    <w:qFormat/>
    <w:rsid w:val="002A5D0A"/>
    <w:pPr>
      <w:pageBreakBefore/>
    </w:pPr>
  </w:style>
  <w:style w:type="paragraph" w:customStyle="1" w:styleId="ASNumberedBOLDLevel1">
    <w:name w:val="AS Numbered (BOLD Level 1)"/>
    <w:basedOn w:val="ASNumberedLevel1"/>
    <w:next w:val="ASNormaluseunderBOLDLevel1"/>
    <w:uiPriority w:val="8"/>
    <w:qFormat/>
    <w:rsid w:val="002A5D0A"/>
    <w:rPr>
      <w:b/>
    </w:rPr>
  </w:style>
  <w:style w:type="paragraph" w:customStyle="1" w:styleId="ASNormaluseunderBOLDLevel1">
    <w:name w:val="AS Normal (use under BOLD Level 1)"/>
    <w:basedOn w:val="ASNormal"/>
    <w:uiPriority w:val="9"/>
    <w:qFormat/>
    <w:rsid w:val="002A5D0A"/>
    <w:pPr>
      <w:ind w:left="567"/>
    </w:pPr>
  </w:style>
  <w:style w:type="paragraph" w:customStyle="1" w:styleId="ASNumberedLevel6">
    <w:name w:val="AS Numbered (Level 6)"/>
    <w:basedOn w:val="ASNumberedLevel5"/>
    <w:uiPriority w:val="7"/>
    <w:rsid w:val="002A5D0A"/>
    <w:pPr>
      <w:numPr>
        <w:ilvl w:val="5"/>
      </w:numPr>
      <w:ind w:left="5529" w:hanging="1276"/>
    </w:pPr>
  </w:style>
  <w:style w:type="character" w:styleId="CommentReference">
    <w:name w:val="annotation reference"/>
    <w:uiPriority w:val="99"/>
    <w:rsid w:val="00DA7049"/>
    <w:rPr>
      <w:sz w:val="16"/>
      <w:szCs w:val="16"/>
    </w:rPr>
  </w:style>
  <w:style w:type="paragraph" w:styleId="CommentText">
    <w:name w:val="annotation text"/>
    <w:basedOn w:val="Normal"/>
    <w:link w:val="CommentTextChar"/>
    <w:uiPriority w:val="99"/>
    <w:rsid w:val="00DA7049"/>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A70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2227">
      <w:bodyDiv w:val="1"/>
      <w:marLeft w:val="0"/>
      <w:marRight w:val="0"/>
      <w:marTop w:val="0"/>
      <w:marBottom w:val="0"/>
      <w:divBdr>
        <w:top w:val="none" w:sz="0" w:space="0" w:color="auto"/>
        <w:left w:val="none" w:sz="0" w:space="0" w:color="auto"/>
        <w:bottom w:val="none" w:sz="0" w:space="0" w:color="auto"/>
        <w:right w:val="none" w:sz="0" w:space="0" w:color="auto"/>
      </w:divBdr>
    </w:div>
    <w:div w:id="74799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4469-8277-4426-A7EF-FE1D2DAEE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Adam</dc:creator>
  <cp:keywords/>
  <dc:description/>
  <cp:lastModifiedBy>Adam, Erin</cp:lastModifiedBy>
  <cp:revision>3</cp:revision>
  <dcterms:created xsi:type="dcterms:W3CDTF">2024-03-06T18:05:00Z</dcterms:created>
  <dcterms:modified xsi:type="dcterms:W3CDTF">2024-06-12T10:05:00Z</dcterms:modified>
</cp:coreProperties>
</file>