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3C6CB" w14:textId="77777777" w:rsidR="0094417A" w:rsidRPr="001413F4" w:rsidRDefault="0094417A" w:rsidP="0094417A">
      <w:bookmarkStart w:id="0" w:name="_GoBack"/>
      <w:bookmarkEnd w:id="0"/>
    </w:p>
    <w:p w14:paraId="666E5FB7" w14:textId="77777777" w:rsidR="0094417A" w:rsidRPr="001413F4" w:rsidRDefault="0008159E" w:rsidP="007C013B">
      <w:pPr>
        <w:pStyle w:val="Els-Title"/>
      </w:pPr>
      <w:r>
        <w:t xml:space="preserve">Recovery Time and </w:t>
      </w:r>
      <w:r w:rsidR="0094660F">
        <w:t>Propagation</w:t>
      </w:r>
      <w:r w:rsidR="0094417A" w:rsidRPr="001413F4">
        <w:t xml:space="preserve"> Effects of P</w:t>
      </w:r>
      <w:r w:rsidR="007C013B">
        <w:t>assenger</w:t>
      </w:r>
      <w:r w:rsidR="0094417A" w:rsidRPr="001413F4">
        <w:t xml:space="preserve"> Transport Disruptions</w:t>
      </w:r>
    </w:p>
    <w:p w14:paraId="335AE6FE" w14:textId="77777777" w:rsidR="0094417A" w:rsidRPr="001413F4" w:rsidRDefault="0094417A" w:rsidP="0094417A">
      <w:pPr>
        <w:pStyle w:val="Els-Author"/>
        <w:ind w:right="2"/>
        <w:rPr>
          <w:lang w:val="it-IT" w:eastAsia="zh-CN"/>
        </w:rPr>
      </w:pPr>
      <w:r w:rsidRPr="001413F4">
        <w:rPr>
          <w:lang w:val="it-IT"/>
        </w:rPr>
        <w:t xml:space="preserve">Caterina Malandri </w:t>
      </w:r>
      <w:r w:rsidRPr="001413F4">
        <w:rPr>
          <w:vertAlign w:val="superscript"/>
          <w:lang w:val="it-IT"/>
        </w:rPr>
        <w:t>a</w:t>
      </w:r>
      <w:r w:rsidR="0082086B" w:rsidRPr="001413F4">
        <w:rPr>
          <w:vertAlign w:val="superscript"/>
          <w:lang w:val="it-IT"/>
        </w:rPr>
        <w:t>*</w:t>
      </w:r>
      <w:r w:rsidRPr="001413F4">
        <w:rPr>
          <w:lang w:val="it-IT"/>
        </w:rPr>
        <w:t xml:space="preserve">, Achille Fonzone </w:t>
      </w:r>
      <w:r w:rsidRPr="001413F4">
        <w:rPr>
          <w:vertAlign w:val="superscript"/>
          <w:lang w:val="it-IT"/>
        </w:rPr>
        <w:t>b</w:t>
      </w:r>
      <w:r w:rsidRPr="001413F4">
        <w:rPr>
          <w:lang w:val="it-IT"/>
        </w:rPr>
        <w:t xml:space="preserve">, Oded Cats </w:t>
      </w:r>
      <w:r w:rsidRPr="001413F4">
        <w:rPr>
          <w:vertAlign w:val="superscript"/>
          <w:lang w:val="it-IT"/>
        </w:rPr>
        <w:t>c</w:t>
      </w:r>
      <w:r w:rsidRPr="001413F4">
        <w:rPr>
          <w:lang w:val="it-IT"/>
        </w:rPr>
        <w:t xml:space="preserve"> </w:t>
      </w:r>
    </w:p>
    <w:p w14:paraId="415C6D40" w14:textId="77777777" w:rsidR="0094417A" w:rsidRPr="001413F4" w:rsidRDefault="0094417A" w:rsidP="0094417A">
      <w:pPr>
        <w:pStyle w:val="Els-Affiliation"/>
        <w:rPr>
          <w:lang w:val="it-IT"/>
        </w:rPr>
      </w:pPr>
      <w:r w:rsidRPr="001413F4">
        <w:rPr>
          <w:vertAlign w:val="superscript"/>
          <w:lang w:val="it-IT"/>
        </w:rPr>
        <w:t>a</w:t>
      </w:r>
      <w:r w:rsidRPr="001413F4">
        <w:rPr>
          <w:lang w:val="it-IT"/>
        </w:rPr>
        <w:t xml:space="preserve"> University of Bologna, Viale Risorgimento 2, 40136, Bologna, Italy</w:t>
      </w:r>
    </w:p>
    <w:p w14:paraId="11D7F4F6" w14:textId="77777777" w:rsidR="0094417A" w:rsidRPr="001413F4" w:rsidRDefault="0094417A" w:rsidP="0094417A">
      <w:pPr>
        <w:pStyle w:val="Els-Affiliation"/>
        <w:rPr>
          <w:lang w:val="en-GB"/>
        </w:rPr>
      </w:pPr>
      <w:r w:rsidRPr="001413F4">
        <w:rPr>
          <w:vertAlign w:val="superscript"/>
          <w:lang w:val="en-GB"/>
        </w:rPr>
        <w:t xml:space="preserve">b </w:t>
      </w:r>
      <w:r w:rsidRPr="001413F4">
        <w:rPr>
          <w:lang w:val="en-GB"/>
        </w:rPr>
        <w:t>Edinburgh Napier University, 10 Colinton Road, EH10 5DT, Edinburgh, UK</w:t>
      </w:r>
    </w:p>
    <w:p w14:paraId="24DD4A80" w14:textId="77777777" w:rsidR="0094417A" w:rsidRPr="001413F4" w:rsidRDefault="0094417A" w:rsidP="0094417A">
      <w:pPr>
        <w:pStyle w:val="Els-Affiliation"/>
        <w:spacing w:after="400"/>
      </w:pPr>
      <w:r w:rsidRPr="001413F4">
        <w:rPr>
          <w:vertAlign w:val="superscript"/>
        </w:rPr>
        <w:t xml:space="preserve">c </w:t>
      </w:r>
      <w:r w:rsidRPr="001413F4">
        <w:t>Delft University of Technology, The Netherlands</w:t>
      </w:r>
    </w:p>
    <w:p w14:paraId="587FCEC4" w14:textId="77777777" w:rsidR="0094417A" w:rsidRPr="001413F4" w:rsidRDefault="0094417A" w:rsidP="0082086B">
      <w:pPr>
        <w:pStyle w:val="Els-Abstract-head"/>
        <w:spacing w:before="200" w:line="260" w:lineRule="exact"/>
        <w:rPr>
          <w:sz w:val="20"/>
        </w:rPr>
      </w:pPr>
      <w:r w:rsidRPr="001413F4">
        <w:rPr>
          <w:sz w:val="20"/>
        </w:rPr>
        <w:t>Abstract</w:t>
      </w:r>
    </w:p>
    <w:p w14:paraId="3A2C0CDF" w14:textId="77777777" w:rsidR="0094417A" w:rsidRPr="001413F4" w:rsidRDefault="0094417A" w:rsidP="00CF4A3D">
      <w:pPr>
        <w:spacing w:line="260" w:lineRule="exact"/>
        <w:jc w:val="both"/>
        <w:rPr>
          <w:lang w:val="en-US"/>
        </w:rPr>
      </w:pPr>
      <w:r w:rsidRPr="001413F4">
        <w:rPr>
          <w:lang w:val="en-US"/>
        </w:rPr>
        <w:t xml:space="preserve">We propose a method to evaluate public transport network vulnerability. We study the evolution of the passenger Volume Over Capacity (VOC) ratio throughout the network to measure the spatial and temporal extent of the impacts caused by an unplanned </w:t>
      </w:r>
      <w:r w:rsidR="00CF4A3D">
        <w:rPr>
          <w:lang w:val="en-US"/>
        </w:rPr>
        <w:t>service</w:t>
      </w:r>
      <w:r w:rsidR="00CF4A3D" w:rsidRPr="001413F4">
        <w:rPr>
          <w:lang w:val="en-US"/>
        </w:rPr>
        <w:t xml:space="preserve"> </w:t>
      </w:r>
      <w:r w:rsidRPr="001413F4">
        <w:rPr>
          <w:lang w:val="en-US"/>
        </w:rPr>
        <w:t xml:space="preserve">segment disruption. The VOC ratio </w:t>
      </w:r>
      <w:r w:rsidR="00CF4A3D">
        <w:rPr>
          <w:lang w:val="en-US"/>
        </w:rPr>
        <w:t>provides an indication of the</w:t>
      </w:r>
      <w:r w:rsidRPr="001413F4">
        <w:rPr>
          <w:lang w:val="en-US"/>
        </w:rPr>
        <w:t xml:space="preserve"> on-board travel comfort, an important level-of-service indicator, as well as reflect</w:t>
      </w:r>
      <w:r w:rsidR="00CF4A3D">
        <w:rPr>
          <w:lang w:val="en-US"/>
        </w:rPr>
        <w:t>s</w:t>
      </w:r>
      <w:r w:rsidRPr="001413F4">
        <w:rPr>
          <w:lang w:val="en-US"/>
        </w:rPr>
        <w:t xml:space="preserve"> the residual capacity for absorbing additional demand. Because of the dynamic nature of public transport systems, disturbances propagate through the network </w:t>
      </w:r>
      <w:r w:rsidR="00CF4A3D">
        <w:rPr>
          <w:lang w:val="en-US"/>
        </w:rPr>
        <w:t>in both time and space</w:t>
      </w:r>
      <w:r w:rsidR="004A56E6" w:rsidRPr="001413F4">
        <w:rPr>
          <w:lang w:val="en-US"/>
        </w:rPr>
        <w:t>. Our model</w:t>
      </w:r>
      <w:r w:rsidRPr="001413F4">
        <w:rPr>
          <w:lang w:val="en-US"/>
        </w:rPr>
        <w:t>ing approach is able to capture transit system dynamics and quantify the extent to which the network exhibits spillover effects. We apply the method to the case of the rapid public transport system of Stockholm, Sweden. We demonstrate how the changes in network saturation and the corresponding recovery time can be quantified.</w:t>
      </w:r>
    </w:p>
    <w:p w14:paraId="46F68E6B" w14:textId="77777777" w:rsidR="00255817" w:rsidRPr="001413F4" w:rsidRDefault="00255817" w:rsidP="0082086B">
      <w:pPr>
        <w:spacing w:line="260" w:lineRule="exact"/>
        <w:rPr>
          <w:lang w:val="en-US"/>
        </w:rPr>
      </w:pPr>
    </w:p>
    <w:p w14:paraId="7BC27CAE" w14:textId="77777777" w:rsidR="0094417A" w:rsidRPr="001413F4" w:rsidRDefault="0094417A" w:rsidP="00BF4DE7">
      <w:pPr>
        <w:pStyle w:val="Els-keywords"/>
        <w:spacing w:line="260" w:lineRule="exact"/>
        <w:rPr>
          <w:sz w:val="20"/>
        </w:rPr>
      </w:pPr>
      <w:r w:rsidRPr="001413F4">
        <w:rPr>
          <w:i/>
          <w:sz w:val="20"/>
        </w:rPr>
        <w:t>Keywords:</w:t>
      </w:r>
      <w:r w:rsidRPr="001413F4">
        <w:rPr>
          <w:sz w:val="20"/>
        </w:rPr>
        <w:t xml:space="preserve"> Vulnerability; Public transport; </w:t>
      </w:r>
      <w:r w:rsidR="00BF4DE7">
        <w:rPr>
          <w:sz w:val="20"/>
        </w:rPr>
        <w:t>Recovery</w:t>
      </w:r>
      <w:r w:rsidRPr="001413F4">
        <w:rPr>
          <w:sz w:val="20"/>
        </w:rPr>
        <w:t xml:space="preserve">; </w:t>
      </w:r>
      <w:r w:rsidR="00BF4DE7">
        <w:rPr>
          <w:sz w:val="20"/>
        </w:rPr>
        <w:t>Spillover; Flow propagation</w:t>
      </w:r>
      <w:r w:rsidRPr="001413F4">
        <w:rPr>
          <w:sz w:val="20"/>
        </w:rPr>
        <w:t>.</w:t>
      </w:r>
    </w:p>
    <w:p w14:paraId="6F3608EF" w14:textId="77777777" w:rsidR="00A364B0" w:rsidRPr="001413F4" w:rsidRDefault="00116C1B">
      <w:pPr>
        <w:widowControl/>
        <w:spacing w:after="160" w:line="259" w:lineRule="auto"/>
        <w:rPr>
          <w:lang w:val="en-US"/>
        </w:rPr>
        <w:sectPr w:rsidR="00A364B0" w:rsidRPr="001413F4" w:rsidSect="00164B27">
          <w:footerReference w:type="default" r:id="rId7"/>
          <w:footerReference w:type="first" r:id="rId8"/>
          <w:pgSz w:w="11906" w:h="16838"/>
          <w:pgMar w:top="1417" w:right="1134" w:bottom="1134" w:left="1134" w:header="708" w:footer="708" w:gutter="0"/>
          <w:cols w:space="708"/>
          <w:titlePg/>
          <w:docGrid w:linePitch="360"/>
        </w:sectPr>
      </w:pPr>
      <w:r w:rsidRPr="001413F4">
        <w:rPr>
          <w:lang w:val="en-US"/>
        </w:rPr>
        <w:br w:type="page"/>
      </w:r>
    </w:p>
    <w:p w14:paraId="07019E0E" w14:textId="77777777" w:rsidR="00116C1B" w:rsidRPr="001413F4" w:rsidRDefault="00116C1B" w:rsidP="00116C1B">
      <w:pPr>
        <w:pStyle w:val="Els-1storder-head"/>
        <w:rPr>
          <w:sz w:val="22"/>
          <w:szCs w:val="22"/>
        </w:rPr>
      </w:pPr>
      <w:r w:rsidRPr="001413F4">
        <w:rPr>
          <w:sz w:val="22"/>
          <w:szCs w:val="22"/>
        </w:rPr>
        <w:lastRenderedPageBreak/>
        <w:t>Introduction</w:t>
      </w:r>
    </w:p>
    <w:p w14:paraId="641941D8" w14:textId="77777777" w:rsidR="00116C1B" w:rsidRDefault="00116C1B" w:rsidP="00585031">
      <w:pPr>
        <w:spacing w:line="260" w:lineRule="exact"/>
        <w:ind w:firstLine="238"/>
        <w:jc w:val="both"/>
        <w:rPr>
          <w:lang w:val="en-US"/>
        </w:rPr>
      </w:pPr>
      <w:r w:rsidRPr="001413F4">
        <w:rPr>
          <w:lang w:val="en-US"/>
        </w:rPr>
        <w:t xml:space="preserve">Society relies on the supply of a number of critical infrastructure systems - such as electric power, water supply, communication and information networks - which have become gradually more complex and interdependent. If the performance of one of those systems is reduced considerably, society can suffer extremely severe consequences. The transport system is critical for societies in developing and developed countries as it enables the movement of people and goods between origins and destinations. </w:t>
      </w:r>
    </w:p>
    <w:p w14:paraId="37FFF59A" w14:textId="77777777" w:rsidR="00DD4F98" w:rsidRPr="00DD4F98" w:rsidRDefault="00DD4F98" w:rsidP="00A91D5F">
      <w:pPr>
        <w:spacing w:line="260" w:lineRule="exact"/>
        <w:ind w:firstLine="238"/>
        <w:jc w:val="both"/>
      </w:pPr>
      <w:r w:rsidRPr="00DD4F98">
        <w:t xml:space="preserve">The research field related with the risk of severe transport network disruptions and their impacts is generally called vulnerability analysis. The term “vulnerability” refers to the susceptibility of a system to experience severe performance impacts in consequence of exceptional disruptions, unlike “unreliability” which refers to inherent and recurrent performance variations. “Robustness” is the antonym of vulnerability and therefore describes the capability of a system to absorb shocks and withstand disruptions. Taleb (2014) suggested that systems should aspire to become anti-fragile by getting more robust, i.e. more able to cope with shocks, rather </w:t>
      </w:r>
      <w:r w:rsidR="00F503F7">
        <w:t xml:space="preserve">than </w:t>
      </w:r>
      <w:r w:rsidRPr="00DD4F98">
        <w:t xml:space="preserve">aim for a rigid design that prevents shocks from occurring altogether. While both vulnerability and robustness refer to the consequences of disruptions on network functionality once they occur, “resilience” demands also a rapid recovery back to normal operations and performance (Barker et al. 2013). Resilience analysis must </w:t>
      </w:r>
      <w:r w:rsidR="00A91D5F">
        <w:t xml:space="preserve">thus </w:t>
      </w:r>
      <w:r w:rsidRPr="00DD4F98">
        <w:t xml:space="preserve">consider the deterioration of system functionality and performance caused by an initial negative event, “incident”, </w:t>
      </w:r>
      <w:r w:rsidR="00A91D5F">
        <w:t xml:space="preserve">which </w:t>
      </w:r>
      <w:r w:rsidRPr="00DD4F98">
        <w:t>may provoke consequences beyond the specific location and time at which the incident occur</w:t>
      </w:r>
      <w:r w:rsidR="00A91D5F">
        <w:t>s</w:t>
      </w:r>
      <w:r w:rsidRPr="00DD4F98">
        <w:t>. For example, on January 18, 2018, gusts of up to 140 km/hour have caused the cancellation of the majority of trains in the Netherlands, more than 6 hours after the adverse weather conditions were encountered. Hence, the notion of network resilience calls for the analysis of system dynamics and the development of advanced methods for representing supply and demand time-dependency and analysing network flow (re-)distribution in the event of a disruption.</w:t>
      </w:r>
    </w:p>
    <w:p w14:paraId="717DF1A1" w14:textId="77777777" w:rsidR="00291DAE" w:rsidRPr="00291DAE" w:rsidRDefault="00076BAF" w:rsidP="00291DAE">
      <w:pPr>
        <w:spacing w:line="260" w:lineRule="exact"/>
        <w:ind w:firstLine="238"/>
        <w:jc w:val="both"/>
        <w:rPr>
          <w:lang w:val="en-US"/>
        </w:rPr>
      </w:pPr>
      <w:r w:rsidRPr="001413F4">
        <w:rPr>
          <w:lang w:val="en-US"/>
        </w:rPr>
        <w:t>This study focuses on public transport</w:t>
      </w:r>
      <w:r w:rsidR="00502E37">
        <w:rPr>
          <w:lang w:val="en-US"/>
        </w:rPr>
        <w:t xml:space="preserve"> networks</w:t>
      </w:r>
      <w:r w:rsidRPr="001413F4">
        <w:rPr>
          <w:lang w:val="en-US"/>
        </w:rPr>
        <w:t xml:space="preserve">, which is a fundamental component of transport systems. Because of the growth in population, travel demand and motorization, traffic induces growing externalities such as increasing congestion and negative environmental impacts. </w:t>
      </w:r>
      <w:r w:rsidR="001C1132">
        <w:rPr>
          <w:lang w:val="en-US"/>
        </w:rPr>
        <w:t>P</w:t>
      </w:r>
      <w:r w:rsidR="001C1132" w:rsidRPr="001413F4">
        <w:rPr>
          <w:lang w:val="en-US"/>
        </w:rPr>
        <w:t>ublic transport</w:t>
      </w:r>
      <w:r w:rsidR="001C1132">
        <w:rPr>
          <w:lang w:val="en-US"/>
        </w:rPr>
        <w:t xml:space="preserve"> may alleviate some of the negative consequences of mobility. However, t</w:t>
      </w:r>
      <w:r w:rsidR="001C1132" w:rsidRPr="001413F4">
        <w:rPr>
          <w:lang w:val="en-US"/>
        </w:rPr>
        <w:t>o be an attractive alternative for travelers</w:t>
      </w:r>
      <w:r w:rsidR="001C1132">
        <w:rPr>
          <w:lang w:val="en-US"/>
        </w:rPr>
        <w:t>, it</w:t>
      </w:r>
      <w:r w:rsidR="001C1132" w:rsidRPr="001413F4" w:rsidDel="001C1132">
        <w:rPr>
          <w:lang w:val="en-US"/>
        </w:rPr>
        <w:t xml:space="preserve"> </w:t>
      </w:r>
      <w:r w:rsidRPr="001413F4">
        <w:rPr>
          <w:lang w:val="en-US"/>
        </w:rPr>
        <w:t xml:space="preserve">must be able to withstand or quickly recover from disturbances such as infrastructural and vehicular malfunctions. </w:t>
      </w:r>
      <w:r w:rsidR="001C1132">
        <w:rPr>
          <w:lang w:val="en-US"/>
        </w:rPr>
        <w:t xml:space="preserve">Knowledge about </w:t>
      </w:r>
      <w:r w:rsidRPr="001413F4">
        <w:rPr>
          <w:lang w:val="en-US"/>
        </w:rPr>
        <w:t>the distribution and magnitude of the impacts of potential service disruptions</w:t>
      </w:r>
      <w:r w:rsidR="001C1132">
        <w:rPr>
          <w:lang w:val="en-US"/>
        </w:rPr>
        <w:t xml:space="preserve"> </w:t>
      </w:r>
      <w:r w:rsidR="001C1132" w:rsidRPr="001413F4">
        <w:rPr>
          <w:lang w:val="en-US"/>
        </w:rPr>
        <w:t>is crucial</w:t>
      </w:r>
      <w:r w:rsidR="001C1132" w:rsidRPr="001C1132">
        <w:rPr>
          <w:lang w:val="en-US"/>
        </w:rPr>
        <w:t xml:space="preserve"> </w:t>
      </w:r>
      <w:r w:rsidR="001C1132">
        <w:rPr>
          <w:lang w:val="en-US"/>
        </w:rPr>
        <w:t>t</w:t>
      </w:r>
      <w:r w:rsidR="001C1132" w:rsidRPr="001413F4">
        <w:rPr>
          <w:lang w:val="en-US"/>
        </w:rPr>
        <w:t>o effectively allocate resources for the prevention, mitigation and restoration of disruption of public transport services</w:t>
      </w:r>
      <w:r w:rsidRPr="001413F4">
        <w:rPr>
          <w:lang w:val="en-US"/>
        </w:rPr>
        <w:t xml:space="preserve">. </w:t>
      </w:r>
      <w:r w:rsidR="00291DAE" w:rsidRPr="00291DAE">
        <w:rPr>
          <w:lang w:val="en-US"/>
        </w:rPr>
        <w:t xml:space="preserve">A large variety of incidents may </w:t>
      </w:r>
      <w:r w:rsidR="001C1132">
        <w:rPr>
          <w:lang w:val="en-US"/>
        </w:rPr>
        <w:t>aff</w:t>
      </w:r>
      <w:r w:rsidR="00291DAE" w:rsidRPr="00291DAE">
        <w:rPr>
          <w:lang w:val="en-US"/>
        </w:rPr>
        <w:t xml:space="preserve">lict public transport systems: they could be unexpected, provoked voluntarily or involuntarily by men or </w:t>
      </w:r>
      <w:r w:rsidR="00291DAE">
        <w:rPr>
          <w:lang w:val="en-US"/>
        </w:rPr>
        <w:t>triggered by</w:t>
      </w:r>
      <w:r w:rsidR="00291DAE" w:rsidRPr="00291DAE">
        <w:rPr>
          <w:lang w:val="en-US"/>
        </w:rPr>
        <w:t xml:space="preserve"> natural phenomena. They may span from adverse weather to terror attacks, technical failures, strikes or </w:t>
      </w:r>
      <w:r w:rsidR="00291DAE">
        <w:rPr>
          <w:lang w:val="en-US"/>
        </w:rPr>
        <w:t>the break</w:t>
      </w:r>
      <w:r w:rsidR="00291DAE" w:rsidRPr="00291DAE">
        <w:rPr>
          <w:lang w:val="en-US"/>
        </w:rPr>
        <w:t>down</w:t>
      </w:r>
      <w:r w:rsidR="00291DAE">
        <w:rPr>
          <w:lang w:val="en-US"/>
        </w:rPr>
        <w:t xml:space="preserve"> of physical components</w:t>
      </w:r>
      <w:r w:rsidR="00291DAE" w:rsidRPr="00291DAE">
        <w:rPr>
          <w:lang w:val="en-US"/>
        </w:rPr>
        <w:t>.</w:t>
      </w:r>
    </w:p>
    <w:p w14:paraId="07ABA1C8" w14:textId="77777777" w:rsidR="003940D4" w:rsidRPr="001413F4" w:rsidRDefault="002842DF" w:rsidP="00C8343D">
      <w:pPr>
        <w:spacing w:line="260" w:lineRule="exact"/>
        <w:ind w:firstLine="238"/>
        <w:jc w:val="both"/>
      </w:pPr>
      <w:r>
        <w:t>Public transport network v</w:t>
      </w:r>
      <w:r w:rsidR="005D738F">
        <w:t xml:space="preserve">ulnerability </w:t>
      </w:r>
      <w:r w:rsidR="00FA7792" w:rsidRPr="001413F4">
        <w:t>has</w:t>
      </w:r>
      <w:r w:rsidR="00116C1B" w:rsidRPr="001413F4">
        <w:t xml:space="preserve"> been often studied in terms of network topology. In these studies, the public transport system is represented as a graph where nodes, corresponding to stations or stops, are connected by links which represent service segments (</w:t>
      </w:r>
      <w:r w:rsidR="009E3B25">
        <w:t>v</w:t>
      </w:r>
      <w:r w:rsidR="00116C1B" w:rsidRPr="001413F4">
        <w:t xml:space="preserve">on Feber et al., 2009; Berche et al., 2009). </w:t>
      </w:r>
      <w:r w:rsidR="001C1132">
        <w:t>Disruptions</w:t>
      </w:r>
      <w:r w:rsidR="001C1132" w:rsidRPr="001413F4">
        <w:t xml:space="preserve"> </w:t>
      </w:r>
      <w:r w:rsidR="00116C1B" w:rsidRPr="001413F4">
        <w:t xml:space="preserve">are then simulated by removing graph’s elements (nodes or links) randomly or by means of “directed attacks”, i.e. selecting and deactivating links or nodes according to different centrality measures, such as the highest degree or betweenness centrality (Holme et al., 2002). After each removal, vulnerability is evaluated in terms of the decrease in network’s performance, measured as the change of some selected topological and connectivity properties. For example, Latora and Marchiori (2005) evaluate the vulnerability of the Boston subway transportation system as the change </w:t>
      </w:r>
      <w:r w:rsidR="00AE1E4B">
        <w:t>of</w:t>
      </w:r>
      <w:r w:rsidR="00AE1E4B" w:rsidRPr="001413F4">
        <w:t xml:space="preserve"> </w:t>
      </w:r>
      <w:r w:rsidR="00116C1B" w:rsidRPr="001413F4">
        <w:t xml:space="preserve">the network efficiency, i.e. the average of the reciprocal of the shortest distances between all node pairs in the network. As an alternative performance indicator, the relative size </w:t>
      </w:r>
      <w:r w:rsidR="00116C1B" w:rsidRPr="001413F4">
        <w:rPr>
          <w:i/>
        </w:rPr>
        <w:t>S</w:t>
      </w:r>
      <w:r w:rsidR="00116C1B" w:rsidRPr="001413F4">
        <w:t xml:space="preserve"> of the largest connected component of the network </w:t>
      </w:r>
      <w:r w:rsidR="006879EF">
        <w:t>is</w:t>
      </w:r>
      <w:r w:rsidR="00116C1B" w:rsidRPr="001413F4">
        <w:t xml:space="preserve"> used by Angeloudis and Fisk (2006) and Han and Liu (2009) to assess the vulnerability of twenty of the world largest subway networks and of ten Chinese subway systems, respectively. In a similar work, von Feber et al. (2012) compare the public transport systems of London and Paris in terms of vulnerability, introducing as indicator the area under the curve </w:t>
      </w:r>
      <w:r w:rsidR="00116C1B" w:rsidRPr="001413F4">
        <w:rPr>
          <w:i/>
        </w:rPr>
        <w:t>S(c)</w:t>
      </w:r>
      <w:r w:rsidR="00116C1B" w:rsidRPr="001413F4">
        <w:t xml:space="preserve"> as a function of the fraction </w:t>
      </w:r>
      <w:r w:rsidR="00116C1B" w:rsidRPr="001413F4">
        <w:rPr>
          <w:i/>
        </w:rPr>
        <w:t>c</w:t>
      </w:r>
      <w:r w:rsidR="00116C1B" w:rsidRPr="001413F4">
        <w:t xml:space="preserve"> of removed nodes or links. The same approach </w:t>
      </w:r>
      <w:r w:rsidR="006879EF">
        <w:t xml:space="preserve">is </w:t>
      </w:r>
      <w:r w:rsidR="00116C1B" w:rsidRPr="001413F4">
        <w:t xml:space="preserve">applied by Zhang et al. (2011) in their study of the topological vulnerability of the Shanghai subway network. Derrible and Kennedy (2010) analyse the robustness of 33 metro systems worldwide in terms of the number of cyclic paths available in the network, an indicator of network redundancy.  </w:t>
      </w:r>
    </w:p>
    <w:p w14:paraId="5E6A2589" w14:textId="77777777" w:rsidR="00116C1B" w:rsidRPr="001413F4" w:rsidRDefault="00116C1B" w:rsidP="00585031">
      <w:pPr>
        <w:spacing w:line="260" w:lineRule="exact"/>
        <w:ind w:firstLine="238"/>
        <w:jc w:val="both"/>
      </w:pPr>
      <w:r w:rsidRPr="001413F4">
        <w:t xml:space="preserve">The analysis of public transport network vulnerability using a strictly topological approach has considerable shortcomings. Such studies neglect a large number of factors, most importantly the notion of lines and their implications </w:t>
      </w:r>
      <w:r w:rsidR="00BB64D0">
        <w:t>for</w:t>
      </w:r>
      <w:r w:rsidRPr="001413F4">
        <w:t xml:space="preserve"> passenger route choice, line operations and the need to transfer. Topological studies effectively assume that the removal of a link is equivalent to the network without this link to start with, with the remaining segments </w:t>
      </w:r>
      <w:r w:rsidR="006879EF">
        <w:t>suppos</w:t>
      </w:r>
      <w:r w:rsidRPr="001413F4">
        <w:t xml:space="preserve">ed to continue functioning independently. However, unplanned disruptions can cause adverse effects because service providers and users can not adjust to them upfront. Travel demand and in particular the effect on passenger rerouting </w:t>
      </w:r>
      <w:r w:rsidRPr="001413F4">
        <w:lastRenderedPageBreak/>
        <w:t xml:space="preserve">and the number of affected users need to be explicitly considered. The availability of information about alternative routes and the duration of the </w:t>
      </w:r>
      <w:r w:rsidR="00AE1E4B">
        <w:t>incident</w:t>
      </w:r>
      <w:r w:rsidR="00AE1E4B" w:rsidRPr="001413F4">
        <w:t xml:space="preserve"> </w:t>
      </w:r>
      <w:r w:rsidR="00AE1E4B">
        <w:t>is</w:t>
      </w:r>
      <w:r w:rsidR="00AE1E4B" w:rsidRPr="001413F4">
        <w:t xml:space="preserve"> </w:t>
      </w:r>
      <w:r w:rsidRPr="001413F4">
        <w:t>expected to play an important role in determining the consequences of public transport disruptions. Moreover, the dynamics of public transport system lead to the propagation of disturbances across the network due to knock-down effects on infrastructure and rolling stock and spillover effects due to the redistribution of passengers flows and capacity limitations. It is thus crucial to represent the interaction between supply and demand and the</w:t>
      </w:r>
      <w:r w:rsidR="00BB64D0">
        <w:t>ir</w:t>
      </w:r>
      <w:r w:rsidRPr="001413F4">
        <w:t xml:space="preserve"> inherent</w:t>
      </w:r>
      <w:r w:rsidR="00BB64D0">
        <w:t>ly</w:t>
      </w:r>
      <w:r w:rsidRPr="001413F4">
        <w:t xml:space="preserve"> stochastic process</w:t>
      </w:r>
      <w:r w:rsidR="00BB64D0">
        <w:t>es</w:t>
      </w:r>
      <w:r w:rsidRPr="001413F4">
        <w:t xml:space="preserve"> in the public transport system. </w:t>
      </w:r>
    </w:p>
    <w:p w14:paraId="292ED53C" w14:textId="77777777" w:rsidR="003E3DEF" w:rsidRPr="001413F4" w:rsidRDefault="00116C1B" w:rsidP="00F91079">
      <w:pPr>
        <w:spacing w:line="260" w:lineRule="exact"/>
        <w:ind w:firstLine="238"/>
        <w:jc w:val="both"/>
      </w:pPr>
      <w:r w:rsidRPr="001413F4">
        <w:t xml:space="preserve">To overcome these drawbacks, recently some vulnerability studies which model network loading have been developed, allowing </w:t>
      </w:r>
      <w:r w:rsidR="00F91079">
        <w:t>the</w:t>
      </w:r>
      <w:r w:rsidR="00F91079" w:rsidRPr="001413F4">
        <w:t xml:space="preserve"> </w:t>
      </w:r>
      <w:r w:rsidRPr="001413F4">
        <w:t>evalua</w:t>
      </w:r>
      <w:r w:rsidR="00F91079">
        <w:t>tion of</w:t>
      </w:r>
      <w:r w:rsidRPr="001413F4">
        <w:t xml:space="preserve"> additional important factors such as the level of congestion and delays. For example, Rodriguez-Nunez and Garcia-Palomares (2014) evaluate consequences of disruptions as the increase in average travel time, assuming that diverted travellers choose the fastest route available (i.e. all-or-nothing assignment). In addition, impacts of disruptions are analysed in terms of missed trips, i.e. the number of trips which cannot be completed because of the disturbance. Similarly, De-Los-Santos et al. (2012) estimate the increase of the overall travel time of all passengers in the network after a link failure. Cats and Jenelius (2015) developed a detailed dynamic robustness analysis using a dynamic agent-based transit assignment model. The latter is used to assess the increase in overall changes in passenger welfare measured in terms of total generalized travel costs.</w:t>
      </w:r>
      <w:r w:rsidR="006726BE">
        <w:t xml:space="preserve"> </w:t>
      </w:r>
      <w:r w:rsidR="00AE1E4B">
        <w:t xml:space="preserve">In Taleb (2014) </w:t>
      </w:r>
      <w:r w:rsidR="00294BB8" w:rsidRPr="00294BB8">
        <w:t xml:space="preserve">systems </w:t>
      </w:r>
      <w:r w:rsidR="00AE1E4B">
        <w:t xml:space="preserve">are considered vulnerable if </w:t>
      </w:r>
      <w:r w:rsidR="00294BB8" w:rsidRPr="00294BB8">
        <w:t>the negative impacts increase disproportionally to the magnitude of capacity reductions</w:t>
      </w:r>
      <w:r w:rsidR="00F91079">
        <w:t>.</w:t>
      </w:r>
      <w:r w:rsidR="00294BB8" w:rsidRPr="00294BB8">
        <w:t xml:space="preserve"> </w:t>
      </w:r>
      <w:r w:rsidR="00F91079">
        <w:t>Th</w:t>
      </w:r>
      <w:r w:rsidR="00AE1E4B">
        <w:t xml:space="preserve">e existence of this kind of vulnerable systems </w:t>
      </w:r>
      <w:r w:rsidR="006879EF">
        <w:t>is shown</w:t>
      </w:r>
      <w:r w:rsidR="00AE1E4B">
        <w:t xml:space="preserve"> by </w:t>
      </w:r>
      <w:r w:rsidR="00294BB8" w:rsidRPr="00294BB8">
        <w:t>Cats and Jenelius (2016)</w:t>
      </w:r>
      <w:r w:rsidR="00F91079">
        <w:t>,</w:t>
      </w:r>
      <w:r w:rsidR="00294BB8" w:rsidRPr="00294BB8">
        <w:t xml:space="preserve"> where unplanned service disruptions with half the capacity reduction result</w:t>
      </w:r>
      <w:r w:rsidR="00F91079">
        <w:t>ed</w:t>
      </w:r>
      <w:r w:rsidR="00294BB8" w:rsidRPr="00294BB8">
        <w:t xml:space="preserve"> in more than half as much delay.</w:t>
      </w:r>
      <w:r w:rsidR="00BB7194">
        <w:t xml:space="preserve"> </w:t>
      </w:r>
      <w:r w:rsidR="006726BE">
        <w:t>Shelat and Cats (2017)</w:t>
      </w:r>
      <w:r w:rsidRPr="001413F4">
        <w:t xml:space="preserve"> </w:t>
      </w:r>
      <w:r w:rsidR="00BB7194">
        <w:t>propose</w:t>
      </w:r>
      <w:r w:rsidR="006879EF">
        <w:t xml:space="preserve"> </w:t>
      </w:r>
      <w:r w:rsidR="00BB7194">
        <w:t xml:space="preserve">two local link criticality indicators for measuring spillover effects and analyse </w:t>
      </w:r>
      <w:r w:rsidR="006879EF">
        <w:t xml:space="preserve">them </w:t>
      </w:r>
      <w:r w:rsidR="00BB7194">
        <w:t>for planned disruptions using a static stochastic user equilibrium transit assignment model.</w:t>
      </w:r>
      <w:r w:rsidRPr="001413F4">
        <w:t xml:space="preserve"> </w:t>
      </w:r>
    </w:p>
    <w:p w14:paraId="04B717D2" w14:textId="77777777" w:rsidR="00694399" w:rsidRPr="00694399" w:rsidRDefault="00694399" w:rsidP="00F91079">
      <w:pPr>
        <w:spacing w:line="260" w:lineRule="exact"/>
        <w:ind w:firstLine="238"/>
        <w:jc w:val="both"/>
      </w:pPr>
      <w:r w:rsidRPr="00694399">
        <w:t xml:space="preserve">In this study, measures of resilience in terms of the extent to which disruption impacts propagate across the network and time to recovery are defined and applied for the analysis of disruptions in a metropolitan public transport system. We model the problem in a dynamic framework with a time-dependent network representation. Our flow distribution model </w:t>
      </w:r>
      <w:r w:rsidR="00F91079" w:rsidRPr="00694399">
        <w:t>in</w:t>
      </w:r>
      <w:r w:rsidR="00F91079">
        <w:t>clude</w:t>
      </w:r>
      <w:r w:rsidR="00F91079" w:rsidRPr="00694399">
        <w:t xml:space="preserve">s </w:t>
      </w:r>
      <w:r w:rsidRPr="00694399">
        <w:t xml:space="preserve">a behavioural route choice model mimicking passengers en-route travel decisions. We study the change in link saturation measured in terms of the passenger volume over capacity ratio throughout the network after a disruption. Disruptions causing comparable overall impacts in terms of total time loss may have different effects on network saturation and hence capacity to absorb disruptions depending on the operational state prior to the disruption on each network element. Impacts on networks performance are evaluated in terms of magnitude and duration, and the recovery time -  the time that elapses before the system rebounds to its initial performance - is estimated. </w:t>
      </w:r>
    </w:p>
    <w:p w14:paraId="7F198F87" w14:textId="77777777" w:rsidR="00694399" w:rsidRPr="00694399" w:rsidRDefault="00694399" w:rsidP="00694399">
      <w:pPr>
        <w:spacing w:line="260" w:lineRule="exact"/>
        <w:ind w:firstLine="238"/>
        <w:jc w:val="both"/>
      </w:pPr>
      <w:r w:rsidRPr="00694399">
        <w:t xml:space="preserve">The key contributions of this study are: (1) developing a framework for assessing the temporal and spatial propagation of service disruptions in a public transport network; (2) illustrating the method by an application to </w:t>
      </w:r>
      <w:r w:rsidR="00F91079">
        <w:t xml:space="preserve">the </w:t>
      </w:r>
      <w:r w:rsidRPr="00694399">
        <w:t>Stockholm network. In the application, we analyse a range of disruption scenarios, determining time for recovery based on the trends of flow re-distribution and quantifying the geographical extent of spill-over effects based on flow propagations. The results of the application show that the impacts of disruptions are not confined to the immediate aftermath of the disruption and the area near the source of the disruption. The investigation of the recovery time and the geographical scale affected by various disruptions can support tactical and operational decisions concerning preparation and mitigation measures. Such measures include determining the availability of switches that allow for short-turning, timetable design, the allocation of reserve vehicles and the degree of isolation in infrastructure and operation between di</w:t>
      </w:r>
      <w:r>
        <w:t>fferent sub-network components.</w:t>
      </w:r>
    </w:p>
    <w:p w14:paraId="12A42FBF" w14:textId="77777777" w:rsidR="004A56E6" w:rsidRPr="001413F4" w:rsidRDefault="00116C1B" w:rsidP="00585031">
      <w:pPr>
        <w:spacing w:line="260" w:lineRule="exact"/>
        <w:ind w:firstLine="238"/>
        <w:jc w:val="both"/>
      </w:pPr>
      <w:r w:rsidRPr="001413F4">
        <w:t>In the following, the model is briefly presented followed by the vulnerability indicators proposed in this study for analysing the extent of disruption spill-over effects</w:t>
      </w:r>
      <w:r w:rsidR="0035007F">
        <w:t xml:space="preserve"> (Section 2)</w:t>
      </w:r>
      <w:r w:rsidRPr="001413F4">
        <w:t>. The results are then presented for a case study in Stockholm, Sweden</w:t>
      </w:r>
      <w:r w:rsidR="0035007F">
        <w:t xml:space="preserve"> (Section 3)</w:t>
      </w:r>
      <w:r w:rsidRPr="001413F4">
        <w:t>, followed by concluding remarks</w:t>
      </w:r>
      <w:r w:rsidR="0035007F">
        <w:t xml:space="preserve"> (Section 4)</w:t>
      </w:r>
      <w:r w:rsidRPr="001413F4">
        <w:t>.</w:t>
      </w:r>
    </w:p>
    <w:p w14:paraId="3FC8760C" w14:textId="77777777" w:rsidR="004A56E6" w:rsidRPr="001413F4" w:rsidRDefault="004A56E6" w:rsidP="00116C1B">
      <w:pPr>
        <w:spacing w:line="240" w:lineRule="exact"/>
        <w:ind w:firstLine="238"/>
        <w:jc w:val="both"/>
      </w:pPr>
    </w:p>
    <w:p w14:paraId="08658507" w14:textId="77777777" w:rsidR="00116C1B" w:rsidRPr="001413F4" w:rsidRDefault="00116C1B" w:rsidP="00116C1B">
      <w:pPr>
        <w:pStyle w:val="Els-1storder-head"/>
        <w:rPr>
          <w:sz w:val="22"/>
          <w:szCs w:val="22"/>
        </w:rPr>
      </w:pPr>
      <w:r w:rsidRPr="001413F4">
        <w:rPr>
          <w:sz w:val="22"/>
          <w:szCs w:val="22"/>
        </w:rPr>
        <w:t>Methodology</w:t>
      </w:r>
    </w:p>
    <w:p w14:paraId="39AD08C7" w14:textId="77777777" w:rsidR="00116C1B" w:rsidRPr="001413F4" w:rsidRDefault="00116C1B" w:rsidP="00116C1B">
      <w:pPr>
        <w:pStyle w:val="Els-2ndorder-head"/>
      </w:pPr>
      <w:r w:rsidRPr="001413F4">
        <w:rPr>
          <w:lang w:val="en-GB"/>
        </w:rPr>
        <w:t>Modelling</w:t>
      </w:r>
      <w:r w:rsidRPr="001413F4">
        <w:t xml:space="preserve"> public transport dynamics</w:t>
      </w:r>
    </w:p>
    <w:p w14:paraId="3E368CB7" w14:textId="77777777" w:rsidR="00116C1B" w:rsidRPr="001413F4" w:rsidRDefault="00116C1B" w:rsidP="00585031">
      <w:pPr>
        <w:spacing w:line="260" w:lineRule="exact"/>
        <w:ind w:firstLine="238"/>
        <w:jc w:val="both"/>
      </w:pPr>
      <w:r w:rsidRPr="001413F4">
        <w:t xml:space="preserve">Transit systems consists of various components that interact through numerous processes. The model used in this study considers the interaction between traffic dynamics, transit operations and traveller decisions. </w:t>
      </w:r>
    </w:p>
    <w:p w14:paraId="4DC11AD3" w14:textId="77777777" w:rsidR="00116C1B" w:rsidRPr="001413F4" w:rsidRDefault="00116C1B" w:rsidP="00585031">
      <w:pPr>
        <w:spacing w:line="260" w:lineRule="exact"/>
        <w:ind w:firstLine="238"/>
        <w:jc w:val="both"/>
      </w:pPr>
      <w:r w:rsidRPr="001413F4">
        <w:t xml:space="preserve">The transport network lies on top of the layer of the relevant physical network of roads and railways. It is represented by a direct graph </w:t>
      </w:r>
      <m:oMath>
        <m:r>
          <w:rPr>
            <w:rFonts w:ascii="Cambria Math" w:hAnsi="Cambria Math"/>
          </w:rPr>
          <m:t>G(S,E)</m:t>
        </m:r>
      </m:oMath>
      <w:r w:rsidRPr="001413F4">
        <w:t xml:space="preserve"> where </w:t>
      </w:r>
      <m:oMath>
        <m:r>
          <w:rPr>
            <w:rFonts w:ascii="Cambria Math" w:hAnsi="Cambria Math"/>
          </w:rPr>
          <m:t>S</m:t>
        </m:r>
      </m:oMath>
      <w:r w:rsidRPr="001413F4">
        <w:t xml:space="preserve"> is the set of nodes, corresponding to stops, and </w:t>
      </w:r>
      <m:oMath>
        <m:r>
          <w:rPr>
            <w:rFonts w:ascii="Cambria Math" w:hAnsi="Cambria Math"/>
          </w:rPr>
          <m:t>E</m:t>
        </m:r>
      </m:oMath>
      <w:r w:rsidRPr="001413F4">
        <w:t xml:space="preserve"> is the set of links, representing connections between stops. The walking distances between stops are given to allow stop choice and transfers, without the explicit representation of pedestrian network links. Each link </w:t>
      </w:r>
      <m:oMath>
        <m:r>
          <w:rPr>
            <w:rFonts w:ascii="Cambria Math" w:hAnsi="Cambria Math"/>
          </w:rPr>
          <m:t>e</m:t>
        </m:r>
      </m:oMath>
      <w:r w:rsidRPr="001413F4">
        <w:t xml:space="preserve"> may be operated by one or several public transport lines. A transit line </w:t>
      </w:r>
      <m:oMath>
        <m:r>
          <w:rPr>
            <w:rFonts w:ascii="Cambria Math" w:hAnsi="Cambria Math"/>
          </w:rPr>
          <m:t>l</m:t>
        </m:r>
      </m:oMath>
      <w:r w:rsidRPr="001413F4">
        <w:t xml:space="preserve"> is defined by a sequence of stops or stations </w:t>
      </w:r>
      <m:oMath>
        <m:r>
          <w:rPr>
            <w:rFonts w:ascii="Cambria Math" w:eastAsiaTheme="minorEastAsia" w:hAnsi="Cambria Math"/>
          </w:rPr>
          <m:t>l=(</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l1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l2</m:t>
            </m:r>
          </m:sub>
        </m:sSub>
        <m:r>
          <w:rPr>
            <w:rFonts w:ascii="Cambria Math" w:eastAsiaTheme="minorEastAsia" w:hAnsi="Cambria Math"/>
          </w:rPr>
          <m:t>,</m:t>
        </m:r>
        <m:r>
          <w:rPr>
            <w:rFonts w:ascii="Cambria Math" w:hAnsi="Cambria Math"/>
            <w:lang w:val="en-US"/>
          </w:rPr>
          <m:t>…</m:t>
        </m:r>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l</m:t>
            </m:r>
            <m:d>
              <m:dPr>
                <m:begChr m:val="|"/>
                <m:endChr m:val="|"/>
                <m:ctrlPr>
                  <w:rPr>
                    <w:rFonts w:ascii="Cambria Math" w:eastAsiaTheme="minorEastAsia" w:hAnsi="Cambria Math"/>
                    <w:i/>
                  </w:rPr>
                </m:ctrlPr>
              </m:dPr>
              <m:e>
                <m:r>
                  <w:rPr>
                    <w:rFonts w:ascii="Cambria Math" w:eastAsiaTheme="minorEastAsia" w:hAnsi="Cambria Math"/>
                  </w:rPr>
                  <m:t>l</m:t>
                </m:r>
              </m:e>
            </m:d>
          </m:sub>
        </m:sSub>
        <m:r>
          <w:rPr>
            <w:rFonts w:ascii="Cambria Math" w:eastAsiaTheme="minorEastAsia" w:hAnsi="Cambria Math"/>
          </w:rPr>
          <m:t>)</m:t>
        </m:r>
      </m:oMath>
      <w:r w:rsidRPr="001413F4">
        <w:rPr>
          <w:rFonts w:eastAsiaTheme="minorEastAsia"/>
        </w:rPr>
        <w:t xml:space="preserve">, where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l1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l</m:t>
            </m:r>
          </m:sub>
        </m:sSub>
      </m:oMath>
      <w:r w:rsidRPr="001413F4">
        <w:rPr>
          <w:rFonts w:eastAsiaTheme="minorEastAsia"/>
        </w:rPr>
        <w:t xml:space="preserve"> is the origin stop </w:t>
      </w:r>
      <w:r w:rsidRPr="001413F4">
        <w:rPr>
          <w:rFonts w:eastAsiaTheme="minorEastAsia"/>
        </w:rPr>
        <w:lastRenderedPageBreak/>
        <w:t xml:space="preserve">and </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l</m:t>
            </m:r>
            <m:d>
              <m:dPr>
                <m:begChr m:val="|"/>
                <m:endChr m:val="|"/>
                <m:ctrlPr>
                  <w:rPr>
                    <w:rFonts w:ascii="Cambria Math" w:eastAsiaTheme="minorEastAsia" w:hAnsi="Cambria Math"/>
                    <w:i/>
                  </w:rPr>
                </m:ctrlPr>
              </m:dPr>
              <m:e>
                <m:r>
                  <w:rPr>
                    <w:rFonts w:ascii="Cambria Math" w:eastAsiaTheme="minorEastAsia" w:hAnsi="Cambria Math"/>
                  </w:rPr>
                  <m:t>l</m:t>
                </m:r>
              </m:e>
            </m:d>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l</m:t>
            </m:r>
          </m:sub>
        </m:sSub>
      </m:oMath>
      <w:r w:rsidRPr="001413F4">
        <w:rPr>
          <w:rFonts w:eastAsiaTheme="minorEastAsia"/>
        </w:rPr>
        <w:t xml:space="preserve"> is the destination stop. </w:t>
      </w:r>
      <w:r w:rsidRPr="001413F4">
        <w:t xml:space="preserve">Similar to vehicle lines, the physical path of a traveller is defined by a sequence of stops from the origin to the destination, that is </w:t>
      </w:r>
      <m:oMath>
        <m:r>
          <w:rPr>
            <w:rFonts w:ascii="Cambria Math" w:eastAsiaTheme="minorEastAsia" w:hAnsi="Cambria Math"/>
          </w:rPr>
          <m:t>j=(</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j1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j2</m:t>
            </m:r>
          </m:sub>
        </m:sSub>
        <m:r>
          <w:rPr>
            <w:rFonts w:ascii="Cambria Math" w:eastAsiaTheme="minorEastAsia" w:hAnsi="Cambria Math"/>
          </w:rPr>
          <m:t>,</m:t>
        </m:r>
        <m:r>
          <w:rPr>
            <w:rFonts w:ascii="Cambria Math" w:hAnsi="Cambria Math"/>
            <w:lang w:val="en-US"/>
          </w:rPr>
          <m:t>…</m:t>
        </m:r>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j</m:t>
            </m:r>
            <m:d>
              <m:dPr>
                <m:begChr m:val="|"/>
                <m:endChr m:val="|"/>
                <m:ctrlPr>
                  <w:rPr>
                    <w:rFonts w:ascii="Cambria Math" w:eastAsiaTheme="minorEastAsia" w:hAnsi="Cambria Math"/>
                    <w:i/>
                  </w:rPr>
                </m:ctrlPr>
              </m:dPr>
              <m:e>
                <m:r>
                  <w:rPr>
                    <w:rFonts w:ascii="Cambria Math" w:eastAsiaTheme="minorEastAsia" w:hAnsi="Cambria Math"/>
                  </w:rPr>
                  <m:t>j</m:t>
                </m:r>
              </m:e>
            </m:d>
          </m:sub>
        </m:sSub>
        <m:r>
          <w:rPr>
            <w:rFonts w:ascii="Cambria Math" w:eastAsiaTheme="minorEastAsia" w:hAnsi="Cambria Math"/>
          </w:rPr>
          <m:t>)</m:t>
        </m:r>
      </m:oMath>
      <w:r w:rsidRPr="001413F4">
        <w:rPr>
          <w:rFonts w:eastAsiaTheme="minorEastAsia"/>
        </w:rPr>
        <w:t xml:space="preserve">, where the origin stop is </w:t>
      </w:r>
      <m:oMath>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j</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j1</m:t>
            </m:r>
          </m:sub>
        </m:sSub>
      </m:oMath>
      <w:r w:rsidRPr="001413F4">
        <w:rPr>
          <w:rFonts w:eastAsiaTheme="minorEastAsia"/>
        </w:rPr>
        <w:t xml:space="preserve"> and the destination stop is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j</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j|j|</m:t>
            </m:r>
          </m:sub>
        </m:sSub>
      </m:oMath>
      <w:r w:rsidRPr="001413F4">
        <w:rPr>
          <w:rFonts w:eastAsiaTheme="minorEastAsia"/>
        </w:rPr>
        <w:t xml:space="preserve">. </w:t>
      </w:r>
    </w:p>
    <w:p w14:paraId="042F0266" w14:textId="77777777" w:rsidR="00116C1B" w:rsidRPr="001413F4" w:rsidRDefault="00116C1B" w:rsidP="004A2B7D">
      <w:pPr>
        <w:spacing w:line="260" w:lineRule="exact"/>
        <w:ind w:firstLine="238"/>
        <w:jc w:val="both"/>
      </w:pPr>
      <w:r w:rsidRPr="001413F4">
        <w:t xml:space="preserve">The </w:t>
      </w:r>
      <w:r w:rsidR="00BC5796">
        <w:t xml:space="preserve">service </w:t>
      </w:r>
      <w:r w:rsidRPr="001413F4">
        <w:t>supply is modelled in terms of vehicle runs. Each line has a timetable and vehicles follow a schedule that consists of a sequence of trips. Because of the dependency between successive trips, delays may propagate from one trip to other. Vehicle trip travel times consist of two parts: riding times on links and dwell times at stops. Riding times are composed of running times on links and delays at intersections. In this study</w:t>
      </w:r>
      <w:r w:rsidR="000746FC" w:rsidRPr="001413F4">
        <w:t>,</w:t>
      </w:r>
      <w:r w:rsidRPr="001413F4">
        <w:t xml:space="preserve"> the effects of the background traffic are modelled implicitly by representing link travel times as random variables with distributions that are derived from empirical travel times of public transport vehicles. Delays at intersections are determined by individual stochastic queue servers, that generate service times following </w:t>
      </w:r>
      <w:r w:rsidR="004A2B7D">
        <w:t>empirically estimated</w:t>
      </w:r>
      <w:r w:rsidRPr="001413F4">
        <w:t xml:space="preserve"> distributions. Dwell time is the time </w:t>
      </w:r>
      <w:r w:rsidR="00A01382">
        <w:t xml:space="preserve">a </w:t>
      </w:r>
      <w:r w:rsidRPr="001413F4">
        <w:t xml:space="preserve">vehicle </w:t>
      </w:r>
      <w:r w:rsidR="00A01382">
        <w:t>spends at a stop to let</w:t>
      </w:r>
      <w:r w:rsidRPr="001413F4">
        <w:t xml:space="preserve"> passengers</w:t>
      </w:r>
      <w:r w:rsidR="00A01382">
        <w:t xml:space="preserve"> </w:t>
      </w:r>
      <w:r w:rsidR="00A01382" w:rsidRPr="001413F4">
        <w:t>board and alight</w:t>
      </w:r>
      <w:r w:rsidR="00A01382">
        <w:t>.</w:t>
      </w:r>
      <w:r w:rsidRPr="001413F4">
        <w:t xml:space="preserve"> </w:t>
      </w:r>
      <w:r w:rsidR="00A01382">
        <w:t>I</w:t>
      </w:r>
      <w:r w:rsidRPr="001413F4">
        <w:t xml:space="preserve">t depends on the number of passengers boarding and alighting, on the type of stop (bay/in-lane) and on the vehicle type. In addition, the payment method and the boarding regime are important determinant of the dwell time. Supply and demand interact dynamically. The effects of demand on supply are manifested mainly through the dwell time. In addition, passenger </w:t>
      </w:r>
      <w:r w:rsidR="00A01382">
        <w:t>path choices</w:t>
      </w:r>
      <w:r w:rsidRPr="001413F4">
        <w:t xml:space="preserve"> are influence</w:t>
      </w:r>
      <w:r w:rsidR="00A01382">
        <w:t>d</w:t>
      </w:r>
      <w:r w:rsidRPr="001413F4">
        <w:t xml:space="preserve"> by how the public transport system evolves. </w:t>
      </w:r>
    </w:p>
    <w:p w14:paraId="1A7BAC31" w14:textId="77777777" w:rsidR="00116C1B" w:rsidRPr="001413F4" w:rsidRDefault="00116C1B" w:rsidP="00585031">
      <w:pPr>
        <w:spacing w:line="260" w:lineRule="exact"/>
        <w:ind w:firstLine="238"/>
        <w:jc w:val="both"/>
        <w:rPr>
          <w:rFonts w:eastAsiaTheme="minorEastAsia"/>
        </w:rPr>
      </w:pPr>
      <w:r w:rsidRPr="001413F4">
        <w:t xml:space="preserve">Passenger demand is represented by an OD matrix at stop level. Trips are initiated at an origin stop and passengers have to choose their path to a pre-defined destination stop. Each passenger when travelling undertakes successive path choice decisions that depend on the evolving public transport system conditions. The evaluation of alternative paths depends on traveller’s preferences and expectation, determined by prior knowledge, experience and the availability of real-time information. It is assumed that, in the context of high frequency urban public transport systems, travellers have a prior knowledge of network topology, timetable travel times and planned headways. Travellers’ ability to carry out a decision is also subject to vehicle capacity constraints. All travellers’ decisions are represented with a multinomial Logit model. The deterministic part of the utility function of passenger </w:t>
      </w:r>
      <m:oMath>
        <m:r>
          <w:rPr>
            <w:rFonts w:ascii="Cambria Math" w:hAnsi="Cambria Math"/>
          </w:rPr>
          <m:t>n</m:t>
        </m:r>
      </m:oMath>
      <w:r w:rsidRPr="001413F4">
        <w:t xml:space="preserve"> associated with path </w:t>
      </w:r>
      <m:oMath>
        <m:r>
          <w:rPr>
            <w:rFonts w:ascii="Cambria Math" w:hAnsi="Cambria Math"/>
          </w:rPr>
          <m:t>i</m:t>
        </m:r>
      </m:oMath>
      <w:r w:rsidRPr="001413F4">
        <w:t xml:space="preserve"> is denoted </w:t>
      </w:r>
      <m:oMath>
        <m:sSub>
          <m:sSubPr>
            <m:ctrlPr>
              <w:rPr>
                <w:rFonts w:ascii="Cambria Math" w:hAnsi="Cambria Math"/>
                <w:i/>
              </w:rPr>
            </m:ctrlPr>
          </m:sSubPr>
          <m:e>
            <m:r>
              <w:rPr>
                <w:rFonts w:ascii="Cambria Math" w:hAnsi="Cambria Math"/>
              </w:rPr>
              <m:t>v</m:t>
            </m:r>
          </m:e>
          <m:sub>
            <m:r>
              <w:rPr>
                <w:rFonts w:ascii="Cambria Math" w:hAnsi="Cambria Math"/>
              </w:rPr>
              <m:t>in</m:t>
            </m:r>
          </m:sub>
        </m:sSub>
      </m:oMath>
      <w:r w:rsidRPr="001413F4">
        <w:rPr>
          <w:rFonts w:eastAsiaTheme="minorEastAsia"/>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
        <w:gridCol w:w="9124"/>
        <w:gridCol w:w="450"/>
      </w:tblGrid>
      <w:tr w:rsidR="00116C1B" w:rsidRPr="001413F4" w14:paraId="4810F2CF" w14:textId="77777777" w:rsidTr="00116C1B">
        <w:trPr>
          <w:jc w:val="center"/>
        </w:trPr>
        <w:tc>
          <w:tcPr>
            <w:tcW w:w="171" w:type="pct"/>
            <w:vAlign w:val="center"/>
          </w:tcPr>
          <w:p w14:paraId="1589A2EE" w14:textId="77777777" w:rsidR="00116C1B" w:rsidRPr="001413F4" w:rsidRDefault="00116C1B" w:rsidP="00585031">
            <w:pPr>
              <w:spacing w:before="240" w:after="240" w:line="260" w:lineRule="exact"/>
              <w:jc w:val="center"/>
              <w:rPr>
                <w:rFonts w:eastAsiaTheme="minorEastAsia"/>
              </w:rPr>
            </w:pPr>
          </w:p>
        </w:tc>
        <w:tc>
          <w:tcPr>
            <w:tcW w:w="4658" w:type="pct"/>
            <w:vAlign w:val="center"/>
            <w:hideMark/>
          </w:tcPr>
          <w:p w14:paraId="5C3C30BE" w14:textId="77777777" w:rsidR="00116C1B" w:rsidRPr="001413F4" w:rsidRDefault="006417CA" w:rsidP="00585031">
            <w:pPr>
              <w:spacing w:before="240" w:after="240" w:line="260" w:lineRule="exact"/>
              <w:jc w:val="center"/>
              <w:rPr>
                <w:rFonts w:eastAsiaTheme="minorEastAsia"/>
              </w:rPr>
            </w:pPr>
            <m:oMathPara>
              <m:oMath>
                <m:sSub>
                  <m:sSubPr>
                    <m:ctrlPr>
                      <w:rPr>
                        <w:rFonts w:ascii="Cambria Math" w:hAnsi="Cambria Math"/>
                        <w:i/>
                      </w:rPr>
                    </m:ctrlPr>
                  </m:sSubPr>
                  <m:e>
                    <m:r>
                      <w:rPr>
                        <w:rFonts w:ascii="Cambria Math" w:hAnsi="Cambria Math"/>
                      </w:rPr>
                      <m:t>v</m:t>
                    </m:r>
                  </m:e>
                  <m:sub>
                    <m:r>
                      <w:rPr>
                        <w:rFonts w:ascii="Cambria Math" w:hAnsi="Cambria Math"/>
                      </w:rPr>
                      <m:t>in</m:t>
                    </m:r>
                  </m:sub>
                </m:sSub>
                <m:r>
                  <w:rPr>
                    <w:rFonts w:ascii="Cambria Math" w:hAnsi="Cambria Math"/>
                  </w:rPr>
                  <m:t>=</m:t>
                </m:r>
                <m:sSubSup>
                  <m:sSubSupPr>
                    <m:ctrlPr>
                      <w:rPr>
                        <w:rFonts w:ascii="Cambria Math" w:hAnsi="Cambria Math"/>
                        <w:i/>
                      </w:rPr>
                    </m:ctrlPr>
                  </m:sSubSupPr>
                  <m:e>
                    <m:r>
                      <w:rPr>
                        <w:rFonts w:ascii="Cambria Math" w:hAnsi="Cambria Math"/>
                      </w:rPr>
                      <m:t>β</m:t>
                    </m:r>
                  </m:e>
                  <m:sub>
                    <m:r>
                      <w:rPr>
                        <w:rFonts w:ascii="Cambria Math" w:hAnsi="Cambria Math"/>
                      </w:rPr>
                      <m:t>i</m:t>
                    </m:r>
                  </m:sub>
                  <m:sup>
                    <m:r>
                      <w:rPr>
                        <w:rFonts w:ascii="Cambria Math" w:hAnsi="Cambria Math"/>
                      </w:rPr>
                      <m:t>wait</m:t>
                    </m:r>
                  </m:sup>
                </m:sSubSup>
                <m:sSubSup>
                  <m:sSubSupPr>
                    <m:ctrlPr>
                      <w:rPr>
                        <w:rFonts w:ascii="Cambria Math" w:hAnsi="Cambria Math"/>
                        <w:i/>
                      </w:rPr>
                    </m:ctrlPr>
                  </m:sSubSupPr>
                  <m:e>
                    <m:r>
                      <w:rPr>
                        <w:rFonts w:ascii="Cambria Math" w:hAnsi="Cambria Math"/>
                      </w:rPr>
                      <m:t>t</m:t>
                    </m:r>
                  </m:e>
                  <m:sub>
                    <m:r>
                      <w:rPr>
                        <w:rFonts w:ascii="Cambria Math" w:hAnsi="Cambria Math"/>
                      </w:rPr>
                      <m:t>in</m:t>
                    </m:r>
                  </m:sub>
                  <m:sup>
                    <m:r>
                      <w:rPr>
                        <w:rFonts w:ascii="Cambria Math" w:hAnsi="Cambria Math"/>
                      </w:rPr>
                      <m:t>wait</m:t>
                    </m:r>
                  </m:sup>
                </m:sSubSup>
                <m:d>
                  <m:dPr>
                    <m:ctrlPr>
                      <w:rPr>
                        <w:rFonts w:ascii="Cambria Math" w:hAnsi="Cambria Math"/>
                        <w:i/>
                      </w:rPr>
                    </m:ctrlPr>
                  </m:dPr>
                  <m:e>
                    <m:r>
                      <w:rPr>
                        <w:rFonts w:ascii="Cambria Math" w:hAnsi="Cambria Math"/>
                      </w:rPr>
                      <m:t>t</m:t>
                    </m:r>
                  </m:e>
                </m:d>
                <m:r>
                  <w:rPr>
                    <w:rFonts w:ascii="Cambria Math" w:hAnsi="Cambria Math"/>
                  </w:rPr>
                  <m:t>+</m:t>
                </m:r>
                <m:sSubSup>
                  <m:sSubSupPr>
                    <m:ctrlPr>
                      <w:rPr>
                        <w:rFonts w:ascii="Cambria Math" w:hAnsi="Cambria Math"/>
                        <w:i/>
                      </w:rPr>
                    </m:ctrlPr>
                  </m:sSubSupPr>
                  <m:e>
                    <m:r>
                      <w:rPr>
                        <w:rFonts w:ascii="Cambria Math" w:hAnsi="Cambria Math"/>
                      </w:rPr>
                      <m:t>β</m:t>
                    </m:r>
                  </m:e>
                  <m:sub>
                    <m:r>
                      <w:rPr>
                        <w:rFonts w:ascii="Cambria Math" w:hAnsi="Cambria Math"/>
                      </w:rPr>
                      <m:t>i</m:t>
                    </m:r>
                  </m:sub>
                  <m:sup>
                    <m:r>
                      <w:rPr>
                        <w:rFonts w:ascii="Cambria Math" w:hAnsi="Cambria Math"/>
                      </w:rPr>
                      <m:t>ivt</m:t>
                    </m:r>
                  </m:sup>
                </m:sSubSup>
                <m:sSubSup>
                  <m:sSubSupPr>
                    <m:ctrlPr>
                      <w:rPr>
                        <w:rFonts w:ascii="Cambria Math" w:hAnsi="Cambria Math"/>
                        <w:i/>
                      </w:rPr>
                    </m:ctrlPr>
                  </m:sSubSupPr>
                  <m:e>
                    <m:r>
                      <w:rPr>
                        <w:rFonts w:ascii="Cambria Math" w:hAnsi="Cambria Math"/>
                      </w:rPr>
                      <m:t>t</m:t>
                    </m:r>
                  </m:e>
                  <m:sub>
                    <m:r>
                      <w:rPr>
                        <w:rFonts w:ascii="Cambria Math" w:hAnsi="Cambria Math"/>
                      </w:rPr>
                      <m:t>in</m:t>
                    </m:r>
                  </m:sub>
                  <m:sup>
                    <m:r>
                      <w:rPr>
                        <w:rFonts w:ascii="Cambria Math" w:hAnsi="Cambria Math"/>
                      </w:rPr>
                      <m:t>ivt</m:t>
                    </m:r>
                  </m:sup>
                </m:sSubSup>
                <m:d>
                  <m:dPr>
                    <m:ctrlPr>
                      <w:rPr>
                        <w:rFonts w:ascii="Cambria Math" w:hAnsi="Cambria Math"/>
                        <w:i/>
                      </w:rPr>
                    </m:ctrlPr>
                  </m:dPr>
                  <m:e>
                    <m:r>
                      <w:rPr>
                        <w:rFonts w:ascii="Cambria Math" w:hAnsi="Cambria Math"/>
                      </w:rPr>
                      <m:t>t</m:t>
                    </m:r>
                  </m:e>
                </m:d>
                <m:r>
                  <w:rPr>
                    <w:rFonts w:ascii="Cambria Math" w:hAnsi="Cambria Math"/>
                  </w:rPr>
                  <m:t>+</m:t>
                </m:r>
                <m:sSubSup>
                  <m:sSubSupPr>
                    <m:ctrlPr>
                      <w:rPr>
                        <w:rFonts w:ascii="Cambria Math" w:hAnsi="Cambria Math"/>
                        <w:i/>
                      </w:rPr>
                    </m:ctrlPr>
                  </m:sSubSupPr>
                  <m:e>
                    <m:r>
                      <w:rPr>
                        <w:rFonts w:ascii="Cambria Math" w:hAnsi="Cambria Math"/>
                      </w:rPr>
                      <m:t>β</m:t>
                    </m:r>
                  </m:e>
                  <m:sub>
                    <m:r>
                      <w:rPr>
                        <w:rFonts w:ascii="Cambria Math" w:hAnsi="Cambria Math"/>
                      </w:rPr>
                      <m:t>i</m:t>
                    </m:r>
                  </m:sub>
                  <m:sup>
                    <m:r>
                      <w:rPr>
                        <w:rFonts w:ascii="Cambria Math" w:hAnsi="Cambria Math"/>
                      </w:rPr>
                      <m:t>walk</m:t>
                    </m:r>
                  </m:sup>
                </m:sSubSup>
                <m:sSubSup>
                  <m:sSubSupPr>
                    <m:ctrlPr>
                      <w:rPr>
                        <w:rFonts w:ascii="Cambria Math" w:hAnsi="Cambria Math"/>
                        <w:i/>
                      </w:rPr>
                    </m:ctrlPr>
                  </m:sSubSupPr>
                  <m:e>
                    <m:r>
                      <w:rPr>
                        <w:rFonts w:ascii="Cambria Math" w:hAnsi="Cambria Math"/>
                      </w:rPr>
                      <m:t>t</m:t>
                    </m:r>
                  </m:e>
                  <m:sub>
                    <m:r>
                      <w:rPr>
                        <w:rFonts w:ascii="Cambria Math" w:hAnsi="Cambria Math"/>
                      </w:rPr>
                      <m:t>in</m:t>
                    </m:r>
                  </m:sub>
                  <m:sup>
                    <m:r>
                      <w:rPr>
                        <w:rFonts w:ascii="Cambria Math" w:hAnsi="Cambria Math"/>
                      </w:rPr>
                      <m:t>walk</m:t>
                    </m:r>
                  </m:sup>
                </m:sSubSup>
                <m:r>
                  <w:rPr>
                    <w:rFonts w:ascii="Cambria Math" w:hAnsi="Cambria Math"/>
                  </w:rPr>
                  <m:t>+</m:t>
                </m:r>
                <m:sSubSup>
                  <m:sSubSupPr>
                    <m:ctrlPr>
                      <w:rPr>
                        <w:rFonts w:ascii="Cambria Math" w:hAnsi="Cambria Math"/>
                        <w:i/>
                      </w:rPr>
                    </m:ctrlPr>
                  </m:sSubSupPr>
                  <m:e>
                    <m:r>
                      <w:rPr>
                        <w:rFonts w:ascii="Cambria Math" w:hAnsi="Cambria Math"/>
                      </w:rPr>
                      <m:t>β</m:t>
                    </m:r>
                  </m:e>
                  <m:sub>
                    <m:r>
                      <w:rPr>
                        <w:rFonts w:ascii="Cambria Math" w:hAnsi="Cambria Math"/>
                      </w:rPr>
                      <m:t>i</m:t>
                    </m:r>
                  </m:sub>
                  <m:sup>
                    <m:r>
                      <w:rPr>
                        <w:rFonts w:ascii="Cambria Math" w:hAnsi="Cambria Math"/>
                      </w:rPr>
                      <m:t>trans</m:t>
                    </m:r>
                  </m:sup>
                </m:sSubSup>
                <m:sSub>
                  <m:sSubPr>
                    <m:ctrlPr>
                      <w:rPr>
                        <w:rFonts w:ascii="Cambria Math" w:hAnsi="Cambria Math"/>
                        <w:i/>
                      </w:rPr>
                    </m:ctrlPr>
                  </m:sSubPr>
                  <m:e>
                    <m:r>
                      <w:rPr>
                        <w:rFonts w:ascii="Cambria Math" w:hAnsi="Cambria Math"/>
                      </w:rPr>
                      <m:t>trans</m:t>
                    </m:r>
                  </m:e>
                  <m:sub>
                    <m:r>
                      <w:rPr>
                        <w:rFonts w:ascii="Cambria Math" w:hAnsi="Cambria Math"/>
                      </w:rPr>
                      <m:t>i</m:t>
                    </m:r>
                  </m:sub>
                </m:sSub>
              </m:oMath>
            </m:oMathPara>
          </w:p>
        </w:tc>
        <w:tc>
          <w:tcPr>
            <w:tcW w:w="171" w:type="pct"/>
            <w:vAlign w:val="center"/>
            <w:hideMark/>
          </w:tcPr>
          <w:p w14:paraId="0C26D047" w14:textId="77777777" w:rsidR="00116C1B" w:rsidRPr="001413F4" w:rsidRDefault="00116C1B" w:rsidP="00585031">
            <w:pPr>
              <w:spacing w:before="240" w:after="240" w:line="260" w:lineRule="exact"/>
              <w:jc w:val="right"/>
              <w:rPr>
                <w:rFonts w:eastAsiaTheme="minorEastAsia"/>
              </w:rPr>
            </w:pPr>
            <w:r w:rsidRPr="001413F4">
              <w:rPr>
                <w:rFonts w:eastAsiaTheme="minorEastAsia"/>
              </w:rPr>
              <w:t>(1)</w:t>
            </w:r>
          </w:p>
        </w:tc>
      </w:tr>
    </w:tbl>
    <w:p w14:paraId="4D3FBFD2" w14:textId="77777777" w:rsidR="00116C1B" w:rsidRPr="001413F4" w:rsidRDefault="00116C1B" w:rsidP="00585031">
      <w:pPr>
        <w:spacing w:line="260" w:lineRule="exact"/>
        <w:ind w:firstLine="238"/>
        <w:jc w:val="both"/>
      </w:pPr>
      <w:r w:rsidRPr="001413F4">
        <w:rPr>
          <w:rFonts w:eastAsiaTheme="minorEastAsia"/>
        </w:rPr>
        <w:t xml:space="preserve">Where </w:t>
      </w:r>
      <m:oMath>
        <m:sSubSup>
          <m:sSubSupPr>
            <m:ctrlPr>
              <w:rPr>
                <w:rFonts w:ascii="Cambria Math" w:hAnsi="Cambria Math"/>
                <w:i/>
              </w:rPr>
            </m:ctrlPr>
          </m:sSubSupPr>
          <m:e>
            <m:r>
              <w:rPr>
                <w:rFonts w:ascii="Cambria Math" w:hAnsi="Cambria Math"/>
              </w:rPr>
              <m:t>t</m:t>
            </m:r>
          </m:e>
          <m:sub>
            <m:r>
              <w:rPr>
                <w:rFonts w:ascii="Cambria Math" w:hAnsi="Cambria Math"/>
              </w:rPr>
              <m:t>in</m:t>
            </m:r>
          </m:sub>
          <m:sup>
            <m:r>
              <w:rPr>
                <w:rFonts w:ascii="Cambria Math" w:hAnsi="Cambria Math"/>
              </w:rPr>
              <m:t>wait</m:t>
            </m:r>
          </m:sup>
        </m:sSubSup>
        <m:r>
          <w:rPr>
            <w:rFonts w:ascii="Cambria Math" w:eastAsiaTheme="minorEastAsia" w:hAnsi="Cambria Math"/>
          </w:rPr>
          <m:t>(t)</m:t>
        </m:r>
      </m:oMath>
      <w:r w:rsidRPr="001413F4">
        <w:rPr>
          <w:rFonts w:eastAsiaTheme="minorEastAsia"/>
        </w:rPr>
        <w:t xml:space="preserve"> and </w:t>
      </w:r>
      <m:oMath>
        <m:sSubSup>
          <m:sSubSupPr>
            <m:ctrlPr>
              <w:rPr>
                <w:rFonts w:ascii="Cambria Math" w:hAnsi="Cambria Math"/>
                <w:i/>
              </w:rPr>
            </m:ctrlPr>
          </m:sSubSupPr>
          <m:e>
            <m:r>
              <w:rPr>
                <w:rFonts w:ascii="Cambria Math" w:hAnsi="Cambria Math"/>
              </w:rPr>
              <m:t>t</m:t>
            </m:r>
          </m:e>
          <m:sub>
            <m:r>
              <w:rPr>
                <w:rFonts w:ascii="Cambria Math" w:hAnsi="Cambria Math"/>
              </w:rPr>
              <m:t>in</m:t>
            </m:r>
          </m:sub>
          <m:sup>
            <m:r>
              <w:rPr>
                <w:rFonts w:ascii="Cambria Math" w:hAnsi="Cambria Math"/>
              </w:rPr>
              <m:t>ivt</m:t>
            </m:r>
          </m:sup>
        </m:sSubSup>
        <m:r>
          <w:rPr>
            <w:rFonts w:ascii="Cambria Math" w:hAnsi="Cambria Math"/>
          </w:rPr>
          <m:t>(t)</m:t>
        </m:r>
      </m:oMath>
      <w:r w:rsidRPr="001413F4">
        <w:rPr>
          <w:rFonts w:eastAsiaTheme="minorEastAsia"/>
        </w:rPr>
        <w:t xml:space="preserve"> are the expected waiting time and in-vehicle time; </w:t>
      </w:r>
      <m:oMath>
        <m:sSubSup>
          <m:sSubSupPr>
            <m:ctrlPr>
              <w:rPr>
                <w:rFonts w:ascii="Cambria Math" w:hAnsi="Cambria Math"/>
                <w:i/>
              </w:rPr>
            </m:ctrlPr>
          </m:sSubSupPr>
          <m:e>
            <m:r>
              <w:rPr>
                <w:rFonts w:ascii="Cambria Math" w:hAnsi="Cambria Math"/>
              </w:rPr>
              <m:t>t</m:t>
            </m:r>
          </m:e>
          <m:sub>
            <m:r>
              <w:rPr>
                <w:rFonts w:ascii="Cambria Math" w:hAnsi="Cambria Math"/>
              </w:rPr>
              <m:t>in</m:t>
            </m:r>
          </m:sub>
          <m:sup>
            <m:r>
              <w:rPr>
                <w:rFonts w:ascii="Cambria Math" w:hAnsi="Cambria Math"/>
              </w:rPr>
              <m:t>walk</m:t>
            </m:r>
          </m:sup>
        </m:sSubSup>
      </m:oMath>
      <w:r w:rsidRPr="001413F4">
        <w:rPr>
          <w:rFonts w:eastAsiaTheme="minorEastAsia"/>
        </w:rPr>
        <w:t xml:space="preserve"> is the expected walking time; </w:t>
      </w:r>
      <m:oMath>
        <m:sSub>
          <m:sSubPr>
            <m:ctrlPr>
              <w:rPr>
                <w:rFonts w:ascii="Cambria Math" w:hAnsi="Cambria Math"/>
                <w:i/>
              </w:rPr>
            </m:ctrlPr>
          </m:sSubPr>
          <m:e>
            <m:r>
              <w:rPr>
                <w:rFonts w:ascii="Cambria Math" w:hAnsi="Cambria Math"/>
              </w:rPr>
              <m:t>trans</m:t>
            </m:r>
          </m:e>
          <m:sub>
            <m:r>
              <w:rPr>
                <w:rFonts w:ascii="Cambria Math" w:hAnsi="Cambria Math"/>
              </w:rPr>
              <m:t>i</m:t>
            </m:r>
          </m:sub>
        </m:sSub>
      </m:oMath>
      <w:r w:rsidRPr="001413F4">
        <w:rPr>
          <w:rFonts w:eastAsiaTheme="minorEastAsia"/>
        </w:rPr>
        <w:t xml:space="preserve"> is the number of transfers in the path. </w:t>
      </w:r>
      <m:oMath>
        <m:sSub>
          <m:sSubPr>
            <m:ctrlPr>
              <w:rPr>
                <w:rFonts w:ascii="Cambria Math" w:hAnsi="Cambria Math"/>
                <w:i/>
              </w:rPr>
            </m:ctrlPr>
          </m:sSubPr>
          <m:e>
            <m:r>
              <w:rPr>
                <w:rFonts w:ascii="Cambria Math" w:hAnsi="Cambria Math"/>
              </w:rPr>
              <m:t>β</m:t>
            </m:r>
          </m:e>
          <m:sub>
            <m:r>
              <w:rPr>
                <w:rFonts w:ascii="Cambria Math" w:hAnsi="Cambria Math"/>
              </w:rPr>
              <m:t>i</m:t>
            </m:r>
          </m:sub>
        </m:sSub>
      </m:oMath>
      <w:r w:rsidRPr="001413F4">
        <w:rPr>
          <w:rFonts w:eastAsiaTheme="minorEastAsia"/>
        </w:rPr>
        <w:t xml:space="preserve"> are the corresponding weights. </w:t>
      </w:r>
      <w:r w:rsidRPr="001413F4">
        <w:t xml:space="preserve">The dynamic path choice model includes three decision models: connection, boarding and alighting. A connection decision takes place when the traveller chooses the start and/or alighting point of their trip. In both cases, the traveller choses between alternative stops by evaluating path alternatives which connect each candidate stop with the traveller’s final destination stop. The traveller can choose between staying at the same stop and waiting for another transit service, walking to a nearby stop in order to wait there for another transit service or walk directly to the final destination. A boarding decision is made when the traveller waits at a stop and a vehicle arrives. The traveller can choose whether to board it or stay at the stop and wait for another vehicle. Once on-board a vehicle, a traveller makes an alighting decision which may be reconsidered in light of new information. </w:t>
      </w:r>
    </w:p>
    <w:p w14:paraId="21AEC637" w14:textId="77777777" w:rsidR="00116C1B" w:rsidRPr="001413F4" w:rsidRDefault="00116C1B" w:rsidP="00585031">
      <w:pPr>
        <w:spacing w:line="260" w:lineRule="exact"/>
        <w:ind w:firstLine="238"/>
        <w:jc w:val="both"/>
      </w:pPr>
      <w:r w:rsidRPr="001413F4">
        <w:t>For more information on the dynamic route choice model and the consideration of congestion effects, the reader is referred to Cats et al. (2016).</w:t>
      </w:r>
    </w:p>
    <w:p w14:paraId="48F6E72C" w14:textId="77777777" w:rsidR="00116C1B" w:rsidRPr="001413F4" w:rsidRDefault="00116C1B" w:rsidP="00116C1B">
      <w:pPr>
        <w:pStyle w:val="Els-2ndorder-head"/>
        <w:jc w:val="both"/>
      </w:pPr>
      <w:r w:rsidRPr="001413F4">
        <w:t>Implementation</w:t>
      </w:r>
    </w:p>
    <w:p w14:paraId="430F6FDB" w14:textId="77777777" w:rsidR="00832B3D" w:rsidRPr="001413F4" w:rsidRDefault="00116C1B" w:rsidP="00107BE5">
      <w:pPr>
        <w:spacing w:line="260" w:lineRule="exact"/>
        <w:jc w:val="both"/>
      </w:pPr>
      <w:r w:rsidRPr="001413F4">
        <w:t xml:space="preserve">The supply and demand model is implemented using a mesoscopic </w:t>
      </w:r>
      <w:r w:rsidR="009B24E8" w:rsidRPr="001413F4">
        <w:t xml:space="preserve">pubic transport </w:t>
      </w:r>
      <w:r w:rsidRPr="001413F4">
        <w:t>simulator called BusMezzo</w:t>
      </w:r>
      <w:r w:rsidR="009B24E8" w:rsidRPr="001413F4">
        <w:t xml:space="preserve">. </w:t>
      </w:r>
      <w:r w:rsidR="00A9235C" w:rsidRPr="00A9235C">
        <w:t>The agent-based model is able to represent the interactions between traffic, public transport operations and traveller decisions. The latter are represented as a sequence of individual en-route travel decisions. For more details about the traffic and public transport supply representation see Toledo et al. (2010). The dynamic public transport path choice model and related congestion effects is described in Cats et al. (2016) and the modelling of unplanned service disruptions and their impacts on passenger distribution are explained in Cats and Jenelius (2015). The reader is referred to these studies for further details while the essential modelling principles are briefly provided below.</w:t>
      </w:r>
    </w:p>
    <w:p w14:paraId="4242FB7A" w14:textId="77777777" w:rsidR="00116C1B" w:rsidRPr="001413F4" w:rsidRDefault="00116C1B" w:rsidP="004A2B7D">
      <w:pPr>
        <w:spacing w:line="260" w:lineRule="exact"/>
        <w:ind w:firstLine="284"/>
        <w:jc w:val="both"/>
      </w:pPr>
      <w:r w:rsidRPr="001413F4">
        <w:t xml:space="preserve">The different sources of public transport operations uncertainty are modelled explicitly, including traffic conditions, vehicle capacities, dwell times, vehicle schedules and service disruptions. BusMezzo is an event-based simulator which models transit vehicles individually, but does not represent explicitly the lanes of the infrastructure. Links in BusMezzo are divided into two parts: a running part and a queuing part. Travel times on the running part are determined by a speed-density function. At the downstream part of the link, the vehicles join a single queue of vehicles waiting to move out of the link. Queue servers process the vehicles in this queue and into the successive link until it is not full. Separate queue servers with their corresponding capacities are used for each turning movement in order to capture link </w:t>
      </w:r>
      <w:r w:rsidRPr="001413F4">
        <w:lastRenderedPageBreak/>
        <w:t xml:space="preserve">connectivity and lane channelling. A headway-based control is applied to rail-bound services to mimic traffic signal control. Public transport vehicles are </w:t>
      </w:r>
      <w:r w:rsidR="008449AA">
        <w:t xml:space="preserve">characterised by </w:t>
      </w:r>
      <w:r w:rsidRPr="001413F4">
        <w:t>length, number of seats, capacity, control regime</w:t>
      </w:r>
      <w:r w:rsidR="008449AA">
        <w:t>.</w:t>
      </w:r>
      <w:r w:rsidRPr="001413F4">
        <w:t xml:space="preserve"> </w:t>
      </w:r>
      <w:r w:rsidR="008449AA">
        <w:t xml:space="preserve">Vehicles </w:t>
      </w:r>
      <w:r w:rsidRPr="001413F4">
        <w:t xml:space="preserve">follow a list of scheduled trips. Because of this, it is possible to model explicitly trip chaining in the trip sequence. </w:t>
      </w:r>
      <w:r w:rsidRPr="001413F4">
        <w:rPr>
          <w:rFonts w:eastAsiaTheme="minorEastAsia"/>
        </w:rPr>
        <w:t>A public transport line is defined by its origin and destination terminals and by the sequence of stops that it serves in between. Each line is served by a specified number of trips, determined by the number of vehicles that depart</w:t>
      </w:r>
      <w:r w:rsidRPr="00150B85">
        <w:t>.</w:t>
      </w:r>
      <w:r w:rsidR="00863CD4" w:rsidRPr="00150B85">
        <w:t xml:space="preserve"> </w:t>
      </w:r>
      <w:r w:rsidR="0052213E" w:rsidRPr="00150B85">
        <w:t xml:space="preserve">In the context of high-frequency metropolitan services, passengers do not consult the timetable to coordinate their arrival with the scheduled vehicle arrival time but rather arrive at random at stops. Passenger arrival at stops </w:t>
      </w:r>
      <w:r w:rsidR="00BC0F03">
        <w:t xml:space="preserve">is </w:t>
      </w:r>
      <w:r w:rsidR="0052213E" w:rsidRPr="00150B85">
        <w:t>described as a random Poisson arrival process with average arrival rates specified in time-dependent OD matrices.</w:t>
      </w:r>
      <w:r w:rsidR="00150B85" w:rsidRPr="00150B85">
        <w:t xml:space="preserve"> </w:t>
      </w:r>
      <w:r w:rsidRPr="001413F4">
        <w:t>A dynamic path choice model considers each traveller as an adaptive decision maker who progress in the transit system by means of successive decisions. A non-equilibrium network loading is performed with probabilistic path choice (Cats et al. 2011). This analysis</w:t>
      </w:r>
      <w:r w:rsidR="004A2B7D">
        <w:t xml:space="preserve"> allows</w:t>
      </w:r>
      <w:r w:rsidRPr="001413F4">
        <w:t xml:space="preserve"> identify</w:t>
      </w:r>
      <w:r w:rsidR="004A2B7D">
        <w:t>ing</w:t>
      </w:r>
      <w:r w:rsidRPr="001413F4">
        <w:rPr>
          <w:lang w:val="en-US"/>
        </w:rPr>
        <w:t xml:space="preserve"> </w:t>
      </w:r>
      <w:r w:rsidR="004A2B7D">
        <w:rPr>
          <w:lang w:val="en-US"/>
        </w:rPr>
        <w:t>the</w:t>
      </w:r>
      <w:r w:rsidRPr="001413F4">
        <w:rPr>
          <w:lang w:val="en-US"/>
        </w:rPr>
        <w:t xml:space="preserve"> set of network elements </w:t>
      </w:r>
      <w:r w:rsidR="004A2B7D">
        <w:rPr>
          <w:lang w:val="en-US"/>
        </w:rPr>
        <w:t xml:space="preserve">to which networks are most vulnerable in the event of a disruption, resulting with </w:t>
      </w:r>
      <w:r w:rsidRPr="001413F4">
        <w:rPr>
          <w:lang w:val="en-US"/>
        </w:rPr>
        <w:t>severe</w:t>
      </w:r>
      <w:r w:rsidR="004A2B7D">
        <w:rPr>
          <w:lang w:val="en-US"/>
        </w:rPr>
        <w:t xml:space="preserve"> consequences</w:t>
      </w:r>
      <w:r w:rsidRPr="001413F4">
        <w:rPr>
          <w:lang w:val="en-US"/>
        </w:rPr>
        <w:t xml:space="preserve">. </w:t>
      </w:r>
    </w:p>
    <w:p w14:paraId="1EB645C6" w14:textId="59ACE867" w:rsidR="00116C1B" w:rsidRPr="001413F4" w:rsidRDefault="00116C1B" w:rsidP="00E94E57">
      <w:pPr>
        <w:spacing w:line="260" w:lineRule="exact"/>
        <w:ind w:firstLine="238"/>
        <w:jc w:val="both"/>
      </w:pPr>
      <w:r w:rsidRPr="001413F4">
        <w:t xml:space="preserve">As an event-based simulator, the time clock of the simulation progresses from one event to the next according to a chronological list of events that refers to the relevant objects. During the simulation, </w:t>
      </w:r>
      <w:r w:rsidR="00BC0F03">
        <w:t xml:space="preserve">for </w:t>
      </w:r>
      <w:r w:rsidRPr="001413F4">
        <w:t>each vehicle</w:t>
      </w:r>
      <w:r w:rsidR="00BC0F03">
        <w:t xml:space="preserve">, </w:t>
      </w:r>
      <w:r w:rsidRPr="001413F4">
        <w:t xml:space="preserve">updated passengers loads </w:t>
      </w:r>
      <w:r w:rsidR="00BC0F03">
        <w:t>are recorded and d</w:t>
      </w:r>
      <w:r w:rsidRPr="001413F4">
        <w:t xml:space="preserve">etermine crowding levels and the maximum number of passengers that may board at each stop. Outputs generated by the model include time-dependents measures of performance at the stop, trip and line level (dwell times, early and late arrivals, travel times between stops), passengers travel time distributions and bus loads. </w:t>
      </w:r>
    </w:p>
    <w:p w14:paraId="519F7739" w14:textId="77777777" w:rsidR="00116C1B" w:rsidRPr="001413F4" w:rsidRDefault="00116C1B" w:rsidP="00116C1B">
      <w:pPr>
        <w:pStyle w:val="Els-2ndorder-head"/>
      </w:pPr>
      <w:r w:rsidRPr="001413F4">
        <w:t>Measuring the impacts of service disruptions</w:t>
      </w:r>
    </w:p>
    <w:p w14:paraId="6DADABAF" w14:textId="77777777" w:rsidR="00116C1B" w:rsidRPr="001413F4" w:rsidRDefault="00116C1B" w:rsidP="00585031">
      <w:pPr>
        <w:spacing w:line="260" w:lineRule="exact"/>
        <w:ind w:firstLine="238"/>
        <w:jc w:val="both"/>
      </w:pPr>
      <w:r w:rsidRPr="001413F4">
        <w:t xml:space="preserve">To measure the change generated </w:t>
      </w:r>
      <w:r w:rsidR="00D0716D" w:rsidRPr="001413F4">
        <w:t xml:space="preserve">in a system </w:t>
      </w:r>
      <w:r w:rsidRPr="001413F4">
        <w:t xml:space="preserve">by a disruption, a general approach is to describe the new and the baseline state, and assess the difference in system performance measures. Such indicators </w:t>
      </w:r>
      <w:r w:rsidR="00D0716D">
        <w:t xml:space="preserve">should provide information on </w:t>
      </w:r>
      <w:r w:rsidRPr="001413F4">
        <w:t>locations in the transport system where disruptions cause the most adverse conditions and therefore should be prioritized</w:t>
      </w:r>
      <w:r w:rsidR="00D0716D">
        <w:t xml:space="preserve"> for the implementation of prevention and mitigation</w:t>
      </w:r>
      <w:r w:rsidRPr="001413F4">
        <w:t xml:space="preserve">. In this study, our aim is to identify the impacts that the closure of a service segment may cause by examining network passengers flows and flow redistribution effects. The analysis of passenger flows </w:t>
      </w:r>
      <w:r w:rsidR="00D0716D">
        <w:t xml:space="preserve">can detect </w:t>
      </w:r>
      <w:r w:rsidRPr="001413F4">
        <w:t xml:space="preserve">the most overloaded links in the network and </w:t>
      </w:r>
      <w:r w:rsidR="00D0716D">
        <w:t xml:space="preserve">shows </w:t>
      </w:r>
      <w:r w:rsidRPr="001413F4">
        <w:t xml:space="preserve">if the </w:t>
      </w:r>
      <w:r w:rsidR="00D0716D">
        <w:t xml:space="preserve">service </w:t>
      </w:r>
      <w:r w:rsidRPr="001413F4">
        <w:t xml:space="preserve">supply is able to absorb the diverting demand. </w:t>
      </w:r>
    </w:p>
    <w:p w14:paraId="3AA03A95" w14:textId="77777777" w:rsidR="00116C1B" w:rsidRPr="001413F4" w:rsidRDefault="00116C1B" w:rsidP="00585031">
      <w:pPr>
        <w:spacing w:line="260" w:lineRule="exact"/>
        <w:ind w:firstLine="238"/>
        <w:jc w:val="both"/>
        <w:rPr>
          <w:rFonts w:eastAsiaTheme="minorEastAsia"/>
        </w:rPr>
      </w:pPr>
      <w:r w:rsidRPr="001413F4">
        <w:t>The analysis entails two phases: identification and evaluation. In the former, the most “central” links in the network are selected for detailed investigation. Central links are those which give rise to the worst consequences in case they fail. In this study we focus on travellers</w:t>
      </w:r>
      <w:r w:rsidR="00F376AE">
        <w:t>’</w:t>
      </w:r>
      <w:r w:rsidRPr="001413F4">
        <w:t xml:space="preserve"> perspective and therefore measure centrality using the Passenger Betweenness Centrality (PBC) indicator proposed in Cats and Jenelius (2014). A link </w:t>
      </w:r>
      <m:oMath>
        <m:r>
          <w:rPr>
            <w:rFonts w:ascii="Cambria Math" w:hAnsi="Cambria Math"/>
          </w:rPr>
          <m:t>e</m:t>
        </m:r>
      </m:oMath>
      <w:r w:rsidRPr="001413F4">
        <w:rPr>
          <w:rFonts w:eastAsiaTheme="minorEastAsia"/>
        </w:rPr>
        <w:t xml:space="preserve"> belonging to a certain path </w:t>
      </w:r>
      <m:oMath>
        <m:r>
          <w:rPr>
            <w:rFonts w:ascii="Cambria Math" w:eastAsiaTheme="minorEastAsia" w:hAnsi="Cambria Math"/>
          </w:rPr>
          <m:t>j</m:t>
        </m:r>
      </m:oMath>
      <w:r w:rsidRPr="001413F4">
        <w:t xml:space="preserve"> may thus be considered central if it is used by a large number of passengers. With </w:t>
      </w:r>
      <m:oMath>
        <m:r>
          <w:rPr>
            <w:rFonts w:ascii="Cambria Math" w:hAnsi="Cambria Math"/>
          </w:rPr>
          <m:t>δ(j,e)</m:t>
        </m:r>
      </m:oMath>
      <w:r w:rsidRPr="001413F4">
        <w:rPr>
          <w:rFonts w:eastAsiaTheme="minorEastAsia"/>
        </w:rPr>
        <w:t xml:space="preserve"> being equal to 1 if </w:t>
      </w:r>
      <m:oMath>
        <m:r>
          <w:rPr>
            <w:rFonts w:ascii="Cambria Math" w:hAnsi="Cambria Math"/>
          </w:rPr>
          <m:t>e</m:t>
        </m:r>
        <m:r>
          <w:rPr>
            <w:rFonts w:ascii="Cambria Math" w:hAnsi="Cambria Math" w:hint="eastAsia"/>
            <w:lang w:val="en-US"/>
          </w:rPr>
          <m:t>∈</m:t>
        </m:r>
        <m:r>
          <w:rPr>
            <w:rFonts w:ascii="Cambria Math" w:hAnsi="Cambria Math"/>
          </w:rPr>
          <m:t>j</m:t>
        </m:r>
      </m:oMath>
      <w:r w:rsidRPr="001413F4">
        <w:rPr>
          <w:rFonts w:eastAsiaTheme="minorEastAsia"/>
        </w:rPr>
        <w:t xml:space="preserve"> and 0 otherwise, the link betweenness centrality measure from the travellers’ perspective is: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924"/>
        <w:gridCol w:w="465"/>
      </w:tblGrid>
      <w:tr w:rsidR="00116C1B" w:rsidRPr="001413F4" w14:paraId="3621D075" w14:textId="77777777" w:rsidTr="00116C1B">
        <w:tc>
          <w:tcPr>
            <w:tcW w:w="236" w:type="pct"/>
            <w:vAlign w:val="center"/>
          </w:tcPr>
          <w:p w14:paraId="2FF43016" w14:textId="77777777" w:rsidR="00116C1B" w:rsidRPr="001413F4" w:rsidRDefault="00116C1B">
            <w:pPr>
              <w:spacing w:before="240" w:after="240" w:line="240" w:lineRule="exact"/>
              <w:jc w:val="center"/>
              <w:rPr>
                <w:rFonts w:eastAsiaTheme="minorEastAsia"/>
              </w:rPr>
            </w:pPr>
          </w:p>
        </w:tc>
        <w:tc>
          <w:tcPr>
            <w:tcW w:w="4527" w:type="pct"/>
            <w:vAlign w:val="center"/>
            <w:hideMark/>
          </w:tcPr>
          <w:p w14:paraId="45E57A2F" w14:textId="77777777" w:rsidR="00116C1B" w:rsidRPr="001413F4" w:rsidRDefault="00116C1B">
            <w:pPr>
              <w:spacing w:before="240" w:after="240"/>
              <w:jc w:val="center"/>
              <w:rPr>
                <w:rFonts w:eastAsiaTheme="minorEastAsia"/>
              </w:rPr>
            </w:pPr>
            <m:oMathPara>
              <m:oMath>
                <m:r>
                  <w:rPr>
                    <w:rFonts w:ascii="Cambria Math" w:hAnsi="Cambria Math"/>
                  </w:rPr>
                  <m:t>PBC</m:t>
                </m:r>
                <m:d>
                  <m:dPr>
                    <m:ctrlPr>
                      <w:rPr>
                        <w:rFonts w:ascii="Cambria Math" w:hAnsi="Cambria Math"/>
                        <w:i/>
                      </w:rPr>
                    </m:ctrlPr>
                  </m:dPr>
                  <m:e>
                    <m:r>
                      <w:rPr>
                        <w:rFonts w:ascii="Cambria Math" w:hAnsi="Cambria Math"/>
                      </w:rPr>
                      <m:t>e</m:t>
                    </m:r>
                  </m:e>
                  <m:e>
                    <m:r>
                      <w:rPr>
                        <w:rFonts w:ascii="Cambria Math" w:hAnsi="Cambria Math"/>
                      </w:rPr>
                      <m:t>t,τ</m:t>
                    </m:r>
                  </m:e>
                </m:d>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hint="eastAsia"/>
                          </w:rPr>
                          <m:t>j</m:t>
                        </m:r>
                        <m:r>
                          <w:rPr>
                            <w:rFonts w:ascii="Cambria Math" w:hAnsi="Cambria Math" w:hint="eastAsia"/>
                          </w:rPr>
                          <m:t>∈</m:t>
                        </m:r>
                        <m:r>
                          <w:rPr>
                            <w:rFonts w:ascii="Cambria Math" w:hAnsi="Cambria Math" w:hint="eastAsia"/>
                          </w:rPr>
                          <m:t>J</m:t>
                        </m:r>
                      </m:sub>
                      <m:sup/>
                      <m:e>
                        <m:r>
                          <m:rPr>
                            <m:scr m:val="double-struck"/>
                          </m:rPr>
                          <w:rPr>
                            <w:rFonts w:ascii="Cambria Math" w:hAnsi="Cambria Math"/>
                          </w:rPr>
                          <m:t>E[</m:t>
                        </m:r>
                        <m:nary>
                          <m:naryPr>
                            <m:chr m:val="∑"/>
                            <m:limLoc m:val="undOvr"/>
                            <m:supHide m:val="1"/>
                            <m:ctrlPr>
                              <w:rPr>
                                <w:rFonts w:ascii="Cambria Math" w:hAnsi="Cambria Math"/>
                                <w:i/>
                              </w:rPr>
                            </m:ctrlPr>
                          </m:naryPr>
                          <m:sub>
                            <m:r>
                              <w:rPr>
                                <w:rFonts w:ascii="Cambria Math" w:hAnsi="Cambria Math" w:hint="eastAsia"/>
                              </w:rPr>
                              <m:t>n</m:t>
                            </m:r>
                            <m:r>
                              <w:rPr>
                                <w:rFonts w:ascii="Cambria Math" w:hAnsi="Cambria Math" w:hint="eastAsia"/>
                              </w:rPr>
                              <m:t>∈</m:t>
                            </m:r>
                            <m:r>
                              <w:rPr>
                                <w:rFonts w:ascii="Cambria Math" w:hAnsi="Cambria Math" w:hint="eastAsia"/>
                              </w:rPr>
                              <m:t>N(t,τ)</m:t>
                            </m:r>
                          </m:sub>
                          <m:sup/>
                          <m:e>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(j)</m:t>
                            </m:r>
                          </m:e>
                        </m:nary>
                        <m:r>
                          <w:rPr>
                            <w:rFonts w:ascii="Cambria Math" w:hAnsi="Cambria Math"/>
                          </w:rPr>
                          <m:t>]δ(j,e)</m:t>
                        </m:r>
                      </m:e>
                    </m:nary>
                  </m:num>
                  <m:den>
                    <m:r>
                      <m:rPr>
                        <m:scr m:val="double-struck"/>
                      </m:rPr>
                      <w:rPr>
                        <w:rFonts w:ascii="Cambria Math" w:hAnsi="Cambria Math"/>
                      </w:rPr>
                      <m:t>E[</m:t>
                    </m:r>
                    <m:r>
                      <w:rPr>
                        <w:rFonts w:ascii="Cambria Math" w:hAnsi="Cambria Math"/>
                      </w:rPr>
                      <m:t>N</m:t>
                    </m:r>
                    <m:d>
                      <m:dPr>
                        <m:ctrlPr>
                          <w:rPr>
                            <w:rFonts w:ascii="Cambria Math" w:hAnsi="Cambria Math"/>
                            <w:i/>
                          </w:rPr>
                        </m:ctrlPr>
                      </m:dPr>
                      <m:e>
                        <m:r>
                          <w:rPr>
                            <w:rFonts w:ascii="Cambria Math" w:hAnsi="Cambria Math"/>
                          </w:rPr>
                          <m:t>t,τ</m:t>
                        </m:r>
                      </m:e>
                    </m:d>
                    <m:r>
                      <w:rPr>
                        <w:rFonts w:ascii="Cambria Math" w:hAnsi="Cambria Math"/>
                      </w:rPr>
                      <m:t>]</m:t>
                    </m:r>
                  </m:den>
                </m:f>
              </m:oMath>
            </m:oMathPara>
          </w:p>
        </w:tc>
        <w:tc>
          <w:tcPr>
            <w:tcW w:w="236" w:type="pct"/>
            <w:vAlign w:val="center"/>
            <w:hideMark/>
          </w:tcPr>
          <w:p w14:paraId="0F8D2DC6" w14:textId="77777777" w:rsidR="00116C1B" w:rsidRPr="001413F4" w:rsidRDefault="00116C1B">
            <w:pPr>
              <w:spacing w:before="240" w:after="240" w:line="240" w:lineRule="exact"/>
              <w:jc w:val="right"/>
              <w:rPr>
                <w:rFonts w:eastAsiaTheme="minorEastAsia"/>
              </w:rPr>
            </w:pPr>
            <w:r w:rsidRPr="001413F4">
              <w:rPr>
                <w:rFonts w:eastAsiaTheme="minorEastAsia"/>
              </w:rPr>
              <w:t>(2)</w:t>
            </w:r>
          </w:p>
        </w:tc>
      </w:tr>
    </w:tbl>
    <w:p w14:paraId="4A46F5F0" w14:textId="77777777" w:rsidR="00116C1B" w:rsidRPr="001413F4" w:rsidRDefault="00116C1B" w:rsidP="00585031">
      <w:pPr>
        <w:spacing w:line="260" w:lineRule="exact"/>
        <w:ind w:firstLine="238"/>
        <w:jc w:val="both"/>
        <w:rPr>
          <w:rFonts w:eastAsiaTheme="minorEastAsia"/>
        </w:rPr>
      </w:pPr>
      <w:r w:rsidRPr="001413F4">
        <w:rPr>
          <w:rFonts w:eastAsiaTheme="minorEastAsia"/>
        </w:rPr>
        <w:t xml:space="preserve">Where </w:t>
      </w:r>
      <m:oMath>
        <m:r>
          <w:rPr>
            <w:rFonts w:ascii="Cambria Math" w:hAnsi="Cambria Math"/>
          </w:rPr>
          <m:t>N(t,τ)</m:t>
        </m:r>
      </m:oMath>
      <w:r w:rsidRPr="001413F4">
        <w:rPr>
          <w:rFonts w:eastAsiaTheme="minorEastAsia"/>
        </w:rPr>
        <w:t xml:space="preserve"> is the set of travellers between all OD pairs during the time interval </w:t>
      </w:r>
      <m:oMath>
        <m:r>
          <w:rPr>
            <w:rFonts w:ascii="Cambria Math" w:hAnsi="Cambria Math"/>
          </w:rPr>
          <m:t>(t,t+τ)</m:t>
        </m:r>
      </m:oMath>
      <w:r w:rsidRPr="001413F4">
        <w:rPr>
          <w:rFonts w:eastAsiaTheme="minorEastAsia"/>
        </w:rPr>
        <w:t xml:space="preserve">; </w:t>
      </w:r>
      <m:oMath>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(j)</m:t>
        </m:r>
      </m:oMath>
      <w:r w:rsidRPr="001413F4">
        <w:rPr>
          <w:rFonts w:eastAsiaTheme="minorEastAsia"/>
        </w:rPr>
        <w:t xml:space="preserve"> is the probability that passenger </w:t>
      </w:r>
      <m:oMath>
        <m:r>
          <w:rPr>
            <w:rFonts w:ascii="Cambria Math" w:eastAsiaTheme="minorEastAsia" w:hAnsi="Cambria Math"/>
          </w:rPr>
          <m:t>n</m:t>
        </m:r>
      </m:oMath>
      <w:r w:rsidRPr="001413F4">
        <w:rPr>
          <w:rFonts w:eastAsiaTheme="minorEastAsia"/>
        </w:rPr>
        <w:t xml:space="preserve"> chooses the path </w:t>
      </w:r>
      <m:oMath>
        <m:r>
          <w:rPr>
            <w:rFonts w:ascii="Cambria Math" w:eastAsiaTheme="minorEastAsia" w:hAnsi="Cambria Math"/>
          </w:rPr>
          <m:t>j</m:t>
        </m:r>
      </m:oMath>
      <w:r w:rsidRPr="001413F4">
        <w:rPr>
          <w:rFonts w:eastAsiaTheme="minorEastAsia"/>
        </w:rPr>
        <w:t xml:space="preserve">; </w:t>
      </w:r>
      <m:oMath>
        <m:r>
          <w:rPr>
            <w:rFonts w:ascii="Cambria Math" w:eastAsiaTheme="minorEastAsia" w:hAnsi="Cambria Math"/>
          </w:rPr>
          <m:t>J</m:t>
        </m:r>
      </m:oMath>
      <w:r w:rsidRPr="001413F4">
        <w:rPr>
          <w:rFonts w:eastAsiaTheme="minorEastAsia"/>
        </w:rPr>
        <w:t xml:space="preserve"> is the set of all paths. It is possible to note that the numerator is simply the expected total number of travellers traversing link during the time interval, while the denominator is the expected number of travellers in the system during the same period. </w:t>
      </w:r>
    </w:p>
    <w:p w14:paraId="1F55E56F" w14:textId="77777777" w:rsidR="00257B63" w:rsidRPr="001413F4" w:rsidRDefault="00116C1B" w:rsidP="00585031">
      <w:pPr>
        <w:spacing w:line="260" w:lineRule="exact"/>
        <w:ind w:firstLine="238"/>
        <w:jc w:val="both"/>
      </w:pPr>
      <w:r w:rsidRPr="001413F4">
        <w:t xml:space="preserve">In the second phase, a disruption scenario is simulated considering the closure of one candidate central links. It is then necessary to define a performance indicator that will reflect the impact of link failure. The vulnerability of the network is assessed </w:t>
      </w:r>
      <w:r w:rsidR="00D0716D">
        <w:t xml:space="preserve">by </w:t>
      </w:r>
      <w:r w:rsidRPr="001413F4">
        <w:t xml:space="preserve">the </w:t>
      </w:r>
      <w:r w:rsidR="00D0716D">
        <w:t xml:space="preserve">difference between the values of </w:t>
      </w:r>
      <w:r w:rsidRPr="001413F4">
        <w:t xml:space="preserve">this indicator </w:t>
      </w:r>
      <w:r w:rsidR="00D0716D">
        <w:t xml:space="preserve">in the disrupted and </w:t>
      </w:r>
      <w:r w:rsidRPr="001413F4">
        <w:t xml:space="preserve">the base (i.e. normal operations) case. </w:t>
      </w:r>
    </w:p>
    <w:p w14:paraId="3D4FA6B8" w14:textId="77777777" w:rsidR="00116C1B" w:rsidRPr="001413F4" w:rsidRDefault="00116C1B" w:rsidP="00EE6E9B">
      <w:pPr>
        <w:spacing w:line="260" w:lineRule="exact"/>
        <w:ind w:firstLine="238"/>
        <w:jc w:val="both"/>
        <w:rPr>
          <w:rFonts w:eastAsiaTheme="minorEastAsia"/>
        </w:rPr>
      </w:pPr>
      <w:r w:rsidRPr="001413F4">
        <w:t xml:space="preserve">In this study, the </w:t>
      </w:r>
      <w:r w:rsidR="00EE6E9B" w:rsidRPr="001413F4">
        <w:t xml:space="preserve">link-specific </w:t>
      </w:r>
      <w:r w:rsidRPr="001413F4">
        <w:t xml:space="preserve">performance indicator chosen is the Volume </w:t>
      </w:r>
      <w:r w:rsidR="009E1A72">
        <w:t>O</w:t>
      </w:r>
      <w:r w:rsidR="009E1A72" w:rsidRPr="001413F4">
        <w:t xml:space="preserve">ver </w:t>
      </w:r>
      <w:r w:rsidRPr="001413F4">
        <w:t>Capacity ratio</w:t>
      </w:r>
      <w:r w:rsidR="009E1A72">
        <w:t xml:space="preserve"> (VOC)</w:t>
      </w:r>
      <w:r w:rsidRPr="001413F4">
        <w:t xml:space="preserve">. </w:t>
      </w:r>
      <w:r w:rsidR="009E1A72">
        <w:t>VOC</w:t>
      </w:r>
      <w:r w:rsidRPr="001413F4">
        <w:t xml:space="preserve"> is measured at individual trip level</w:t>
      </w:r>
      <w:r w:rsidR="00D0716D">
        <w:t>.</w:t>
      </w:r>
      <w:r w:rsidRPr="001413F4">
        <w:t xml:space="preserve"> </w:t>
      </w:r>
      <w:r w:rsidR="00D0716D">
        <w:t>F</w:t>
      </w:r>
      <w:r w:rsidRPr="001413F4">
        <w:t xml:space="preserve">or vehicle </w:t>
      </w:r>
      <m:oMath>
        <m:r>
          <w:rPr>
            <w:rFonts w:ascii="Cambria Math" w:hAnsi="Cambria Math"/>
          </w:rPr>
          <m:t>m</m:t>
        </m:r>
      </m:oMath>
      <w:r w:rsidRPr="001413F4">
        <w:t xml:space="preserve"> traversing link </w:t>
      </w:r>
      <m:oMath>
        <m:r>
          <w:rPr>
            <w:rFonts w:ascii="Cambria Math" w:hAnsi="Cambria Math"/>
          </w:rPr>
          <m:t>e</m:t>
        </m:r>
      </m:oMath>
      <w:r w:rsidRPr="001413F4">
        <w:rPr>
          <w:rFonts w:eastAsiaTheme="minorEastAsia"/>
        </w:rPr>
        <w:t xml:space="preserve"> at time </w:t>
      </w:r>
      <m:oMath>
        <m:r>
          <w:rPr>
            <w:rFonts w:ascii="Cambria Math" w:hAnsi="Cambria Math"/>
          </w:rPr>
          <m:t>t</m:t>
        </m:r>
      </m:oMath>
      <w:r w:rsidRPr="001413F4">
        <w:rPr>
          <w:rFonts w:eastAsiaTheme="minorEastAsia"/>
        </w:rPr>
        <w:t xml:space="preserve"> in the scenario </w:t>
      </w:r>
      <m:oMath>
        <m:r>
          <w:rPr>
            <w:rFonts w:ascii="Cambria Math" w:hAnsi="Cambria Math"/>
          </w:rPr>
          <m:t>s</m:t>
        </m:r>
      </m:oMath>
      <w:r w:rsidRPr="001413F4">
        <w:rPr>
          <w:rFonts w:eastAsiaTheme="minorEastAsia"/>
        </w:rPr>
        <w:t xml:space="preserve"> </w:t>
      </w:r>
      <w:r w:rsidR="00D0716D">
        <w:rPr>
          <w:rFonts w:eastAsiaTheme="minorEastAsia"/>
        </w:rPr>
        <w:t xml:space="preserve">it </w:t>
      </w:r>
      <w:r w:rsidRPr="001413F4">
        <w:rPr>
          <w:rFonts w:eastAsiaTheme="minorEastAsia"/>
        </w:rPr>
        <w:t>is given by: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116C1B" w:rsidRPr="001413F4" w14:paraId="2D443A41" w14:textId="77777777" w:rsidTr="00116C1B">
        <w:trPr>
          <w:jc w:val="center"/>
        </w:trPr>
        <w:tc>
          <w:tcPr>
            <w:tcW w:w="3115" w:type="dxa"/>
            <w:vAlign w:val="center"/>
          </w:tcPr>
          <w:p w14:paraId="33BBC10E" w14:textId="77777777" w:rsidR="00116C1B" w:rsidRPr="001413F4" w:rsidRDefault="00116C1B">
            <w:pPr>
              <w:spacing w:before="240" w:after="240" w:line="240" w:lineRule="exact"/>
              <w:jc w:val="center"/>
              <w:rPr>
                <w:rFonts w:eastAsiaTheme="minorHAnsi"/>
              </w:rPr>
            </w:pPr>
          </w:p>
        </w:tc>
        <w:tc>
          <w:tcPr>
            <w:tcW w:w="3115" w:type="dxa"/>
            <w:vAlign w:val="center"/>
            <w:hideMark/>
          </w:tcPr>
          <w:p w14:paraId="44E9F241" w14:textId="77777777" w:rsidR="00116C1B" w:rsidRPr="001413F4" w:rsidRDefault="006417CA" w:rsidP="0035007F">
            <w:pPr>
              <w:spacing w:before="240" w:after="240"/>
              <w:jc w:val="center"/>
              <w:rPr>
                <w:rFonts w:eastAsiaTheme="minorEastAsia"/>
              </w:rPr>
            </w:pPr>
            <m:oMathPara>
              <m:oMath>
                <m:sSub>
                  <m:sSubPr>
                    <m:ctrlPr>
                      <w:rPr>
                        <w:rFonts w:ascii="Cambria Math" w:hAnsi="Cambria Math"/>
                        <w:i/>
                      </w:rPr>
                    </m:ctrlPr>
                  </m:sSubPr>
                  <m:e>
                    <m:r>
                      <w:rPr>
                        <w:rFonts w:ascii="Cambria Math" w:hAnsi="Cambria Math"/>
                      </w:rPr>
                      <m:t>VOC</m:t>
                    </m:r>
                  </m:e>
                  <m:sub>
                    <m:r>
                      <w:rPr>
                        <w:rFonts w:ascii="Cambria Math" w:hAnsi="Cambria Math"/>
                      </w:rPr>
                      <m:t>m</m:t>
                    </m:r>
                  </m:sub>
                </m:sSub>
                <m:d>
                  <m:dPr>
                    <m:ctrlPr>
                      <w:rPr>
                        <w:rFonts w:ascii="Cambria Math" w:hAnsi="Cambria Math"/>
                        <w:i/>
                      </w:rPr>
                    </m:ctrlPr>
                  </m:dPr>
                  <m:e>
                    <m:r>
                      <w:rPr>
                        <w:rFonts w:ascii="Cambria Math" w:hAnsi="Cambria Math"/>
                      </w:rPr>
                      <m:t>e,t|s</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m</m:t>
                        </m:r>
                      </m:sub>
                    </m:sSub>
                    <m:r>
                      <w:rPr>
                        <w:rFonts w:ascii="Cambria Math" w:hAnsi="Cambria Math"/>
                      </w:rPr>
                      <m:t>(e,t)</m:t>
                    </m:r>
                  </m:num>
                  <m:den>
                    <m:sSub>
                      <m:sSubPr>
                        <m:ctrlPr>
                          <w:rPr>
                            <w:rFonts w:ascii="Cambria Math" w:hAnsi="Cambria Math"/>
                            <w:i/>
                          </w:rPr>
                        </m:ctrlPr>
                      </m:sSubPr>
                      <m:e>
                        <m:r>
                          <w:rPr>
                            <w:rFonts w:ascii="Cambria Math" w:hAnsi="Cambria Math"/>
                          </w:rPr>
                          <m:t>κ</m:t>
                        </m:r>
                      </m:e>
                      <m:sub>
                        <m:r>
                          <w:rPr>
                            <w:rFonts w:ascii="Cambria Math" w:hAnsi="Cambria Math"/>
                          </w:rPr>
                          <m:t>m</m:t>
                        </m:r>
                      </m:sub>
                    </m:sSub>
                  </m:den>
                </m:f>
              </m:oMath>
            </m:oMathPara>
          </w:p>
        </w:tc>
        <w:tc>
          <w:tcPr>
            <w:tcW w:w="3115" w:type="dxa"/>
            <w:vAlign w:val="center"/>
            <w:hideMark/>
          </w:tcPr>
          <w:p w14:paraId="5DFF7BFB" w14:textId="77777777" w:rsidR="00116C1B" w:rsidRPr="001413F4" w:rsidRDefault="00116C1B">
            <w:pPr>
              <w:spacing w:before="240" w:after="240" w:line="240" w:lineRule="exact"/>
              <w:jc w:val="right"/>
              <w:rPr>
                <w:rFonts w:eastAsiaTheme="minorHAnsi"/>
              </w:rPr>
            </w:pPr>
            <w:r w:rsidRPr="001413F4">
              <w:t>(3)</w:t>
            </w:r>
          </w:p>
        </w:tc>
      </w:tr>
    </w:tbl>
    <w:p w14:paraId="2D7BA2EF" w14:textId="77777777" w:rsidR="00116C1B" w:rsidRPr="001413F4" w:rsidRDefault="00116C1B" w:rsidP="0035007F">
      <w:pPr>
        <w:spacing w:line="260" w:lineRule="exact"/>
        <w:jc w:val="both"/>
        <w:rPr>
          <w:rFonts w:eastAsiaTheme="minorEastAsia"/>
        </w:rPr>
      </w:pPr>
      <w:r w:rsidRPr="001413F4">
        <w:rPr>
          <w:rFonts w:eastAsiaTheme="minorEastAsia"/>
        </w:rPr>
        <w:t xml:space="preserve">Where </w:t>
      </w:r>
      <m:oMath>
        <m:sSub>
          <m:sSubPr>
            <m:ctrlPr>
              <w:rPr>
                <w:rFonts w:ascii="Cambria Math" w:hAnsi="Cambria Math"/>
                <w:i/>
              </w:rPr>
            </m:ctrlPr>
          </m:sSubPr>
          <m:e>
            <m:r>
              <w:rPr>
                <w:rFonts w:ascii="Cambria Math" w:hAnsi="Cambria Math"/>
              </w:rPr>
              <m:t>q</m:t>
            </m:r>
          </m:e>
          <m:sub>
            <m:r>
              <w:rPr>
                <w:rFonts w:ascii="Cambria Math" w:hAnsi="Cambria Math"/>
              </w:rPr>
              <m:t>m</m:t>
            </m:r>
          </m:sub>
        </m:sSub>
        <m:r>
          <w:rPr>
            <w:rFonts w:ascii="Cambria Math" w:hAnsi="Cambria Math"/>
          </w:rPr>
          <m:t>(e,t)</m:t>
        </m:r>
      </m:oMath>
      <w:r w:rsidRPr="001413F4">
        <w:rPr>
          <w:rFonts w:eastAsiaTheme="minorEastAsia"/>
        </w:rPr>
        <w:t xml:space="preserve"> is the number of passengers on board vehicle </w:t>
      </w:r>
      <m:oMath>
        <m:r>
          <w:rPr>
            <w:rFonts w:ascii="Cambria Math" w:eastAsiaTheme="minorEastAsia" w:hAnsi="Cambria Math"/>
          </w:rPr>
          <m:t>m</m:t>
        </m:r>
      </m:oMath>
      <w:r w:rsidRPr="001413F4">
        <w:rPr>
          <w:rFonts w:eastAsiaTheme="minorEastAsia"/>
        </w:rPr>
        <w:t xml:space="preserve"> on link </w:t>
      </w:r>
      <m:oMath>
        <m:r>
          <w:rPr>
            <w:rFonts w:ascii="Cambria Math" w:hAnsi="Cambria Math"/>
          </w:rPr>
          <m:t>e</m:t>
        </m:r>
      </m:oMath>
      <w:r w:rsidRPr="001413F4">
        <w:rPr>
          <w:rFonts w:eastAsiaTheme="minorEastAsia"/>
        </w:rPr>
        <w:t xml:space="preserve"> at during time window </w:t>
      </w:r>
      <m:oMath>
        <m:r>
          <w:rPr>
            <w:rFonts w:ascii="Cambria Math" w:eastAsiaTheme="minorEastAsia" w:hAnsi="Cambria Math"/>
          </w:rPr>
          <m:t>t</m:t>
        </m:r>
      </m:oMath>
      <w:r w:rsidRPr="001413F4">
        <w:rPr>
          <w:rFonts w:eastAsiaTheme="minorEastAsia"/>
        </w:rPr>
        <w:t xml:space="preserve">; </w:t>
      </w:r>
      <m:oMath>
        <m:sSub>
          <m:sSubPr>
            <m:ctrlPr>
              <w:rPr>
                <w:rFonts w:ascii="Cambria Math" w:hAnsi="Cambria Math"/>
                <w:i/>
              </w:rPr>
            </m:ctrlPr>
          </m:sSubPr>
          <m:e>
            <m:r>
              <w:rPr>
                <w:rFonts w:ascii="Cambria Math" w:hAnsi="Cambria Math"/>
              </w:rPr>
              <m:t>κ</m:t>
            </m:r>
          </m:e>
          <m:sub>
            <m:r>
              <w:rPr>
                <w:rFonts w:ascii="Cambria Math" w:hAnsi="Cambria Math"/>
              </w:rPr>
              <m:t>m</m:t>
            </m:r>
          </m:sub>
        </m:sSub>
      </m:oMath>
      <w:r w:rsidRPr="001413F4">
        <w:rPr>
          <w:rFonts w:eastAsiaTheme="minorEastAsia"/>
        </w:rPr>
        <w:t xml:space="preserve"> is the capacity of vehicle </w:t>
      </w:r>
      <m:oMath>
        <m:r>
          <w:rPr>
            <w:rFonts w:ascii="Cambria Math" w:eastAsiaTheme="minorEastAsia" w:hAnsi="Cambria Math"/>
          </w:rPr>
          <m:t>m</m:t>
        </m:r>
      </m:oMath>
      <w:r w:rsidRPr="001413F4">
        <w:rPr>
          <w:rFonts w:eastAsiaTheme="minorEastAsia"/>
        </w:rPr>
        <w:t>. This indicator measures link on-board saturation level. High saturation levels cause on-board overcrowding</w:t>
      </w:r>
      <w:r w:rsidR="00D92BCF">
        <w:rPr>
          <w:rFonts w:eastAsiaTheme="minorEastAsia"/>
        </w:rPr>
        <w:t xml:space="preserve">. When it equal to </w:t>
      </w:r>
      <w:r w:rsidRPr="001413F4">
        <w:rPr>
          <w:rFonts w:eastAsiaTheme="minorEastAsia"/>
        </w:rPr>
        <w:t>the upper limit of 1</w:t>
      </w:r>
      <w:r w:rsidR="00D92BCF">
        <w:rPr>
          <w:rFonts w:eastAsiaTheme="minorEastAsia"/>
        </w:rPr>
        <w:t>,</w:t>
      </w:r>
      <w:r w:rsidRPr="001413F4">
        <w:rPr>
          <w:rFonts w:eastAsiaTheme="minorEastAsia"/>
        </w:rPr>
        <w:t xml:space="preserve"> </w:t>
      </w:r>
      <w:r w:rsidR="00D92BCF">
        <w:rPr>
          <w:rFonts w:eastAsiaTheme="minorEastAsia"/>
        </w:rPr>
        <w:t xml:space="preserve">some </w:t>
      </w:r>
      <w:r w:rsidRPr="001413F4">
        <w:rPr>
          <w:rFonts w:eastAsiaTheme="minorEastAsia"/>
        </w:rPr>
        <w:t>passenger</w:t>
      </w:r>
      <w:r w:rsidR="00747526" w:rsidRPr="001413F4">
        <w:rPr>
          <w:rFonts w:eastAsiaTheme="minorEastAsia"/>
        </w:rPr>
        <w:t>s</w:t>
      </w:r>
      <w:r w:rsidRPr="001413F4">
        <w:rPr>
          <w:rFonts w:eastAsiaTheme="minorEastAsia"/>
        </w:rPr>
        <w:t xml:space="preserve"> </w:t>
      </w:r>
      <w:r w:rsidR="00D92BCF">
        <w:rPr>
          <w:rFonts w:eastAsiaTheme="minorEastAsia"/>
        </w:rPr>
        <w:t xml:space="preserve">may </w:t>
      </w:r>
      <w:r w:rsidRPr="001413F4">
        <w:rPr>
          <w:rFonts w:eastAsiaTheme="minorEastAsia"/>
        </w:rPr>
        <w:t xml:space="preserve">experience denied boarding and thus </w:t>
      </w:r>
      <w:r w:rsidRPr="001413F4">
        <w:rPr>
          <w:rFonts w:eastAsiaTheme="minorEastAsia"/>
        </w:rPr>
        <w:lastRenderedPageBreak/>
        <w:t xml:space="preserve">prolonged waiting times. </w:t>
      </w:r>
      <w:r w:rsidR="007C1B30" w:rsidRPr="001413F4">
        <w:rPr>
          <w:rFonts w:eastAsiaTheme="minorEastAsia"/>
        </w:rPr>
        <w:t xml:space="preserve">Unlike static assignment models </w:t>
      </w:r>
      <w:r w:rsidR="00D92BCF">
        <w:rPr>
          <w:rFonts w:eastAsiaTheme="minorEastAsia"/>
        </w:rPr>
        <w:t xml:space="preserve">in </w:t>
      </w:r>
      <w:r w:rsidR="007C1B30" w:rsidRPr="001413F4">
        <w:rPr>
          <w:rFonts w:eastAsiaTheme="minorEastAsia"/>
        </w:rPr>
        <w:t>which volumes</w:t>
      </w:r>
      <w:r w:rsidR="00D92BCF">
        <w:rPr>
          <w:rFonts w:eastAsiaTheme="minorEastAsia"/>
        </w:rPr>
        <w:t xml:space="preserve"> can (unrealistically)</w:t>
      </w:r>
      <w:r w:rsidR="007C1B30" w:rsidRPr="001413F4">
        <w:rPr>
          <w:rFonts w:eastAsiaTheme="minorEastAsia"/>
        </w:rPr>
        <w:t xml:space="preserve"> exceed capacity (</w:t>
      </w:r>
      <m:oMath>
        <m:r>
          <w:rPr>
            <w:rFonts w:ascii="Cambria Math" w:eastAsiaTheme="minorEastAsia" w:hAnsi="Cambria Math"/>
          </w:rPr>
          <m:t>VOC</m:t>
        </m:r>
      </m:oMath>
      <w:r w:rsidR="007C1B30" w:rsidRPr="001413F4">
        <w:rPr>
          <w:rFonts w:eastAsiaTheme="minorEastAsia"/>
        </w:rPr>
        <w:t xml:space="preserve"> &gt;1) implying that the network cannot absorb the </w:t>
      </w:r>
      <w:r w:rsidR="00D92BCF" w:rsidRPr="001413F4">
        <w:rPr>
          <w:rFonts w:eastAsiaTheme="minorEastAsia"/>
        </w:rPr>
        <w:t xml:space="preserve">loaded </w:t>
      </w:r>
      <w:r w:rsidR="007C1B30" w:rsidRPr="001413F4">
        <w:rPr>
          <w:rFonts w:eastAsiaTheme="minorEastAsia"/>
        </w:rPr>
        <w:t>demand, the dynamic assignment model used in this study enforce</w:t>
      </w:r>
      <w:r w:rsidR="007D5FF1">
        <w:rPr>
          <w:rFonts w:eastAsiaTheme="minorEastAsia"/>
        </w:rPr>
        <w:t>s strict</w:t>
      </w:r>
      <w:r w:rsidR="007C1B30" w:rsidRPr="001413F4">
        <w:rPr>
          <w:rFonts w:eastAsiaTheme="minorEastAsia"/>
        </w:rPr>
        <w:t xml:space="preserve"> capacity constraints at individual vehicle level and hence </w:t>
      </w:r>
      <w:r w:rsidR="00D92BCF">
        <w:rPr>
          <w:rFonts w:eastAsiaTheme="minorEastAsia"/>
        </w:rPr>
        <w:t>ensures</w:t>
      </w:r>
      <w:r w:rsidR="007C1B30" w:rsidRPr="001413F4">
        <w:rPr>
          <w:rFonts w:eastAsiaTheme="minorEastAsia"/>
        </w:rPr>
        <w:t xml:space="preserve"> </w:t>
      </w:r>
      <m:oMath>
        <m:r>
          <w:rPr>
            <w:rFonts w:ascii="Cambria Math" w:eastAsiaTheme="minorEastAsia" w:hAnsi="Cambria Math"/>
          </w:rPr>
          <m:t>0≤VOC≤1</m:t>
        </m:r>
      </m:oMath>
      <w:r w:rsidR="007C1B30" w:rsidRPr="001413F4">
        <w:rPr>
          <w:rFonts w:eastAsiaTheme="minorEastAsia"/>
        </w:rPr>
        <w:t xml:space="preserve"> (Cats and Hartl 2016)</w:t>
      </w:r>
      <w:r w:rsidR="00845087" w:rsidRPr="001413F4">
        <w:rPr>
          <w:rFonts w:eastAsiaTheme="minorEastAsia"/>
        </w:rPr>
        <w:t>.</w:t>
      </w:r>
    </w:p>
    <w:p w14:paraId="7B26840F" w14:textId="77777777" w:rsidR="00116C1B" w:rsidRPr="001413F4" w:rsidRDefault="00D92BCF" w:rsidP="0053764B">
      <w:pPr>
        <w:spacing w:line="260" w:lineRule="exact"/>
        <w:ind w:firstLine="238"/>
        <w:jc w:val="both"/>
        <w:rPr>
          <w:rFonts w:eastAsiaTheme="minorEastAsia"/>
        </w:rPr>
      </w:pPr>
      <w:r>
        <w:rPr>
          <w:rFonts w:eastAsiaTheme="minorEastAsia"/>
        </w:rPr>
        <w:t>T</w:t>
      </w:r>
      <w:r w:rsidR="00116C1B" w:rsidRPr="001413F4">
        <w:rPr>
          <w:rFonts w:eastAsiaTheme="minorEastAsia"/>
        </w:rPr>
        <w:t>he</w:t>
      </w:r>
      <w:r w:rsidR="00071E71" w:rsidRPr="001413F4">
        <w:rPr>
          <w:rFonts w:eastAsiaTheme="minorEastAsia"/>
        </w:rPr>
        <w:t xml:space="preserve"> </w:t>
      </w:r>
      <w:r w:rsidR="00116C1B" w:rsidRPr="001413F4">
        <w:rPr>
          <w:rFonts w:eastAsiaTheme="minorEastAsia"/>
        </w:rPr>
        <w:t xml:space="preserve">impact </w:t>
      </w:r>
      <w:r>
        <w:rPr>
          <w:rFonts w:eastAsiaTheme="minorEastAsia"/>
        </w:rPr>
        <w:t>of</w:t>
      </w:r>
      <w:r w:rsidRPr="001413F4">
        <w:rPr>
          <w:rFonts w:eastAsiaTheme="minorEastAsia"/>
        </w:rPr>
        <w:t xml:space="preserve"> the closure of a certain link </w:t>
      </w:r>
      <w:r w:rsidR="00071E71" w:rsidRPr="001413F4">
        <w:rPr>
          <w:rFonts w:eastAsiaTheme="minorEastAsia"/>
        </w:rPr>
        <w:t xml:space="preserve">on the network </w:t>
      </w:r>
      <w:r w:rsidR="00116C1B" w:rsidRPr="001413F4">
        <w:rPr>
          <w:rFonts w:eastAsiaTheme="minorEastAsia"/>
        </w:rPr>
        <w:t xml:space="preserve">is computed comparing this indicator in the base scenario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b</m:t>
            </m:r>
          </m:sub>
        </m:sSub>
      </m:oMath>
      <w:r w:rsidR="00116C1B" w:rsidRPr="001413F4">
        <w:rPr>
          <w:rFonts w:eastAsiaTheme="minorEastAsia"/>
        </w:rPr>
        <w:t xml:space="preserve"> and in the disrupted scenario </w:t>
      </w:r>
      <m:oMath>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d</m:t>
            </m:r>
          </m:sub>
        </m:sSub>
      </m:oMath>
      <w:r w:rsidR="00116C1B" w:rsidRPr="001413F4">
        <w:rPr>
          <w:rFonts w:eastAsiaTheme="minorEastAsia"/>
        </w:rPr>
        <w:t xml:space="preserve">. </w:t>
      </w:r>
      <w:r w:rsidR="00F376AE" w:rsidRPr="00F376AE">
        <w:rPr>
          <w:rFonts w:eastAsiaTheme="minorEastAsia"/>
        </w:rPr>
        <w:t>The comparison is made using two different network-wide indicators</w:t>
      </w:r>
      <w:r>
        <w:rPr>
          <w:rFonts w:eastAsiaTheme="minorEastAsia"/>
        </w:rPr>
        <w:t xml:space="preserve"> that </w:t>
      </w:r>
      <w:r w:rsidR="00F376AE" w:rsidRPr="00F376AE">
        <w:rPr>
          <w:rFonts w:eastAsiaTheme="minorEastAsia"/>
        </w:rPr>
        <w:t>averag</w:t>
      </w:r>
      <w:r>
        <w:rPr>
          <w:rFonts w:eastAsiaTheme="minorEastAsia"/>
        </w:rPr>
        <w:t>e</w:t>
      </w:r>
      <w:r w:rsidR="00F376AE" w:rsidRPr="00F376AE">
        <w:rPr>
          <w:rFonts w:eastAsiaTheme="minorEastAsia"/>
        </w:rPr>
        <w:t xml:space="preserve"> the absolute and relative difference of saturation level over all transit vehicles</w:t>
      </w:r>
      <w:r>
        <w:rPr>
          <w:rFonts w:eastAsiaTheme="minorEastAsia"/>
        </w:rPr>
        <w:t>, namely</w:t>
      </w:r>
      <w:r w:rsidR="00F376AE" w:rsidRPr="00F376AE">
        <w:rPr>
          <w:rFonts w:eastAsiaTheme="minorEastAsia"/>
        </w:rPr>
        <w:t xml:space="preserve"> </w:t>
      </w:r>
      <w:r>
        <w:rPr>
          <w:rFonts w:eastAsiaTheme="minorEastAsia"/>
        </w:rPr>
        <w:t>t</w:t>
      </w:r>
      <w:r w:rsidR="00116C1B" w:rsidRPr="001413F4">
        <w:rPr>
          <w:rFonts w:eastAsiaTheme="minorEastAsia"/>
        </w:rPr>
        <w:t xml:space="preserve">he Actual Difference Ratio </w:t>
      </w:r>
      <w:r w:rsidR="009E1A72">
        <w:rPr>
          <w:rFonts w:eastAsiaTheme="minorEastAsia"/>
        </w:rPr>
        <w:t>(</w:t>
      </w:r>
      <w:r w:rsidR="00D42519" w:rsidRPr="001413F4">
        <w:rPr>
          <w:rFonts w:eastAsiaTheme="minorEastAsia"/>
        </w:rPr>
        <w:t>ADR</w:t>
      </w:r>
      <w:r w:rsidR="009E1A72">
        <w:rPr>
          <w:rFonts w:eastAsiaTheme="minorEastAsia"/>
        </w:rPr>
        <w:t>)</w:t>
      </w:r>
      <w:r w:rsidR="00116C1B" w:rsidRPr="001413F4">
        <w:rPr>
          <w:rFonts w:eastAsiaTheme="minorEastAsia"/>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
        <w:gridCol w:w="9113"/>
        <w:gridCol w:w="450"/>
      </w:tblGrid>
      <w:tr w:rsidR="00116C1B" w:rsidRPr="001413F4" w14:paraId="2BED1C51" w14:textId="77777777" w:rsidTr="00116C1B">
        <w:trPr>
          <w:jc w:val="center"/>
        </w:trPr>
        <w:tc>
          <w:tcPr>
            <w:tcW w:w="175" w:type="pct"/>
            <w:vAlign w:val="center"/>
          </w:tcPr>
          <w:p w14:paraId="0FA54078" w14:textId="77777777" w:rsidR="00116C1B" w:rsidRPr="001413F4" w:rsidRDefault="00116C1B">
            <w:pPr>
              <w:spacing w:before="240" w:after="240" w:line="240" w:lineRule="exact"/>
              <w:jc w:val="center"/>
              <w:rPr>
                <w:rFonts w:eastAsiaTheme="minorEastAsia"/>
              </w:rPr>
            </w:pPr>
          </w:p>
        </w:tc>
        <w:tc>
          <w:tcPr>
            <w:tcW w:w="4651" w:type="pct"/>
            <w:vAlign w:val="center"/>
            <w:hideMark/>
          </w:tcPr>
          <w:p w14:paraId="51A6E960" w14:textId="77777777" w:rsidR="00116C1B" w:rsidRPr="001413F4" w:rsidRDefault="00116C1B">
            <w:pPr>
              <w:spacing w:before="240" w:after="240"/>
              <w:jc w:val="center"/>
              <w:rPr>
                <w:rFonts w:eastAsiaTheme="minorEastAsia"/>
              </w:rPr>
            </w:pPr>
            <m:oMathPara>
              <m:oMath>
                <m:r>
                  <w:rPr>
                    <w:rFonts w:ascii="Cambria Math" w:eastAsiaTheme="minorEastAsia" w:hAnsi="Cambria Math"/>
                  </w:rPr>
                  <m:t>ADR</m:t>
                </m:r>
                <m:d>
                  <m:dPr>
                    <m:ctrlPr>
                      <w:rPr>
                        <w:rFonts w:ascii="Cambria Math" w:hAnsi="Cambria Math"/>
                        <w:i/>
                      </w:rPr>
                    </m:ctrlPr>
                  </m:dPr>
                  <m:e>
                    <m:r>
                      <w:rPr>
                        <w:rFonts w:ascii="Cambria Math" w:hAnsi="Cambria Math"/>
                      </w:rPr>
                      <m:t>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d</m:t>
                        </m:r>
                      </m:sub>
                    </m:sSub>
                  </m:e>
                </m:d>
                <m:r>
                  <w:rPr>
                    <w:rFonts w:ascii="Cambria Math" w:eastAsiaTheme="minorEastAsia"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hint="eastAsia"/>
                          </w:rPr>
                          <m:t>e</m:t>
                        </m:r>
                        <m:r>
                          <w:rPr>
                            <w:rFonts w:ascii="Cambria Math" w:hAnsi="Cambria Math" w:hint="eastAsia"/>
                          </w:rPr>
                          <m:t>∈</m:t>
                        </m:r>
                        <m:r>
                          <w:rPr>
                            <w:rFonts w:ascii="Cambria Math" w:hAnsi="Cambria Math" w:hint="eastAsia"/>
                          </w:rPr>
                          <m:t>E</m:t>
                        </m:r>
                      </m:sub>
                      <m:sup/>
                      <m:e>
                        <m:nary>
                          <m:naryPr>
                            <m:chr m:val="∑"/>
                            <m:limLoc m:val="undOvr"/>
                            <m:supHide m:val="1"/>
                            <m:ctrlPr>
                              <w:rPr>
                                <w:rFonts w:ascii="Cambria Math" w:hAnsi="Cambria Math"/>
                                <w:i/>
                              </w:rPr>
                            </m:ctrlPr>
                          </m:naryPr>
                          <m:sub>
                            <m:r>
                              <w:rPr>
                                <w:rFonts w:ascii="Cambria Math" w:hAnsi="Cambria Math" w:hint="eastAsia"/>
                              </w:rPr>
                              <m:t>m</m:t>
                            </m:r>
                            <m:r>
                              <w:rPr>
                                <w:rFonts w:ascii="Cambria Math" w:hAnsi="Cambria Math" w:hint="eastAsia"/>
                              </w:rPr>
                              <m:t>∈</m:t>
                            </m:r>
                            <m:sSub>
                              <m:sSubPr>
                                <m:ctrlPr>
                                  <w:rPr>
                                    <w:rFonts w:ascii="Cambria Math" w:hAnsi="Cambria Math"/>
                                    <w:i/>
                                  </w:rPr>
                                </m:ctrlPr>
                              </m:sSubPr>
                              <m:e>
                                <m:r>
                                  <w:rPr>
                                    <w:rFonts w:ascii="Cambria Math" w:hAnsi="Cambria Math"/>
                                  </w:rPr>
                                  <m:t>M</m:t>
                                </m:r>
                              </m:e>
                              <m:sub>
                                <m:r>
                                  <w:rPr>
                                    <w:rFonts w:ascii="Cambria Math" w:hAnsi="Cambria Math"/>
                                  </w:rPr>
                                  <m:t>t,e,</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d</m:t>
                                    </m:r>
                                  </m:sub>
                                </m:sSub>
                              </m:sub>
                            </m:sSub>
                          </m:sub>
                          <m:sup/>
                          <m:e>
                            <m:sSub>
                              <m:sSubPr>
                                <m:ctrlPr>
                                  <w:rPr>
                                    <w:rFonts w:ascii="Cambria Math" w:hAnsi="Cambria Math"/>
                                    <w:i/>
                                  </w:rPr>
                                </m:ctrlPr>
                              </m:sSubPr>
                              <m:e>
                                <m:r>
                                  <w:rPr>
                                    <w:rFonts w:ascii="Cambria Math" w:hAnsi="Cambria Math"/>
                                  </w:rPr>
                                  <m:t>(VOC</m:t>
                                </m:r>
                              </m:e>
                              <m:sub>
                                <m:r>
                                  <w:rPr>
                                    <w:rFonts w:ascii="Cambria Math" w:hAnsi="Cambria Math"/>
                                  </w:rPr>
                                  <m:t>m</m:t>
                                </m:r>
                              </m:sub>
                            </m:sSub>
                            <m:d>
                              <m:dPr>
                                <m:ctrlPr>
                                  <w:rPr>
                                    <w:rFonts w:ascii="Cambria Math" w:hAnsi="Cambria Math"/>
                                    <w:i/>
                                  </w:rPr>
                                </m:ctrlPr>
                              </m:dPr>
                              <m:e>
                                <m:r>
                                  <w:rPr>
                                    <w:rFonts w:ascii="Cambria Math" w:hAnsi="Cambria Math"/>
                                  </w:rPr>
                                  <m:t>e,t|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d</m:t>
                                    </m:r>
                                  </m:sub>
                                </m:sSub>
                              </m:e>
                            </m:d>
                            <m:r>
                              <w:rPr>
                                <w:rFonts w:ascii="Cambria Math" w:hAnsi="Cambria Math"/>
                              </w:rPr>
                              <m:t>-</m:t>
                            </m:r>
                            <m:sSub>
                              <m:sSubPr>
                                <m:ctrlPr>
                                  <w:rPr>
                                    <w:rFonts w:ascii="Cambria Math" w:hAnsi="Cambria Math"/>
                                    <w:i/>
                                  </w:rPr>
                                </m:ctrlPr>
                              </m:sSubPr>
                              <m:e>
                                <m:r>
                                  <w:rPr>
                                    <w:rFonts w:ascii="Cambria Math" w:hAnsi="Cambria Math"/>
                                  </w:rPr>
                                  <m:t>VOC</m:t>
                                </m:r>
                              </m:e>
                              <m:sub>
                                <m:r>
                                  <w:rPr>
                                    <w:rFonts w:ascii="Cambria Math" w:hAnsi="Cambria Math"/>
                                  </w:rPr>
                                  <m:t>m</m:t>
                                </m:r>
                              </m:sub>
                            </m:sSub>
                            <m:d>
                              <m:dPr>
                                <m:ctrlPr>
                                  <w:rPr>
                                    <w:rFonts w:ascii="Cambria Math" w:hAnsi="Cambria Math"/>
                                    <w:i/>
                                  </w:rPr>
                                </m:ctrlPr>
                              </m:dPr>
                              <m:e>
                                <m:r>
                                  <w:rPr>
                                    <w:rFonts w:ascii="Cambria Math" w:hAnsi="Cambria Math"/>
                                  </w:rPr>
                                  <m:t>e,t|</m:t>
                                </m:r>
                                <m:sSub>
                                  <m:sSubPr>
                                    <m:ctrlPr>
                                      <w:rPr>
                                        <w:rFonts w:ascii="Cambria Math" w:eastAsiaTheme="minorEastAsia" w:hAnsi="Cambria Math"/>
                                        <w:i/>
                                      </w:rPr>
                                    </m:ctrlPr>
                                  </m:sSubPr>
                                  <m:e>
                                    <m:r>
                                      <w:rPr>
                                        <w:rFonts w:ascii="Cambria Math" w:eastAsiaTheme="minorEastAsia" w:hAnsi="Cambria Math" w:cs="Cambria Math"/>
                                      </w:rPr>
                                      <m:t>s</m:t>
                                    </m:r>
                                  </m:e>
                                  <m:sub>
                                    <m:r>
                                      <w:rPr>
                                        <w:rFonts w:ascii="Cambria Math" w:eastAsiaTheme="minorEastAsia" w:hAnsi="Cambria Math"/>
                                      </w:rPr>
                                      <m:t>b</m:t>
                                    </m:r>
                                  </m:sub>
                                </m:sSub>
                                <m:r>
                                  <w:rPr>
                                    <w:rFonts w:ascii="Cambria Math" w:eastAsiaTheme="minorEastAsia" w:hAnsi="Cambria Math"/>
                                  </w:rPr>
                                  <m:t>)</m:t>
                                </m:r>
                              </m:e>
                            </m:d>
                          </m:e>
                        </m:nary>
                      </m:e>
                    </m:nary>
                  </m:num>
                  <m:den>
                    <m:nary>
                      <m:naryPr>
                        <m:chr m:val="∑"/>
                        <m:limLoc m:val="undOvr"/>
                        <m:supHide m:val="1"/>
                        <m:ctrlPr>
                          <w:rPr>
                            <w:rFonts w:ascii="Cambria Math" w:hAnsi="Cambria Math"/>
                            <w:i/>
                          </w:rPr>
                        </m:ctrlPr>
                      </m:naryPr>
                      <m:sub>
                        <m:r>
                          <w:rPr>
                            <w:rFonts w:ascii="Cambria Math" w:hAnsi="Cambria Math" w:hint="eastAsia"/>
                          </w:rPr>
                          <m:t>e</m:t>
                        </m:r>
                        <m:r>
                          <w:rPr>
                            <w:rFonts w:ascii="Cambria Math" w:hAnsi="Cambria Math" w:hint="eastAsia"/>
                          </w:rPr>
                          <m:t>∈</m:t>
                        </m:r>
                        <m:r>
                          <w:rPr>
                            <w:rFonts w:ascii="Cambria Math" w:hAnsi="Cambria Math" w:hint="eastAsia"/>
                          </w:rPr>
                          <m:t>E</m:t>
                        </m:r>
                      </m:sub>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t,e,</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d</m:t>
                                    </m:r>
                                  </m:sub>
                                </m:sSub>
                              </m:sub>
                            </m:sSub>
                          </m:e>
                        </m:d>
                      </m:e>
                    </m:nary>
                  </m:den>
                </m:f>
              </m:oMath>
            </m:oMathPara>
          </w:p>
        </w:tc>
        <w:tc>
          <w:tcPr>
            <w:tcW w:w="175" w:type="pct"/>
            <w:vAlign w:val="center"/>
            <w:hideMark/>
          </w:tcPr>
          <w:p w14:paraId="0B53E10B" w14:textId="77777777" w:rsidR="00116C1B" w:rsidRPr="001413F4" w:rsidRDefault="00116C1B">
            <w:pPr>
              <w:spacing w:before="240" w:after="240" w:line="240" w:lineRule="exact"/>
              <w:jc w:val="right"/>
              <w:rPr>
                <w:rFonts w:eastAsiaTheme="minorEastAsia"/>
              </w:rPr>
            </w:pPr>
            <w:r w:rsidRPr="001413F4">
              <w:rPr>
                <w:rFonts w:eastAsiaTheme="minorEastAsia"/>
              </w:rPr>
              <w:t>(4)</w:t>
            </w:r>
          </w:p>
        </w:tc>
      </w:tr>
    </w:tbl>
    <w:p w14:paraId="4264278B" w14:textId="77777777" w:rsidR="00116C1B" w:rsidRPr="001413F4" w:rsidRDefault="00116C1B" w:rsidP="00585031">
      <w:pPr>
        <w:spacing w:line="260" w:lineRule="exact"/>
        <w:jc w:val="both"/>
        <w:rPr>
          <w:rFonts w:eastAsiaTheme="minorEastAsia"/>
        </w:rPr>
      </w:pPr>
      <w:r w:rsidRPr="001413F4">
        <w:rPr>
          <w:rFonts w:eastAsiaTheme="minorEastAsia"/>
        </w:rPr>
        <w:t xml:space="preserve">and the Relative Difference Ratio </w:t>
      </w:r>
      <w:r w:rsidR="009E1A72">
        <w:rPr>
          <w:rFonts w:eastAsiaTheme="minorEastAsia"/>
        </w:rPr>
        <w:t>(</w:t>
      </w:r>
      <w:r w:rsidR="00D42519" w:rsidRPr="001413F4">
        <w:rPr>
          <w:rFonts w:eastAsiaTheme="minorEastAsia"/>
        </w:rPr>
        <w:t>RDR</w:t>
      </w:r>
      <w:r w:rsidR="009E1A72">
        <w:rPr>
          <w:rFonts w:eastAsiaTheme="minorEastAsia"/>
        </w:rPr>
        <w:t>)</w:t>
      </w:r>
      <w:r w:rsidRPr="001413F4">
        <w:rPr>
          <w:rFonts w:eastAsiaTheme="minorEastAsia"/>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
        <w:gridCol w:w="9113"/>
        <w:gridCol w:w="450"/>
      </w:tblGrid>
      <w:tr w:rsidR="00116C1B" w:rsidRPr="001413F4" w14:paraId="32C101BA" w14:textId="77777777" w:rsidTr="00116C1B">
        <w:tc>
          <w:tcPr>
            <w:tcW w:w="175" w:type="pct"/>
            <w:vAlign w:val="center"/>
          </w:tcPr>
          <w:p w14:paraId="174DCA5A" w14:textId="77777777" w:rsidR="00116C1B" w:rsidRPr="001413F4" w:rsidRDefault="00116C1B">
            <w:pPr>
              <w:spacing w:before="240" w:after="240" w:line="240" w:lineRule="exact"/>
              <w:jc w:val="center"/>
              <w:rPr>
                <w:rFonts w:eastAsiaTheme="minorEastAsia"/>
              </w:rPr>
            </w:pPr>
          </w:p>
        </w:tc>
        <w:tc>
          <w:tcPr>
            <w:tcW w:w="4651" w:type="pct"/>
            <w:vAlign w:val="center"/>
            <w:hideMark/>
          </w:tcPr>
          <w:p w14:paraId="1E58A3C8" w14:textId="77777777" w:rsidR="00116C1B" w:rsidRPr="001413F4" w:rsidRDefault="00116C1B">
            <w:pPr>
              <w:spacing w:before="240" w:after="240"/>
              <w:jc w:val="center"/>
              <w:rPr>
                <w:rFonts w:eastAsiaTheme="minorEastAsia"/>
              </w:rPr>
            </w:pPr>
            <m:oMathPara>
              <m:oMath>
                <m:r>
                  <w:rPr>
                    <w:rFonts w:ascii="Cambria Math" w:eastAsiaTheme="minorEastAsia" w:hAnsi="Cambria Math"/>
                  </w:rPr>
                  <m:t>RDR</m:t>
                </m:r>
                <m:d>
                  <m:dPr>
                    <m:ctrlPr>
                      <w:rPr>
                        <w:rFonts w:ascii="Cambria Math" w:hAnsi="Cambria Math"/>
                        <w:i/>
                      </w:rPr>
                    </m:ctrlPr>
                  </m:dPr>
                  <m:e>
                    <m:r>
                      <w:rPr>
                        <w:rFonts w:ascii="Cambria Math" w:hAnsi="Cambria Math"/>
                      </w:rPr>
                      <m:t>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d</m:t>
                        </m:r>
                      </m:sub>
                    </m:sSub>
                  </m:e>
                </m:d>
                <m:r>
                  <w:rPr>
                    <w:rFonts w:ascii="Cambria Math" w:eastAsiaTheme="minorEastAsia"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hint="eastAsia"/>
                          </w:rPr>
                          <m:t>e</m:t>
                        </m:r>
                        <m:r>
                          <w:rPr>
                            <w:rFonts w:ascii="Cambria Math" w:hAnsi="Cambria Math" w:hint="eastAsia"/>
                          </w:rPr>
                          <m:t>∈</m:t>
                        </m:r>
                        <m:r>
                          <w:rPr>
                            <w:rFonts w:ascii="Cambria Math" w:hAnsi="Cambria Math" w:hint="eastAsia"/>
                          </w:rPr>
                          <m:t>E</m:t>
                        </m:r>
                      </m:sub>
                      <m:sup/>
                      <m:e>
                        <m:nary>
                          <m:naryPr>
                            <m:chr m:val="∑"/>
                            <m:limLoc m:val="undOvr"/>
                            <m:supHide m:val="1"/>
                            <m:ctrlPr>
                              <w:rPr>
                                <w:rFonts w:ascii="Cambria Math" w:hAnsi="Cambria Math"/>
                                <w:i/>
                              </w:rPr>
                            </m:ctrlPr>
                          </m:naryPr>
                          <m:sub>
                            <m:r>
                              <w:rPr>
                                <w:rFonts w:ascii="Cambria Math" w:hAnsi="Cambria Math" w:hint="eastAsia"/>
                              </w:rPr>
                              <m:t>m</m:t>
                            </m:r>
                            <m:r>
                              <w:rPr>
                                <w:rFonts w:ascii="Cambria Math" w:hAnsi="Cambria Math" w:hint="eastAsia"/>
                              </w:rPr>
                              <m:t>∈</m:t>
                            </m:r>
                            <m:sSub>
                              <m:sSubPr>
                                <m:ctrlPr>
                                  <w:rPr>
                                    <w:rFonts w:ascii="Cambria Math" w:hAnsi="Cambria Math"/>
                                    <w:i/>
                                  </w:rPr>
                                </m:ctrlPr>
                              </m:sSubPr>
                              <m:e>
                                <m:r>
                                  <w:rPr>
                                    <w:rFonts w:ascii="Cambria Math" w:hAnsi="Cambria Math"/>
                                  </w:rPr>
                                  <m:t>M</m:t>
                                </m:r>
                              </m:e>
                              <m:sub>
                                <m:r>
                                  <w:rPr>
                                    <w:rFonts w:ascii="Cambria Math" w:hAnsi="Cambria Math"/>
                                  </w:rPr>
                                  <m:t>t,e,</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d</m:t>
                                    </m:r>
                                  </m:sub>
                                </m:sSub>
                              </m:sub>
                            </m:sSub>
                          </m:sub>
                          <m:sup/>
                          <m:e>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VOC</m:t>
                                    </m:r>
                                  </m:e>
                                  <m:sub>
                                    <m:r>
                                      <w:rPr>
                                        <w:rFonts w:ascii="Cambria Math" w:hAnsi="Cambria Math"/>
                                      </w:rPr>
                                      <m:t>m</m:t>
                                    </m:r>
                                  </m:sub>
                                </m:sSub>
                                <m:d>
                                  <m:dPr>
                                    <m:ctrlPr>
                                      <w:rPr>
                                        <w:rFonts w:ascii="Cambria Math" w:hAnsi="Cambria Math"/>
                                        <w:i/>
                                      </w:rPr>
                                    </m:ctrlPr>
                                  </m:dPr>
                                  <m:e>
                                    <m:r>
                                      <w:rPr>
                                        <w:rFonts w:ascii="Cambria Math" w:hAnsi="Cambria Math"/>
                                      </w:rPr>
                                      <m:t>e,t|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d</m:t>
                                        </m:r>
                                      </m:sub>
                                    </m:sSub>
                                  </m:e>
                                </m:d>
                                <m:r>
                                  <w:rPr>
                                    <w:rFonts w:ascii="Cambria Math" w:hAnsi="Cambria Math"/>
                                  </w:rPr>
                                  <m:t>-</m:t>
                                </m:r>
                                <m:sSub>
                                  <m:sSubPr>
                                    <m:ctrlPr>
                                      <w:rPr>
                                        <w:rFonts w:ascii="Cambria Math" w:hAnsi="Cambria Math"/>
                                        <w:i/>
                                      </w:rPr>
                                    </m:ctrlPr>
                                  </m:sSubPr>
                                  <m:e>
                                    <m:r>
                                      <w:rPr>
                                        <w:rFonts w:ascii="Cambria Math" w:hAnsi="Cambria Math"/>
                                      </w:rPr>
                                      <m:t>VOC</m:t>
                                    </m:r>
                                  </m:e>
                                  <m:sub>
                                    <m:r>
                                      <w:rPr>
                                        <w:rFonts w:ascii="Cambria Math" w:hAnsi="Cambria Math"/>
                                      </w:rPr>
                                      <m:t>m</m:t>
                                    </m:r>
                                  </m:sub>
                                </m:sSub>
                                <m:d>
                                  <m:dPr>
                                    <m:ctrlPr>
                                      <w:rPr>
                                        <w:rFonts w:ascii="Cambria Math" w:hAnsi="Cambria Math"/>
                                        <w:i/>
                                      </w:rPr>
                                    </m:ctrlPr>
                                  </m:dPr>
                                  <m:e>
                                    <m:r>
                                      <w:rPr>
                                        <w:rFonts w:ascii="Cambria Math" w:hAnsi="Cambria Math"/>
                                      </w:rPr>
                                      <m:t>e,t|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b</m:t>
                                        </m:r>
                                      </m:sub>
                                    </m:sSub>
                                  </m:e>
                                </m:d>
                              </m:num>
                              <m:den>
                                <m:sSub>
                                  <m:sSubPr>
                                    <m:ctrlPr>
                                      <w:rPr>
                                        <w:rFonts w:ascii="Cambria Math" w:hAnsi="Cambria Math"/>
                                        <w:i/>
                                      </w:rPr>
                                    </m:ctrlPr>
                                  </m:sSubPr>
                                  <m:e>
                                    <m:r>
                                      <w:rPr>
                                        <w:rFonts w:ascii="Cambria Math" w:hAnsi="Cambria Math"/>
                                      </w:rPr>
                                      <m:t>VOC</m:t>
                                    </m:r>
                                  </m:e>
                                  <m:sub>
                                    <m:r>
                                      <w:rPr>
                                        <w:rFonts w:ascii="Cambria Math" w:hAnsi="Cambria Math"/>
                                      </w:rPr>
                                      <m:t>m</m:t>
                                    </m:r>
                                  </m:sub>
                                </m:sSub>
                                <m:d>
                                  <m:dPr>
                                    <m:ctrlPr>
                                      <w:rPr>
                                        <w:rFonts w:ascii="Cambria Math" w:hAnsi="Cambria Math"/>
                                        <w:i/>
                                      </w:rPr>
                                    </m:ctrlPr>
                                  </m:dPr>
                                  <m:e>
                                    <m:r>
                                      <w:rPr>
                                        <w:rFonts w:ascii="Cambria Math" w:hAnsi="Cambria Math"/>
                                      </w:rPr>
                                      <m:t>e,t|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b</m:t>
                                        </m:r>
                                      </m:sub>
                                    </m:sSub>
                                  </m:e>
                                </m:d>
                              </m:den>
                            </m:f>
                            <m:r>
                              <w:rPr>
                                <w:rFonts w:ascii="Cambria Math" w:hAnsi="Cambria Math"/>
                              </w:rPr>
                              <m:t>)</m:t>
                            </m:r>
                          </m:e>
                        </m:nary>
                      </m:e>
                    </m:nary>
                  </m:num>
                  <m:den>
                    <m:nary>
                      <m:naryPr>
                        <m:chr m:val="∑"/>
                        <m:limLoc m:val="undOvr"/>
                        <m:supHide m:val="1"/>
                        <m:ctrlPr>
                          <w:rPr>
                            <w:rFonts w:ascii="Cambria Math" w:hAnsi="Cambria Math"/>
                            <w:i/>
                          </w:rPr>
                        </m:ctrlPr>
                      </m:naryPr>
                      <m:sub>
                        <m:r>
                          <w:rPr>
                            <w:rFonts w:ascii="Cambria Math" w:hAnsi="Cambria Math" w:hint="eastAsia"/>
                          </w:rPr>
                          <m:t>e</m:t>
                        </m:r>
                        <m:r>
                          <w:rPr>
                            <w:rFonts w:ascii="Cambria Math" w:hAnsi="Cambria Math" w:hint="eastAsia"/>
                          </w:rPr>
                          <m:t>∈</m:t>
                        </m:r>
                        <m:r>
                          <w:rPr>
                            <w:rFonts w:ascii="Cambria Math" w:hAnsi="Cambria Math" w:hint="eastAsia"/>
                          </w:rPr>
                          <m:t>E</m:t>
                        </m:r>
                      </m:sub>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t,e,</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d</m:t>
                                    </m:r>
                                  </m:sub>
                                </m:sSub>
                              </m:sub>
                            </m:sSub>
                          </m:e>
                        </m:d>
                      </m:e>
                    </m:nary>
                  </m:den>
                </m:f>
              </m:oMath>
            </m:oMathPara>
          </w:p>
        </w:tc>
        <w:tc>
          <w:tcPr>
            <w:tcW w:w="175" w:type="pct"/>
            <w:vAlign w:val="center"/>
            <w:hideMark/>
          </w:tcPr>
          <w:p w14:paraId="498FF544" w14:textId="77777777" w:rsidR="00116C1B" w:rsidRPr="001413F4" w:rsidRDefault="00116C1B">
            <w:pPr>
              <w:spacing w:before="240" w:after="240" w:line="240" w:lineRule="exact"/>
              <w:jc w:val="right"/>
              <w:rPr>
                <w:rFonts w:eastAsiaTheme="minorEastAsia"/>
              </w:rPr>
            </w:pPr>
            <w:r w:rsidRPr="001413F4">
              <w:rPr>
                <w:rFonts w:eastAsiaTheme="minorEastAsia"/>
              </w:rPr>
              <w:t>(5)</w:t>
            </w:r>
          </w:p>
        </w:tc>
      </w:tr>
    </w:tbl>
    <w:p w14:paraId="316C161C" w14:textId="77777777" w:rsidR="001413F4" w:rsidRDefault="00116C1B" w:rsidP="006535A0">
      <w:pPr>
        <w:spacing w:line="260" w:lineRule="atLeast"/>
        <w:jc w:val="both"/>
        <w:rPr>
          <w:rFonts w:eastAsiaTheme="minorEastAsia"/>
        </w:rPr>
      </w:pPr>
      <w:r w:rsidRPr="001413F4">
        <w:rPr>
          <w:rFonts w:eastAsiaTheme="minorEastAsia"/>
        </w:rPr>
        <w:t xml:space="preserve">Where </w:t>
      </w:r>
      <m:oMath>
        <m:sSub>
          <m:sSubPr>
            <m:ctrlPr>
              <w:rPr>
                <w:rFonts w:ascii="Cambria Math" w:hAnsi="Cambria Math"/>
                <w:i/>
              </w:rPr>
            </m:ctrlPr>
          </m:sSubPr>
          <m:e>
            <m:r>
              <w:rPr>
                <w:rFonts w:ascii="Cambria Math" w:hAnsi="Cambria Math"/>
              </w:rPr>
              <m:t>M</m:t>
            </m:r>
          </m:e>
          <m:sub>
            <m:r>
              <w:rPr>
                <w:rFonts w:ascii="Cambria Math" w:hAnsi="Cambria Math"/>
              </w:rPr>
              <m:t>t</m:t>
            </m:r>
            <m:sSub>
              <m:sSubPr>
                <m:ctrlPr>
                  <w:rPr>
                    <w:rFonts w:ascii="Cambria Math" w:eastAsiaTheme="minorEastAsia" w:hAnsi="Cambria Math"/>
                    <w:i/>
                  </w:rPr>
                </m:ctrlPr>
              </m:sSubPr>
              <m:e>
                <m:r>
                  <w:rPr>
                    <w:rFonts w:ascii="Cambria Math" w:eastAsiaTheme="minorEastAsia" w:hAnsi="Cambria Math"/>
                  </w:rPr>
                  <m:t>,e,s</m:t>
                </m:r>
              </m:e>
              <m:sub>
                <m:r>
                  <w:rPr>
                    <w:rFonts w:ascii="Cambria Math" w:eastAsiaTheme="minorEastAsia" w:hAnsi="Cambria Math"/>
                  </w:rPr>
                  <m:t>d</m:t>
                </m:r>
              </m:sub>
            </m:sSub>
          </m:sub>
        </m:sSub>
      </m:oMath>
      <w:r w:rsidRPr="001413F4">
        <w:rPr>
          <w:rFonts w:eastAsiaTheme="minorEastAsia"/>
        </w:rPr>
        <w:t xml:space="preserve"> is the </w:t>
      </w:r>
      <w:r w:rsidR="006535A0">
        <w:rPr>
          <w:rFonts w:eastAsiaTheme="minorEastAsia"/>
        </w:rPr>
        <w:t>set</w:t>
      </w:r>
      <w:r w:rsidR="006535A0" w:rsidRPr="001413F4">
        <w:rPr>
          <w:rFonts w:eastAsiaTheme="minorEastAsia"/>
        </w:rPr>
        <w:t xml:space="preserve"> </w:t>
      </w:r>
      <w:r w:rsidRPr="001413F4">
        <w:rPr>
          <w:rFonts w:eastAsiaTheme="minorEastAsia"/>
        </w:rPr>
        <w:t xml:space="preserve">of vehicles traversing link </w:t>
      </w:r>
      <m:oMath>
        <m:r>
          <w:rPr>
            <w:rFonts w:ascii="Cambria Math" w:hAnsi="Cambria Math"/>
          </w:rPr>
          <m:t>e</m:t>
        </m:r>
      </m:oMath>
      <w:r w:rsidRPr="001413F4">
        <w:rPr>
          <w:rFonts w:eastAsiaTheme="minorEastAsia"/>
        </w:rPr>
        <w:t xml:space="preserve"> during time window </w:t>
      </w:r>
      <m:oMath>
        <m:r>
          <w:rPr>
            <w:rFonts w:ascii="Cambria Math" w:eastAsiaTheme="minorEastAsia" w:hAnsi="Cambria Math"/>
          </w:rPr>
          <m:t>t</m:t>
        </m:r>
      </m:oMath>
      <w:r w:rsidRPr="001413F4">
        <w:rPr>
          <w:rFonts w:eastAsiaTheme="minorEastAsia"/>
        </w:rPr>
        <w:t xml:space="preserve"> in the scenario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d</m:t>
            </m:r>
          </m:sub>
        </m:sSub>
      </m:oMath>
      <w:r w:rsidRPr="001413F4">
        <w:rPr>
          <w:rFonts w:eastAsiaTheme="minorEastAsia"/>
        </w:rPr>
        <w:t xml:space="preserve">. </w:t>
      </w:r>
    </w:p>
    <w:p w14:paraId="1A990C56" w14:textId="77777777" w:rsidR="00116C1B" w:rsidRPr="001413F4" w:rsidRDefault="001413F4" w:rsidP="00793329">
      <w:pPr>
        <w:spacing w:line="260" w:lineRule="atLeast"/>
        <w:ind w:firstLine="284"/>
        <w:jc w:val="both"/>
        <w:rPr>
          <w:rFonts w:eastAsiaTheme="minorEastAsia"/>
        </w:rPr>
      </w:pPr>
      <w:r w:rsidRPr="00A255D7">
        <w:rPr>
          <w:shd w:val="clear" w:color="auto" w:fill="FFFFFF"/>
        </w:rPr>
        <w:t xml:space="preserve">Since both ADR and RDR refer to average changes in link saturation levels, they are expected to be different from </w:t>
      </w:r>
      <w:r w:rsidR="00141B75">
        <w:rPr>
          <w:shd w:val="clear" w:color="auto" w:fill="FFFFFF"/>
        </w:rPr>
        <w:t>zero</w:t>
      </w:r>
      <w:r w:rsidRPr="00A255D7">
        <w:rPr>
          <w:shd w:val="clear" w:color="auto" w:fill="FFFFFF"/>
        </w:rPr>
        <w:t xml:space="preserve"> when the network is disrupted </w:t>
      </w:r>
      <w:r w:rsidR="00141B75">
        <w:rPr>
          <w:shd w:val="clear" w:color="auto" w:fill="FFFFFF"/>
        </w:rPr>
        <w:t xml:space="preserve">due </w:t>
      </w:r>
      <w:r w:rsidRPr="00A255D7">
        <w:rPr>
          <w:shd w:val="clear" w:color="auto" w:fill="FFFFFF"/>
        </w:rPr>
        <w:t>to the redistribution of passenger flows.</w:t>
      </w:r>
      <w:r>
        <w:rPr>
          <w:rFonts w:eastAsiaTheme="minorEastAsia"/>
        </w:rPr>
        <w:t xml:space="preserve"> </w:t>
      </w:r>
      <w:r w:rsidR="00D92BCF">
        <w:rPr>
          <w:rFonts w:eastAsiaTheme="minorEastAsia"/>
        </w:rPr>
        <w:t>Critical</w:t>
      </w:r>
      <w:r w:rsidR="00D92BCF" w:rsidRPr="001413F4">
        <w:rPr>
          <w:rFonts w:eastAsiaTheme="minorEastAsia"/>
        </w:rPr>
        <w:t xml:space="preserve"> </w:t>
      </w:r>
      <w:r w:rsidR="00116C1B" w:rsidRPr="001413F4">
        <w:rPr>
          <w:rFonts w:eastAsiaTheme="minorEastAsia"/>
        </w:rPr>
        <w:t>links are defined as t</w:t>
      </w:r>
      <w:r w:rsidR="00D92BCF">
        <w:rPr>
          <w:rFonts w:eastAsiaTheme="minorEastAsia"/>
        </w:rPr>
        <w:t xml:space="preserve">hose whose disruption </w:t>
      </w:r>
      <w:r w:rsidR="00116C1B" w:rsidRPr="001413F4">
        <w:rPr>
          <w:rFonts w:eastAsiaTheme="minorEastAsia"/>
        </w:rPr>
        <w:t>result</w:t>
      </w:r>
      <w:r w:rsidR="00D92BCF">
        <w:rPr>
          <w:rFonts w:eastAsiaTheme="minorEastAsia"/>
        </w:rPr>
        <w:t>s</w:t>
      </w:r>
      <w:r w:rsidR="00116C1B" w:rsidRPr="001413F4">
        <w:rPr>
          <w:rFonts w:eastAsiaTheme="minorEastAsia"/>
        </w:rPr>
        <w:t xml:space="preserve"> </w:t>
      </w:r>
      <w:r w:rsidR="008476A8">
        <w:rPr>
          <w:rFonts w:eastAsiaTheme="minorEastAsia"/>
        </w:rPr>
        <w:t>in</w:t>
      </w:r>
      <w:r w:rsidR="008476A8" w:rsidRPr="001413F4">
        <w:rPr>
          <w:rFonts w:eastAsiaTheme="minorEastAsia"/>
        </w:rPr>
        <w:t xml:space="preserve"> </w:t>
      </w:r>
      <w:r w:rsidR="00116C1B" w:rsidRPr="001413F4">
        <w:rPr>
          <w:rFonts w:eastAsiaTheme="minorEastAsia"/>
        </w:rPr>
        <w:t>the greatest impacts</w:t>
      </w:r>
      <w:r w:rsidR="00257B63" w:rsidRPr="001413F4">
        <w:rPr>
          <w:rFonts w:eastAsiaTheme="minorEastAsia"/>
        </w:rPr>
        <w:t xml:space="preserve">, i.e. the highest values of ADR and RDR. ADR </w:t>
      </w:r>
      <w:r w:rsidRPr="001413F4">
        <w:rPr>
          <w:rFonts w:eastAsiaTheme="minorEastAsia"/>
        </w:rPr>
        <w:t xml:space="preserve">can be </w:t>
      </w:r>
      <w:r w:rsidR="00257B63" w:rsidRPr="001413F4">
        <w:rPr>
          <w:rFonts w:eastAsiaTheme="minorEastAsia"/>
        </w:rPr>
        <w:t>used to estimate the recovery time</w:t>
      </w:r>
      <w:r w:rsidR="00982A4A" w:rsidRPr="001413F4">
        <w:rPr>
          <w:rFonts w:eastAsiaTheme="minorEastAsia"/>
        </w:rPr>
        <w:t>, i.e. the time the system need</w:t>
      </w:r>
      <w:r w:rsidR="00071E71" w:rsidRPr="001413F4">
        <w:rPr>
          <w:rFonts w:eastAsiaTheme="minorEastAsia"/>
        </w:rPr>
        <w:t>s</w:t>
      </w:r>
      <w:r w:rsidR="00982A4A" w:rsidRPr="001413F4">
        <w:rPr>
          <w:rFonts w:eastAsiaTheme="minorEastAsia"/>
        </w:rPr>
        <w:t xml:space="preserve"> to</w:t>
      </w:r>
      <w:r w:rsidR="00071E71" w:rsidRPr="001413F4">
        <w:rPr>
          <w:rFonts w:eastAsiaTheme="minorEastAsia"/>
        </w:rPr>
        <w:t xml:space="preserve"> return to its</w:t>
      </w:r>
      <w:r w:rsidR="00982A4A" w:rsidRPr="001413F4">
        <w:rPr>
          <w:rFonts w:eastAsiaTheme="minorEastAsia"/>
        </w:rPr>
        <w:t xml:space="preserve"> initial performa</w:t>
      </w:r>
      <w:r w:rsidR="00071E71" w:rsidRPr="001413F4">
        <w:rPr>
          <w:rFonts w:eastAsiaTheme="minorEastAsia"/>
        </w:rPr>
        <w:t>n</w:t>
      </w:r>
      <w:r w:rsidR="00982A4A" w:rsidRPr="001413F4">
        <w:rPr>
          <w:rFonts w:eastAsiaTheme="minorEastAsia"/>
        </w:rPr>
        <w:t xml:space="preserve">ce </w:t>
      </w:r>
      <w:r w:rsidR="00435EC6" w:rsidRPr="001413F4">
        <w:rPr>
          <w:rFonts w:eastAsiaTheme="minorEastAsia"/>
        </w:rPr>
        <w:t>level</w:t>
      </w:r>
      <w:r w:rsidR="00116C1B" w:rsidRPr="001413F4">
        <w:rPr>
          <w:rFonts w:eastAsiaTheme="minorEastAsia"/>
        </w:rPr>
        <w:t>.</w:t>
      </w:r>
      <w:r w:rsidR="00982A4A" w:rsidRPr="001413F4">
        <w:rPr>
          <w:rFonts w:eastAsiaTheme="minorEastAsia"/>
        </w:rPr>
        <w:t xml:space="preserve"> </w:t>
      </w:r>
      <w:r w:rsidR="00004F29" w:rsidRPr="001413F4">
        <w:rPr>
          <w:rFonts w:eastAsiaTheme="minorEastAsia"/>
        </w:rPr>
        <w:t>W</w:t>
      </w:r>
      <w:r w:rsidR="009D3AF1" w:rsidRPr="001413F4">
        <w:rPr>
          <w:rFonts w:eastAsiaTheme="minorEastAsia"/>
        </w:rPr>
        <w:t>hen the</w:t>
      </w:r>
      <w:r w:rsidR="00982A4A" w:rsidRPr="001413F4">
        <w:rPr>
          <w:rFonts w:eastAsiaTheme="minorEastAsia"/>
        </w:rPr>
        <w:t xml:space="preserve"> ADR </w:t>
      </w:r>
      <w:r w:rsidR="00435EC6" w:rsidRPr="001413F4">
        <w:rPr>
          <w:rFonts w:eastAsiaTheme="minorEastAsia"/>
        </w:rPr>
        <w:t>approaches</w:t>
      </w:r>
      <w:r w:rsidR="00982A4A" w:rsidRPr="001413F4">
        <w:rPr>
          <w:rFonts w:eastAsiaTheme="minorEastAsia"/>
        </w:rPr>
        <w:t xml:space="preserve"> zero, the network has returned to the baseline condition and the impacts provoked by the disruption has been adsorbed. </w:t>
      </w:r>
      <w:r w:rsidR="00435EC6" w:rsidRPr="00F51DDA">
        <w:rPr>
          <w:shd w:val="clear" w:color="auto" w:fill="FFFFFF"/>
        </w:rPr>
        <w:t xml:space="preserve">The impacts of the disruption are likely to </w:t>
      </w:r>
      <w:r w:rsidR="00D92BCF">
        <w:rPr>
          <w:shd w:val="clear" w:color="auto" w:fill="FFFFFF"/>
        </w:rPr>
        <w:t>increase</w:t>
      </w:r>
      <w:r w:rsidR="00D92BCF" w:rsidRPr="00F51DDA">
        <w:rPr>
          <w:shd w:val="clear" w:color="auto" w:fill="FFFFFF"/>
        </w:rPr>
        <w:t xml:space="preserve"> </w:t>
      </w:r>
      <w:r w:rsidR="00435EC6" w:rsidRPr="00F51DDA">
        <w:rPr>
          <w:shd w:val="clear" w:color="auto" w:fill="FFFFFF"/>
        </w:rPr>
        <w:t xml:space="preserve">with </w:t>
      </w:r>
      <w:r w:rsidR="00D92BCF">
        <w:rPr>
          <w:shd w:val="clear" w:color="auto" w:fill="FFFFFF"/>
        </w:rPr>
        <w:t xml:space="preserve">the </w:t>
      </w:r>
      <w:r w:rsidR="00435EC6" w:rsidRPr="00F51DDA">
        <w:rPr>
          <w:shd w:val="clear" w:color="auto" w:fill="FFFFFF"/>
        </w:rPr>
        <w:t>recovery time in the absence of disruption management measures.</w:t>
      </w:r>
    </w:p>
    <w:p w14:paraId="7C7B02C0" w14:textId="77777777" w:rsidR="004A56E6" w:rsidRPr="001413F4" w:rsidRDefault="004A56E6" w:rsidP="00585031">
      <w:pPr>
        <w:spacing w:line="260" w:lineRule="exact"/>
        <w:jc w:val="both"/>
        <w:rPr>
          <w:rFonts w:eastAsiaTheme="minorEastAsia"/>
        </w:rPr>
      </w:pPr>
    </w:p>
    <w:p w14:paraId="162572D8" w14:textId="77777777" w:rsidR="00116C1B" w:rsidRPr="001413F4" w:rsidRDefault="00116C1B" w:rsidP="00116C1B">
      <w:pPr>
        <w:pStyle w:val="Els-1storder-head"/>
        <w:rPr>
          <w:sz w:val="22"/>
          <w:szCs w:val="22"/>
        </w:rPr>
      </w:pPr>
      <w:r w:rsidRPr="001413F4">
        <w:rPr>
          <w:sz w:val="22"/>
          <w:szCs w:val="22"/>
        </w:rPr>
        <w:t>Application</w:t>
      </w:r>
    </w:p>
    <w:p w14:paraId="35B37BF2" w14:textId="77777777" w:rsidR="00116C1B" w:rsidRPr="001413F4" w:rsidRDefault="00116C1B" w:rsidP="00116C1B">
      <w:pPr>
        <w:pStyle w:val="Els-2ndorder-head"/>
      </w:pPr>
      <w:r w:rsidRPr="001413F4">
        <w:t>Network description</w:t>
      </w:r>
    </w:p>
    <w:p w14:paraId="41A6C496" w14:textId="77777777" w:rsidR="00AB54E4" w:rsidRPr="001413F4" w:rsidRDefault="00981B7E" w:rsidP="00107BE5">
      <w:pPr>
        <w:spacing w:line="260" w:lineRule="exact"/>
        <w:ind w:firstLine="238"/>
        <w:jc w:val="both"/>
        <w:rPr>
          <w:lang w:val="en-US"/>
        </w:rPr>
      </w:pPr>
      <w:r>
        <w:rPr>
          <w:lang w:val="en-US"/>
        </w:rPr>
        <w:t xml:space="preserve">We illustrate our </w:t>
      </w:r>
      <w:r w:rsidR="00116C1B" w:rsidRPr="001413F4">
        <w:rPr>
          <w:lang w:val="en-US"/>
        </w:rPr>
        <w:t xml:space="preserve">approach by an application to the Stockholm rapid transit system (Figure 1), made up of seven Metro lines (lines 10, 11, 13, 14, 17, 18, 19), four high-demand trunk bus lines (lines 1, 2, 3, 4) and one light rail train line (line 22). </w:t>
      </w:r>
      <w:r w:rsidR="00180313" w:rsidRPr="001413F4">
        <w:rPr>
          <w:lang w:val="en-US"/>
        </w:rPr>
        <w:t xml:space="preserve">The Stockholm network consists of a </w:t>
      </w:r>
      <w:r w:rsidR="00204835" w:rsidRPr="001413F4">
        <w:rPr>
          <w:lang w:val="en-US"/>
        </w:rPr>
        <w:t xml:space="preserve">mature and </w:t>
      </w:r>
      <w:r w:rsidR="00180313" w:rsidRPr="001413F4">
        <w:rPr>
          <w:lang w:val="en-US"/>
        </w:rPr>
        <w:t xml:space="preserve">dense </w:t>
      </w:r>
      <w:r w:rsidR="00204835" w:rsidRPr="001413F4">
        <w:rPr>
          <w:lang w:val="en-US"/>
        </w:rPr>
        <w:t xml:space="preserve">multi-modal </w:t>
      </w:r>
      <w:r w:rsidR="00180313" w:rsidRPr="001413F4">
        <w:rPr>
          <w:lang w:val="en-US"/>
        </w:rPr>
        <w:t>core that offers route choice alternatives and</w:t>
      </w:r>
      <w:r w:rsidR="00833877" w:rsidRPr="001413F4">
        <w:rPr>
          <w:lang w:val="en-US"/>
        </w:rPr>
        <w:t xml:space="preserve"> the system </w:t>
      </w:r>
      <w:r w:rsidR="00180313" w:rsidRPr="001413F4">
        <w:rPr>
          <w:lang w:val="en-US"/>
        </w:rPr>
        <w:t>is s</w:t>
      </w:r>
      <w:r w:rsidR="00833877" w:rsidRPr="001413F4">
        <w:rPr>
          <w:lang w:val="en-US"/>
        </w:rPr>
        <w:t xml:space="preserve">ubject to recurrent disruptions, especially under adverse weather conditions. </w:t>
      </w:r>
    </w:p>
    <w:p w14:paraId="35D087E2" w14:textId="77777777" w:rsidR="00116C1B" w:rsidRPr="001413F4" w:rsidRDefault="00116C1B" w:rsidP="00585031">
      <w:pPr>
        <w:spacing w:line="260" w:lineRule="exact"/>
        <w:ind w:firstLine="238"/>
        <w:jc w:val="both"/>
        <w:rPr>
          <w:lang w:val="en-US"/>
        </w:rPr>
      </w:pPr>
      <w:r w:rsidRPr="001413F4">
        <w:rPr>
          <w:lang w:val="en-US"/>
        </w:rPr>
        <w:t xml:space="preserve">The three transit modes are modeled with different vehicle types, operating speeds, travel time variability, dwell time functions and holding strategies to reflect the differences in their service characteristics. Key attributes of each public transport mode and the corresponding lines are shown in Table 1. </w:t>
      </w:r>
    </w:p>
    <w:p w14:paraId="1BF9B754" w14:textId="77777777" w:rsidR="00116C1B" w:rsidRPr="001413F4" w:rsidRDefault="00116C1B" w:rsidP="00116C1B">
      <w:pPr>
        <w:jc w:val="center"/>
        <w:rPr>
          <w:sz w:val="18"/>
          <w:szCs w:val="18"/>
          <w:lang w:val="en-US"/>
        </w:rPr>
      </w:pPr>
      <w:r w:rsidRPr="002B6B9E">
        <w:rPr>
          <w:noProof/>
          <w:lang w:eastAsia="en-GB"/>
        </w:rPr>
        <w:lastRenderedPageBreak/>
        <w:drawing>
          <wp:anchor distT="0" distB="0" distL="114300" distR="114300" simplePos="0" relativeHeight="251659776" behindDoc="0" locked="0" layoutInCell="1" allowOverlap="1" wp14:anchorId="1C5E0686" wp14:editId="5E2D11BA">
            <wp:simplePos x="0" y="0"/>
            <wp:positionH relativeFrom="column">
              <wp:posOffset>3928110</wp:posOffset>
            </wp:positionH>
            <wp:positionV relativeFrom="paragraph">
              <wp:posOffset>1134745</wp:posOffset>
            </wp:positionV>
            <wp:extent cx="1455420" cy="792480"/>
            <wp:effectExtent l="1905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5420" cy="792480"/>
                    </a:xfrm>
                    <a:prstGeom prst="rect">
                      <a:avLst/>
                    </a:prstGeom>
                    <a:noFill/>
                  </pic:spPr>
                </pic:pic>
              </a:graphicData>
            </a:graphic>
          </wp:anchor>
        </w:drawing>
      </w:r>
      <w:r w:rsidRPr="002B6B9E">
        <w:rPr>
          <w:noProof/>
          <w:sz w:val="24"/>
          <w:szCs w:val="24"/>
          <w:lang w:eastAsia="en-GB"/>
        </w:rPr>
        <w:drawing>
          <wp:inline distT="0" distB="0" distL="0" distR="0" wp14:anchorId="020DFE9E" wp14:editId="59390543">
            <wp:extent cx="3110346" cy="2947501"/>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0" cstate="print">
                      <a:extLst>
                        <a:ext uri="{28A0092B-C50C-407E-A947-70E740481C1C}">
                          <a14:useLocalDpi xmlns:a14="http://schemas.microsoft.com/office/drawing/2010/main" val="0"/>
                        </a:ext>
                      </a:extLst>
                    </a:blip>
                    <a:srcRect l="3053" r="5457"/>
                    <a:stretch>
                      <a:fillRect/>
                    </a:stretch>
                  </pic:blipFill>
                  <pic:spPr bwMode="auto">
                    <a:xfrm>
                      <a:off x="0" y="0"/>
                      <a:ext cx="3121181" cy="2957769"/>
                    </a:xfrm>
                    <a:prstGeom prst="rect">
                      <a:avLst/>
                    </a:prstGeom>
                    <a:noFill/>
                    <a:ln>
                      <a:noFill/>
                    </a:ln>
                  </pic:spPr>
                </pic:pic>
              </a:graphicData>
            </a:graphic>
          </wp:inline>
        </w:drawing>
      </w:r>
      <w:r w:rsidRPr="001413F4">
        <w:rPr>
          <w:sz w:val="18"/>
          <w:szCs w:val="18"/>
          <w:lang w:val="en-US"/>
        </w:rPr>
        <w:tab/>
        <w:t xml:space="preserve">  </w:t>
      </w:r>
      <w:r w:rsidRPr="001413F4">
        <w:rPr>
          <w:sz w:val="18"/>
          <w:szCs w:val="18"/>
          <w:lang w:val="en-US"/>
        </w:rPr>
        <w:tab/>
      </w:r>
      <w:r w:rsidRPr="001413F4">
        <w:rPr>
          <w:sz w:val="18"/>
          <w:szCs w:val="18"/>
          <w:lang w:val="en-US"/>
        </w:rPr>
        <w:tab/>
        <w:t xml:space="preserve"> </w:t>
      </w:r>
    </w:p>
    <w:p w14:paraId="55FADD44" w14:textId="77777777" w:rsidR="000A5025" w:rsidRPr="001413F4" w:rsidRDefault="00116C1B" w:rsidP="009D46B1">
      <w:pPr>
        <w:spacing w:before="200" w:after="240" w:line="200" w:lineRule="exact"/>
        <w:jc w:val="center"/>
        <w:rPr>
          <w:noProof/>
          <w:sz w:val="16"/>
          <w:szCs w:val="16"/>
          <w:lang w:eastAsia="it-IT"/>
        </w:rPr>
      </w:pPr>
      <w:r w:rsidRPr="001413F4">
        <w:rPr>
          <w:noProof/>
          <w:sz w:val="16"/>
          <w:szCs w:val="16"/>
          <w:lang w:eastAsia="it-IT"/>
        </w:rPr>
        <w:t xml:space="preserve">Figure 1: Stockholm </w:t>
      </w:r>
      <w:r w:rsidR="002F49BA">
        <w:rPr>
          <w:noProof/>
          <w:sz w:val="16"/>
          <w:szCs w:val="16"/>
          <w:lang w:eastAsia="it-IT"/>
        </w:rPr>
        <w:t xml:space="preserve">rapit transit network </w:t>
      </w:r>
      <w:r w:rsidRPr="001413F4">
        <w:rPr>
          <w:noProof/>
          <w:sz w:val="16"/>
          <w:szCs w:val="16"/>
          <w:lang w:eastAsia="it-IT"/>
        </w:rPr>
        <w:t>as displayed by BusMezzo</w:t>
      </w:r>
    </w:p>
    <w:p w14:paraId="14076C0C" w14:textId="77777777" w:rsidR="00116C1B" w:rsidRPr="001413F4" w:rsidRDefault="00116C1B" w:rsidP="004A6D3E">
      <w:pPr>
        <w:spacing w:before="200" w:after="80" w:line="200" w:lineRule="exact"/>
        <w:ind w:left="992"/>
        <w:rPr>
          <w:noProof/>
          <w:sz w:val="16"/>
          <w:szCs w:val="16"/>
          <w:lang w:eastAsia="it-IT"/>
        </w:rPr>
      </w:pPr>
      <w:r w:rsidRPr="001413F4">
        <w:rPr>
          <w:noProof/>
          <w:sz w:val="16"/>
          <w:szCs w:val="16"/>
          <w:lang w:eastAsia="it-IT"/>
        </w:rPr>
        <w:t xml:space="preserve">Table 1: Service </w:t>
      </w:r>
      <w:r w:rsidR="004A6D3E">
        <w:rPr>
          <w:noProof/>
          <w:sz w:val="16"/>
          <w:szCs w:val="16"/>
          <w:lang w:eastAsia="it-IT"/>
        </w:rPr>
        <w:t>mode</w:t>
      </w:r>
      <w:r w:rsidR="004A6D3E" w:rsidRPr="001413F4">
        <w:rPr>
          <w:noProof/>
          <w:sz w:val="16"/>
          <w:szCs w:val="16"/>
          <w:lang w:eastAsia="it-IT"/>
        </w:rPr>
        <w:t xml:space="preserve"> </w:t>
      </w:r>
      <w:r w:rsidRPr="001413F4">
        <w:rPr>
          <w:noProof/>
          <w:sz w:val="16"/>
          <w:szCs w:val="16"/>
          <w:lang w:eastAsia="it-IT"/>
        </w:rPr>
        <w:t>attributes</w:t>
      </w:r>
    </w:p>
    <w:tbl>
      <w:tblPr>
        <w:tblStyle w:val="Tabellagriglia6acolori-colore5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
        <w:gridCol w:w="1576"/>
        <w:gridCol w:w="723"/>
        <w:gridCol w:w="1061"/>
        <w:gridCol w:w="2510"/>
      </w:tblGrid>
      <w:tr w:rsidR="00116C1B" w:rsidRPr="00686ABA" w14:paraId="77239353" w14:textId="77777777" w:rsidTr="009D46B1">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nil"/>
              <w:bottom w:val="single" w:sz="4" w:space="0" w:color="auto"/>
              <w:right w:val="nil"/>
            </w:tcBorders>
            <w:shd w:val="clear" w:color="auto" w:fill="auto"/>
            <w:vAlign w:val="center"/>
            <w:hideMark/>
          </w:tcPr>
          <w:p w14:paraId="7BC8C2E0" w14:textId="77777777" w:rsidR="00116C1B" w:rsidRPr="00686ABA" w:rsidRDefault="004A6D3E">
            <w:pPr>
              <w:spacing w:line="276" w:lineRule="auto"/>
              <w:jc w:val="center"/>
              <w:rPr>
                <w:b w:val="0"/>
                <w:color w:val="auto"/>
                <w:sz w:val="16"/>
                <w:szCs w:val="18"/>
                <w:lang w:val="en-US"/>
              </w:rPr>
            </w:pPr>
            <w:r>
              <w:rPr>
                <w:color w:val="auto"/>
                <w:sz w:val="16"/>
                <w:szCs w:val="18"/>
                <w:lang w:val="en-US"/>
              </w:rPr>
              <w:t>MODE</w:t>
            </w:r>
          </w:p>
        </w:tc>
        <w:tc>
          <w:tcPr>
            <w:tcW w:w="0" w:type="auto"/>
            <w:tcBorders>
              <w:top w:val="single" w:sz="4" w:space="0" w:color="auto"/>
              <w:left w:val="nil"/>
              <w:bottom w:val="single" w:sz="4" w:space="0" w:color="auto"/>
              <w:right w:val="nil"/>
            </w:tcBorders>
            <w:shd w:val="clear" w:color="auto" w:fill="auto"/>
            <w:vAlign w:val="center"/>
            <w:hideMark/>
          </w:tcPr>
          <w:p w14:paraId="5FE90641" w14:textId="77777777" w:rsidR="00116C1B" w:rsidRPr="00686ABA" w:rsidRDefault="00116C1B">
            <w:pPr>
              <w:spacing w:line="276" w:lineRule="auto"/>
              <w:jc w:val="center"/>
              <w:cnfStyle w:val="100000000000" w:firstRow="1" w:lastRow="0" w:firstColumn="0" w:lastColumn="0" w:oddVBand="0" w:evenVBand="0" w:oddHBand="0" w:evenHBand="0" w:firstRowFirstColumn="0" w:firstRowLastColumn="0" w:lastRowFirstColumn="0" w:lastRowLastColumn="0"/>
              <w:rPr>
                <w:b w:val="0"/>
                <w:color w:val="auto"/>
                <w:sz w:val="16"/>
                <w:lang w:val="en-US"/>
              </w:rPr>
            </w:pPr>
            <w:r w:rsidRPr="00686ABA">
              <w:rPr>
                <w:color w:val="auto"/>
                <w:sz w:val="16"/>
                <w:szCs w:val="18"/>
                <w:lang w:val="en-US"/>
              </w:rPr>
              <w:t>LINES</w:t>
            </w:r>
          </w:p>
        </w:tc>
        <w:tc>
          <w:tcPr>
            <w:tcW w:w="0" w:type="auto"/>
            <w:tcBorders>
              <w:top w:val="single" w:sz="4" w:space="0" w:color="auto"/>
              <w:left w:val="nil"/>
              <w:bottom w:val="single" w:sz="4" w:space="0" w:color="auto"/>
              <w:right w:val="nil"/>
            </w:tcBorders>
            <w:shd w:val="clear" w:color="auto" w:fill="auto"/>
            <w:vAlign w:val="center"/>
            <w:hideMark/>
          </w:tcPr>
          <w:p w14:paraId="09A1E7A0" w14:textId="77777777" w:rsidR="00116C1B" w:rsidRPr="00686ABA" w:rsidRDefault="00116C1B">
            <w:pPr>
              <w:spacing w:line="276" w:lineRule="auto"/>
              <w:jc w:val="center"/>
              <w:cnfStyle w:val="100000000000" w:firstRow="1" w:lastRow="0" w:firstColumn="0" w:lastColumn="0" w:oddVBand="0" w:evenVBand="0" w:oddHBand="0" w:evenHBand="0" w:firstRowFirstColumn="0" w:firstRowLastColumn="0" w:lastRowFirstColumn="0" w:lastRowLastColumn="0"/>
              <w:rPr>
                <w:b w:val="0"/>
                <w:color w:val="auto"/>
                <w:sz w:val="16"/>
                <w:szCs w:val="18"/>
                <w:lang w:val="en-US"/>
              </w:rPr>
            </w:pPr>
            <w:r w:rsidRPr="00686ABA">
              <w:rPr>
                <w:color w:val="auto"/>
                <w:sz w:val="16"/>
                <w:szCs w:val="18"/>
                <w:lang w:val="en-US"/>
              </w:rPr>
              <w:t>SEATS</w:t>
            </w:r>
          </w:p>
        </w:tc>
        <w:tc>
          <w:tcPr>
            <w:tcW w:w="0" w:type="auto"/>
            <w:tcBorders>
              <w:top w:val="single" w:sz="4" w:space="0" w:color="auto"/>
              <w:left w:val="nil"/>
              <w:bottom w:val="single" w:sz="4" w:space="0" w:color="auto"/>
              <w:right w:val="nil"/>
            </w:tcBorders>
            <w:shd w:val="clear" w:color="auto" w:fill="auto"/>
            <w:vAlign w:val="center"/>
            <w:hideMark/>
          </w:tcPr>
          <w:p w14:paraId="233F89D8" w14:textId="77777777" w:rsidR="00116C1B" w:rsidRPr="00686ABA" w:rsidRDefault="00116C1B">
            <w:pPr>
              <w:spacing w:line="276" w:lineRule="auto"/>
              <w:jc w:val="center"/>
              <w:cnfStyle w:val="100000000000" w:firstRow="1" w:lastRow="0" w:firstColumn="0" w:lastColumn="0" w:oddVBand="0" w:evenVBand="0" w:oddHBand="0" w:evenHBand="0" w:firstRowFirstColumn="0" w:firstRowLastColumn="0" w:lastRowFirstColumn="0" w:lastRowLastColumn="0"/>
              <w:rPr>
                <w:b w:val="0"/>
                <w:color w:val="auto"/>
                <w:sz w:val="16"/>
                <w:szCs w:val="18"/>
                <w:lang w:val="en-US"/>
              </w:rPr>
            </w:pPr>
            <w:r w:rsidRPr="00686ABA">
              <w:rPr>
                <w:color w:val="auto"/>
                <w:sz w:val="16"/>
                <w:szCs w:val="18"/>
                <w:lang w:val="en-US"/>
              </w:rPr>
              <w:t>CAPACITY</w:t>
            </w:r>
          </w:p>
        </w:tc>
        <w:tc>
          <w:tcPr>
            <w:tcW w:w="0" w:type="auto"/>
            <w:tcBorders>
              <w:top w:val="single" w:sz="4" w:space="0" w:color="auto"/>
              <w:left w:val="nil"/>
              <w:bottom w:val="single" w:sz="4" w:space="0" w:color="auto"/>
              <w:right w:val="nil"/>
            </w:tcBorders>
            <w:shd w:val="clear" w:color="auto" w:fill="auto"/>
            <w:vAlign w:val="center"/>
            <w:hideMark/>
          </w:tcPr>
          <w:p w14:paraId="5797D718" w14:textId="77777777" w:rsidR="00116C1B" w:rsidRPr="00686ABA" w:rsidRDefault="00116C1B">
            <w:pPr>
              <w:spacing w:line="276" w:lineRule="auto"/>
              <w:jc w:val="center"/>
              <w:cnfStyle w:val="100000000000" w:firstRow="1" w:lastRow="0" w:firstColumn="0" w:lastColumn="0" w:oddVBand="0" w:evenVBand="0" w:oddHBand="0" w:evenHBand="0" w:firstRowFirstColumn="0" w:firstRowLastColumn="0" w:lastRowFirstColumn="0" w:lastRowLastColumn="0"/>
              <w:rPr>
                <w:b w:val="0"/>
                <w:color w:val="auto"/>
                <w:sz w:val="16"/>
                <w:szCs w:val="18"/>
                <w:lang w:val="en-US"/>
              </w:rPr>
            </w:pPr>
            <w:r w:rsidRPr="00686ABA">
              <w:rPr>
                <w:color w:val="auto"/>
                <w:sz w:val="16"/>
                <w:szCs w:val="18"/>
                <w:lang w:val="en-US"/>
              </w:rPr>
              <w:t>SCHEDULED HEAD</w:t>
            </w:r>
            <w:r w:rsidR="009D46B1">
              <w:rPr>
                <w:color w:val="auto"/>
                <w:sz w:val="16"/>
                <w:szCs w:val="18"/>
                <w:lang w:val="en-US"/>
              </w:rPr>
              <w:t>WAY</w:t>
            </w:r>
            <w:r w:rsidRPr="00686ABA">
              <w:rPr>
                <w:color w:val="auto"/>
                <w:sz w:val="16"/>
                <w:szCs w:val="18"/>
                <w:lang w:val="en-US"/>
              </w:rPr>
              <w:t xml:space="preserve"> </w:t>
            </w:r>
            <w:r w:rsidR="009D46B1">
              <w:rPr>
                <w:color w:val="auto"/>
                <w:sz w:val="16"/>
                <w:szCs w:val="18"/>
                <w:lang w:val="en-US"/>
              </w:rPr>
              <w:t>[</w:t>
            </w:r>
            <w:r w:rsidRPr="00686ABA">
              <w:rPr>
                <w:i/>
                <w:color w:val="auto"/>
                <w:sz w:val="16"/>
                <w:szCs w:val="18"/>
                <w:lang w:val="en-US"/>
              </w:rPr>
              <w:t>min</w:t>
            </w:r>
            <w:r w:rsidR="009D46B1">
              <w:rPr>
                <w:color w:val="auto"/>
                <w:sz w:val="16"/>
                <w:szCs w:val="18"/>
                <w:lang w:val="en-US"/>
              </w:rPr>
              <w:t>]</w:t>
            </w:r>
          </w:p>
        </w:tc>
      </w:tr>
      <w:tr w:rsidR="00116C1B" w:rsidRPr="00686ABA" w14:paraId="3C79AE79" w14:textId="77777777" w:rsidTr="009D46B1">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nil"/>
              <w:bottom w:val="nil"/>
              <w:right w:val="nil"/>
            </w:tcBorders>
            <w:shd w:val="clear" w:color="auto" w:fill="auto"/>
            <w:hideMark/>
          </w:tcPr>
          <w:p w14:paraId="2AD7CEAA" w14:textId="77777777" w:rsidR="00116C1B" w:rsidRPr="00686ABA" w:rsidRDefault="00116C1B">
            <w:pPr>
              <w:spacing w:line="276" w:lineRule="auto"/>
              <w:jc w:val="center"/>
              <w:rPr>
                <w:b w:val="0"/>
                <w:color w:val="auto"/>
                <w:sz w:val="16"/>
                <w:lang w:val="en-US"/>
              </w:rPr>
            </w:pPr>
            <w:r w:rsidRPr="00686ABA">
              <w:rPr>
                <w:color w:val="auto"/>
                <w:sz w:val="16"/>
                <w:lang w:val="en-US"/>
              </w:rPr>
              <w:t>METRO</w:t>
            </w:r>
          </w:p>
        </w:tc>
        <w:tc>
          <w:tcPr>
            <w:tcW w:w="0" w:type="auto"/>
            <w:tcBorders>
              <w:top w:val="single" w:sz="4" w:space="0" w:color="auto"/>
              <w:left w:val="nil"/>
              <w:bottom w:val="nil"/>
              <w:right w:val="nil"/>
            </w:tcBorders>
            <w:shd w:val="clear" w:color="auto" w:fill="auto"/>
            <w:hideMark/>
          </w:tcPr>
          <w:p w14:paraId="34201ECF" w14:textId="77777777" w:rsidR="00116C1B" w:rsidRPr="00686ABA" w:rsidRDefault="00116C1B">
            <w:pPr>
              <w:spacing w:line="276" w:lineRule="auto"/>
              <w:jc w:val="center"/>
              <w:cnfStyle w:val="000000100000" w:firstRow="0" w:lastRow="0" w:firstColumn="0" w:lastColumn="0" w:oddVBand="0" w:evenVBand="0" w:oddHBand="1" w:evenHBand="0" w:firstRowFirstColumn="0" w:firstRowLastColumn="0" w:lastRowFirstColumn="0" w:lastRowLastColumn="0"/>
              <w:rPr>
                <w:bCs/>
                <w:color w:val="auto"/>
                <w:sz w:val="16"/>
                <w:szCs w:val="18"/>
                <w:lang w:val="en-US"/>
              </w:rPr>
            </w:pPr>
            <w:r w:rsidRPr="00686ABA">
              <w:rPr>
                <w:bCs/>
                <w:color w:val="auto"/>
                <w:sz w:val="16"/>
                <w:szCs w:val="18"/>
                <w:lang w:val="en-US"/>
              </w:rPr>
              <w:t>10,11,13,14,17,18,19</w:t>
            </w:r>
          </w:p>
        </w:tc>
        <w:tc>
          <w:tcPr>
            <w:tcW w:w="0" w:type="auto"/>
            <w:tcBorders>
              <w:top w:val="single" w:sz="4" w:space="0" w:color="auto"/>
              <w:left w:val="nil"/>
              <w:bottom w:val="nil"/>
              <w:right w:val="nil"/>
            </w:tcBorders>
            <w:shd w:val="clear" w:color="auto" w:fill="auto"/>
            <w:hideMark/>
          </w:tcPr>
          <w:p w14:paraId="4F4AB6E0" w14:textId="77777777" w:rsidR="00116C1B" w:rsidRPr="00686ABA" w:rsidRDefault="00116C1B">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16"/>
                <w:szCs w:val="18"/>
                <w:lang w:val="en-US"/>
              </w:rPr>
            </w:pPr>
            <w:r w:rsidRPr="00686ABA">
              <w:rPr>
                <w:color w:val="auto"/>
                <w:sz w:val="16"/>
                <w:szCs w:val="18"/>
                <w:lang w:val="en-US"/>
              </w:rPr>
              <w:t>300</w:t>
            </w:r>
          </w:p>
        </w:tc>
        <w:tc>
          <w:tcPr>
            <w:tcW w:w="0" w:type="auto"/>
            <w:tcBorders>
              <w:top w:val="single" w:sz="4" w:space="0" w:color="auto"/>
              <w:left w:val="nil"/>
              <w:bottom w:val="nil"/>
              <w:right w:val="nil"/>
            </w:tcBorders>
            <w:shd w:val="clear" w:color="auto" w:fill="auto"/>
            <w:hideMark/>
          </w:tcPr>
          <w:p w14:paraId="00569AC0" w14:textId="77777777" w:rsidR="00116C1B" w:rsidRPr="00686ABA" w:rsidRDefault="00116C1B">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16"/>
                <w:szCs w:val="18"/>
                <w:lang w:val="en-US"/>
              </w:rPr>
            </w:pPr>
            <w:r w:rsidRPr="00686ABA">
              <w:rPr>
                <w:color w:val="auto"/>
                <w:sz w:val="16"/>
                <w:szCs w:val="18"/>
                <w:lang w:val="en-US"/>
              </w:rPr>
              <w:t>1000</w:t>
            </w:r>
          </w:p>
        </w:tc>
        <w:tc>
          <w:tcPr>
            <w:tcW w:w="0" w:type="auto"/>
            <w:tcBorders>
              <w:top w:val="single" w:sz="4" w:space="0" w:color="auto"/>
              <w:left w:val="nil"/>
              <w:bottom w:val="nil"/>
              <w:right w:val="nil"/>
            </w:tcBorders>
            <w:shd w:val="clear" w:color="auto" w:fill="auto"/>
            <w:hideMark/>
          </w:tcPr>
          <w:p w14:paraId="157B7665" w14:textId="77777777" w:rsidR="00116C1B" w:rsidRPr="00686ABA" w:rsidRDefault="00116C1B">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16"/>
                <w:szCs w:val="18"/>
                <w:lang w:val="en-US"/>
              </w:rPr>
            </w:pPr>
            <w:r w:rsidRPr="00686ABA">
              <w:rPr>
                <w:color w:val="auto"/>
                <w:sz w:val="16"/>
                <w:szCs w:val="18"/>
                <w:lang w:val="en-US"/>
              </w:rPr>
              <w:t>5</w:t>
            </w:r>
          </w:p>
        </w:tc>
      </w:tr>
      <w:tr w:rsidR="00116C1B" w:rsidRPr="00686ABA" w14:paraId="068757DD" w14:textId="77777777" w:rsidTr="009D46B1">
        <w:trPr>
          <w:trHeight w:val="283"/>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3273F7E" w14:textId="77777777" w:rsidR="00116C1B" w:rsidRPr="00686ABA" w:rsidRDefault="00116C1B">
            <w:pPr>
              <w:spacing w:line="276" w:lineRule="auto"/>
              <w:jc w:val="center"/>
              <w:rPr>
                <w:b w:val="0"/>
                <w:color w:val="auto"/>
                <w:sz w:val="16"/>
                <w:lang w:val="en-US"/>
              </w:rPr>
            </w:pPr>
            <w:r w:rsidRPr="00686ABA">
              <w:rPr>
                <w:color w:val="auto"/>
                <w:sz w:val="16"/>
                <w:lang w:val="en-US"/>
              </w:rPr>
              <w:t>LRT</w:t>
            </w:r>
          </w:p>
        </w:tc>
        <w:tc>
          <w:tcPr>
            <w:tcW w:w="0" w:type="auto"/>
            <w:shd w:val="clear" w:color="auto" w:fill="auto"/>
            <w:hideMark/>
          </w:tcPr>
          <w:p w14:paraId="33BB812B" w14:textId="77777777" w:rsidR="00116C1B" w:rsidRPr="00686ABA" w:rsidRDefault="00116C1B">
            <w:pPr>
              <w:spacing w:line="276" w:lineRule="auto"/>
              <w:jc w:val="center"/>
              <w:cnfStyle w:val="000000000000" w:firstRow="0" w:lastRow="0" w:firstColumn="0" w:lastColumn="0" w:oddVBand="0" w:evenVBand="0" w:oddHBand="0" w:evenHBand="0" w:firstRowFirstColumn="0" w:firstRowLastColumn="0" w:lastRowFirstColumn="0" w:lastRowLastColumn="0"/>
              <w:rPr>
                <w:bCs/>
                <w:color w:val="auto"/>
                <w:sz w:val="16"/>
                <w:szCs w:val="18"/>
                <w:lang w:val="en-US"/>
              </w:rPr>
            </w:pPr>
            <w:r w:rsidRPr="00686ABA">
              <w:rPr>
                <w:bCs/>
                <w:color w:val="auto"/>
                <w:sz w:val="16"/>
                <w:szCs w:val="18"/>
                <w:lang w:val="en-US"/>
              </w:rPr>
              <w:t>22</w:t>
            </w:r>
          </w:p>
        </w:tc>
        <w:tc>
          <w:tcPr>
            <w:tcW w:w="0" w:type="auto"/>
            <w:shd w:val="clear" w:color="auto" w:fill="auto"/>
            <w:hideMark/>
          </w:tcPr>
          <w:p w14:paraId="3B571188" w14:textId="77777777" w:rsidR="00116C1B" w:rsidRPr="00686ABA" w:rsidRDefault="00116C1B">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16"/>
                <w:szCs w:val="18"/>
                <w:lang w:val="en-US"/>
              </w:rPr>
            </w:pPr>
            <w:r w:rsidRPr="00686ABA">
              <w:rPr>
                <w:color w:val="auto"/>
                <w:sz w:val="16"/>
                <w:szCs w:val="18"/>
                <w:lang w:val="en-US"/>
              </w:rPr>
              <w:t>100</w:t>
            </w:r>
          </w:p>
        </w:tc>
        <w:tc>
          <w:tcPr>
            <w:tcW w:w="0" w:type="auto"/>
            <w:shd w:val="clear" w:color="auto" w:fill="auto"/>
            <w:hideMark/>
          </w:tcPr>
          <w:p w14:paraId="1648701E" w14:textId="77777777" w:rsidR="00116C1B" w:rsidRPr="00686ABA" w:rsidRDefault="00116C1B">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16"/>
                <w:szCs w:val="18"/>
                <w:lang w:val="en-US"/>
              </w:rPr>
            </w:pPr>
            <w:r w:rsidRPr="00686ABA">
              <w:rPr>
                <w:color w:val="auto"/>
                <w:sz w:val="16"/>
                <w:szCs w:val="18"/>
                <w:lang w:val="en-US"/>
              </w:rPr>
              <w:t>200</w:t>
            </w:r>
          </w:p>
        </w:tc>
        <w:tc>
          <w:tcPr>
            <w:tcW w:w="0" w:type="auto"/>
            <w:shd w:val="clear" w:color="auto" w:fill="auto"/>
            <w:hideMark/>
          </w:tcPr>
          <w:p w14:paraId="7401DCFA" w14:textId="77777777" w:rsidR="00116C1B" w:rsidRPr="00686ABA" w:rsidRDefault="00116C1B">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16"/>
                <w:szCs w:val="18"/>
                <w:lang w:val="en-US"/>
              </w:rPr>
            </w:pPr>
            <w:r w:rsidRPr="00686ABA">
              <w:rPr>
                <w:color w:val="auto"/>
                <w:sz w:val="16"/>
                <w:szCs w:val="18"/>
                <w:lang w:val="en-US"/>
              </w:rPr>
              <w:t>7.5</w:t>
            </w:r>
          </w:p>
        </w:tc>
      </w:tr>
      <w:tr w:rsidR="00116C1B" w:rsidRPr="00686ABA" w14:paraId="775742A1" w14:textId="77777777" w:rsidTr="009D46B1">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single" w:sz="4" w:space="0" w:color="auto"/>
              <w:right w:val="nil"/>
            </w:tcBorders>
            <w:shd w:val="clear" w:color="auto" w:fill="auto"/>
            <w:hideMark/>
          </w:tcPr>
          <w:p w14:paraId="11426246" w14:textId="77777777" w:rsidR="00116C1B" w:rsidRPr="00686ABA" w:rsidRDefault="00116C1B">
            <w:pPr>
              <w:spacing w:line="276" w:lineRule="auto"/>
              <w:jc w:val="center"/>
              <w:rPr>
                <w:b w:val="0"/>
                <w:color w:val="auto"/>
                <w:sz w:val="16"/>
                <w:lang w:val="en-US"/>
              </w:rPr>
            </w:pPr>
            <w:r w:rsidRPr="00686ABA">
              <w:rPr>
                <w:color w:val="auto"/>
                <w:sz w:val="16"/>
                <w:lang w:val="en-US"/>
              </w:rPr>
              <w:t>BUS</w:t>
            </w:r>
          </w:p>
        </w:tc>
        <w:tc>
          <w:tcPr>
            <w:tcW w:w="0" w:type="auto"/>
            <w:tcBorders>
              <w:top w:val="nil"/>
              <w:left w:val="nil"/>
              <w:bottom w:val="single" w:sz="4" w:space="0" w:color="auto"/>
              <w:right w:val="nil"/>
            </w:tcBorders>
            <w:shd w:val="clear" w:color="auto" w:fill="auto"/>
            <w:hideMark/>
          </w:tcPr>
          <w:p w14:paraId="3AC0D89E" w14:textId="77777777" w:rsidR="00116C1B" w:rsidRPr="00686ABA" w:rsidRDefault="00116C1B">
            <w:pPr>
              <w:spacing w:line="276" w:lineRule="auto"/>
              <w:jc w:val="center"/>
              <w:cnfStyle w:val="000000100000" w:firstRow="0" w:lastRow="0" w:firstColumn="0" w:lastColumn="0" w:oddVBand="0" w:evenVBand="0" w:oddHBand="1" w:evenHBand="0" w:firstRowFirstColumn="0" w:firstRowLastColumn="0" w:lastRowFirstColumn="0" w:lastRowLastColumn="0"/>
              <w:rPr>
                <w:bCs/>
                <w:color w:val="auto"/>
                <w:sz w:val="16"/>
                <w:szCs w:val="18"/>
                <w:lang w:val="en-US"/>
              </w:rPr>
            </w:pPr>
            <w:r w:rsidRPr="00686ABA">
              <w:rPr>
                <w:bCs/>
                <w:color w:val="auto"/>
                <w:sz w:val="16"/>
                <w:szCs w:val="18"/>
                <w:lang w:val="en-US"/>
              </w:rPr>
              <w:t>1,2,3,4</w:t>
            </w:r>
          </w:p>
        </w:tc>
        <w:tc>
          <w:tcPr>
            <w:tcW w:w="0" w:type="auto"/>
            <w:tcBorders>
              <w:top w:val="nil"/>
              <w:left w:val="nil"/>
              <w:bottom w:val="single" w:sz="4" w:space="0" w:color="auto"/>
              <w:right w:val="nil"/>
            </w:tcBorders>
            <w:shd w:val="clear" w:color="auto" w:fill="auto"/>
            <w:hideMark/>
          </w:tcPr>
          <w:p w14:paraId="1343004A" w14:textId="77777777" w:rsidR="00116C1B" w:rsidRPr="00686ABA" w:rsidRDefault="00116C1B">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16"/>
                <w:szCs w:val="18"/>
                <w:lang w:val="en-US"/>
              </w:rPr>
            </w:pPr>
            <w:r w:rsidRPr="00686ABA">
              <w:rPr>
                <w:color w:val="auto"/>
                <w:sz w:val="16"/>
                <w:szCs w:val="18"/>
                <w:lang w:val="en-US"/>
              </w:rPr>
              <w:t>55</w:t>
            </w:r>
          </w:p>
        </w:tc>
        <w:tc>
          <w:tcPr>
            <w:tcW w:w="0" w:type="auto"/>
            <w:tcBorders>
              <w:top w:val="nil"/>
              <w:left w:val="nil"/>
              <w:bottom w:val="single" w:sz="4" w:space="0" w:color="auto"/>
              <w:right w:val="nil"/>
            </w:tcBorders>
            <w:shd w:val="clear" w:color="auto" w:fill="auto"/>
            <w:hideMark/>
          </w:tcPr>
          <w:p w14:paraId="0C6ED706" w14:textId="77777777" w:rsidR="00116C1B" w:rsidRPr="00686ABA" w:rsidRDefault="00116C1B">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16"/>
                <w:szCs w:val="18"/>
                <w:lang w:val="en-US"/>
              </w:rPr>
            </w:pPr>
            <w:r w:rsidRPr="00686ABA">
              <w:rPr>
                <w:color w:val="auto"/>
                <w:sz w:val="16"/>
                <w:szCs w:val="18"/>
                <w:lang w:val="en-US"/>
              </w:rPr>
              <w:t>110</w:t>
            </w:r>
          </w:p>
        </w:tc>
        <w:tc>
          <w:tcPr>
            <w:tcW w:w="0" w:type="auto"/>
            <w:tcBorders>
              <w:top w:val="nil"/>
              <w:left w:val="nil"/>
              <w:bottom w:val="single" w:sz="4" w:space="0" w:color="auto"/>
              <w:right w:val="nil"/>
            </w:tcBorders>
            <w:shd w:val="clear" w:color="auto" w:fill="auto"/>
            <w:hideMark/>
          </w:tcPr>
          <w:p w14:paraId="133BC73E" w14:textId="77777777" w:rsidR="00116C1B" w:rsidRPr="00686ABA" w:rsidRDefault="00116C1B">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16"/>
                <w:szCs w:val="18"/>
                <w:lang w:val="en-US"/>
              </w:rPr>
            </w:pPr>
            <w:r w:rsidRPr="00686ABA">
              <w:rPr>
                <w:color w:val="auto"/>
                <w:sz w:val="16"/>
                <w:szCs w:val="18"/>
                <w:lang w:val="en-US"/>
              </w:rPr>
              <w:t>5</w:t>
            </w:r>
          </w:p>
        </w:tc>
      </w:tr>
    </w:tbl>
    <w:p w14:paraId="69A401AA" w14:textId="77777777" w:rsidR="00116C1B" w:rsidRPr="001413F4" w:rsidRDefault="00116C1B" w:rsidP="00116C1B">
      <w:pPr>
        <w:jc w:val="center"/>
        <w:rPr>
          <w:i/>
          <w:noProof/>
          <w:sz w:val="16"/>
          <w:szCs w:val="16"/>
          <w:lang w:eastAsia="it-IT"/>
        </w:rPr>
      </w:pPr>
    </w:p>
    <w:p w14:paraId="53E0B53E" w14:textId="77777777" w:rsidR="00E1325B" w:rsidRPr="001413F4" w:rsidRDefault="00E1325B" w:rsidP="00116C1B">
      <w:pPr>
        <w:spacing w:line="240" w:lineRule="exact"/>
        <w:ind w:firstLine="238"/>
        <w:jc w:val="both"/>
        <w:rPr>
          <w:lang w:val="en-US"/>
        </w:rPr>
      </w:pPr>
    </w:p>
    <w:p w14:paraId="6E95E73C" w14:textId="77777777" w:rsidR="00116C1B" w:rsidRPr="001413F4" w:rsidRDefault="00116C1B" w:rsidP="00585031">
      <w:pPr>
        <w:spacing w:line="260" w:lineRule="exact"/>
        <w:ind w:firstLine="238"/>
        <w:jc w:val="both"/>
        <w:rPr>
          <w:lang w:val="en-US"/>
        </w:rPr>
      </w:pPr>
      <w:r w:rsidRPr="001413F4">
        <w:rPr>
          <w:lang w:val="en-US"/>
        </w:rPr>
        <w:t xml:space="preserve">The network, including 437 stops, is coded in BusMezzo using </w:t>
      </w:r>
      <w:r w:rsidR="00791804">
        <w:rPr>
          <w:lang w:val="en-US"/>
        </w:rPr>
        <w:t xml:space="preserve">the estimated </w:t>
      </w:r>
      <w:r w:rsidRPr="001413F4">
        <w:rPr>
          <w:lang w:val="en-US"/>
        </w:rPr>
        <w:t>real</w:t>
      </w:r>
      <w:r w:rsidR="00791804">
        <w:rPr>
          <w:lang w:val="en-US"/>
        </w:rPr>
        <w:t>-world</w:t>
      </w:r>
      <w:r w:rsidRPr="001413F4">
        <w:rPr>
          <w:lang w:val="en-US"/>
        </w:rPr>
        <w:t xml:space="preserve"> demand, </w:t>
      </w:r>
      <w:r w:rsidR="00791804">
        <w:rPr>
          <w:lang w:val="en-US"/>
        </w:rPr>
        <w:t xml:space="preserve">public </w:t>
      </w:r>
      <w:r w:rsidRPr="001413F4">
        <w:rPr>
          <w:lang w:val="en-US"/>
        </w:rPr>
        <w:t xml:space="preserve">timetables and </w:t>
      </w:r>
      <w:r w:rsidR="00791804">
        <w:rPr>
          <w:lang w:val="en-US"/>
        </w:rPr>
        <w:t xml:space="preserve">estimated </w:t>
      </w:r>
      <w:r w:rsidRPr="001413F4">
        <w:rPr>
          <w:lang w:val="en-US"/>
        </w:rPr>
        <w:t xml:space="preserve">walking distances between platforms and stops. Approximately 800 </w:t>
      </w:r>
      <w:r w:rsidR="00F4035C" w:rsidRPr="001413F4">
        <w:rPr>
          <w:lang w:val="en-US"/>
        </w:rPr>
        <w:t xml:space="preserve">vehicle </w:t>
      </w:r>
      <w:r w:rsidRPr="001413F4">
        <w:rPr>
          <w:lang w:val="en-US"/>
        </w:rPr>
        <w:t xml:space="preserve">trips take place in the morning peak-period (6:00-9:00), operated by 204 vehicles. System performance is evaluated </w:t>
      </w:r>
      <w:r w:rsidR="00791804">
        <w:rPr>
          <w:lang w:val="en-US"/>
        </w:rPr>
        <w:t xml:space="preserve">for the period </w:t>
      </w:r>
      <w:r w:rsidRPr="001413F4">
        <w:rPr>
          <w:lang w:val="en-US"/>
        </w:rPr>
        <w:t xml:space="preserve">between 7 and 8am. In the simulation, more than 123,000 passenger </w:t>
      </w:r>
      <w:r w:rsidR="002F49BA">
        <w:rPr>
          <w:lang w:val="en-US"/>
        </w:rPr>
        <w:t>journeys</w:t>
      </w:r>
      <w:r w:rsidR="002F49BA" w:rsidRPr="001413F4">
        <w:rPr>
          <w:lang w:val="en-US"/>
        </w:rPr>
        <w:t xml:space="preserve"> </w:t>
      </w:r>
      <w:r w:rsidR="004D28C6">
        <w:rPr>
          <w:lang w:val="en-US"/>
        </w:rPr>
        <w:t>start</w:t>
      </w:r>
      <w:r w:rsidRPr="001413F4">
        <w:rPr>
          <w:lang w:val="en-US"/>
        </w:rPr>
        <w:t xml:space="preserve"> </w:t>
      </w:r>
      <w:r w:rsidR="00791804">
        <w:rPr>
          <w:lang w:val="en-US"/>
        </w:rPr>
        <w:t>during</w:t>
      </w:r>
      <w:r w:rsidR="004D28C6">
        <w:rPr>
          <w:lang w:val="en-US"/>
        </w:rPr>
        <w:t xml:space="preserve"> </w:t>
      </w:r>
      <w:r w:rsidRPr="001413F4">
        <w:rPr>
          <w:lang w:val="en-US"/>
        </w:rPr>
        <w:t xml:space="preserve">this hour. </w:t>
      </w:r>
    </w:p>
    <w:p w14:paraId="07D4CF3A" w14:textId="77777777" w:rsidR="00116C1B" w:rsidRPr="001413F4" w:rsidRDefault="00116C1B" w:rsidP="00585031">
      <w:pPr>
        <w:spacing w:line="260" w:lineRule="exact"/>
        <w:ind w:firstLine="238"/>
        <w:jc w:val="both"/>
        <w:rPr>
          <w:lang w:val="en-US"/>
        </w:rPr>
      </w:pPr>
      <w:r w:rsidRPr="001413F4">
        <w:rPr>
          <w:lang w:val="en-US"/>
        </w:rPr>
        <w:t xml:space="preserve">The parameters of the choice generation model and the dynamic path choice model were estimated </w:t>
      </w:r>
      <w:r w:rsidR="002F49BA">
        <w:rPr>
          <w:lang w:val="en-US"/>
        </w:rPr>
        <w:t xml:space="preserve">by </w:t>
      </w:r>
      <w:r w:rsidRPr="001413F4">
        <w:rPr>
          <w:lang w:val="en-US"/>
        </w:rPr>
        <w:t xml:space="preserve">a stated-preference survey on public transport route choice decision (Cats et al., 2011). The coefficients of the utility function were found to be </w:t>
      </w:r>
      <m:oMath>
        <m:sSubSup>
          <m:sSubSupPr>
            <m:ctrlPr>
              <w:rPr>
                <w:rFonts w:ascii="Cambria Math" w:hAnsi="Cambria Math"/>
                <w:i/>
                <w:lang w:val="en-US"/>
              </w:rPr>
            </m:ctrlPr>
          </m:sSubSupPr>
          <m:e>
            <m:r>
              <w:rPr>
                <w:rFonts w:ascii="Cambria Math" w:hAnsi="Cambria Math"/>
                <w:lang w:val="en-US"/>
              </w:rPr>
              <m:t>β</m:t>
            </m:r>
          </m:e>
          <m:sub>
            <m:r>
              <w:rPr>
                <w:rFonts w:ascii="Cambria Math" w:hAnsi="Cambria Math"/>
                <w:lang w:val="en-US"/>
              </w:rPr>
              <m:t>a</m:t>
            </m:r>
          </m:sub>
          <m:sup>
            <m:r>
              <w:rPr>
                <w:rFonts w:ascii="Cambria Math" w:hAnsi="Cambria Math"/>
                <w:lang w:val="en-US"/>
              </w:rPr>
              <m:t>wait</m:t>
            </m:r>
          </m:sup>
        </m:sSubSup>
        <m:r>
          <w:rPr>
            <w:rFonts w:ascii="Cambria Math" w:hAnsi="Cambria Math"/>
            <w:lang w:val="en-US"/>
          </w:rPr>
          <m:t>=-0.07</m:t>
        </m:r>
      </m:oMath>
      <w:r w:rsidRPr="001413F4">
        <w:rPr>
          <w:rFonts w:eastAsiaTheme="minorEastAsia"/>
          <w:lang w:val="en-US"/>
        </w:rPr>
        <w:t xml:space="preserve">, </w:t>
      </w:r>
      <m:oMath>
        <m:sSubSup>
          <m:sSubSupPr>
            <m:ctrlPr>
              <w:rPr>
                <w:rFonts w:ascii="Cambria Math" w:hAnsi="Cambria Math"/>
                <w:i/>
                <w:lang w:val="en-US"/>
              </w:rPr>
            </m:ctrlPr>
          </m:sSubSupPr>
          <m:e>
            <m:r>
              <w:rPr>
                <w:rFonts w:ascii="Cambria Math" w:hAnsi="Cambria Math"/>
                <w:lang w:val="en-US"/>
              </w:rPr>
              <m:t>β</m:t>
            </m:r>
          </m:e>
          <m:sub>
            <m:r>
              <w:rPr>
                <w:rFonts w:ascii="Cambria Math" w:hAnsi="Cambria Math"/>
                <w:lang w:val="en-US"/>
              </w:rPr>
              <m:t>a</m:t>
            </m:r>
          </m:sub>
          <m:sup>
            <m:r>
              <w:rPr>
                <w:rFonts w:ascii="Cambria Math" w:hAnsi="Cambria Math"/>
                <w:lang w:val="en-US"/>
              </w:rPr>
              <m:t>walk</m:t>
            </m:r>
          </m:sup>
        </m:sSubSup>
        <m:r>
          <w:rPr>
            <w:rFonts w:ascii="Cambria Math" w:hAnsi="Cambria Math"/>
            <w:lang w:val="en-US"/>
          </w:rPr>
          <m:t>=-0.07</m:t>
        </m:r>
      </m:oMath>
      <w:r w:rsidRPr="001413F4">
        <w:rPr>
          <w:rFonts w:eastAsiaTheme="minorEastAsia"/>
          <w:lang w:val="en-US"/>
        </w:rPr>
        <w:t xml:space="preserve">, </w:t>
      </w:r>
      <m:oMath>
        <m:sSubSup>
          <m:sSubSupPr>
            <m:ctrlPr>
              <w:rPr>
                <w:rFonts w:ascii="Cambria Math" w:hAnsi="Cambria Math"/>
                <w:i/>
                <w:lang w:val="en-US"/>
              </w:rPr>
            </m:ctrlPr>
          </m:sSubSupPr>
          <m:e>
            <m:r>
              <w:rPr>
                <w:rFonts w:ascii="Cambria Math" w:hAnsi="Cambria Math"/>
                <w:lang w:val="en-US"/>
              </w:rPr>
              <m:t>β</m:t>
            </m:r>
          </m:e>
          <m:sub>
            <m:r>
              <w:rPr>
                <w:rFonts w:ascii="Cambria Math" w:hAnsi="Cambria Math"/>
                <w:lang w:val="en-US"/>
              </w:rPr>
              <m:t>a</m:t>
            </m:r>
          </m:sub>
          <m:sup>
            <m:r>
              <w:rPr>
                <w:rFonts w:ascii="Cambria Math" w:hAnsi="Cambria Math"/>
                <w:lang w:val="en-US"/>
              </w:rPr>
              <m:t>ivt</m:t>
            </m:r>
          </m:sup>
        </m:sSubSup>
        <m:r>
          <w:rPr>
            <w:rFonts w:ascii="Cambria Math" w:hAnsi="Cambria Math"/>
            <w:lang w:val="en-US"/>
          </w:rPr>
          <m:t>=-0.04</m:t>
        </m:r>
      </m:oMath>
      <w:r w:rsidRPr="001413F4">
        <w:rPr>
          <w:rFonts w:eastAsiaTheme="minorEastAsia"/>
          <w:lang w:val="en-US"/>
        </w:rPr>
        <w:t xml:space="preserve">, </w:t>
      </w:r>
      <m:oMath>
        <m:sSubSup>
          <m:sSubSupPr>
            <m:ctrlPr>
              <w:rPr>
                <w:rFonts w:ascii="Cambria Math" w:hAnsi="Cambria Math"/>
                <w:i/>
                <w:lang w:val="en-US"/>
              </w:rPr>
            </m:ctrlPr>
          </m:sSubSupPr>
          <m:e>
            <m:r>
              <w:rPr>
                <w:rFonts w:ascii="Cambria Math" w:hAnsi="Cambria Math"/>
                <w:lang w:val="en-US"/>
              </w:rPr>
              <m:t>β</m:t>
            </m:r>
          </m:e>
          <m:sub>
            <m:r>
              <w:rPr>
                <w:rFonts w:ascii="Cambria Math" w:hAnsi="Cambria Math"/>
                <w:lang w:val="en-US"/>
              </w:rPr>
              <m:t>a</m:t>
            </m:r>
          </m:sub>
          <m:sup>
            <m:r>
              <w:rPr>
                <w:rFonts w:ascii="Cambria Math" w:hAnsi="Cambria Math"/>
                <w:lang w:val="en-US"/>
              </w:rPr>
              <m:t>trans</m:t>
            </m:r>
          </m:sup>
        </m:sSubSup>
        <m:r>
          <w:rPr>
            <w:rFonts w:ascii="Cambria Math" w:eastAsiaTheme="minorEastAsia" w:hAnsi="Cambria Math"/>
            <w:lang w:val="en-US"/>
          </w:rPr>
          <m:t>=-0.334</m:t>
        </m:r>
      </m:oMath>
      <w:r w:rsidRPr="001413F4">
        <w:rPr>
          <w:rFonts w:eastAsiaTheme="minorEastAsia"/>
          <w:lang w:val="en-US"/>
        </w:rPr>
        <w:t xml:space="preserve">. This reflects a ratio of 1.75 between in-vehicle and waiting or walking times and a transfer penalty equivalent approximately </w:t>
      </w:r>
      <w:r w:rsidR="00C1540C">
        <w:rPr>
          <w:rFonts w:eastAsiaTheme="minorEastAsia"/>
          <w:lang w:val="en-US"/>
        </w:rPr>
        <w:t xml:space="preserve">to </w:t>
      </w:r>
      <w:r w:rsidRPr="001413F4">
        <w:rPr>
          <w:rFonts w:eastAsiaTheme="minorEastAsia"/>
          <w:lang w:val="en-US"/>
        </w:rPr>
        <w:t xml:space="preserve">eight in-vehicle minutes. </w:t>
      </w:r>
      <w:r w:rsidRPr="001413F4">
        <w:rPr>
          <w:lang w:val="en-US"/>
        </w:rPr>
        <w:t xml:space="preserve">Travelers’ preferences are considered constant throughout the assignment period. Trip fare is </w:t>
      </w:r>
      <w:r w:rsidR="00345F8C">
        <w:rPr>
          <w:lang w:val="en-US"/>
        </w:rPr>
        <w:t xml:space="preserve">zone-based and thus </w:t>
      </w:r>
      <w:r w:rsidRPr="001413F4">
        <w:rPr>
          <w:lang w:val="en-US"/>
        </w:rPr>
        <w:t xml:space="preserve">fixed in the Stockholm network for a given OD pair and passenger group and therefore does not affect passenger path decisions. </w:t>
      </w:r>
    </w:p>
    <w:p w14:paraId="0A1EA33D" w14:textId="77777777" w:rsidR="00116C1B" w:rsidRPr="001413F4" w:rsidRDefault="00116C1B" w:rsidP="00585031">
      <w:pPr>
        <w:spacing w:line="260" w:lineRule="exact"/>
        <w:ind w:firstLine="238"/>
        <w:jc w:val="both"/>
        <w:rPr>
          <w:lang w:val="en-US"/>
        </w:rPr>
      </w:pPr>
      <w:r w:rsidRPr="001413F4">
        <w:rPr>
          <w:lang w:val="en-US"/>
        </w:rPr>
        <w:t>Real-time Information (RTI) is assumed to be available to passengers at origins, at stops and rail stations. Passenger receive information on the expected remaining time to the next vehicle arrival for each service line, from all stops within direct proximity (i.e. public transport hub). It is assumed that passengers utilize real-time information whenever available</w:t>
      </w:r>
      <w:r w:rsidR="002F49BA">
        <w:rPr>
          <w:lang w:val="en-US"/>
        </w:rPr>
        <w:t xml:space="preserve"> to</w:t>
      </w:r>
      <w:r w:rsidRPr="001413F4">
        <w:rPr>
          <w:lang w:val="en-US"/>
        </w:rPr>
        <w:t xml:space="preserve"> adjust their pre-trip access stop choice or reroute based on real-time </w:t>
      </w:r>
      <w:r w:rsidR="002F49BA">
        <w:rPr>
          <w:lang w:val="en-US"/>
        </w:rPr>
        <w:t>forecasts</w:t>
      </w:r>
      <w:r w:rsidR="002F49BA" w:rsidRPr="001413F4">
        <w:rPr>
          <w:lang w:val="en-US"/>
        </w:rPr>
        <w:t xml:space="preserve"> </w:t>
      </w:r>
      <w:r w:rsidRPr="001413F4">
        <w:rPr>
          <w:lang w:val="en-US"/>
        </w:rPr>
        <w:t>at stops. In other words, information is available to passenger</w:t>
      </w:r>
      <w:r w:rsidR="002F49BA">
        <w:rPr>
          <w:lang w:val="en-US"/>
        </w:rPr>
        <w:t>s</w:t>
      </w:r>
      <w:r w:rsidRPr="001413F4">
        <w:rPr>
          <w:lang w:val="en-US"/>
        </w:rPr>
        <w:t xml:space="preserve"> only </w:t>
      </w:r>
      <w:r w:rsidR="002F49BA">
        <w:rPr>
          <w:lang w:val="en-US"/>
        </w:rPr>
        <w:t>at</w:t>
      </w:r>
      <w:r w:rsidR="002F49BA" w:rsidRPr="001413F4">
        <w:rPr>
          <w:lang w:val="en-US"/>
        </w:rPr>
        <w:t xml:space="preserve"> </w:t>
      </w:r>
      <w:r w:rsidRPr="001413F4">
        <w:rPr>
          <w:lang w:val="en-US"/>
        </w:rPr>
        <w:t xml:space="preserve">passenger path </w:t>
      </w:r>
      <m:oMath>
        <m:r>
          <w:rPr>
            <w:rFonts w:ascii="Cambria Math" w:hAnsi="Cambria Math"/>
            <w:lang w:val="en-US"/>
          </w:rPr>
          <m:t>j</m:t>
        </m:r>
      </m:oMath>
      <w:r w:rsidRPr="001413F4">
        <w:rPr>
          <w:lang w:val="en-US"/>
        </w:rPr>
        <w:t xml:space="preserve"> nodes, i.e., passengers that depart after the disruption has commenced as well as passengers waiting at stops upstream or downstream of the disrupted line-segment. In contrast, onboard passengers do not have information on downstream disruptions. </w:t>
      </w:r>
    </w:p>
    <w:p w14:paraId="5469135B" w14:textId="7E42E1A2" w:rsidR="00585031" w:rsidRDefault="00116C1B" w:rsidP="00D616E9">
      <w:pPr>
        <w:spacing w:line="260" w:lineRule="exact"/>
        <w:ind w:firstLine="238"/>
        <w:jc w:val="both"/>
        <w:rPr>
          <w:lang w:val="en-US"/>
        </w:rPr>
      </w:pPr>
      <w:r w:rsidRPr="001413F4">
        <w:rPr>
          <w:lang w:val="en-US"/>
        </w:rPr>
        <w:t>The base scenario is used to compute PBC (see Eq. 2)</w:t>
      </w:r>
      <w:r w:rsidR="002F49BA">
        <w:rPr>
          <w:lang w:val="en-US"/>
        </w:rPr>
        <w:t xml:space="preserve"> </w:t>
      </w:r>
      <w:r w:rsidR="002F49BA" w:rsidRPr="001413F4">
        <w:rPr>
          <w:lang w:val="en-US"/>
        </w:rPr>
        <w:t>across the network</w:t>
      </w:r>
      <w:r w:rsidRPr="001413F4">
        <w:rPr>
          <w:lang w:val="en-US"/>
        </w:rPr>
        <w:t>. We analyze the impact in terms of VOC of a disruption occurring on</w:t>
      </w:r>
      <w:r w:rsidR="00633DDC">
        <w:rPr>
          <w:lang w:val="en-US"/>
        </w:rPr>
        <w:t xml:space="preserve"> the</w:t>
      </w:r>
      <w:r w:rsidRPr="001413F4">
        <w:rPr>
          <w:lang w:val="en-US"/>
        </w:rPr>
        <w:t xml:space="preserve"> five network </w:t>
      </w:r>
      <w:r w:rsidR="00D616E9">
        <w:rPr>
          <w:lang w:val="en-US"/>
        </w:rPr>
        <w:t>corridors</w:t>
      </w:r>
      <w:r w:rsidR="00D616E9" w:rsidRPr="001413F4">
        <w:rPr>
          <w:lang w:val="en-US"/>
        </w:rPr>
        <w:t xml:space="preserve"> </w:t>
      </w:r>
      <w:r w:rsidRPr="001413F4">
        <w:rPr>
          <w:lang w:val="en-US"/>
        </w:rPr>
        <w:t xml:space="preserve">with the highest PBC (Table 2). All the chosen segments are in the core of the network, where there are rapid public transport alternatives. They are all metro segments. </w:t>
      </w:r>
    </w:p>
    <w:p w14:paraId="66D70FD1" w14:textId="3E2D0434" w:rsidR="002B3E06" w:rsidRDefault="002B3E06" w:rsidP="00D616E9">
      <w:pPr>
        <w:spacing w:line="260" w:lineRule="exact"/>
        <w:ind w:firstLine="238"/>
        <w:jc w:val="both"/>
        <w:rPr>
          <w:lang w:val="en-US"/>
        </w:rPr>
      </w:pPr>
    </w:p>
    <w:p w14:paraId="600724B7" w14:textId="52656D52" w:rsidR="002B3E06" w:rsidRDefault="002B3E06" w:rsidP="00D616E9">
      <w:pPr>
        <w:spacing w:line="260" w:lineRule="exact"/>
        <w:ind w:firstLine="238"/>
        <w:jc w:val="both"/>
        <w:rPr>
          <w:lang w:val="en-US"/>
        </w:rPr>
      </w:pPr>
    </w:p>
    <w:p w14:paraId="181FD49C" w14:textId="3C6E943E" w:rsidR="002B3E06" w:rsidRDefault="002B3E06" w:rsidP="00D616E9">
      <w:pPr>
        <w:spacing w:line="260" w:lineRule="exact"/>
        <w:ind w:firstLine="238"/>
        <w:jc w:val="both"/>
        <w:rPr>
          <w:lang w:val="en-US"/>
        </w:rPr>
      </w:pPr>
    </w:p>
    <w:p w14:paraId="7939DCD2" w14:textId="29057B9B" w:rsidR="002B3E06" w:rsidRDefault="002B3E06" w:rsidP="00D616E9">
      <w:pPr>
        <w:spacing w:line="260" w:lineRule="exact"/>
        <w:ind w:firstLine="238"/>
        <w:jc w:val="both"/>
        <w:rPr>
          <w:lang w:val="en-US"/>
        </w:rPr>
      </w:pPr>
    </w:p>
    <w:p w14:paraId="5263BD9A" w14:textId="77777777" w:rsidR="002B3E06" w:rsidRPr="001413F4" w:rsidRDefault="002B3E06" w:rsidP="00D616E9">
      <w:pPr>
        <w:spacing w:line="260" w:lineRule="exact"/>
        <w:ind w:firstLine="238"/>
        <w:jc w:val="both"/>
        <w:rPr>
          <w:lang w:val="en-US"/>
        </w:rPr>
      </w:pPr>
    </w:p>
    <w:p w14:paraId="5E186CBD" w14:textId="77777777" w:rsidR="00116C1B" w:rsidRPr="001413F4" w:rsidRDefault="00116C1B" w:rsidP="00116C1B">
      <w:pPr>
        <w:spacing w:before="200" w:after="80" w:line="200" w:lineRule="exact"/>
        <w:ind w:left="425"/>
        <w:rPr>
          <w:sz w:val="16"/>
          <w:szCs w:val="16"/>
        </w:rPr>
      </w:pPr>
      <w:r w:rsidRPr="001413F4">
        <w:rPr>
          <w:sz w:val="16"/>
          <w:szCs w:val="16"/>
        </w:rPr>
        <w:lastRenderedPageBreak/>
        <w:t>Table 2: Disrupt</w:t>
      </w:r>
      <w:r w:rsidR="00633DDC">
        <w:rPr>
          <w:sz w:val="16"/>
          <w:szCs w:val="16"/>
        </w:rPr>
        <w:t xml:space="preserve">ion scenarios </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985"/>
        <w:gridCol w:w="2268"/>
        <w:gridCol w:w="2268"/>
      </w:tblGrid>
      <w:tr w:rsidR="00116C1B" w:rsidRPr="001413F4" w14:paraId="176E3BEF" w14:textId="77777777" w:rsidTr="00116C1B">
        <w:trPr>
          <w:trHeight w:val="283"/>
          <w:jc w:val="center"/>
        </w:trPr>
        <w:tc>
          <w:tcPr>
            <w:tcW w:w="1838" w:type="dxa"/>
            <w:tcBorders>
              <w:top w:val="single" w:sz="4" w:space="0" w:color="auto"/>
              <w:left w:val="nil"/>
              <w:bottom w:val="single" w:sz="4" w:space="0" w:color="auto"/>
              <w:right w:val="nil"/>
            </w:tcBorders>
            <w:vAlign w:val="center"/>
            <w:hideMark/>
          </w:tcPr>
          <w:p w14:paraId="6A1070F7" w14:textId="77777777" w:rsidR="00116C1B" w:rsidRPr="001413F4" w:rsidRDefault="00116C1B">
            <w:pPr>
              <w:spacing w:line="276" w:lineRule="auto"/>
              <w:rPr>
                <w:sz w:val="16"/>
              </w:rPr>
            </w:pPr>
            <w:r w:rsidRPr="001413F4">
              <w:rPr>
                <w:sz w:val="16"/>
              </w:rPr>
              <w:t>DISRUPTION CASE</w:t>
            </w:r>
          </w:p>
        </w:tc>
        <w:tc>
          <w:tcPr>
            <w:tcW w:w="1985" w:type="dxa"/>
            <w:tcBorders>
              <w:top w:val="single" w:sz="4" w:space="0" w:color="auto"/>
              <w:left w:val="nil"/>
              <w:bottom w:val="single" w:sz="4" w:space="0" w:color="auto"/>
              <w:right w:val="nil"/>
            </w:tcBorders>
            <w:vAlign w:val="center"/>
            <w:hideMark/>
          </w:tcPr>
          <w:p w14:paraId="13CA9990" w14:textId="77777777" w:rsidR="00116C1B" w:rsidRPr="001413F4" w:rsidRDefault="00633DDC">
            <w:pPr>
              <w:spacing w:line="276" w:lineRule="auto"/>
              <w:jc w:val="center"/>
              <w:rPr>
                <w:sz w:val="16"/>
              </w:rPr>
            </w:pPr>
            <w:r>
              <w:rPr>
                <w:sz w:val="16"/>
              </w:rPr>
              <w:t xml:space="preserve">DISRUPTED </w:t>
            </w:r>
            <w:r w:rsidR="00116C1B" w:rsidRPr="001413F4">
              <w:rPr>
                <w:sz w:val="16"/>
              </w:rPr>
              <w:t>LINE</w:t>
            </w:r>
          </w:p>
        </w:tc>
        <w:tc>
          <w:tcPr>
            <w:tcW w:w="2268" w:type="dxa"/>
            <w:tcBorders>
              <w:top w:val="single" w:sz="4" w:space="0" w:color="auto"/>
              <w:left w:val="nil"/>
              <w:bottom w:val="single" w:sz="4" w:space="0" w:color="auto"/>
              <w:right w:val="nil"/>
            </w:tcBorders>
            <w:vAlign w:val="center"/>
            <w:hideMark/>
          </w:tcPr>
          <w:p w14:paraId="5E71D704" w14:textId="77777777" w:rsidR="00116C1B" w:rsidRPr="001413F4" w:rsidRDefault="00633DDC">
            <w:pPr>
              <w:spacing w:line="276" w:lineRule="auto"/>
              <w:jc w:val="center"/>
              <w:rPr>
                <w:sz w:val="16"/>
              </w:rPr>
            </w:pPr>
            <w:r>
              <w:rPr>
                <w:sz w:val="16"/>
              </w:rPr>
              <w:t xml:space="preserve">DISRUPTED </w:t>
            </w:r>
            <w:r w:rsidR="00116C1B" w:rsidRPr="001413F4">
              <w:rPr>
                <w:sz w:val="16"/>
              </w:rPr>
              <w:t>SEGMENT</w:t>
            </w:r>
          </w:p>
        </w:tc>
        <w:tc>
          <w:tcPr>
            <w:tcW w:w="2268" w:type="dxa"/>
            <w:tcBorders>
              <w:top w:val="single" w:sz="4" w:space="0" w:color="auto"/>
              <w:left w:val="nil"/>
              <w:bottom w:val="single" w:sz="4" w:space="0" w:color="auto"/>
              <w:right w:val="nil"/>
            </w:tcBorders>
            <w:vAlign w:val="center"/>
            <w:hideMark/>
          </w:tcPr>
          <w:p w14:paraId="5052AD03" w14:textId="77777777" w:rsidR="00116C1B" w:rsidRPr="001413F4" w:rsidRDefault="00116C1B">
            <w:pPr>
              <w:spacing w:line="276" w:lineRule="auto"/>
              <w:jc w:val="center"/>
              <w:rPr>
                <w:sz w:val="16"/>
              </w:rPr>
            </w:pPr>
            <m:oMathPara>
              <m:oMath>
                <m:r>
                  <w:rPr>
                    <w:rFonts w:ascii="Cambria Math" w:hAnsi="Cambria Math"/>
                    <w:sz w:val="16"/>
                    <w:szCs w:val="16"/>
                  </w:rPr>
                  <m:t>PBC</m:t>
                </m:r>
                <m:d>
                  <m:dPr>
                    <m:ctrlPr>
                      <w:rPr>
                        <w:rFonts w:ascii="Cambria Math" w:hAnsi="Cambria Math"/>
                        <w:i/>
                        <w:sz w:val="16"/>
                        <w:szCs w:val="16"/>
                      </w:rPr>
                    </m:ctrlPr>
                  </m:dPr>
                  <m:e>
                    <m:r>
                      <w:rPr>
                        <w:rFonts w:ascii="Cambria Math" w:hAnsi="Cambria Math"/>
                        <w:sz w:val="16"/>
                        <w:szCs w:val="16"/>
                      </w:rPr>
                      <m:t>e</m:t>
                    </m:r>
                  </m:e>
                  <m:e>
                    <m:r>
                      <w:rPr>
                        <w:rFonts w:ascii="Cambria Math" w:hAnsi="Cambria Math"/>
                        <w:sz w:val="16"/>
                        <w:szCs w:val="16"/>
                      </w:rPr>
                      <m:t>t,τ</m:t>
                    </m:r>
                  </m:e>
                </m:d>
                <m:r>
                  <w:rPr>
                    <w:rFonts w:ascii="Cambria Math" w:hAnsi="Cambria Math"/>
                    <w:sz w:val="16"/>
                    <w:szCs w:val="16"/>
                  </w:rPr>
                  <m:t>*E[|N</m:t>
                </m:r>
                <m:d>
                  <m:dPr>
                    <m:ctrlPr>
                      <w:rPr>
                        <w:rFonts w:ascii="Cambria Math" w:hAnsi="Cambria Math"/>
                        <w:i/>
                        <w:sz w:val="16"/>
                        <w:szCs w:val="16"/>
                      </w:rPr>
                    </m:ctrlPr>
                  </m:dPr>
                  <m:e>
                    <m:r>
                      <w:rPr>
                        <w:rFonts w:ascii="Cambria Math" w:hAnsi="Cambria Math"/>
                        <w:sz w:val="16"/>
                        <w:szCs w:val="16"/>
                      </w:rPr>
                      <m:t>t,τ</m:t>
                    </m:r>
                  </m:e>
                </m:d>
                <m:r>
                  <w:rPr>
                    <w:rFonts w:ascii="Cambria Math" w:hAnsi="Cambria Math"/>
                    <w:sz w:val="16"/>
                    <w:szCs w:val="16"/>
                  </w:rPr>
                  <m:t>|]</m:t>
                </m:r>
              </m:oMath>
            </m:oMathPara>
          </w:p>
          <w:p w14:paraId="0EC42FE6" w14:textId="77777777" w:rsidR="00116C1B" w:rsidRPr="001413F4" w:rsidRDefault="00116C1B">
            <w:pPr>
              <w:spacing w:line="276" w:lineRule="auto"/>
              <w:jc w:val="center"/>
              <w:rPr>
                <w:sz w:val="16"/>
              </w:rPr>
            </w:pPr>
            <w:r w:rsidRPr="001413F4">
              <w:rPr>
                <w:sz w:val="16"/>
              </w:rPr>
              <w:t>Average passenger load in the peak hour</w:t>
            </w:r>
          </w:p>
        </w:tc>
      </w:tr>
      <w:tr w:rsidR="00116C1B" w:rsidRPr="001413F4" w14:paraId="38833ACB" w14:textId="77777777" w:rsidTr="00116C1B">
        <w:trPr>
          <w:trHeight w:val="283"/>
          <w:jc w:val="center"/>
        </w:trPr>
        <w:tc>
          <w:tcPr>
            <w:tcW w:w="1838" w:type="dxa"/>
            <w:tcBorders>
              <w:top w:val="single" w:sz="4" w:space="0" w:color="auto"/>
              <w:left w:val="nil"/>
              <w:bottom w:val="nil"/>
              <w:right w:val="nil"/>
            </w:tcBorders>
            <w:vAlign w:val="center"/>
            <w:hideMark/>
          </w:tcPr>
          <w:p w14:paraId="7AFE0E32" w14:textId="77777777" w:rsidR="00116C1B" w:rsidRPr="001413F4" w:rsidRDefault="00116C1B">
            <w:pPr>
              <w:spacing w:line="276" w:lineRule="auto"/>
              <w:jc w:val="center"/>
              <w:rPr>
                <w:sz w:val="16"/>
              </w:rPr>
            </w:pPr>
            <w:r w:rsidRPr="001413F4">
              <w:rPr>
                <w:sz w:val="16"/>
              </w:rPr>
              <w:t>D1</w:t>
            </w:r>
          </w:p>
        </w:tc>
        <w:tc>
          <w:tcPr>
            <w:tcW w:w="1985" w:type="dxa"/>
            <w:tcBorders>
              <w:top w:val="single" w:sz="4" w:space="0" w:color="auto"/>
              <w:left w:val="nil"/>
              <w:bottom w:val="nil"/>
              <w:right w:val="nil"/>
            </w:tcBorders>
            <w:vAlign w:val="center"/>
            <w:hideMark/>
          </w:tcPr>
          <w:p w14:paraId="7F739437" w14:textId="77777777" w:rsidR="00116C1B" w:rsidRPr="001413F4" w:rsidRDefault="00116C1B">
            <w:pPr>
              <w:spacing w:line="276" w:lineRule="auto"/>
              <w:jc w:val="center"/>
              <w:rPr>
                <w:sz w:val="16"/>
              </w:rPr>
            </w:pPr>
            <w:r w:rsidRPr="001413F4">
              <w:rPr>
                <w:sz w:val="16"/>
              </w:rPr>
              <w:t>17, 18, 19 (Northbound)</w:t>
            </w:r>
          </w:p>
        </w:tc>
        <w:tc>
          <w:tcPr>
            <w:tcW w:w="2268" w:type="dxa"/>
            <w:tcBorders>
              <w:top w:val="single" w:sz="4" w:space="0" w:color="auto"/>
              <w:left w:val="nil"/>
              <w:bottom w:val="nil"/>
              <w:right w:val="nil"/>
            </w:tcBorders>
            <w:vAlign w:val="center"/>
            <w:hideMark/>
          </w:tcPr>
          <w:p w14:paraId="1009EC28" w14:textId="77777777" w:rsidR="00116C1B" w:rsidRPr="001413F4" w:rsidRDefault="00116C1B">
            <w:pPr>
              <w:spacing w:line="276" w:lineRule="auto"/>
              <w:jc w:val="center"/>
              <w:rPr>
                <w:sz w:val="16"/>
              </w:rPr>
            </w:pPr>
            <w:r w:rsidRPr="001413F4">
              <w:rPr>
                <w:sz w:val="16"/>
              </w:rPr>
              <w:t>Gullmarsplan - Hotorget</w:t>
            </w:r>
          </w:p>
        </w:tc>
        <w:tc>
          <w:tcPr>
            <w:tcW w:w="2268" w:type="dxa"/>
            <w:tcBorders>
              <w:top w:val="single" w:sz="4" w:space="0" w:color="auto"/>
              <w:left w:val="nil"/>
              <w:bottom w:val="nil"/>
              <w:right w:val="nil"/>
            </w:tcBorders>
            <w:vAlign w:val="center"/>
            <w:hideMark/>
          </w:tcPr>
          <w:p w14:paraId="67B57CD7" w14:textId="77777777" w:rsidR="00116C1B" w:rsidRPr="001413F4" w:rsidRDefault="00116C1B">
            <w:pPr>
              <w:spacing w:line="276" w:lineRule="auto"/>
              <w:jc w:val="center"/>
              <w:rPr>
                <w:sz w:val="16"/>
              </w:rPr>
            </w:pPr>
            <w:r w:rsidRPr="001413F4">
              <w:rPr>
                <w:sz w:val="16"/>
              </w:rPr>
              <w:t>27358</w:t>
            </w:r>
          </w:p>
        </w:tc>
      </w:tr>
      <w:tr w:rsidR="00116C1B" w:rsidRPr="001413F4" w14:paraId="2705E4E5" w14:textId="77777777" w:rsidTr="00116C1B">
        <w:trPr>
          <w:trHeight w:val="283"/>
          <w:jc w:val="center"/>
        </w:trPr>
        <w:tc>
          <w:tcPr>
            <w:tcW w:w="1838" w:type="dxa"/>
            <w:tcBorders>
              <w:top w:val="nil"/>
              <w:left w:val="nil"/>
              <w:bottom w:val="nil"/>
              <w:right w:val="nil"/>
            </w:tcBorders>
            <w:vAlign w:val="center"/>
            <w:hideMark/>
          </w:tcPr>
          <w:p w14:paraId="1D734CCC" w14:textId="77777777" w:rsidR="00116C1B" w:rsidRPr="001413F4" w:rsidRDefault="00116C1B">
            <w:pPr>
              <w:spacing w:line="276" w:lineRule="auto"/>
              <w:jc w:val="center"/>
              <w:rPr>
                <w:sz w:val="16"/>
              </w:rPr>
            </w:pPr>
            <w:r w:rsidRPr="001413F4">
              <w:rPr>
                <w:sz w:val="16"/>
              </w:rPr>
              <w:t>D2</w:t>
            </w:r>
          </w:p>
        </w:tc>
        <w:tc>
          <w:tcPr>
            <w:tcW w:w="1985" w:type="dxa"/>
            <w:tcBorders>
              <w:top w:val="nil"/>
              <w:left w:val="nil"/>
              <w:bottom w:val="nil"/>
              <w:right w:val="nil"/>
            </w:tcBorders>
            <w:vAlign w:val="center"/>
            <w:hideMark/>
          </w:tcPr>
          <w:p w14:paraId="6B55F9C9" w14:textId="77777777" w:rsidR="00116C1B" w:rsidRPr="001413F4" w:rsidRDefault="00116C1B">
            <w:pPr>
              <w:spacing w:line="276" w:lineRule="auto"/>
              <w:jc w:val="center"/>
              <w:rPr>
                <w:sz w:val="16"/>
              </w:rPr>
            </w:pPr>
            <w:r w:rsidRPr="001413F4">
              <w:rPr>
                <w:sz w:val="16"/>
              </w:rPr>
              <w:t>13,14 (Northbound)</w:t>
            </w:r>
          </w:p>
        </w:tc>
        <w:tc>
          <w:tcPr>
            <w:tcW w:w="2268" w:type="dxa"/>
            <w:tcBorders>
              <w:top w:val="nil"/>
              <w:left w:val="nil"/>
              <w:bottom w:val="nil"/>
              <w:right w:val="nil"/>
            </w:tcBorders>
            <w:vAlign w:val="center"/>
            <w:hideMark/>
          </w:tcPr>
          <w:p w14:paraId="5C5C7F64" w14:textId="77777777" w:rsidR="00116C1B" w:rsidRPr="001413F4" w:rsidRDefault="00116C1B">
            <w:pPr>
              <w:spacing w:line="276" w:lineRule="auto"/>
              <w:jc w:val="center"/>
              <w:rPr>
                <w:sz w:val="16"/>
              </w:rPr>
            </w:pPr>
            <w:r w:rsidRPr="001413F4">
              <w:rPr>
                <w:sz w:val="16"/>
              </w:rPr>
              <w:t>Liljeholmen – Centralen</w:t>
            </w:r>
          </w:p>
        </w:tc>
        <w:tc>
          <w:tcPr>
            <w:tcW w:w="2268" w:type="dxa"/>
            <w:tcBorders>
              <w:top w:val="nil"/>
              <w:left w:val="nil"/>
              <w:bottom w:val="nil"/>
              <w:right w:val="nil"/>
            </w:tcBorders>
            <w:vAlign w:val="center"/>
            <w:hideMark/>
          </w:tcPr>
          <w:p w14:paraId="63900468" w14:textId="77777777" w:rsidR="00116C1B" w:rsidRPr="001413F4" w:rsidRDefault="00116C1B">
            <w:pPr>
              <w:spacing w:line="276" w:lineRule="auto"/>
              <w:jc w:val="center"/>
              <w:rPr>
                <w:sz w:val="16"/>
              </w:rPr>
            </w:pPr>
            <w:r w:rsidRPr="001413F4">
              <w:rPr>
                <w:sz w:val="16"/>
              </w:rPr>
              <w:t>17432</w:t>
            </w:r>
          </w:p>
        </w:tc>
      </w:tr>
      <w:tr w:rsidR="00116C1B" w:rsidRPr="001413F4" w14:paraId="34D4E49D" w14:textId="77777777" w:rsidTr="00116C1B">
        <w:trPr>
          <w:trHeight w:val="283"/>
          <w:jc w:val="center"/>
        </w:trPr>
        <w:tc>
          <w:tcPr>
            <w:tcW w:w="1838" w:type="dxa"/>
            <w:tcBorders>
              <w:top w:val="nil"/>
              <w:left w:val="nil"/>
              <w:bottom w:val="nil"/>
              <w:right w:val="nil"/>
            </w:tcBorders>
            <w:vAlign w:val="center"/>
            <w:hideMark/>
          </w:tcPr>
          <w:p w14:paraId="282AFA3D" w14:textId="77777777" w:rsidR="00116C1B" w:rsidRPr="001413F4" w:rsidRDefault="00116C1B">
            <w:pPr>
              <w:spacing w:line="276" w:lineRule="auto"/>
              <w:jc w:val="center"/>
              <w:rPr>
                <w:sz w:val="16"/>
              </w:rPr>
            </w:pPr>
            <w:r w:rsidRPr="001413F4">
              <w:rPr>
                <w:sz w:val="16"/>
              </w:rPr>
              <w:t>D3</w:t>
            </w:r>
          </w:p>
        </w:tc>
        <w:tc>
          <w:tcPr>
            <w:tcW w:w="1985" w:type="dxa"/>
            <w:tcBorders>
              <w:top w:val="nil"/>
              <w:left w:val="nil"/>
              <w:bottom w:val="nil"/>
              <w:right w:val="nil"/>
            </w:tcBorders>
            <w:vAlign w:val="center"/>
            <w:hideMark/>
          </w:tcPr>
          <w:p w14:paraId="13CEAFDC" w14:textId="77777777" w:rsidR="00116C1B" w:rsidRPr="001413F4" w:rsidRDefault="00116C1B">
            <w:pPr>
              <w:spacing w:line="276" w:lineRule="auto"/>
              <w:jc w:val="center"/>
              <w:rPr>
                <w:sz w:val="16"/>
              </w:rPr>
            </w:pPr>
            <w:r w:rsidRPr="001413F4">
              <w:rPr>
                <w:sz w:val="16"/>
              </w:rPr>
              <w:t>17, 18, 19 (Southbound)</w:t>
            </w:r>
          </w:p>
        </w:tc>
        <w:tc>
          <w:tcPr>
            <w:tcW w:w="2268" w:type="dxa"/>
            <w:tcBorders>
              <w:top w:val="nil"/>
              <w:left w:val="nil"/>
              <w:bottom w:val="nil"/>
              <w:right w:val="nil"/>
            </w:tcBorders>
            <w:vAlign w:val="center"/>
            <w:hideMark/>
          </w:tcPr>
          <w:p w14:paraId="7B3D3926" w14:textId="77777777" w:rsidR="00116C1B" w:rsidRPr="001413F4" w:rsidRDefault="00116C1B">
            <w:pPr>
              <w:spacing w:line="276" w:lineRule="auto"/>
              <w:jc w:val="center"/>
              <w:rPr>
                <w:sz w:val="16"/>
              </w:rPr>
            </w:pPr>
            <w:r w:rsidRPr="001413F4">
              <w:rPr>
                <w:sz w:val="16"/>
              </w:rPr>
              <w:t>Alvik – Centralen</w:t>
            </w:r>
          </w:p>
        </w:tc>
        <w:tc>
          <w:tcPr>
            <w:tcW w:w="2268" w:type="dxa"/>
            <w:tcBorders>
              <w:top w:val="nil"/>
              <w:left w:val="nil"/>
              <w:bottom w:val="nil"/>
              <w:right w:val="nil"/>
            </w:tcBorders>
            <w:vAlign w:val="center"/>
            <w:hideMark/>
          </w:tcPr>
          <w:p w14:paraId="76C669C7" w14:textId="77777777" w:rsidR="00116C1B" w:rsidRPr="001413F4" w:rsidRDefault="00116C1B">
            <w:pPr>
              <w:spacing w:line="276" w:lineRule="auto"/>
              <w:jc w:val="center"/>
              <w:rPr>
                <w:sz w:val="16"/>
              </w:rPr>
            </w:pPr>
            <w:r w:rsidRPr="001413F4">
              <w:rPr>
                <w:sz w:val="16"/>
              </w:rPr>
              <w:t>10944</w:t>
            </w:r>
          </w:p>
        </w:tc>
      </w:tr>
      <w:tr w:rsidR="00116C1B" w:rsidRPr="001413F4" w14:paraId="658F5486" w14:textId="77777777" w:rsidTr="00116C1B">
        <w:trPr>
          <w:trHeight w:val="283"/>
          <w:jc w:val="center"/>
        </w:trPr>
        <w:tc>
          <w:tcPr>
            <w:tcW w:w="1838" w:type="dxa"/>
            <w:tcBorders>
              <w:top w:val="nil"/>
              <w:left w:val="nil"/>
              <w:bottom w:val="nil"/>
              <w:right w:val="nil"/>
            </w:tcBorders>
            <w:vAlign w:val="center"/>
            <w:hideMark/>
          </w:tcPr>
          <w:p w14:paraId="66533579" w14:textId="77777777" w:rsidR="00116C1B" w:rsidRPr="001413F4" w:rsidRDefault="00116C1B">
            <w:pPr>
              <w:spacing w:line="276" w:lineRule="auto"/>
              <w:jc w:val="center"/>
              <w:rPr>
                <w:sz w:val="16"/>
              </w:rPr>
            </w:pPr>
            <w:r w:rsidRPr="001413F4">
              <w:rPr>
                <w:sz w:val="16"/>
              </w:rPr>
              <w:t>D4</w:t>
            </w:r>
          </w:p>
        </w:tc>
        <w:tc>
          <w:tcPr>
            <w:tcW w:w="1985" w:type="dxa"/>
            <w:tcBorders>
              <w:top w:val="nil"/>
              <w:left w:val="nil"/>
              <w:bottom w:val="nil"/>
              <w:right w:val="nil"/>
            </w:tcBorders>
            <w:vAlign w:val="center"/>
            <w:hideMark/>
          </w:tcPr>
          <w:p w14:paraId="21374604" w14:textId="77777777" w:rsidR="00116C1B" w:rsidRPr="001413F4" w:rsidRDefault="00116C1B">
            <w:pPr>
              <w:spacing w:line="276" w:lineRule="auto"/>
              <w:jc w:val="center"/>
              <w:rPr>
                <w:sz w:val="16"/>
              </w:rPr>
            </w:pPr>
            <w:r w:rsidRPr="001413F4">
              <w:rPr>
                <w:sz w:val="16"/>
              </w:rPr>
              <w:t>10, 11 (Southbound)</w:t>
            </w:r>
          </w:p>
        </w:tc>
        <w:tc>
          <w:tcPr>
            <w:tcW w:w="2268" w:type="dxa"/>
            <w:tcBorders>
              <w:top w:val="nil"/>
              <w:left w:val="nil"/>
              <w:bottom w:val="nil"/>
              <w:right w:val="nil"/>
            </w:tcBorders>
            <w:vAlign w:val="center"/>
            <w:hideMark/>
          </w:tcPr>
          <w:p w14:paraId="6085BFDF" w14:textId="77777777" w:rsidR="00116C1B" w:rsidRPr="001413F4" w:rsidRDefault="00116C1B">
            <w:pPr>
              <w:spacing w:line="276" w:lineRule="auto"/>
              <w:jc w:val="center"/>
              <w:rPr>
                <w:sz w:val="16"/>
              </w:rPr>
            </w:pPr>
            <w:r w:rsidRPr="001413F4">
              <w:rPr>
                <w:sz w:val="16"/>
              </w:rPr>
              <w:t>Fridhemsplan – Centralen</w:t>
            </w:r>
          </w:p>
        </w:tc>
        <w:tc>
          <w:tcPr>
            <w:tcW w:w="2268" w:type="dxa"/>
            <w:tcBorders>
              <w:top w:val="nil"/>
              <w:left w:val="nil"/>
              <w:bottom w:val="nil"/>
              <w:right w:val="nil"/>
            </w:tcBorders>
            <w:vAlign w:val="center"/>
            <w:hideMark/>
          </w:tcPr>
          <w:p w14:paraId="061EC59A" w14:textId="77777777" w:rsidR="00116C1B" w:rsidRPr="001413F4" w:rsidRDefault="00116C1B">
            <w:pPr>
              <w:spacing w:line="276" w:lineRule="auto"/>
              <w:jc w:val="center"/>
              <w:rPr>
                <w:sz w:val="16"/>
              </w:rPr>
            </w:pPr>
            <w:r w:rsidRPr="001413F4">
              <w:rPr>
                <w:sz w:val="16"/>
              </w:rPr>
              <w:t>10183</w:t>
            </w:r>
          </w:p>
        </w:tc>
      </w:tr>
      <w:tr w:rsidR="00116C1B" w:rsidRPr="001413F4" w14:paraId="78A289DA" w14:textId="77777777" w:rsidTr="00116C1B">
        <w:trPr>
          <w:trHeight w:val="283"/>
          <w:jc w:val="center"/>
        </w:trPr>
        <w:tc>
          <w:tcPr>
            <w:tcW w:w="1838" w:type="dxa"/>
            <w:tcBorders>
              <w:top w:val="nil"/>
              <w:left w:val="nil"/>
              <w:bottom w:val="single" w:sz="4" w:space="0" w:color="auto"/>
              <w:right w:val="nil"/>
            </w:tcBorders>
            <w:vAlign w:val="center"/>
            <w:hideMark/>
          </w:tcPr>
          <w:p w14:paraId="46AA7FA2" w14:textId="77777777" w:rsidR="00116C1B" w:rsidRPr="001413F4" w:rsidRDefault="00116C1B">
            <w:pPr>
              <w:spacing w:line="276" w:lineRule="auto"/>
              <w:jc w:val="center"/>
              <w:rPr>
                <w:sz w:val="16"/>
              </w:rPr>
            </w:pPr>
            <w:r w:rsidRPr="001413F4">
              <w:rPr>
                <w:sz w:val="16"/>
              </w:rPr>
              <w:t>D5</w:t>
            </w:r>
          </w:p>
        </w:tc>
        <w:tc>
          <w:tcPr>
            <w:tcW w:w="1985" w:type="dxa"/>
            <w:tcBorders>
              <w:top w:val="nil"/>
              <w:left w:val="nil"/>
              <w:bottom w:val="single" w:sz="4" w:space="0" w:color="auto"/>
              <w:right w:val="nil"/>
            </w:tcBorders>
            <w:vAlign w:val="center"/>
            <w:hideMark/>
          </w:tcPr>
          <w:p w14:paraId="15EF335C" w14:textId="77777777" w:rsidR="00116C1B" w:rsidRPr="001413F4" w:rsidRDefault="00116C1B">
            <w:pPr>
              <w:spacing w:line="276" w:lineRule="auto"/>
              <w:jc w:val="center"/>
              <w:rPr>
                <w:sz w:val="16"/>
              </w:rPr>
            </w:pPr>
            <w:r w:rsidRPr="001413F4">
              <w:rPr>
                <w:sz w:val="16"/>
              </w:rPr>
              <w:t>13,14 (Southbound)</w:t>
            </w:r>
          </w:p>
        </w:tc>
        <w:tc>
          <w:tcPr>
            <w:tcW w:w="2268" w:type="dxa"/>
            <w:tcBorders>
              <w:top w:val="nil"/>
              <w:left w:val="nil"/>
              <w:bottom w:val="single" w:sz="4" w:space="0" w:color="auto"/>
              <w:right w:val="nil"/>
            </w:tcBorders>
            <w:vAlign w:val="center"/>
            <w:hideMark/>
          </w:tcPr>
          <w:p w14:paraId="14920B2B" w14:textId="77777777" w:rsidR="00116C1B" w:rsidRPr="001413F4" w:rsidRDefault="00116C1B">
            <w:pPr>
              <w:spacing w:line="276" w:lineRule="auto"/>
              <w:jc w:val="center"/>
              <w:rPr>
                <w:sz w:val="16"/>
              </w:rPr>
            </w:pPr>
            <w:r w:rsidRPr="001413F4">
              <w:rPr>
                <w:sz w:val="16"/>
              </w:rPr>
              <w:t>Centralen - Hornstull</w:t>
            </w:r>
          </w:p>
        </w:tc>
        <w:tc>
          <w:tcPr>
            <w:tcW w:w="2268" w:type="dxa"/>
            <w:tcBorders>
              <w:top w:val="nil"/>
              <w:left w:val="nil"/>
              <w:bottom w:val="single" w:sz="4" w:space="0" w:color="auto"/>
              <w:right w:val="nil"/>
            </w:tcBorders>
            <w:vAlign w:val="center"/>
            <w:hideMark/>
          </w:tcPr>
          <w:p w14:paraId="41C333AF" w14:textId="77777777" w:rsidR="00116C1B" w:rsidRPr="001413F4" w:rsidRDefault="00116C1B">
            <w:pPr>
              <w:spacing w:line="276" w:lineRule="auto"/>
              <w:jc w:val="center"/>
              <w:rPr>
                <w:sz w:val="16"/>
              </w:rPr>
            </w:pPr>
            <w:r w:rsidRPr="001413F4">
              <w:rPr>
                <w:sz w:val="16"/>
              </w:rPr>
              <w:t>8983</w:t>
            </w:r>
          </w:p>
        </w:tc>
      </w:tr>
    </w:tbl>
    <w:p w14:paraId="0E8F62C4" w14:textId="77777777" w:rsidR="00116C1B" w:rsidRPr="001413F4" w:rsidRDefault="00116C1B" w:rsidP="00116C1B">
      <w:pPr>
        <w:jc w:val="center"/>
        <w:rPr>
          <w:i/>
          <w:sz w:val="12"/>
          <w:szCs w:val="24"/>
        </w:rPr>
      </w:pPr>
    </w:p>
    <w:p w14:paraId="2DCCA257" w14:textId="77777777" w:rsidR="004A56E6" w:rsidRPr="001413F4" w:rsidRDefault="004A56E6" w:rsidP="00116C1B">
      <w:pPr>
        <w:spacing w:line="240" w:lineRule="exact"/>
        <w:ind w:firstLine="238"/>
        <w:jc w:val="both"/>
        <w:rPr>
          <w:lang w:val="en-US"/>
        </w:rPr>
      </w:pPr>
    </w:p>
    <w:p w14:paraId="30E18295" w14:textId="65945FF8" w:rsidR="00116C1B" w:rsidRDefault="00633DDC" w:rsidP="002B3E06">
      <w:pPr>
        <w:spacing w:line="260" w:lineRule="exact"/>
        <w:ind w:firstLine="238"/>
        <w:jc w:val="both"/>
        <w:rPr>
          <w:lang w:val="en-US"/>
        </w:rPr>
      </w:pPr>
      <w:r>
        <w:rPr>
          <w:lang w:val="en-US"/>
        </w:rPr>
        <w:t>In</w:t>
      </w:r>
      <w:r w:rsidRPr="001413F4">
        <w:rPr>
          <w:lang w:val="en-US"/>
        </w:rPr>
        <w:t xml:space="preserve"> </w:t>
      </w:r>
      <w:r w:rsidR="00116C1B" w:rsidRPr="001413F4">
        <w:rPr>
          <w:lang w:val="en-US"/>
        </w:rPr>
        <w:t xml:space="preserve">each </w:t>
      </w:r>
      <w:r>
        <w:rPr>
          <w:lang w:val="en-US"/>
        </w:rPr>
        <w:t xml:space="preserve">scenario, </w:t>
      </w:r>
      <w:r w:rsidR="00116C1B" w:rsidRPr="001413F4">
        <w:rPr>
          <w:lang w:val="en-US"/>
        </w:rPr>
        <w:t xml:space="preserve">we simulate an unplanned closure </w:t>
      </w:r>
      <w:r w:rsidRPr="001413F4">
        <w:rPr>
          <w:lang w:val="en-US"/>
        </w:rPr>
        <w:t xml:space="preserve">of the </w:t>
      </w:r>
      <w:r>
        <w:rPr>
          <w:lang w:val="en-US"/>
        </w:rPr>
        <w:t xml:space="preserve">disrupted </w:t>
      </w:r>
      <w:r w:rsidRPr="001413F4">
        <w:rPr>
          <w:lang w:val="en-US"/>
        </w:rPr>
        <w:t xml:space="preserve">segment </w:t>
      </w:r>
      <w:r w:rsidR="00116C1B" w:rsidRPr="001413F4">
        <w:rPr>
          <w:lang w:val="en-US"/>
        </w:rPr>
        <w:t>between 7:15 and 7:45. Since the disruption is short and unplanned, the service operator cannot apply mitigation measure</w:t>
      </w:r>
      <w:r>
        <w:rPr>
          <w:lang w:val="en-US"/>
        </w:rPr>
        <w:t>s</w:t>
      </w:r>
      <w:r w:rsidR="00116C1B" w:rsidRPr="001413F4">
        <w:rPr>
          <w:lang w:val="en-US"/>
        </w:rPr>
        <w:t xml:space="preserve">, such as providing a replacement service or operating the remaining disconnected parts of the line as independent lines. Note that the closure of a segment of a certain line does not prevent other lines from running because the metro lines in the case study network have separate infrastructure – tracks and platforms – as well as fleet. The simulation model prevents vehicles from traversing the disrupted link as long as the disruption is in effect. This implies that upstream public transport vehicles progress until they queue upstream of the </w:t>
      </w:r>
      <w:r>
        <w:rPr>
          <w:lang w:val="en-US"/>
        </w:rPr>
        <w:t>disruption</w:t>
      </w:r>
      <w:r w:rsidR="00116C1B" w:rsidRPr="001413F4">
        <w:rPr>
          <w:lang w:val="en-US"/>
        </w:rPr>
        <w:t xml:space="preserve">. On-board passengers are unable to alight while passengers waiting at downstream stops (including stops along the disrupted element) can reconsider and revise their travel decisions. Figure 2 shows the disrupted segment </w:t>
      </w:r>
      <w:r w:rsidR="002B3E06">
        <w:rPr>
          <w:lang w:val="en-US"/>
        </w:rPr>
        <w:t xml:space="preserve">in each of the five scenarios. </w:t>
      </w:r>
    </w:p>
    <w:p w14:paraId="08329C5E" w14:textId="77777777" w:rsidR="002B3E06" w:rsidRPr="001413F4" w:rsidRDefault="002B3E06" w:rsidP="002B3E06">
      <w:pPr>
        <w:spacing w:line="260" w:lineRule="exact"/>
        <w:ind w:firstLine="238"/>
        <w:jc w:val="both"/>
        <w:rPr>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818"/>
      </w:tblGrid>
      <w:tr w:rsidR="00116C1B" w:rsidRPr="001413F4" w14:paraId="17CB8901" w14:textId="77777777" w:rsidTr="004A56E6">
        <w:trPr>
          <w:trHeight w:val="4252"/>
          <w:jc w:val="center"/>
        </w:trPr>
        <w:tc>
          <w:tcPr>
            <w:tcW w:w="4537" w:type="dxa"/>
            <w:vAlign w:val="center"/>
            <w:hideMark/>
          </w:tcPr>
          <w:p w14:paraId="565B4F04" w14:textId="77777777" w:rsidR="00116C1B" w:rsidRPr="001413F4" w:rsidRDefault="00116C1B">
            <w:pPr>
              <w:jc w:val="right"/>
              <w:rPr>
                <w:sz w:val="18"/>
                <w:szCs w:val="18"/>
                <w:lang w:val="en-US"/>
              </w:rPr>
            </w:pPr>
            <w:r w:rsidRPr="002B6B9E">
              <w:rPr>
                <w:noProof/>
                <w:lang w:eastAsia="en-GB"/>
              </w:rPr>
              <w:drawing>
                <wp:inline distT="0" distB="0" distL="0" distR="0" wp14:anchorId="4E089500" wp14:editId="0C9FBD30">
                  <wp:extent cx="2251364" cy="2258844"/>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2"/>
                          <pic:cNvPicPr>
                            <a:picLocks noChangeAspect="1" noChangeArrowheads="1"/>
                          </pic:cNvPicPr>
                        </pic:nvPicPr>
                        <pic:blipFill>
                          <a:blip r:embed="rId11" cstate="print">
                            <a:extLst>
                              <a:ext uri="{28A0092B-C50C-407E-A947-70E740481C1C}">
                                <a14:useLocalDpi xmlns:a14="http://schemas.microsoft.com/office/drawing/2010/main" val="0"/>
                              </a:ext>
                            </a:extLst>
                          </a:blip>
                          <a:srcRect b="3368"/>
                          <a:stretch>
                            <a:fillRect/>
                          </a:stretch>
                        </pic:blipFill>
                        <pic:spPr bwMode="auto">
                          <a:xfrm>
                            <a:off x="0" y="0"/>
                            <a:ext cx="2251883" cy="2259365"/>
                          </a:xfrm>
                          <a:prstGeom prst="rect">
                            <a:avLst/>
                          </a:prstGeom>
                          <a:noFill/>
                          <a:ln>
                            <a:noFill/>
                          </a:ln>
                        </pic:spPr>
                      </pic:pic>
                    </a:graphicData>
                  </a:graphic>
                </wp:inline>
              </w:drawing>
            </w:r>
          </w:p>
        </w:tc>
        <w:tc>
          <w:tcPr>
            <w:tcW w:w="4818" w:type="dxa"/>
            <w:vAlign w:val="center"/>
            <w:hideMark/>
          </w:tcPr>
          <w:p w14:paraId="07F331D6" w14:textId="77777777" w:rsidR="00116C1B" w:rsidRPr="001413F4" w:rsidRDefault="00116C1B">
            <w:pPr>
              <w:rPr>
                <w:sz w:val="18"/>
                <w:szCs w:val="18"/>
                <w:lang w:val="en-US"/>
              </w:rPr>
            </w:pPr>
            <w:r w:rsidRPr="002B6B9E">
              <w:rPr>
                <w:noProof/>
                <w:lang w:eastAsia="en-GB"/>
              </w:rPr>
              <w:drawing>
                <wp:inline distT="0" distB="0" distL="0" distR="0" wp14:anchorId="1F66BDC7" wp14:editId="07D5971F">
                  <wp:extent cx="2228753" cy="2572789"/>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9291" cy="2573410"/>
                          </a:xfrm>
                          <a:prstGeom prst="rect">
                            <a:avLst/>
                          </a:prstGeom>
                          <a:noFill/>
                          <a:ln>
                            <a:noFill/>
                          </a:ln>
                        </pic:spPr>
                      </pic:pic>
                    </a:graphicData>
                  </a:graphic>
                </wp:inline>
              </w:drawing>
            </w:r>
          </w:p>
        </w:tc>
      </w:tr>
    </w:tbl>
    <w:p w14:paraId="7653AFEB" w14:textId="77777777" w:rsidR="00116C1B" w:rsidRPr="001413F4" w:rsidRDefault="00116C1B" w:rsidP="002B3E06">
      <w:pPr>
        <w:spacing w:before="120" w:after="240" w:line="200" w:lineRule="exact"/>
        <w:jc w:val="center"/>
        <w:rPr>
          <w:sz w:val="16"/>
          <w:szCs w:val="16"/>
          <w:lang w:val="en-US"/>
        </w:rPr>
      </w:pPr>
      <w:r w:rsidRPr="001413F4">
        <w:rPr>
          <w:sz w:val="16"/>
          <w:szCs w:val="16"/>
          <w:lang w:val="en-US"/>
        </w:rPr>
        <w:t xml:space="preserve">Figure 2: </w:t>
      </w:r>
      <w:r w:rsidR="00633DDC">
        <w:rPr>
          <w:sz w:val="16"/>
          <w:szCs w:val="16"/>
          <w:lang w:val="en-US"/>
        </w:rPr>
        <w:t>Maps of the d</w:t>
      </w:r>
      <w:r w:rsidRPr="001413F4">
        <w:rPr>
          <w:sz w:val="16"/>
          <w:szCs w:val="16"/>
          <w:lang w:val="en-US"/>
        </w:rPr>
        <w:t>isruption</w:t>
      </w:r>
      <w:r w:rsidR="00633DDC">
        <w:rPr>
          <w:sz w:val="16"/>
          <w:szCs w:val="16"/>
          <w:lang w:val="en-US"/>
        </w:rPr>
        <w:t>s</w:t>
      </w:r>
    </w:p>
    <w:p w14:paraId="0390D24C" w14:textId="77777777" w:rsidR="00116C1B" w:rsidRPr="001413F4" w:rsidRDefault="00116C1B" w:rsidP="00585031">
      <w:pPr>
        <w:spacing w:line="260" w:lineRule="exact"/>
        <w:ind w:firstLine="238"/>
        <w:jc w:val="both"/>
        <w:rPr>
          <w:noProof/>
          <w:lang w:eastAsia="it-IT"/>
        </w:rPr>
      </w:pPr>
      <w:r w:rsidRPr="001413F4">
        <w:rPr>
          <w:lang w:val="en-US"/>
        </w:rPr>
        <w:t xml:space="preserve">For each scenario, we carry out 10 simulation runs for a three </w:t>
      </w:r>
      <w:r w:rsidR="00164B27" w:rsidRPr="001413F4">
        <w:rPr>
          <w:lang w:val="en-US"/>
        </w:rPr>
        <w:t>hours’</w:t>
      </w:r>
      <w:r w:rsidRPr="001413F4">
        <w:rPr>
          <w:lang w:val="en-US"/>
        </w:rPr>
        <w:t xml:space="preserve"> period with a uniform passenger demand during the peak hour. This number of runs leads to a maximum error of less than 5% for the passenger travel time. </w:t>
      </w:r>
    </w:p>
    <w:p w14:paraId="65E04DE7" w14:textId="77777777" w:rsidR="00116C1B" w:rsidRPr="001413F4" w:rsidRDefault="00116C1B" w:rsidP="00116C1B">
      <w:pPr>
        <w:pStyle w:val="Els-2ndorder-head"/>
      </w:pPr>
      <w:r w:rsidRPr="001413F4">
        <w:t>Results</w:t>
      </w:r>
    </w:p>
    <w:p w14:paraId="69197BC5" w14:textId="77777777" w:rsidR="00A91890" w:rsidRPr="001413F4" w:rsidRDefault="00A91890" w:rsidP="00107BE5">
      <w:pPr>
        <w:rPr>
          <w:i/>
          <w:lang w:val="en-US"/>
        </w:rPr>
      </w:pPr>
      <w:r w:rsidRPr="001413F4">
        <w:rPr>
          <w:i/>
          <w:lang w:val="en-US"/>
        </w:rPr>
        <w:t xml:space="preserve">3.2.1. </w:t>
      </w:r>
      <w:r w:rsidR="007F757A" w:rsidRPr="001413F4">
        <w:rPr>
          <w:i/>
          <w:lang w:val="en-US"/>
        </w:rPr>
        <w:t xml:space="preserve">Temporal </w:t>
      </w:r>
      <w:r w:rsidR="00753A8D" w:rsidRPr="001413F4">
        <w:rPr>
          <w:i/>
          <w:lang w:val="en-US"/>
        </w:rPr>
        <w:t>propagation</w:t>
      </w:r>
    </w:p>
    <w:p w14:paraId="11AE2124" w14:textId="77777777" w:rsidR="00A91890" w:rsidRPr="001413F4" w:rsidRDefault="00A91890" w:rsidP="00A91890">
      <w:pPr>
        <w:rPr>
          <w:i/>
          <w:lang w:val="en-US"/>
        </w:rPr>
      </w:pPr>
    </w:p>
    <w:p w14:paraId="603A1D1F" w14:textId="77777777" w:rsidR="00116C1B" w:rsidRPr="001413F4" w:rsidRDefault="00116C1B" w:rsidP="00135203">
      <w:pPr>
        <w:spacing w:line="260" w:lineRule="exact"/>
        <w:ind w:firstLine="238"/>
        <w:jc w:val="both"/>
        <w:rPr>
          <w:lang w:val="en-US"/>
        </w:rPr>
      </w:pPr>
      <w:r w:rsidRPr="001413F4">
        <w:rPr>
          <w:lang w:val="en-US"/>
        </w:rPr>
        <w:t xml:space="preserve">Under normal operational conditions, the average passenger travel time in the case study network is 25 minutes. When the flows in the network reach their maximum value (approximately during 7:30-8:30AM, Figure 3a), the majority of the links have a VOC between 0.1 and 0.3 and only few services (1%) cannot satisfy all the demand because they reach capacity (see Figure 3b). </w:t>
      </w:r>
      <w:r w:rsidR="00950660" w:rsidRPr="001413F4">
        <w:rPr>
          <w:lang w:val="en-US"/>
        </w:rPr>
        <w:t xml:space="preserve">In 29% of all service segments, VOC exceeds 0.3, implying that there are standees as the passenger volume surpasses the number of seats (i.e. load factor larger than </w:t>
      </w:r>
      <w:r w:rsidR="001A4B36" w:rsidRPr="001413F4">
        <w:rPr>
          <w:lang w:val="en-US"/>
        </w:rPr>
        <w:t xml:space="preserve">1). </w:t>
      </w:r>
      <w:r w:rsidR="00633DDC">
        <w:rPr>
          <w:lang w:val="en-US"/>
        </w:rPr>
        <w:t>A</w:t>
      </w:r>
      <w:r w:rsidR="00950660" w:rsidRPr="001413F4">
        <w:rPr>
          <w:lang w:val="en-US"/>
        </w:rPr>
        <w:t xml:space="preserve"> large share of the network lines </w:t>
      </w:r>
      <w:r w:rsidR="00686ABA">
        <w:rPr>
          <w:lang w:val="en-US"/>
        </w:rPr>
        <w:t>is</w:t>
      </w:r>
      <w:r w:rsidR="00950660" w:rsidRPr="001413F4">
        <w:rPr>
          <w:lang w:val="en-US"/>
        </w:rPr>
        <w:t xml:space="preserve"> located on line branches which typically carry low passenger volumes</w:t>
      </w:r>
      <w:r w:rsidR="007C1B30" w:rsidRPr="001413F4">
        <w:rPr>
          <w:lang w:val="en-US"/>
        </w:rPr>
        <w:t>.</w:t>
      </w:r>
      <w:r w:rsidR="001A4B36" w:rsidRPr="001413F4">
        <w:rPr>
          <w:lang w:val="en-US"/>
        </w:rPr>
        <w:t xml:space="preserve"> </w:t>
      </w:r>
      <w:r w:rsidR="007C1B30" w:rsidRPr="001413F4">
        <w:rPr>
          <w:lang w:val="en-US"/>
        </w:rPr>
        <w:t>Moreover,</w:t>
      </w:r>
      <w:r w:rsidR="001A4B36" w:rsidRPr="001413F4">
        <w:rPr>
          <w:lang w:val="en-US"/>
        </w:rPr>
        <w:t xml:space="preserve"> the results </w:t>
      </w:r>
      <w:r w:rsidR="007C1B30" w:rsidRPr="001413F4">
        <w:rPr>
          <w:lang w:val="en-US"/>
        </w:rPr>
        <w:t>report</w:t>
      </w:r>
      <w:r w:rsidR="001A4B36" w:rsidRPr="001413F4">
        <w:rPr>
          <w:lang w:val="en-US"/>
        </w:rPr>
        <w:t xml:space="preserve"> the distribution over links and not over passengers which on average experience more congested conditions</w:t>
      </w:r>
      <w:r w:rsidR="00950660" w:rsidRPr="001413F4">
        <w:rPr>
          <w:lang w:val="en-US"/>
        </w:rPr>
        <w:t xml:space="preserve">. </w:t>
      </w:r>
      <w:r w:rsidRPr="001413F4">
        <w:rPr>
          <w:lang w:val="en-US"/>
        </w:rPr>
        <w:t>In the disrupted scenarios, the number of congested links increase</w:t>
      </w:r>
      <w:r w:rsidR="00633DDC">
        <w:rPr>
          <w:lang w:val="en-US"/>
        </w:rPr>
        <w:t>s</w:t>
      </w:r>
      <w:r w:rsidRPr="001413F4">
        <w:rPr>
          <w:lang w:val="en-US"/>
        </w:rPr>
        <w:t xml:space="preserve"> but very slightly because oversaturation effects and </w:t>
      </w:r>
      <w:r w:rsidR="00135203">
        <w:rPr>
          <w:lang w:val="en-US"/>
        </w:rPr>
        <w:t>these effects are mostly confined</w:t>
      </w:r>
      <w:r w:rsidR="00135203" w:rsidRPr="001413F4">
        <w:rPr>
          <w:lang w:val="en-US"/>
        </w:rPr>
        <w:t xml:space="preserve"> </w:t>
      </w:r>
      <w:r w:rsidRPr="001413F4">
        <w:rPr>
          <w:lang w:val="en-US"/>
        </w:rPr>
        <w:t>to the core of the network.</w:t>
      </w:r>
    </w:p>
    <w:p w14:paraId="307C0D32" w14:textId="77777777" w:rsidR="00116C1B" w:rsidRPr="001413F4" w:rsidRDefault="00116C1B" w:rsidP="00116C1B">
      <w:pPr>
        <w:spacing w:line="240" w:lineRule="exact"/>
        <w:ind w:firstLine="238"/>
        <w:jc w:val="both"/>
        <w:rPr>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5428"/>
        <w:gridCol w:w="4350"/>
      </w:tblGrid>
      <w:tr w:rsidR="00116C1B" w:rsidRPr="001413F4" w14:paraId="74A101E5" w14:textId="77777777" w:rsidTr="00116C1B">
        <w:trPr>
          <w:trHeight w:val="624"/>
        </w:trPr>
        <w:tc>
          <w:tcPr>
            <w:tcW w:w="5173" w:type="dxa"/>
            <w:hideMark/>
          </w:tcPr>
          <w:p w14:paraId="22131653" w14:textId="0668F6B5" w:rsidR="00116C1B" w:rsidRPr="001413F4" w:rsidRDefault="006417CA">
            <w:pPr>
              <w:jc w:val="both"/>
              <w:rPr>
                <w:lang w:val="en-US"/>
              </w:rPr>
            </w:pPr>
            <w:r>
              <w:rPr>
                <w:noProof/>
                <w:lang w:eastAsia="en-GB"/>
              </w:rPr>
              <mc:AlternateContent>
                <mc:Choice Requires="wps">
                  <w:drawing>
                    <wp:anchor distT="0" distB="0" distL="114300" distR="114300" simplePos="0" relativeHeight="251657728" behindDoc="0" locked="0" layoutInCell="1" allowOverlap="1" wp14:anchorId="4DEFC8D7" wp14:editId="312C2A8B">
                      <wp:simplePos x="0" y="0"/>
                      <wp:positionH relativeFrom="column">
                        <wp:posOffset>469265</wp:posOffset>
                      </wp:positionH>
                      <wp:positionV relativeFrom="paragraph">
                        <wp:posOffset>13970</wp:posOffset>
                      </wp:positionV>
                      <wp:extent cx="359410" cy="222885"/>
                      <wp:effectExtent l="0" t="0" r="0" b="57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B53FD" w14:textId="77777777" w:rsidR="00164C4D" w:rsidRDefault="00164C4D" w:rsidP="00116C1B">
                                  <w:pPr>
                                    <w:rPr>
                                      <w:sz w:val="18"/>
                                      <w:lang w:val="it-IT"/>
                                    </w:rPr>
                                  </w:pPr>
                                  <w:r>
                                    <w:rPr>
                                      <w:sz w:val="18"/>
                                      <w:lang w:val="it-IT"/>
                                    </w:rPr>
                                    <w:t>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DEFC8D7" id="_x0000_t202" coordsize="21600,21600" o:spt="202" path="m,l,21600r21600,l21600,xe">
                      <v:stroke joinstyle="miter"/>
                      <v:path gradientshapeok="t" o:connecttype="rect"/>
                    </v:shapetype>
                    <v:shape id="Text Box 2" o:spid="_x0000_s1026" type="#_x0000_t202" style="position:absolute;left:0;text-align:left;margin-left:36.95pt;margin-top:1.1pt;width:28.3pt;height:17.5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UDFsgIAALg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ji8jFMSgqUCUxRFSRK7CDQ7Xh6UNu+Y7JFd&#10;5FhB4x043d1pY5Oh2dHFxhKy5F3nmt+JZwfgOJ1AaLhqbTYJ18sfaZCuklVCPBLNVh4JisK7KZfE&#10;m5XhPC4ui+WyCH/auCHJWl7XTNgwR12F5M/6dlD4pIiTsrTseG3hbEpabdbLTqEdBV2X7jsU5MzN&#10;f56GKwJweUEpjEhwG6VeOUvmHilJ7KXzIPGCML1NZwFJSVE+p3THBft3SmjMcRpH8aSl33IL3Pea&#10;G816bmBydLzPcXJyoplV4ErUrrWG8m5an5XCpv9UCmj3sdFOr1aik1jNfr0HFCvitawfQblKgrJA&#10;hDDuYNFK9R2jEUZHjvW3LVUMo+69APWnISF21rgNiecRbNS5ZX1uoaICqBwbjKbl0kzzaTsovmkh&#10;0vG93cCLKblT81NWh3cG48GROowyO3/O987raeAufgEAAP//AwBQSwMEFAAGAAgAAAAhABEniufb&#10;AAAABwEAAA8AAABkcnMvZG93bnJldi54bWxMjsFOwzAQRO9I/IO1SNyoTSIIDdlUFWrLEShRz25s&#10;koh4bdluGv4e9wTH0YzevGo1m5FN2ofBEsL9QgDT1Fo1UIfQfG7vnoCFKEnJ0ZJG+NEBVvX1VSVL&#10;Zc/0oad97FiCUCglQh+jKzkPba+NDAvrNKXuy3ojY4q+48rLc4KbkWdCPHIjB0oPvXT6pdft9/5k&#10;EFx0u+LVv72vN9tJNIddkw3dBvH2Zl4/A4t6jn9juOgndaiT09GeSAU2IhT5Mi0RsgzYpc7FA7Aj&#10;Ql7kwOuK//evfwEAAP//AwBQSwECLQAUAAYACAAAACEAtoM4kv4AAADhAQAAEwAAAAAAAAAAAAAA&#10;AAAAAAAAW0NvbnRlbnRfVHlwZXNdLnhtbFBLAQItABQABgAIAAAAIQA4/SH/1gAAAJQBAAALAAAA&#10;AAAAAAAAAAAAAC8BAABfcmVscy8ucmVsc1BLAQItABQABgAIAAAAIQAngUDFsgIAALgFAAAOAAAA&#10;AAAAAAAAAAAAAC4CAABkcnMvZTJvRG9jLnhtbFBLAQItABQABgAIAAAAIQARJ4rn2wAAAAcBAAAP&#10;AAAAAAAAAAAAAAAAAAwFAABkcnMvZG93bnJldi54bWxQSwUGAAAAAAQABADzAAAAFAYAAAAA&#10;" filled="f" stroked="f">
                      <v:textbox style="mso-fit-shape-to-text:t">
                        <w:txbxContent>
                          <w:p w14:paraId="50BB53FD" w14:textId="77777777" w:rsidR="00164C4D" w:rsidRDefault="00164C4D" w:rsidP="00116C1B">
                            <w:pPr>
                              <w:rPr>
                                <w:sz w:val="18"/>
                                <w:lang w:val="it-IT"/>
                              </w:rPr>
                            </w:pPr>
                            <w:r>
                              <w:rPr>
                                <w:sz w:val="18"/>
                                <w:lang w:val="it-IT"/>
                              </w:rPr>
                              <w:t>a)</w:t>
                            </w:r>
                          </w:p>
                        </w:txbxContent>
                      </v:textbox>
                    </v:shape>
                  </w:pict>
                </mc:Fallback>
              </mc:AlternateContent>
            </w:r>
            <w:r w:rsidR="00116C1B" w:rsidRPr="002B6B9E">
              <w:rPr>
                <w:noProof/>
                <w:lang w:eastAsia="en-GB"/>
              </w:rPr>
              <w:drawing>
                <wp:inline distT="0" distB="0" distL="0" distR="0" wp14:anchorId="02F8C6D6" wp14:editId="5734B072">
                  <wp:extent cx="3200400" cy="2293620"/>
                  <wp:effectExtent l="0" t="0" r="0" b="0"/>
                  <wp:docPr id="6" name="Grafico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3CB70AC-6D56-4507-AC16-F9532C331F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4151" w:type="dxa"/>
            <w:vAlign w:val="center"/>
            <w:hideMark/>
          </w:tcPr>
          <w:p w14:paraId="514C3BDA" w14:textId="7E9EBFF0" w:rsidR="00116C1B" w:rsidRPr="001413F4" w:rsidRDefault="006417CA">
            <w:pPr>
              <w:rPr>
                <w:lang w:val="en-US"/>
              </w:rPr>
            </w:pPr>
            <w:r>
              <w:rPr>
                <w:noProof/>
                <w:lang w:eastAsia="en-GB"/>
              </w:rPr>
              <mc:AlternateContent>
                <mc:Choice Requires="wps">
                  <w:drawing>
                    <wp:anchor distT="0" distB="0" distL="114300" distR="114300" simplePos="0" relativeHeight="251658752" behindDoc="0" locked="0" layoutInCell="1" allowOverlap="1" wp14:anchorId="59435B14" wp14:editId="09362E66">
                      <wp:simplePos x="0" y="0"/>
                      <wp:positionH relativeFrom="column">
                        <wp:posOffset>185420</wp:posOffset>
                      </wp:positionH>
                      <wp:positionV relativeFrom="paragraph">
                        <wp:posOffset>17780</wp:posOffset>
                      </wp:positionV>
                      <wp:extent cx="318770" cy="208280"/>
                      <wp:effectExtent l="0" t="0" r="0" b="12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55B4A" w14:textId="77777777" w:rsidR="00164C4D" w:rsidRDefault="00164C4D" w:rsidP="00116C1B">
                                  <w:pPr>
                                    <w:rPr>
                                      <w:sz w:val="16"/>
                                      <w:lang w:val="it-IT"/>
                                    </w:rPr>
                                  </w:pPr>
                                  <w:r>
                                    <w:rPr>
                                      <w:sz w:val="16"/>
                                      <w:lang w:val="it-IT"/>
                                    </w:rPr>
                                    <w:t>b)</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435B14" id="Text Box 3" o:spid="_x0000_s1027" type="#_x0000_t202" style="position:absolute;margin-left:14.6pt;margin-top:1.4pt;width:25.1pt;height:16.4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y3twIAAL8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glGgnbQokc2GnQnR3RtqzP0OgWnhx7czAjH0GWXqe7vZflNIyFXDRVbdquUHBpGK2AX2pv+xdUJ&#10;R1uQzfBRVhCG7ox0QGOtOls6KAYCdOjS06kzlkoJh9dhvFiApQRTFMRR7Drn0/R4uVfavGeyQ3aR&#10;YQWNd+B0f6+NJUPTo4uNJWTB29Y1vxXPDsBxOoHQcNXaLAnXy59JkKzjdUw8Es3XHgny3LstVsSb&#10;F+Fill/nq1Ue/rJxQ5I2vKqYsGGOugrJn/XtoPBJESdladnyysJZSlptN6tWoT0FXRfucyUHy9nN&#10;f07DFQFyeZFSGJHgLkq8Yh4vPFKQmZcsgtgLwuQumQckIXnxPKV7Lti/p4SGDCezaDZp6Uz6RW6B&#10;+17nRtOOG5gcLe8yHJ+caGoVuBaVa62hvJ3WF6Ww9M+lgHYfG+30aiU6idWMm9E9DCdmq+WNrJ5A&#10;wEqCwECLMPVg0Uj1A6MBJkiG9fcdVQyj9oOAR5CEhNiR4zZktohgoy4tm0sLFSVAZdhgNC1XZhpT&#10;u17xbQORjs/uFh5OwZ2oz6wOzw2mhMvtMNHsGLrcO6/z3F3+BgAA//8DAFBLAwQUAAYACAAAACEA&#10;EYPstdwAAAAGAQAADwAAAGRycy9kb3ducmV2LnhtbEyPwU7DMBBE70j8g7VI3KhDgJaGOFWF2nIs&#10;lIizGy9JRLy2bDcNf89ygtNoNaOZt+VqsoMYMcTekYLbWQYCqXGmp1ZB/b69eQQRkyajB0eo4Bsj&#10;rKrLi1IXxp3pDcdDagWXUCy0gi4lX0gZmw6tjjPnkdj7dMHqxGdopQn6zOV2kHmWzaXVPfFCpz0+&#10;d9h8HU5WgU9+t3gJ+9f1Zjtm9ceuzvt2o9T11bR+ApFwSn9h+MVndKiY6ehOZKIYFOTLnJOs/ADb&#10;i+U9iKOCu4c5yKqU//GrHwAAAP//AwBQSwECLQAUAAYACAAAACEAtoM4kv4AAADhAQAAEwAAAAAA&#10;AAAAAAAAAAAAAAAAW0NvbnRlbnRfVHlwZXNdLnhtbFBLAQItABQABgAIAAAAIQA4/SH/1gAAAJQB&#10;AAALAAAAAAAAAAAAAAAAAC8BAABfcmVscy8ucmVsc1BLAQItABQABgAIAAAAIQAH/0y3twIAAL8F&#10;AAAOAAAAAAAAAAAAAAAAAC4CAABkcnMvZTJvRG9jLnhtbFBLAQItABQABgAIAAAAIQARg+y13AAA&#10;AAYBAAAPAAAAAAAAAAAAAAAAABEFAABkcnMvZG93bnJldi54bWxQSwUGAAAAAAQABADzAAAAGgYA&#10;AAAA&#10;" filled="f" stroked="f">
                      <v:textbox style="mso-fit-shape-to-text:t">
                        <w:txbxContent>
                          <w:p w14:paraId="24855B4A" w14:textId="77777777" w:rsidR="00164C4D" w:rsidRDefault="00164C4D" w:rsidP="00116C1B">
                            <w:pPr>
                              <w:rPr>
                                <w:sz w:val="16"/>
                                <w:lang w:val="it-IT"/>
                              </w:rPr>
                            </w:pPr>
                            <w:r>
                              <w:rPr>
                                <w:sz w:val="16"/>
                                <w:lang w:val="it-IT"/>
                              </w:rPr>
                              <w:t>b)</w:t>
                            </w:r>
                          </w:p>
                        </w:txbxContent>
                      </v:textbox>
                    </v:shape>
                  </w:pict>
                </mc:Fallback>
              </mc:AlternateContent>
            </w:r>
            <w:r w:rsidR="00116C1B" w:rsidRPr="002B6B9E">
              <w:rPr>
                <w:noProof/>
                <w:lang w:eastAsia="en-GB"/>
              </w:rPr>
              <w:drawing>
                <wp:inline distT="0" distB="0" distL="0" distR="0" wp14:anchorId="0809E736" wp14:editId="7EF7A707">
                  <wp:extent cx="2499360" cy="2308860"/>
                  <wp:effectExtent l="0" t="0" r="0" b="0"/>
                  <wp:docPr id="16" name="Grafico 1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DDFC4CA-C472-498E-A362-2B851AB0A7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14:paraId="5FD29704" w14:textId="77777777" w:rsidR="00116C1B" w:rsidRPr="001413F4" w:rsidRDefault="00116C1B" w:rsidP="00116C1B">
      <w:pPr>
        <w:jc w:val="both"/>
        <w:rPr>
          <w:sz w:val="18"/>
          <w:szCs w:val="18"/>
          <w:lang w:val="en-US"/>
        </w:rPr>
      </w:pPr>
    </w:p>
    <w:p w14:paraId="2CF852CA" w14:textId="1C3F046A" w:rsidR="00116C1B" w:rsidRPr="001413F4" w:rsidRDefault="00116C1B" w:rsidP="00116C1B">
      <w:pPr>
        <w:pStyle w:val="figure"/>
        <w:rPr>
          <w:rFonts w:ascii="Times New Roman" w:hAnsi="Times New Roman" w:cs="Times New Roman"/>
          <w:i w:val="0"/>
          <w:sz w:val="16"/>
          <w:szCs w:val="18"/>
        </w:rPr>
      </w:pPr>
      <w:r w:rsidRPr="001413F4">
        <w:rPr>
          <w:rFonts w:ascii="Times New Roman" w:hAnsi="Times New Roman" w:cs="Times New Roman"/>
          <w:i w:val="0"/>
          <w:sz w:val="16"/>
          <w:szCs w:val="18"/>
          <w:lang w:val="en-US"/>
        </w:rPr>
        <w:t xml:space="preserve">Figure 3: a) </w:t>
      </w:r>
      <w:r w:rsidRPr="001413F4">
        <w:rPr>
          <w:rFonts w:ascii="Times New Roman" w:hAnsi="Times New Roman" w:cs="Times New Roman"/>
          <w:i w:val="0"/>
          <w:sz w:val="16"/>
          <w:szCs w:val="18"/>
        </w:rPr>
        <w:t xml:space="preserve">Occupancy in the base scenario. Data are averaged over time slices of 5 minutes; </w:t>
      </w:r>
    </w:p>
    <w:p w14:paraId="4D8CDD28" w14:textId="7E115D54" w:rsidR="00116C1B" w:rsidRPr="001413F4" w:rsidRDefault="00116C1B" w:rsidP="00116C1B">
      <w:pPr>
        <w:pStyle w:val="figure"/>
        <w:rPr>
          <w:rFonts w:ascii="Times New Roman" w:hAnsi="Times New Roman" w:cs="Times New Roman"/>
          <w:i w:val="0"/>
          <w:sz w:val="16"/>
          <w:szCs w:val="18"/>
        </w:rPr>
      </w:pPr>
      <w:r w:rsidRPr="001413F4">
        <w:rPr>
          <w:rFonts w:ascii="Times New Roman" w:hAnsi="Times New Roman" w:cs="Times New Roman"/>
          <w:i w:val="0"/>
          <w:sz w:val="16"/>
          <w:szCs w:val="18"/>
          <w:lang w:val="en-US"/>
        </w:rPr>
        <w:t xml:space="preserve">b) </w:t>
      </w:r>
      <w:r w:rsidRPr="001413F4">
        <w:rPr>
          <w:rFonts w:ascii="Times New Roman" w:hAnsi="Times New Roman" w:cs="Times New Roman"/>
          <w:i w:val="0"/>
          <w:sz w:val="16"/>
          <w:szCs w:val="18"/>
        </w:rPr>
        <w:t>Percentage of vehicles with a given VOC ratio in the time interval 7.30 - 8.30 AM</w:t>
      </w:r>
    </w:p>
    <w:p w14:paraId="300D3634" w14:textId="77777777" w:rsidR="004A56E6" w:rsidRPr="001413F4" w:rsidRDefault="004A56E6" w:rsidP="00116C1B">
      <w:pPr>
        <w:spacing w:line="240" w:lineRule="exact"/>
        <w:ind w:firstLine="238"/>
        <w:jc w:val="both"/>
        <w:rPr>
          <w:lang w:val="en-US"/>
        </w:rPr>
      </w:pPr>
    </w:p>
    <w:p w14:paraId="05E5273C" w14:textId="0030EAE0" w:rsidR="00116C1B" w:rsidRDefault="00116C1B" w:rsidP="0014254C">
      <w:pPr>
        <w:spacing w:line="260" w:lineRule="exact"/>
        <w:ind w:firstLine="238"/>
        <w:jc w:val="both"/>
        <w:rPr>
          <w:lang w:val="en-US"/>
        </w:rPr>
      </w:pPr>
      <w:r w:rsidRPr="001413F4">
        <w:rPr>
          <w:lang w:val="en-US"/>
        </w:rPr>
        <w:t xml:space="preserve">Figure 4 shows, for each scenario, the </w:t>
      </w:r>
      <w:r w:rsidR="00BA71D0">
        <w:rPr>
          <w:lang w:val="en-US"/>
        </w:rPr>
        <w:t>temporal profile</w:t>
      </w:r>
      <w:r w:rsidRPr="001413F4">
        <w:rPr>
          <w:lang w:val="en-US"/>
        </w:rPr>
        <w:t xml:space="preserve"> of </w:t>
      </w:r>
      <m:oMath>
        <m:r>
          <w:rPr>
            <w:rFonts w:ascii="Cambria Math" w:eastAsiaTheme="minorEastAsia" w:hAnsi="Cambria Math"/>
          </w:rPr>
          <m:t>RDR</m:t>
        </m:r>
      </m:oMath>
      <w:r w:rsidRPr="001413F4">
        <w:rPr>
          <w:lang w:val="en-US"/>
        </w:rPr>
        <w:t xml:space="preserve">. Data is averaged over time slices of 5 minutes. </w:t>
      </w:r>
      <w:r w:rsidR="008476A8">
        <w:rPr>
          <w:lang w:val="en-US"/>
        </w:rPr>
        <w:t>T</w:t>
      </w:r>
      <w:r w:rsidRPr="001413F4">
        <w:rPr>
          <w:lang w:val="en-US"/>
        </w:rPr>
        <w:t xml:space="preserve">ime is computed from the beginning of the simulation (i.e. zero corresponds to 6.00 AM). The </w:t>
      </w:r>
      <w:r w:rsidR="008476A8">
        <w:rPr>
          <w:lang w:val="en-US"/>
        </w:rPr>
        <w:t>qualitative</w:t>
      </w:r>
      <w:r w:rsidR="008476A8" w:rsidRPr="001413F4">
        <w:rPr>
          <w:lang w:val="en-US"/>
        </w:rPr>
        <w:t xml:space="preserve"> </w:t>
      </w:r>
      <w:r w:rsidRPr="001413F4">
        <w:rPr>
          <w:lang w:val="en-US"/>
        </w:rPr>
        <w:t>trend</w:t>
      </w:r>
      <w:r w:rsidR="008476A8">
        <w:rPr>
          <w:lang w:val="en-US"/>
        </w:rPr>
        <w:t xml:space="preserve"> </w:t>
      </w:r>
      <w:r w:rsidRPr="001413F4">
        <w:rPr>
          <w:lang w:val="en-US"/>
        </w:rPr>
        <w:t>of these indicators is almost the same in all scenarios</w:t>
      </w:r>
      <w:r w:rsidR="008476A8">
        <w:rPr>
          <w:lang w:val="en-US"/>
        </w:rPr>
        <w:t>, even though the magnitude of RDR vary significantly with the scenario</w:t>
      </w:r>
      <w:r w:rsidRPr="001413F4">
        <w:rPr>
          <w:lang w:val="en-US"/>
        </w:rPr>
        <w:t xml:space="preserve">. When the generation of passengers starts (1 hour into the simulation) there is a sharp increase in RDR – in one case an increase of more than 600% - </w:t>
      </w:r>
      <w:r w:rsidR="008476A8">
        <w:rPr>
          <w:lang w:val="en-US"/>
        </w:rPr>
        <w:t>due</w:t>
      </w:r>
      <w:r w:rsidR="008476A8" w:rsidRPr="001413F4">
        <w:rPr>
          <w:lang w:val="en-US"/>
        </w:rPr>
        <w:t xml:space="preserve"> </w:t>
      </w:r>
      <w:r w:rsidRPr="001413F4">
        <w:rPr>
          <w:lang w:val="en-US"/>
        </w:rPr>
        <w:t xml:space="preserve">to passengers who intended to use the disrupted link and </w:t>
      </w:r>
      <w:r w:rsidR="008476A8">
        <w:rPr>
          <w:lang w:val="en-US"/>
        </w:rPr>
        <w:t>a</w:t>
      </w:r>
      <w:r w:rsidRPr="001413F4">
        <w:rPr>
          <w:lang w:val="en-US"/>
        </w:rPr>
        <w:t xml:space="preserve">re forced to change </w:t>
      </w:r>
      <w:r w:rsidR="0014254C">
        <w:rPr>
          <w:lang w:val="en-US"/>
        </w:rPr>
        <w:t xml:space="preserve">their </w:t>
      </w:r>
      <w:r w:rsidRPr="001413F4">
        <w:rPr>
          <w:lang w:val="en-US"/>
        </w:rPr>
        <w:t xml:space="preserve">path. </w:t>
      </w:r>
      <w:r w:rsidR="00A6062C" w:rsidRPr="00A6062C">
        <w:rPr>
          <w:lang w:val="en-US"/>
        </w:rPr>
        <w:t>This sharp and abrupt increase in the case of D1 of D5 occurs because of the redistribution of passengers from disrupted metro links to alternative underutilized bus service segments that then result in a large relative increase in passenger volume from an initially low level.</w:t>
      </w:r>
      <w:r w:rsidR="001413F4" w:rsidRPr="00793329">
        <w:rPr>
          <w:lang w:val="en-US"/>
        </w:rPr>
        <w:t xml:space="preserve"> </w:t>
      </w:r>
      <w:r w:rsidRPr="001413F4">
        <w:rPr>
          <w:lang w:val="en-US"/>
        </w:rPr>
        <w:t xml:space="preserve">After that, the </w:t>
      </w:r>
      <w:r w:rsidR="008476A8">
        <w:rPr>
          <w:lang w:val="en-US"/>
        </w:rPr>
        <w:t xml:space="preserve">indicator </w:t>
      </w:r>
      <w:r w:rsidRPr="001413F4">
        <w:rPr>
          <w:lang w:val="en-US"/>
        </w:rPr>
        <w:t>stabilizes at a level of 0.2-0.3, implying a</w:t>
      </w:r>
      <w:r w:rsidR="00022F4D">
        <w:rPr>
          <w:lang w:val="en-US"/>
        </w:rPr>
        <w:t>n increase of</w:t>
      </w:r>
      <w:r w:rsidRPr="001413F4">
        <w:rPr>
          <w:lang w:val="en-US"/>
        </w:rPr>
        <w:t xml:space="preserve"> 20-30% increase in the average VOC per link with consequences on passenger travel comfort.</w:t>
      </w:r>
    </w:p>
    <w:p w14:paraId="6FAF3AEF" w14:textId="77777777" w:rsidR="00CA12B5" w:rsidRDefault="00CA12B5" w:rsidP="0014254C">
      <w:pPr>
        <w:spacing w:line="260" w:lineRule="exact"/>
        <w:ind w:firstLine="238"/>
        <w:jc w:val="both"/>
        <w:rPr>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0"/>
      </w:tblGrid>
      <w:tr w:rsidR="00CA12B5" w14:paraId="25944819" w14:textId="77777777" w:rsidTr="007101BC">
        <w:trPr>
          <w:jc w:val="center"/>
        </w:trPr>
        <w:tc>
          <w:tcPr>
            <w:tcW w:w="9498" w:type="dxa"/>
            <w:vAlign w:val="bottom"/>
          </w:tcPr>
          <w:p w14:paraId="4080BB0A" w14:textId="5995C28D" w:rsidR="00CA12B5" w:rsidRDefault="00CA12B5" w:rsidP="00CA12B5">
            <w:pPr>
              <w:spacing w:line="260" w:lineRule="exact"/>
              <w:rPr>
                <w:lang w:val="en-US"/>
              </w:rPr>
            </w:pPr>
            <w:r>
              <w:rPr>
                <w:noProof/>
                <w:lang w:eastAsia="en-GB"/>
              </w:rPr>
              <w:drawing>
                <wp:anchor distT="0" distB="0" distL="114300" distR="114300" simplePos="0" relativeHeight="251687424" behindDoc="0" locked="0" layoutInCell="1" allowOverlap="1" wp14:anchorId="522AA88D" wp14:editId="7B6FA286">
                  <wp:simplePos x="0" y="0"/>
                  <wp:positionH relativeFrom="column">
                    <wp:posOffset>14605</wp:posOffset>
                  </wp:positionH>
                  <wp:positionV relativeFrom="paragraph">
                    <wp:posOffset>-2473325</wp:posOffset>
                  </wp:positionV>
                  <wp:extent cx="5908040" cy="2472690"/>
                  <wp:effectExtent l="0" t="0" r="0" b="0"/>
                  <wp:wrapTopAndBottom/>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91" t="1501" r="1030" b="9228"/>
                          <a:stretch/>
                        </pic:blipFill>
                        <pic:spPr bwMode="auto">
                          <a:xfrm>
                            <a:off x="0" y="0"/>
                            <a:ext cx="5908040" cy="24726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1983A6D7" w14:textId="614A8EEA" w:rsidR="00116C1B" w:rsidRPr="001413F4" w:rsidRDefault="00CA12B5" w:rsidP="00CA12B5">
      <w:pPr>
        <w:pStyle w:val="figure"/>
        <w:spacing w:after="240" w:line="200" w:lineRule="exact"/>
        <w:rPr>
          <w:rFonts w:ascii="Times New Roman" w:hAnsi="Times New Roman"/>
          <w:i w:val="0"/>
          <w:sz w:val="16"/>
          <w:lang w:val="en-US"/>
        </w:rPr>
      </w:pPr>
      <w:r>
        <w:rPr>
          <w:rFonts w:ascii="Times New Roman" w:hAnsi="Times New Roman"/>
          <w:i w:val="0"/>
          <w:sz w:val="16"/>
          <w:lang w:val="en-US"/>
        </w:rPr>
        <w:t>F</w:t>
      </w:r>
      <w:r w:rsidR="00116C1B" w:rsidRPr="001413F4">
        <w:rPr>
          <w:rFonts w:ascii="Times New Roman" w:hAnsi="Times New Roman"/>
          <w:i w:val="0"/>
          <w:sz w:val="16"/>
          <w:lang w:val="en-US"/>
        </w:rPr>
        <w:t>igure 4: Relative difference ratio in volume over capacity evolution for each disruption scenario.</w:t>
      </w:r>
    </w:p>
    <w:p w14:paraId="6AA445F1" w14:textId="481CA574" w:rsidR="00A43E44" w:rsidRDefault="00116C1B" w:rsidP="00A43E44">
      <w:pPr>
        <w:spacing w:line="260" w:lineRule="exact"/>
        <w:ind w:firstLine="238"/>
        <w:jc w:val="both"/>
        <w:rPr>
          <w:rFonts w:eastAsiaTheme="minorEastAsia"/>
        </w:rPr>
      </w:pPr>
      <w:r w:rsidRPr="001413F4">
        <w:rPr>
          <w:rFonts w:eastAsiaTheme="minorEastAsia"/>
        </w:rPr>
        <w:t xml:space="preserve">Figure 5 shows the temporal </w:t>
      </w:r>
      <w:r w:rsidR="0014254C">
        <w:rPr>
          <w:rFonts w:eastAsiaTheme="minorEastAsia"/>
        </w:rPr>
        <w:t>profile</w:t>
      </w:r>
      <w:r w:rsidR="0014254C" w:rsidRPr="001413F4">
        <w:rPr>
          <w:rFonts w:eastAsiaTheme="minorEastAsia"/>
        </w:rPr>
        <w:t xml:space="preserve"> </w:t>
      </w:r>
      <w:r w:rsidRPr="001413F4">
        <w:rPr>
          <w:rFonts w:eastAsiaTheme="minorEastAsia"/>
        </w:rPr>
        <w:t xml:space="preserve">of the ADR indicator. As in the case of RDR, the overall trend follows a similar pattern for all disruption scenarios. It is evident that the ADR indicator increases sharply </w:t>
      </w:r>
      <w:r w:rsidR="00022F4D">
        <w:rPr>
          <w:rFonts w:eastAsiaTheme="minorEastAsia"/>
        </w:rPr>
        <w:t>following the disruption start at 7:15</w:t>
      </w:r>
      <w:r w:rsidRPr="001413F4">
        <w:rPr>
          <w:rFonts w:eastAsiaTheme="minorEastAsia"/>
        </w:rPr>
        <w:t xml:space="preserve"> AM</w:t>
      </w:r>
      <w:r w:rsidR="00022F4D">
        <w:rPr>
          <w:rFonts w:eastAsiaTheme="minorEastAsia"/>
        </w:rPr>
        <w:t xml:space="preserve">. The absolute change in VOC is most severe in the case of D4 which disrupts a central high-volume segment, resulting </w:t>
      </w:r>
      <w:r w:rsidR="008476A8">
        <w:rPr>
          <w:rFonts w:eastAsiaTheme="minorEastAsia"/>
        </w:rPr>
        <w:t xml:space="preserve">in </w:t>
      </w:r>
      <w:r w:rsidR="00022F4D">
        <w:rPr>
          <w:rFonts w:eastAsiaTheme="minorEastAsia"/>
        </w:rPr>
        <w:t xml:space="preserve">a large increase in passenger volumes and hence VOC on parallel services. </w:t>
      </w:r>
      <w:r w:rsidRPr="001413F4">
        <w:rPr>
          <w:rFonts w:eastAsiaTheme="minorEastAsia"/>
        </w:rPr>
        <w:t xml:space="preserve">It then falls into a </w:t>
      </w:r>
      <w:r w:rsidR="00022F4D">
        <w:rPr>
          <w:rFonts w:eastAsiaTheme="minorEastAsia"/>
        </w:rPr>
        <w:t>medium</w:t>
      </w:r>
      <w:r w:rsidR="00022F4D" w:rsidRPr="001413F4">
        <w:rPr>
          <w:rFonts w:eastAsiaTheme="minorEastAsia"/>
        </w:rPr>
        <w:t xml:space="preserve"> </w:t>
      </w:r>
      <w:r w:rsidRPr="001413F4">
        <w:rPr>
          <w:rFonts w:eastAsiaTheme="minorEastAsia"/>
        </w:rPr>
        <w:t xml:space="preserve">level </w:t>
      </w:r>
      <w:r w:rsidR="00022F4D">
        <w:rPr>
          <w:rFonts w:eastAsiaTheme="minorEastAsia"/>
        </w:rPr>
        <w:t>that persists for approximately an hour after the disruption ended</w:t>
      </w:r>
      <w:r w:rsidR="00774860">
        <w:rPr>
          <w:rFonts w:eastAsiaTheme="minorEastAsia"/>
        </w:rPr>
        <w:t>, implying an average increase of 0.02-0.05 in the VOC value per link</w:t>
      </w:r>
      <w:r w:rsidR="00022F4D">
        <w:rPr>
          <w:rFonts w:eastAsiaTheme="minorEastAsia"/>
        </w:rPr>
        <w:t xml:space="preserve">. </w:t>
      </w:r>
      <w:r w:rsidR="00774860">
        <w:rPr>
          <w:rFonts w:eastAsiaTheme="minorEastAsia"/>
        </w:rPr>
        <w:t xml:space="preserve">However, the spatial distribution of this change is remarkably uneven as discussed </w:t>
      </w:r>
      <w:r w:rsidR="0014254C">
        <w:rPr>
          <w:rFonts w:eastAsiaTheme="minorEastAsia"/>
        </w:rPr>
        <w:t xml:space="preserve">below </w:t>
      </w:r>
      <w:r w:rsidR="00774860">
        <w:rPr>
          <w:rFonts w:eastAsiaTheme="minorEastAsia"/>
        </w:rPr>
        <w:t xml:space="preserve">in section 3.2.3. </w:t>
      </w:r>
      <w:r w:rsidRPr="001413F4">
        <w:rPr>
          <w:rFonts w:eastAsiaTheme="minorEastAsia"/>
        </w:rPr>
        <w:t xml:space="preserve">Afterward, the difference between the base case and the disrupted cases progressively </w:t>
      </w:r>
      <w:r w:rsidR="0014254C">
        <w:rPr>
          <w:rFonts w:eastAsiaTheme="minorEastAsia"/>
        </w:rPr>
        <w:t>diminishes</w:t>
      </w:r>
      <w:r w:rsidR="00774860">
        <w:rPr>
          <w:rFonts w:eastAsiaTheme="minorEastAsia"/>
        </w:rPr>
        <w:t>.</w:t>
      </w:r>
      <w:bookmarkStart w:id="1" w:name="_Toc445158280"/>
      <w:bookmarkStart w:id="2" w:name="_Toc445158214"/>
    </w:p>
    <w:tbl>
      <w:tblPr>
        <w:tblStyle w:val="TableGrid"/>
        <w:tblW w:w="481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7"/>
      </w:tblGrid>
      <w:tr w:rsidR="00C15B86" w14:paraId="0D208250" w14:textId="77777777" w:rsidTr="00CA12B5">
        <w:trPr>
          <w:jc w:val="center"/>
        </w:trPr>
        <w:tc>
          <w:tcPr>
            <w:tcW w:w="5000" w:type="pct"/>
            <w:vAlign w:val="bottom"/>
          </w:tcPr>
          <w:p w14:paraId="5110D0A1" w14:textId="53EAE9C3" w:rsidR="00C15B86" w:rsidRDefault="00C15B86" w:rsidP="002E43C4">
            <w:pPr>
              <w:jc w:val="center"/>
              <w:rPr>
                <w:rFonts w:eastAsiaTheme="minorEastAsia"/>
              </w:rPr>
            </w:pPr>
            <w:r>
              <w:rPr>
                <w:rFonts w:eastAsiaTheme="minorEastAsia"/>
                <w:noProof/>
                <w:lang w:eastAsia="en-GB"/>
              </w:rPr>
              <w:lastRenderedPageBreak/>
              <w:drawing>
                <wp:anchor distT="0" distB="0" distL="114300" distR="114300" simplePos="0" relativeHeight="251679232" behindDoc="0" locked="0" layoutInCell="1" allowOverlap="1" wp14:anchorId="6E0924F7" wp14:editId="261C560D">
                  <wp:simplePos x="0" y="0"/>
                  <wp:positionH relativeFrom="column">
                    <wp:posOffset>-66040</wp:posOffset>
                  </wp:positionH>
                  <wp:positionV relativeFrom="line">
                    <wp:posOffset>95885</wp:posOffset>
                  </wp:positionV>
                  <wp:extent cx="6086475" cy="2199640"/>
                  <wp:effectExtent l="0" t="0" r="0" b="0"/>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974" t="2741" r="1224" b="3034"/>
                          <a:stretch/>
                        </pic:blipFill>
                        <pic:spPr bwMode="auto">
                          <a:xfrm>
                            <a:off x="0" y="0"/>
                            <a:ext cx="6086475" cy="2199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41D603D2" w14:textId="3446E96C" w:rsidR="00116C1B" w:rsidRPr="002A365E" w:rsidRDefault="00116C1B" w:rsidP="00CA12B5">
      <w:pPr>
        <w:pStyle w:val="figure"/>
        <w:spacing w:after="240" w:line="200" w:lineRule="exact"/>
        <w:rPr>
          <w:rFonts w:ascii="Times New Roman" w:hAnsi="Times New Roman"/>
          <w:i w:val="0"/>
          <w:sz w:val="16"/>
          <w:lang w:val="en-US"/>
        </w:rPr>
      </w:pPr>
      <w:r w:rsidRPr="002A365E">
        <w:rPr>
          <w:rFonts w:ascii="Times New Roman" w:hAnsi="Times New Roman"/>
          <w:i w:val="0"/>
          <w:sz w:val="16"/>
          <w:lang w:val="en-US"/>
        </w:rPr>
        <w:t>Figure 5: Absolute difference ratio in volume over capacity evolution for each disruption scenario.</w:t>
      </w:r>
      <w:bookmarkEnd w:id="1"/>
      <w:bookmarkEnd w:id="2"/>
    </w:p>
    <w:p w14:paraId="4A5D74F7" w14:textId="77777777" w:rsidR="00164C4D" w:rsidRPr="001413F4" w:rsidRDefault="00116C1B" w:rsidP="00164C4D">
      <w:pPr>
        <w:spacing w:line="260" w:lineRule="exact"/>
        <w:ind w:firstLine="238"/>
        <w:jc w:val="both"/>
        <w:rPr>
          <w:rFonts w:eastAsiaTheme="minorEastAsia"/>
        </w:rPr>
      </w:pPr>
      <w:r w:rsidRPr="001413F4">
        <w:rPr>
          <w:rFonts w:eastAsiaTheme="minorEastAsia"/>
        </w:rPr>
        <w:t>While the previous graphs allow identifying the scenarios with the highest initial impacts, in order to measure the vulnerability of the network over the entire study period, we need an aggregate indicator, which we will call Network-wide Link Saturation. For each scenario, the area under the curve in Figure 5 is an indicator of the total increase in VOC across the network:</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
        <w:gridCol w:w="7923"/>
        <w:gridCol w:w="966"/>
      </w:tblGrid>
      <w:tr w:rsidR="00116C1B" w:rsidRPr="001413F4" w14:paraId="4FCB35D0" w14:textId="77777777" w:rsidTr="00116C1B">
        <w:tc>
          <w:tcPr>
            <w:tcW w:w="490" w:type="pct"/>
            <w:vAlign w:val="center"/>
          </w:tcPr>
          <w:p w14:paraId="7E5D1439" w14:textId="77777777" w:rsidR="00116C1B" w:rsidRPr="001413F4" w:rsidRDefault="00116C1B" w:rsidP="00112996">
            <w:pPr>
              <w:spacing w:before="80" w:afterLines="80" w:after="192" w:line="240" w:lineRule="exact"/>
              <w:jc w:val="center"/>
              <w:rPr>
                <w:rFonts w:eastAsiaTheme="minorEastAsia"/>
              </w:rPr>
            </w:pPr>
          </w:p>
        </w:tc>
        <w:tc>
          <w:tcPr>
            <w:tcW w:w="4020" w:type="pct"/>
            <w:vAlign w:val="center"/>
            <w:hideMark/>
          </w:tcPr>
          <w:p w14:paraId="53DDCF82" w14:textId="77777777" w:rsidR="00116C1B" w:rsidRPr="001413F4" w:rsidRDefault="00116C1B">
            <w:pPr>
              <w:spacing w:before="80" w:after="80"/>
              <w:jc w:val="center"/>
              <w:rPr>
                <w:rFonts w:eastAsiaTheme="minorEastAsia"/>
              </w:rPr>
            </w:pPr>
            <m:oMathPara>
              <m:oMath>
                <m:r>
                  <w:rPr>
                    <w:rFonts w:ascii="Cambria Math" w:eastAsiaTheme="minorEastAsia" w:hAnsi="Cambria Math"/>
                  </w:rPr>
                  <m:t>NLS=</m:t>
                </m:r>
                <m:nary>
                  <m:naryPr>
                    <m:limLoc m:val="undOvr"/>
                    <m:subHide m:val="1"/>
                    <m:supHide m:val="1"/>
                    <m:ctrlPr>
                      <w:rPr>
                        <w:rFonts w:ascii="Cambria Math" w:eastAsiaTheme="minorEastAsia" w:hAnsi="Cambria Math"/>
                        <w:i/>
                      </w:rPr>
                    </m:ctrlPr>
                  </m:naryPr>
                  <m:sub/>
                  <m:sup/>
                  <m:e>
                    <m:r>
                      <w:rPr>
                        <w:rFonts w:ascii="Cambria Math" w:eastAsiaTheme="minorEastAsia" w:hAnsi="Cambria Math"/>
                      </w:rPr>
                      <m:t>ADR dt</m:t>
                    </m:r>
                  </m:e>
                </m:nary>
              </m:oMath>
            </m:oMathPara>
          </w:p>
        </w:tc>
        <w:tc>
          <w:tcPr>
            <w:tcW w:w="490" w:type="pct"/>
            <w:vAlign w:val="center"/>
            <w:hideMark/>
          </w:tcPr>
          <w:p w14:paraId="7F6E915A" w14:textId="77777777" w:rsidR="00116C1B" w:rsidRPr="001413F4" w:rsidRDefault="00116C1B" w:rsidP="00112996">
            <w:pPr>
              <w:spacing w:before="80" w:afterLines="80" w:after="192" w:line="240" w:lineRule="exact"/>
              <w:jc w:val="right"/>
              <w:rPr>
                <w:rFonts w:eastAsiaTheme="minorEastAsia"/>
              </w:rPr>
            </w:pPr>
            <w:r w:rsidRPr="001413F4">
              <w:rPr>
                <w:rFonts w:eastAsiaTheme="minorEastAsia"/>
              </w:rPr>
              <w:t>(6)</w:t>
            </w:r>
          </w:p>
        </w:tc>
      </w:tr>
    </w:tbl>
    <w:p w14:paraId="41DC39D0" w14:textId="77777777" w:rsidR="00116C1B" w:rsidRPr="001413F4" w:rsidRDefault="00116C1B" w:rsidP="00585031">
      <w:pPr>
        <w:spacing w:line="260" w:lineRule="exact"/>
        <w:ind w:firstLine="238"/>
        <w:jc w:val="both"/>
        <w:rPr>
          <w:rFonts w:eastAsiaTheme="minorEastAsia"/>
          <w:szCs w:val="18"/>
        </w:rPr>
      </w:pPr>
      <w:r w:rsidRPr="001413F4">
        <w:rPr>
          <w:rFonts w:eastAsiaTheme="minorEastAsia"/>
          <w:szCs w:val="18"/>
        </w:rPr>
        <w:t xml:space="preserve">The larger the value of </w:t>
      </w:r>
      <m:oMath>
        <m:r>
          <w:rPr>
            <w:rFonts w:ascii="Cambria Math" w:eastAsiaTheme="minorEastAsia" w:hAnsi="Cambria Math"/>
            <w:szCs w:val="18"/>
          </w:rPr>
          <m:t>NLS</m:t>
        </m:r>
      </m:oMath>
      <w:r w:rsidRPr="001413F4">
        <w:rPr>
          <w:rFonts w:eastAsiaTheme="minorEastAsia"/>
          <w:szCs w:val="18"/>
        </w:rPr>
        <w:t xml:space="preserve">, the more adverse the impacts of the disruption are in terms of network-wide increase in link saturation. Table 3 shows the value of this indicator for each scenario. </w:t>
      </w:r>
    </w:p>
    <w:p w14:paraId="38A2C4D1" w14:textId="77777777" w:rsidR="00116C1B" w:rsidRPr="001413F4" w:rsidRDefault="00116C1B" w:rsidP="00116C1B">
      <w:pPr>
        <w:spacing w:before="200" w:after="80" w:line="200" w:lineRule="exact"/>
        <w:ind w:left="1701"/>
        <w:rPr>
          <w:rFonts w:eastAsiaTheme="minorEastAsia"/>
          <w:sz w:val="16"/>
          <w:szCs w:val="16"/>
        </w:rPr>
      </w:pPr>
      <w:r w:rsidRPr="001413F4">
        <w:rPr>
          <w:rFonts w:eastAsiaTheme="minorEastAsia"/>
          <w:sz w:val="16"/>
          <w:szCs w:val="16"/>
        </w:rPr>
        <w:t xml:space="preserve">Table 3: </w:t>
      </w:r>
      <w:r w:rsidRPr="001413F4">
        <w:rPr>
          <w:sz w:val="16"/>
          <w:szCs w:val="16"/>
        </w:rPr>
        <w:t>Network-wide Link Saturation value for each disrupted scenario</w:t>
      </w:r>
    </w:p>
    <w:tbl>
      <w:tblPr>
        <w:tblStyle w:val="Tabellagriglia6acolori-colore51"/>
        <w:tblW w:w="5766"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61"/>
        <w:gridCol w:w="960"/>
        <w:gridCol w:w="960"/>
        <w:gridCol w:w="960"/>
        <w:gridCol w:w="960"/>
        <w:gridCol w:w="960"/>
      </w:tblGrid>
      <w:tr w:rsidR="00116C1B" w:rsidRPr="001413F4" w14:paraId="2AD2252B" w14:textId="77777777" w:rsidTr="004A56E6">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66" w:type="dxa"/>
            <w:tcBorders>
              <w:top w:val="single" w:sz="4" w:space="0" w:color="auto"/>
              <w:left w:val="nil"/>
              <w:bottom w:val="single" w:sz="4" w:space="0" w:color="auto"/>
              <w:right w:val="nil"/>
            </w:tcBorders>
            <w:shd w:val="clear" w:color="auto" w:fill="auto"/>
            <w:noWrap/>
            <w:vAlign w:val="center"/>
            <w:hideMark/>
          </w:tcPr>
          <w:p w14:paraId="5765611D" w14:textId="77777777" w:rsidR="00116C1B" w:rsidRPr="00793329" w:rsidRDefault="00116C1B">
            <w:pPr>
              <w:spacing w:line="276" w:lineRule="auto"/>
              <w:jc w:val="center"/>
              <w:rPr>
                <w:rFonts w:eastAsia="Times New Roman"/>
                <w:b w:val="0"/>
                <w:color w:val="auto"/>
                <w:sz w:val="16"/>
                <w:szCs w:val="18"/>
                <w:lang w:eastAsia="it-IT"/>
              </w:rPr>
            </w:pPr>
            <w:r w:rsidRPr="00793329">
              <w:rPr>
                <w:rFonts w:eastAsia="Times New Roman"/>
                <w:color w:val="auto"/>
                <w:sz w:val="16"/>
                <w:szCs w:val="18"/>
                <w:lang w:eastAsia="it-IT"/>
              </w:rPr>
              <w:t>SCENARIO</w:t>
            </w:r>
          </w:p>
        </w:tc>
        <w:tc>
          <w:tcPr>
            <w:tcW w:w="960" w:type="dxa"/>
            <w:tcBorders>
              <w:top w:val="single" w:sz="4" w:space="0" w:color="auto"/>
              <w:left w:val="nil"/>
              <w:bottom w:val="single" w:sz="4" w:space="0" w:color="auto"/>
              <w:right w:val="nil"/>
            </w:tcBorders>
            <w:shd w:val="clear" w:color="auto" w:fill="auto"/>
            <w:noWrap/>
            <w:vAlign w:val="center"/>
            <w:hideMark/>
          </w:tcPr>
          <w:p w14:paraId="674B718C" w14:textId="77777777" w:rsidR="00116C1B" w:rsidRPr="00793329" w:rsidRDefault="00116C1B">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color w:val="auto"/>
                <w:sz w:val="16"/>
                <w:szCs w:val="18"/>
                <w:lang w:eastAsia="it-IT"/>
              </w:rPr>
            </w:pPr>
            <w:r w:rsidRPr="00793329">
              <w:rPr>
                <w:rFonts w:eastAsia="Times New Roman"/>
                <w:color w:val="auto"/>
                <w:sz w:val="16"/>
                <w:szCs w:val="18"/>
                <w:lang w:eastAsia="it-IT"/>
              </w:rPr>
              <w:t>D1</w:t>
            </w:r>
          </w:p>
        </w:tc>
        <w:tc>
          <w:tcPr>
            <w:tcW w:w="960" w:type="dxa"/>
            <w:tcBorders>
              <w:top w:val="single" w:sz="4" w:space="0" w:color="auto"/>
              <w:left w:val="nil"/>
              <w:bottom w:val="single" w:sz="4" w:space="0" w:color="auto"/>
              <w:right w:val="nil"/>
            </w:tcBorders>
            <w:shd w:val="clear" w:color="auto" w:fill="auto"/>
            <w:noWrap/>
            <w:vAlign w:val="center"/>
            <w:hideMark/>
          </w:tcPr>
          <w:p w14:paraId="544FE3CC" w14:textId="77777777" w:rsidR="00116C1B" w:rsidRPr="00793329" w:rsidRDefault="00116C1B">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color w:val="auto"/>
                <w:sz w:val="16"/>
                <w:szCs w:val="18"/>
                <w:lang w:eastAsia="it-IT"/>
              </w:rPr>
            </w:pPr>
            <w:r w:rsidRPr="00793329">
              <w:rPr>
                <w:rFonts w:eastAsia="Times New Roman"/>
                <w:color w:val="auto"/>
                <w:sz w:val="16"/>
                <w:szCs w:val="18"/>
                <w:lang w:eastAsia="it-IT"/>
              </w:rPr>
              <w:t>D2</w:t>
            </w:r>
          </w:p>
        </w:tc>
        <w:tc>
          <w:tcPr>
            <w:tcW w:w="960" w:type="dxa"/>
            <w:tcBorders>
              <w:top w:val="single" w:sz="4" w:space="0" w:color="auto"/>
              <w:left w:val="nil"/>
              <w:bottom w:val="single" w:sz="4" w:space="0" w:color="auto"/>
              <w:right w:val="nil"/>
            </w:tcBorders>
            <w:shd w:val="clear" w:color="auto" w:fill="auto"/>
            <w:noWrap/>
            <w:vAlign w:val="center"/>
            <w:hideMark/>
          </w:tcPr>
          <w:p w14:paraId="17E2DE15" w14:textId="77777777" w:rsidR="00116C1B" w:rsidRPr="00793329" w:rsidRDefault="00116C1B">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color w:val="auto"/>
                <w:sz w:val="16"/>
                <w:szCs w:val="18"/>
                <w:lang w:eastAsia="it-IT"/>
              </w:rPr>
            </w:pPr>
            <w:r w:rsidRPr="00793329">
              <w:rPr>
                <w:rFonts w:eastAsia="Times New Roman"/>
                <w:color w:val="auto"/>
                <w:sz w:val="16"/>
                <w:szCs w:val="18"/>
                <w:lang w:eastAsia="it-IT"/>
              </w:rPr>
              <w:t>D3</w:t>
            </w:r>
          </w:p>
        </w:tc>
        <w:tc>
          <w:tcPr>
            <w:tcW w:w="960" w:type="dxa"/>
            <w:tcBorders>
              <w:top w:val="single" w:sz="4" w:space="0" w:color="auto"/>
              <w:left w:val="nil"/>
              <w:bottom w:val="single" w:sz="4" w:space="0" w:color="auto"/>
              <w:right w:val="nil"/>
            </w:tcBorders>
            <w:shd w:val="clear" w:color="auto" w:fill="auto"/>
            <w:noWrap/>
            <w:vAlign w:val="center"/>
            <w:hideMark/>
          </w:tcPr>
          <w:p w14:paraId="756E7E5A" w14:textId="77777777" w:rsidR="00116C1B" w:rsidRPr="00793329" w:rsidRDefault="00116C1B">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color w:val="auto"/>
                <w:sz w:val="16"/>
                <w:szCs w:val="18"/>
                <w:lang w:eastAsia="it-IT"/>
              </w:rPr>
            </w:pPr>
            <w:r w:rsidRPr="00793329">
              <w:rPr>
                <w:rFonts w:eastAsia="Times New Roman"/>
                <w:color w:val="auto"/>
                <w:sz w:val="16"/>
                <w:szCs w:val="18"/>
                <w:lang w:eastAsia="it-IT"/>
              </w:rPr>
              <w:t>D4</w:t>
            </w:r>
          </w:p>
        </w:tc>
        <w:tc>
          <w:tcPr>
            <w:tcW w:w="960" w:type="dxa"/>
            <w:tcBorders>
              <w:top w:val="single" w:sz="4" w:space="0" w:color="auto"/>
              <w:left w:val="nil"/>
              <w:bottom w:val="single" w:sz="4" w:space="0" w:color="auto"/>
              <w:right w:val="nil"/>
            </w:tcBorders>
            <w:shd w:val="clear" w:color="auto" w:fill="auto"/>
            <w:noWrap/>
            <w:vAlign w:val="center"/>
            <w:hideMark/>
          </w:tcPr>
          <w:p w14:paraId="2AF241C6" w14:textId="77777777" w:rsidR="00116C1B" w:rsidRPr="00793329" w:rsidRDefault="00116C1B">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color w:val="auto"/>
                <w:sz w:val="16"/>
                <w:szCs w:val="18"/>
                <w:lang w:eastAsia="it-IT"/>
              </w:rPr>
            </w:pPr>
            <w:r w:rsidRPr="00793329">
              <w:rPr>
                <w:rFonts w:eastAsia="Times New Roman"/>
                <w:color w:val="auto"/>
                <w:sz w:val="16"/>
                <w:szCs w:val="18"/>
                <w:lang w:eastAsia="it-IT"/>
              </w:rPr>
              <w:t>D5</w:t>
            </w:r>
          </w:p>
        </w:tc>
      </w:tr>
      <w:tr w:rsidR="00116C1B" w:rsidRPr="001413F4" w14:paraId="075D701C" w14:textId="77777777" w:rsidTr="004A56E6">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66" w:type="dxa"/>
            <w:tcBorders>
              <w:top w:val="single" w:sz="4" w:space="0" w:color="auto"/>
              <w:left w:val="nil"/>
              <w:bottom w:val="single" w:sz="4" w:space="0" w:color="auto"/>
              <w:right w:val="nil"/>
            </w:tcBorders>
            <w:shd w:val="clear" w:color="auto" w:fill="auto"/>
            <w:noWrap/>
            <w:vAlign w:val="center"/>
            <w:hideMark/>
          </w:tcPr>
          <w:p w14:paraId="5AE8AD19" w14:textId="77777777" w:rsidR="00116C1B" w:rsidRPr="00793329" w:rsidRDefault="00116C1B">
            <w:pPr>
              <w:spacing w:line="276" w:lineRule="auto"/>
              <w:jc w:val="center"/>
              <w:rPr>
                <w:rFonts w:eastAsia="Times New Roman"/>
                <w:b w:val="0"/>
                <w:color w:val="auto"/>
                <w:sz w:val="16"/>
                <w:szCs w:val="18"/>
                <w:lang w:eastAsia="it-IT"/>
              </w:rPr>
            </w:pPr>
            <w:r w:rsidRPr="00793329">
              <w:rPr>
                <w:rFonts w:eastAsia="Times New Roman"/>
                <w:color w:val="auto"/>
                <w:sz w:val="16"/>
                <w:szCs w:val="18"/>
                <w:lang w:eastAsia="it-IT"/>
              </w:rPr>
              <w:t>NLS</w:t>
            </w:r>
          </w:p>
        </w:tc>
        <w:tc>
          <w:tcPr>
            <w:tcW w:w="960" w:type="dxa"/>
            <w:tcBorders>
              <w:top w:val="single" w:sz="4" w:space="0" w:color="auto"/>
              <w:left w:val="nil"/>
              <w:bottom w:val="single" w:sz="4" w:space="0" w:color="auto"/>
              <w:right w:val="nil"/>
            </w:tcBorders>
            <w:shd w:val="clear" w:color="auto" w:fill="auto"/>
            <w:noWrap/>
            <w:vAlign w:val="center"/>
            <w:hideMark/>
          </w:tcPr>
          <w:p w14:paraId="2B45870D" w14:textId="77777777" w:rsidR="00116C1B" w:rsidRPr="00793329" w:rsidRDefault="00116C1B">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8"/>
                <w:lang w:eastAsia="it-IT"/>
              </w:rPr>
            </w:pPr>
            <w:r w:rsidRPr="00793329">
              <w:rPr>
                <w:rFonts w:eastAsia="Times New Roman"/>
                <w:color w:val="auto"/>
                <w:sz w:val="16"/>
                <w:szCs w:val="18"/>
                <w:lang w:eastAsia="it-IT"/>
              </w:rPr>
              <w:t>100.03</w:t>
            </w:r>
          </w:p>
        </w:tc>
        <w:tc>
          <w:tcPr>
            <w:tcW w:w="960" w:type="dxa"/>
            <w:tcBorders>
              <w:top w:val="single" w:sz="4" w:space="0" w:color="auto"/>
              <w:left w:val="nil"/>
              <w:bottom w:val="single" w:sz="4" w:space="0" w:color="auto"/>
              <w:right w:val="nil"/>
            </w:tcBorders>
            <w:shd w:val="clear" w:color="auto" w:fill="auto"/>
            <w:noWrap/>
            <w:vAlign w:val="center"/>
            <w:hideMark/>
          </w:tcPr>
          <w:p w14:paraId="255AD7F0" w14:textId="77777777" w:rsidR="00116C1B" w:rsidRPr="00793329" w:rsidRDefault="00116C1B">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8"/>
                <w:lang w:eastAsia="it-IT"/>
              </w:rPr>
            </w:pPr>
            <w:r w:rsidRPr="00793329">
              <w:rPr>
                <w:rFonts w:eastAsia="Times New Roman"/>
                <w:color w:val="auto"/>
                <w:sz w:val="16"/>
                <w:szCs w:val="18"/>
                <w:lang w:eastAsia="it-IT"/>
              </w:rPr>
              <w:t>113.38</w:t>
            </w:r>
          </w:p>
        </w:tc>
        <w:tc>
          <w:tcPr>
            <w:tcW w:w="960" w:type="dxa"/>
            <w:tcBorders>
              <w:top w:val="single" w:sz="4" w:space="0" w:color="auto"/>
              <w:left w:val="nil"/>
              <w:bottom w:val="single" w:sz="4" w:space="0" w:color="auto"/>
              <w:right w:val="nil"/>
            </w:tcBorders>
            <w:shd w:val="clear" w:color="auto" w:fill="auto"/>
            <w:noWrap/>
            <w:vAlign w:val="center"/>
            <w:hideMark/>
          </w:tcPr>
          <w:p w14:paraId="291AE057" w14:textId="77777777" w:rsidR="00116C1B" w:rsidRPr="00793329" w:rsidRDefault="00116C1B">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8"/>
                <w:lang w:eastAsia="it-IT"/>
              </w:rPr>
            </w:pPr>
            <w:r w:rsidRPr="00793329">
              <w:rPr>
                <w:rFonts w:eastAsia="Times New Roman"/>
                <w:color w:val="auto"/>
                <w:sz w:val="16"/>
                <w:szCs w:val="18"/>
                <w:lang w:eastAsia="it-IT"/>
              </w:rPr>
              <w:t>99.06</w:t>
            </w:r>
          </w:p>
        </w:tc>
        <w:tc>
          <w:tcPr>
            <w:tcW w:w="960" w:type="dxa"/>
            <w:tcBorders>
              <w:top w:val="single" w:sz="4" w:space="0" w:color="auto"/>
              <w:left w:val="nil"/>
              <w:bottom w:val="single" w:sz="4" w:space="0" w:color="auto"/>
              <w:right w:val="nil"/>
            </w:tcBorders>
            <w:shd w:val="clear" w:color="auto" w:fill="auto"/>
            <w:noWrap/>
            <w:vAlign w:val="center"/>
            <w:hideMark/>
          </w:tcPr>
          <w:p w14:paraId="071D2E65" w14:textId="77777777" w:rsidR="00116C1B" w:rsidRPr="00793329" w:rsidRDefault="00116C1B">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8"/>
                <w:lang w:eastAsia="it-IT"/>
              </w:rPr>
            </w:pPr>
            <w:r w:rsidRPr="00793329">
              <w:rPr>
                <w:rFonts w:eastAsia="Times New Roman"/>
                <w:color w:val="auto"/>
                <w:sz w:val="16"/>
                <w:szCs w:val="18"/>
                <w:lang w:eastAsia="it-IT"/>
              </w:rPr>
              <w:t>112.77</w:t>
            </w:r>
          </w:p>
        </w:tc>
        <w:tc>
          <w:tcPr>
            <w:tcW w:w="960" w:type="dxa"/>
            <w:tcBorders>
              <w:top w:val="single" w:sz="4" w:space="0" w:color="auto"/>
              <w:left w:val="nil"/>
              <w:bottom w:val="single" w:sz="4" w:space="0" w:color="auto"/>
              <w:right w:val="nil"/>
            </w:tcBorders>
            <w:shd w:val="clear" w:color="auto" w:fill="auto"/>
            <w:noWrap/>
            <w:vAlign w:val="center"/>
            <w:hideMark/>
          </w:tcPr>
          <w:p w14:paraId="0589826E" w14:textId="77777777" w:rsidR="00116C1B" w:rsidRPr="00793329" w:rsidRDefault="00116C1B">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8"/>
                <w:lang w:eastAsia="it-IT"/>
              </w:rPr>
            </w:pPr>
            <w:r w:rsidRPr="00793329">
              <w:rPr>
                <w:rFonts w:eastAsia="Times New Roman"/>
                <w:color w:val="auto"/>
                <w:sz w:val="16"/>
                <w:szCs w:val="18"/>
                <w:lang w:eastAsia="it-IT"/>
              </w:rPr>
              <w:t>90.33</w:t>
            </w:r>
          </w:p>
        </w:tc>
      </w:tr>
    </w:tbl>
    <w:p w14:paraId="26A293DA" w14:textId="77777777" w:rsidR="00116C1B" w:rsidRPr="001413F4" w:rsidRDefault="00116C1B" w:rsidP="00116C1B">
      <w:pPr>
        <w:spacing w:line="120" w:lineRule="auto"/>
        <w:ind w:firstLine="238"/>
        <w:jc w:val="both"/>
        <w:rPr>
          <w:rFonts w:eastAsiaTheme="minorEastAsia"/>
          <w:sz w:val="18"/>
          <w:szCs w:val="18"/>
        </w:rPr>
      </w:pPr>
    </w:p>
    <w:p w14:paraId="460ED615" w14:textId="77777777" w:rsidR="004A56E6" w:rsidRPr="001413F4" w:rsidRDefault="004A56E6" w:rsidP="00116C1B">
      <w:pPr>
        <w:spacing w:line="240" w:lineRule="exact"/>
        <w:ind w:firstLine="238"/>
        <w:jc w:val="both"/>
        <w:rPr>
          <w:rFonts w:eastAsiaTheme="minorEastAsia"/>
          <w:szCs w:val="18"/>
        </w:rPr>
      </w:pPr>
    </w:p>
    <w:p w14:paraId="4237ACD6" w14:textId="77777777" w:rsidR="00116C1B" w:rsidRPr="001413F4" w:rsidRDefault="00116C1B" w:rsidP="0014254C">
      <w:pPr>
        <w:spacing w:line="260" w:lineRule="exact"/>
        <w:ind w:firstLine="238"/>
        <w:jc w:val="both"/>
        <w:rPr>
          <w:rFonts w:eastAsiaTheme="minorEastAsia"/>
          <w:szCs w:val="18"/>
        </w:rPr>
      </w:pPr>
      <w:r w:rsidRPr="001413F4">
        <w:rPr>
          <w:rFonts w:eastAsiaTheme="minorEastAsia"/>
          <w:szCs w:val="18"/>
        </w:rPr>
        <w:t xml:space="preserve">The scenario in which the network is most disrupted is D2, closely followed by D4, while the case with least impact is D5. While D4 induces more acute effects on network saturation, D2 is characterized by a more chronic increase in volume over capacity levels. The results suggest that there is a loose relation between the </w:t>
      </w:r>
      <w:r w:rsidR="0014254C">
        <w:rPr>
          <w:rFonts w:eastAsiaTheme="minorEastAsia"/>
          <w:szCs w:val="18"/>
        </w:rPr>
        <w:t xml:space="preserve">ranking attained by </w:t>
      </w:r>
      <w:r w:rsidRPr="001413F4">
        <w:rPr>
          <w:rFonts w:eastAsiaTheme="minorEastAsia"/>
          <w:szCs w:val="18"/>
        </w:rPr>
        <w:t>centrality measure</w:t>
      </w:r>
      <w:r w:rsidR="0014254C">
        <w:rPr>
          <w:rFonts w:eastAsiaTheme="minorEastAsia"/>
          <w:szCs w:val="18"/>
        </w:rPr>
        <w:t>s</w:t>
      </w:r>
      <w:r w:rsidRPr="001413F4">
        <w:rPr>
          <w:rFonts w:eastAsiaTheme="minorEastAsia"/>
          <w:szCs w:val="18"/>
        </w:rPr>
        <w:t xml:space="preserve"> </w:t>
      </w:r>
      <w:r w:rsidR="0014254C">
        <w:rPr>
          <w:rFonts w:eastAsiaTheme="minorEastAsia"/>
          <w:szCs w:val="18"/>
        </w:rPr>
        <w:t>(Eq. 2)</w:t>
      </w:r>
      <w:r w:rsidRPr="001413F4">
        <w:rPr>
          <w:rFonts w:eastAsiaTheme="minorEastAsia"/>
          <w:szCs w:val="18"/>
        </w:rPr>
        <w:t xml:space="preserve"> </w:t>
      </w:r>
      <w:r w:rsidR="00EE5044">
        <w:rPr>
          <w:rFonts w:eastAsiaTheme="minorEastAsia"/>
          <w:szCs w:val="18"/>
        </w:rPr>
        <w:t>which was used in the enumeration of D1-D5</w:t>
      </w:r>
      <w:r w:rsidR="000E3D29">
        <w:rPr>
          <w:rFonts w:eastAsiaTheme="minorEastAsia"/>
          <w:szCs w:val="18"/>
        </w:rPr>
        <w:t>,</w:t>
      </w:r>
      <w:r w:rsidR="00EE5044">
        <w:rPr>
          <w:rFonts w:eastAsiaTheme="minorEastAsia"/>
          <w:szCs w:val="18"/>
        </w:rPr>
        <w:t xml:space="preserve"> </w:t>
      </w:r>
      <w:r w:rsidRPr="001413F4">
        <w:rPr>
          <w:rFonts w:eastAsiaTheme="minorEastAsia"/>
          <w:szCs w:val="18"/>
        </w:rPr>
        <w:t xml:space="preserve">and the importance of the link </w:t>
      </w:r>
      <w:r w:rsidR="0014254C">
        <w:rPr>
          <w:rFonts w:eastAsiaTheme="minorEastAsia"/>
          <w:szCs w:val="18"/>
        </w:rPr>
        <w:t xml:space="preserve">to network vulnerability </w:t>
      </w:r>
      <w:r w:rsidRPr="001413F4">
        <w:rPr>
          <w:rFonts w:eastAsiaTheme="minorEastAsia"/>
          <w:szCs w:val="18"/>
        </w:rPr>
        <w:t>as measured in this study</w:t>
      </w:r>
      <w:r w:rsidR="0014254C">
        <w:rPr>
          <w:rFonts w:eastAsiaTheme="minorEastAsia"/>
          <w:szCs w:val="18"/>
        </w:rPr>
        <w:t xml:space="preserve"> (Eq. 6)</w:t>
      </w:r>
      <w:r w:rsidRPr="001413F4">
        <w:rPr>
          <w:rFonts w:eastAsiaTheme="minorEastAsia"/>
          <w:szCs w:val="18"/>
        </w:rPr>
        <w:t xml:space="preserve">. </w:t>
      </w:r>
    </w:p>
    <w:p w14:paraId="6CEE52F9" w14:textId="77777777" w:rsidR="000D46FF" w:rsidRPr="001413F4" w:rsidRDefault="000D46FF" w:rsidP="00585031">
      <w:pPr>
        <w:spacing w:line="260" w:lineRule="exact"/>
        <w:ind w:firstLine="238"/>
        <w:jc w:val="both"/>
        <w:rPr>
          <w:rFonts w:eastAsiaTheme="minorEastAsia"/>
          <w:szCs w:val="18"/>
        </w:rPr>
      </w:pPr>
    </w:p>
    <w:p w14:paraId="0DF2145E" w14:textId="77777777" w:rsidR="00A91890" w:rsidRPr="001413F4" w:rsidRDefault="00A91890" w:rsidP="00A91890">
      <w:pPr>
        <w:rPr>
          <w:i/>
          <w:lang w:val="en-US"/>
        </w:rPr>
      </w:pPr>
      <w:r w:rsidRPr="001413F4">
        <w:rPr>
          <w:i/>
          <w:lang w:val="en-US"/>
        </w:rPr>
        <w:t>3.2.2. Recovery time</w:t>
      </w:r>
    </w:p>
    <w:p w14:paraId="1B042202" w14:textId="77777777" w:rsidR="00A91890" w:rsidRPr="001413F4" w:rsidRDefault="00A91890" w:rsidP="00585031">
      <w:pPr>
        <w:spacing w:line="260" w:lineRule="exact"/>
        <w:ind w:firstLine="238"/>
        <w:jc w:val="both"/>
        <w:rPr>
          <w:rFonts w:eastAsiaTheme="minorEastAsia"/>
          <w:szCs w:val="18"/>
        </w:rPr>
      </w:pPr>
    </w:p>
    <w:p w14:paraId="089961A0" w14:textId="77777777" w:rsidR="00116C1B" w:rsidRPr="001413F4" w:rsidRDefault="0031175F" w:rsidP="007564B1">
      <w:pPr>
        <w:spacing w:line="260" w:lineRule="exact"/>
        <w:ind w:firstLine="238"/>
        <w:jc w:val="both"/>
        <w:rPr>
          <w:szCs w:val="18"/>
          <w:lang w:val="en-US"/>
        </w:rPr>
      </w:pPr>
      <w:r w:rsidRPr="001413F4">
        <w:rPr>
          <w:rFonts w:eastAsiaTheme="minorEastAsia"/>
          <w:szCs w:val="18"/>
        </w:rPr>
        <w:t>T</w:t>
      </w:r>
      <w:r w:rsidR="00116C1B" w:rsidRPr="001413F4">
        <w:rPr>
          <w:rFonts w:eastAsiaTheme="minorEastAsia"/>
          <w:szCs w:val="18"/>
        </w:rPr>
        <w:t xml:space="preserve">he network </w:t>
      </w:r>
      <w:r w:rsidR="00116C1B" w:rsidRPr="001413F4">
        <w:rPr>
          <w:i/>
          <w:szCs w:val="18"/>
          <w:lang w:val="en-US"/>
        </w:rPr>
        <w:t>recovery time</w:t>
      </w:r>
      <w:r w:rsidRPr="001413F4">
        <w:rPr>
          <w:szCs w:val="18"/>
          <w:lang w:val="en-US"/>
        </w:rPr>
        <w:t xml:space="preserve"> -</w:t>
      </w:r>
      <w:r w:rsidR="00116C1B" w:rsidRPr="001413F4">
        <w:rPr>
          <w:szCs w:val="18"/>
          <w:lang w:val="en-US"/>
        </w:rPr>
        <w:t xml:space="preserve"> the time required for the network to return to undisrupted conditions (base scenario level), </w:t>
      </w:r>
      <w:r w:rsidR="00BB5503" w:rsidRPr="001413F4">
        <w:rPr>
          <w:szCs w:val="18"/>
          <w:lang w:val="en-US"/>
        </w:rPr>
        <w:t>is</w:t>
      </w:r>
      <w:r w:rsidRPr="001413F4">
        <w:rPr>
          <w:szCs w:val="18"/>
          <w:lang w:val="en-US"/>
        </w:rPr>
        <w:t xml:space="preserve"> computed as </w:t>
      </w:r>
      <w:r w:rsidR="00116C1B" w:rsidRPr="001413F4">
        <w:rPr>
          <w:szCs w:val="18"/>
          <w:lang w:val="en-US"/>
        </w:rPr>
        <w:t>the time at which ADR</w:t>
      </w:r>
      <m:oMath>
        <m:r>
          <w:rPr>
            <w:rFonts w:ascii="Cambria Math" w:hAnsi="Cambria Math"/>
            <w:szCs w:val="18"/>
            <w:lang w:val="en-US"/>
          </w:rPr>
          <m:t>→</m:t>
        </m:r>
      </m:oMath>
      <w:r w:rsidR="00116C1B" w:rsidRPr="001413F4">
        <w:rPr>
          <w:szCs w:val="18"/>
          <w:lang w:val="en-US"/>
        </w:rPr>
        <w:t>0</w:t>
      </w:r>
      <w:r w:rsidRPr="001413F4">
        <w:rPr>
          <w:szCs w:val="18"/>
          <w:lang w:val="en-US"/>
        </w:rPr>
        <w:t xml:space="preserve"> (Figure 5)</w:t>
      </w:r>
      <w:r w:rsidR="00116C1B" w:rsidRPr="001413F4">
        <w:rPr>
          <w:szCs w:val="18"/>
          <w:lang w:val="en-US"/>
        </w:rPr>
        <w:t xml:space="preserve">. For all scenarios, the recovery time is between 4 and 4.5 hours after the beginning of the simulation, which corresponds to 10:00-10:30 AM, or 2.5 hours after the actual disruption ended. These results suggest that the aftermath of </w:t>
      </w:r>
      <w:r w:rsidR="00D1754B">
        <w:rPr>
          <w:szCs w:val="18"/>
          <w:lang w:val="en-US"/>
        </w:rPr>
        <w:t xml:space="preserve">a </w:t>
      </w:r>
      <w:r w:rsidR="00116C1B" w:rsidRPr="001413F4">
        <w:rPr>
          <w:szCs w:val="18"/>
          <w:lang w:val="en-US"/>
        </w:rPr>
        <w:t>disruption</w:t>
      </w:r>
      <w:r w:rsidR="00D1754B">
        <w:rPr>
          <w:szCs w:val="18"/>
          <w:lang w:val="en-US"/>
        </w:rPr>
        <w:t>s</w:t>
      </w:r>
      <w:r w:rsidR="00116C1B" w:rsidRPr="001413F4">
        <w:rPr>
          <w:szCs w:val="18"/>
          <w:lang w:val="en-US"/>
        </w:rPr>
        <w:t xml:space="preserve"> last up to 5 times longer than the disruption</w:t>
      </w:r>
      <w:r w:rsidR="00D1754B">
        <w:rPr>
          <w:szCs w:val="18"/>
          <w:lang w:val="en-US"/>
        </w:rPr>
        <w:t xml:space="preserve"> itself</w:t>
      </w:r>
      <w:r w:rsidR="00116C1B" w:rsidRPr="001413F4">
        <w:rPr>
          <w:szCs w:val="18"/>
          <w:lang w:val="en-US"/>
        </w:rPr>
        <w:t>. The scenario with the shortest recovery time is D3, while D2 has the longest recovery time. Simulations with demand generated for a longer time (between 7.00 and 9.00 in the morning) show the same recovery time and trends. This confirms that the system recovers not because there are no more passengers in the simulation, but rather because the network effectively returns to its original state.</w:t>
      </w:r>
    </w:p>
    <w:p w14:paraId="7F42E1C1" w14:textId="77777777" w:rsidR="00116C1B" w:rsidRPr="001413F4" w:rsidRDefault="00116C1B" w:rsidP="00116C1B">
      <w:pPr>
        <w:pStyle w:val="figure"/>
        <w:spacing w:before="200" w:after="80" w:line="200" w:lineRule="exact"/>
        <w:ind w:left="709"/>
        <w:jc w:val="left"/>
        <w:rPr>
          <w:rFonts w:ascii="Times New Roman" w:hAnsi="Times New Roman" w:cs="Times New Roman"/>
          <w:i w:val="0"/>
          <w:sz w:val="16"/>
          <w:szCs w:val="18"/>
        </w:rPr>
      </w:pPr>
      <w:r w:rsidRPr="001413F4">
        <w:rPr>
          <w:rFonts w:ascii="Times New Roman" w:hAnsi="Times New Roman" w:cs="Times New Roman"/>
          <w:i w:val="0"/>
          <w:sz w:val="16"/>
          <w:szCs w:val="18"/>
        </w:rPr>
        <w:t>Table 4: Recovery time for each disrupted scenario, computed from the end of the disruption (7.45 AM)</w:t>
      </w:r>
    </w:p>
    <w:tbl>
      <w:tblPr>
        <w:tblStyle w:val="Tabellagriglia6acolori-colore51"/>
        <w:tblW w:w="7750"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1053"/>
        <w:gridCol w:w="960"/>
        <w:gridCol w:w="960"/>
        <w:gridCol w:w="960"/>
        <w:gridCol w:w="1053"/>
      </w:tblGrid>
      <w:tr w:rsidR="00116C1B" w:rsidRPr="001413F4" w14:paraId="4E993D1D" w14:textId="77777777" w:rsidTr="004A56E6">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764" w:type="dxa"/>
            <w:tcBorders>
              <w:top w:val="single" w:sz="4" w:space="0" w:color="auto"/>
              <w:left w:val="nil"/>
              <w:bottom w:val="single" w:sz="4" w:space="0" w:color="auto"/>
              <w:right w:val="nil"/>
            </w:tcBorders>
            <w:shd w:val="clear" w:color="auto" w:fill="auto"/>
            <w:noWrap/>
            <w:vAlign w:val="center"/>
            <w:hideMark/>
          </w:tcPr>
          <w:p w14:paraId="43DBB6E1" w14:textId="77777777" w:rsidR="00116C1B" w:rsidRPr="006726BE" w:rsidRDefault="00116C1B">
            <w:pPr>
              <w:spacing w:line="276" w:lineRule="auto"/>
              <w:jc w:val="center"/>
              <w:rPr>
                <w:rFonts w:eastAsia="Times New Roman"/>
                <w:b w:val="0"/>
                <w:color w:val="auto"/>
                <w:sz w:val="16"/>
                <w:szCs w:val="18"/>
                <w:lang w:eastAsia="it-IT"/>
              </w:rPr>
            </w:pPr>
            <w:r w:rsidRPr="00793329">
              <w:rPr>
                <w:rFonts w:eastAsia="Times New Roman"/>
                <w:color w:val="auto"/>
                <w:sz w:val="16"/>
                <w:szCs w:val="18"/>
                <w:lang w:eastAsia="it-IT"/>
              </w:rPr>
              <w:t>SCENARIO</w:t>
            </w:r>
          </w:p>
        </w:tc>
        <w:tc>
          <w:tcPr>
            <w:tcW w:w="1053" w:type="dxa"/>
            <w:tcBorders>
              <w:top w:val="single" w:sz="4" w:space="0" w:color="auto"/>
              <w:left w:val="nil"/>
              <w:bottom w:val="single" w:sz="4" w:space="0" w:color="auto"/>
              <w:right w:val="nil"/>
            </w:tcBorders>
            <w:shd w:val="clear" w:color="auto" w:fill="auto"/>
            <w:noWrap/>
            <w:vAlign w:val="center"/>
            <w:hideMark/>
          </w:tcPr>
          <w:p w14:paraId="5F03A2B0" w14:textId="77777777" w:rsidR="00116C1B" w:rsidRPr="006726BE" w:rsidRDefault="00116C1B">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color w:val="auto"/>
                <w:sz w:val="16"/>
                <w:szCs w:val="18"/>
                <w:lang w:eastAsia="it-IT"/>
              </w:rPr>
            </w:pPr>
            <w:r w:rsidRPr="00793329">
              <w:rPr>
                <w:rFonts w:eastAsia="Times New Roman"/>
                <w:color w:val="auto"/>
                <w:sz w:val="16"/>
                <w:szCs w:val="18"/>
                <w:lang w:eastAsia="it-IT"/>
              </w:rPr>
              <w:t>D1</w:t>
            </w:r>
          </w:p>
        </w:tc>
        <w:tc>
          <w:tcPr>
            <w:tcW w:w="960" w:type="dxa"/>
            <w:tcBorders>
              <w:top w:val="single" w:sz="4" w:space="0" w:color="auto"/>
              <w:left w:val="nil"/>
              <w:bottom w:val="single" w:sz="4" w:space="0" w:color="auto"/>
              <w:right w:val="nil"/>
            </w:tcBorders>
            <w:shd w:val="clear" w:color="auto" w:fill="auto"/>
            <w:noWrap/>
            <w:vAlign w:val="center"/>
            <w:hideMark/>
          </w:tcPr>
          <w:p w14:paraId="298528AF" w14:textId="77777777" w:rsidR="00116C1B" w:rsidRPr="006726BE" w:rsidRDefault="00116C1B">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color w:val="auto"/>
                <w:sz w:val="16"/>
                <w:szCs w:val="18"/>
                <w:lang w:eastAsia="it-IT"/>
              </w:rPr>
            </w:pPr>
            <w:r w:rsidRPr="00793329">
              <w:rPr>
                <w:rFonts w:eastAsia="Times New Roman"/>
                <w:color w:val="auto"/>
                <w:sz w:val="16"/>
                <w:szCs w:val="18"/>
                <w:lang w:eastAsia="it-IT"/>
              </w:rPr>
              <w:t>D2</w:t>
            </w:r>
          </w:p>
        </w:tc>
        <w:tc>
          <w:tcPr>
            <w:tcW w:w="960" w:type="dxa"/>
            <w:tcBorders>
              <w:top w:val="single" w:sz="4" w:space="0" w:color="auto"/>
              <w:left w:val="nil"/>
              <w:bottom w:val="single" w:sz="4" w:space="0" w:color="auto"/>
              <w:right w:val="nil"/>
            </w:tcBorders>
            <w:shd w:val="clear" w:color="auto" w:fill="auto"/>
            <w:noWrap/>
            <w:vAlign w:val="center"/>
            <w:hideMark/>
          </w:tcPr>
          <w:p w14:paraId="747686E1" w14:textId="77777777" w:rsidR="00116C1B" w:rsidRPr="006726BE" w:rsidRDefault="00116C1B">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color w:val="auto"/>
                <w:sz w:val="16"/>
                <w:szCs w:val="18"/>
                <w:lang w:eastAsia="it-IT"/>
              </w:rPr>
            </w:pPr>
            <w:r w:rsidRPr="00793329">
              <w:rPr>
                <w:rFonts w:eastAsia="Times New Roman"/>
                <w:color w:val="auto"/>
                <w:sz w:val="16"/>
                <w:szCs w:val="18"/>
                <w:lang w:eastAsia="it-IT"/>
              </w:rPr>
              <w:t>D3</w:t>
            </w:r>
          </w:p>
        </w:tc>
        <w:tc>
          <w:tcPr>
            <w:tcW w:w="960" w:type="dxa"/>
            <w:tcBorders>
              <w:top w:val="single" w:sz="4" w:space="0" w:color="auto"/>
              <w:left w:val="nil"/>
              <w:bottom w:val="single" w:sz="4" w:space="0" w:color="auto"/>
              <w:right w:val="nil"/>
            </w:tcBorders>
            <w:shd w:val="clear" w:color="auto" w:fill="auto"/>
            <w:noWrap/>
            <w:vAlign w:val="center"/>
            <w:hideMark/>
          </w:tcPr>
          <w:p w14:paraId="0221669E" w14:textId="77777777" w:rsidR="00116C1B" w:rsidRPr="006726BE" w:rsidRDefault="00116C1B">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color w:val="auto"/>
                <w:sz w:val="16"/>
                <w:szCs w:val="18"/>
                <w:lang w:eastAsia="it-IT"/>
              </w:rPr>
            </w:pPr>
            <w:r w:rsidRPr="00793329">
              <w:rPr>
                <w:rFonts w:eastAsia="Times New Roman"/>
                <w:color w:val="auto"/>
                <w:sz w:val="16"/>
                <w:szCs w:val="18"/>
                <w:lang w:eastAsia="it-IT"/>
              </w:rPr>
              <w:t>D4</w:t>
            </w:r>
          </w:p>
        </w:tc>
        <w:tc>
          <w:tcPr>
            <w:tcW w:w="1053" w:type="dxa"/>
            <w:tcBorders>
              <w:top w:val="single" w:sz="4" w:space="0" w:color="auto"/>
              <w:left w:val="nil"/>
              <w:bottom w:val="single" w:sz="4" w:space="0" w:color="auto"/>
              <w:right w:val="nil"/>
            </w:tcBorders>
            <w:shd w:val="clear" w:color="auto" w:fill="auto"/>
            <w:noWrap/>
            <w:vAlign w:val="center"/>
            <w:hideMark/>
          </w:tcPr>
          <w:p w14:paraId="566A7F0F" w14:textId="77777777" w:rsidR="00116C1B" w:rsidRPr="006726BE" w:rsidRDefault="00116C1B">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color w:val="auto"/>
                <w:sz w:val="16"/>
                <w:szCs w:val="18"/>
                <w:lang w:eastAsia="it-IT"/>
              </w:rPr>
            </w:pPr>
            <w:r w:rsidRPr="00793329">
              <w:rPr>
                <w:rFonts w:eastAsia="Times New Roman"/>
                <w:color w:val="auto"/>
                <w:sz w:val="16"/>
                <w:szCs w:val="18"/>
                <w:lang w:eastAsia="it-IT"/>
              </w:rPr>
              <w:t>D5</w:t>
            </w:r>
          </w:p>
        </w:tc>
      </w:tr>
      <w:tr w:rsidR="00116C1B" w:rsidRPr="001413F4" w14:paraId="68ABD31F" w14:textId="77777777" w:rsidTr="004A56E6">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764" w:type="dxa"/>
            <w:tcBorders>
              <w:top w:val="single" w:sz="4" w:space="0" w:color="auto"/>
              <w:left w:val="nil"/>
              <w:bottom w:val="single" w:sz="4" w:space="0" w:color="auto"/>
              <w:right w:val="nil"/>
            </w:tcBorders>
            <w:shd w:val="clear" w:color="auto" w:fill="auto"/>
            <w:noWrap/>
            <w:vAlign w:val="center"/>
            <w:hideMark/>
          </w:tcPr>
          <w:p w14:paraId="67CA6A22" w14:textId="77777777" w:rsidR="00116C1B" w:rsidRPr="006726BE" w:rsidRDefault="00116C1B">
            <w:pPr>
              <w:spacing w:line="276" w:lineRule="auto"/>
              <w:jc w:val="center"/>
              <w:rPr>
                <w:rFonts w:eastAsia="Times New Roman"/>
                <w:b w:val="0"/>
                <w:color w:val="auto"/>
                <w:sz w:val="16"/>
                <w:szCs w:val="16"/>
                <w:lang w:eastAsia="it-IT"/>
              </w:rPr>
            </w:pPr>
            <w:r w:rsidRPr="00793329">
              <w:rPr>
                <w:rFonts w:eastAsia="Times New Roman"/>
                <w:color w:val="auto"/>
                <w:sz w:val="16"/>
                <w:szCs w:val="16"/>
                <w:lang w:eastAsia="it-IT"/>
              </w:rPr>
              <w:t>Recovery time (hours)</w:t>
            </w:r>
          </w:p>
        </w:tc>
        <w:tc>
          <w:tcPr>
            <w:tcW w:w="1053" w:type="dxa"/>
            <w:tcBorders>
              <w:top w:val="single" w:sz="4" w:space="0" w:color="auto"/>
              <w:left w:val="nil"/>
              <w:bottom w:val="single" w:sz="4" w:space="0" w:color="auto"/>
              <w:right w:val="nil"/>
            </w:tcBorders>
            <w:shd w:val="clear" w:color="auto" w:fill="auto"/>
            <w:noWrap/>
            <w:vAlign w:val="center"/>
            <w:hideMark/>
          </w:tcPr>
          <w:p w14:paraId="5B568A11" w14:textId="77777777" w:rsidR="00116C1B" w:rsidRPr="006726BE" w:rsidRDefault="00116C1B">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lang w:eastAsia="it-IT"/>
              </w:rPr>
            </w:pPr>
            <w:r w:rsidRPr="00793329">
              <w:rPr>
                <w:rFonts w:eastAsia="Times New Roman"/>
                <w:color w:val="auto"/>
                <w:sz w:val="16"/>
                <w:szCs w:val="16"/>
                <w:lang w:eastAsia="it-IT"/>
              </w:rPr>
              <w:t>2.47</w:t>
            </w:r>
          </w:p>
        </w:tc>
        <w:tc>
          <w:tcPr>
            <w:tcW w:w="960" w:type="dxa"/>
            <w:tcBorders>
              <w:top w:val="single" w:sz="4" w:space="0" w:color="auto"/>
              <w:left w:val="nil"/>
              <w:bottom w:val="single" w:sz="4" w:space="0" w:color="auto"/>
              <w:right w:val="nil"/>
            </w:tcBorders>
            <w:shd w:val="clear" w:color="auto" w:fill="auto"/>
            <w:noWrap/>
            <w:vAlign w:val="center"/>
            <w:hideMark/>
          </w:tcPr>
          <w:p w14:paraId="21FBA7B6" w14:textId="77777777" w:rsidR="00116C1B" w:rsidRPr="006726BE" w:rsidRDefault="00116C1B">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lang w:eastAsia="it-IT"/>
              </w:rPr>
            </w:pPr>
            <w:r w:rsidRPr="00793329">
              <w:rPr>
                <w:rFonts w:eastAsia="Times New Roman"/>
                <w:color w:val="auto"/>
                <w:sz w:val="16"/>
                <w:szCs w:val="16"/>
                <w:lang w:eastAsia="it-IT"/>
              </w:rPr>
              <w:t>3.05</w:t>
            </w:r>
          </w:p>
        </w:tc>
        <w:tc>
          <w:tcPr>
            <w:tcW w:w="960" w:type="dxa"/>
            <w:tcBorders>
              <w:top w:val="single" w:sz="4" w:space="0" w:color="auto"/>
              <w:left w:val="nil"/>
              <w:bottom w:val="single" w:sz="4" w:space="0" w:color="auto"/>
              <w:right w:val="nil"/>
            </w:tcBorders>
            <w:shd w:val="clear" w:color="auto" w:fill="auto"/>
            <w:noWrap/>
            <w:vAlign w:val="center"/>
            <w:hideMark/>
          </w:tcPr>
          <w:p w14:paraId="4E5DBC6B" w14:textId="77777777" w:rsidR="00116C1B" w:rsidRPr="006726BE" w:rsidRDefault="00116C1B">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lang w:eastAsia="it-IT"/>
              </w:rPr>
            </w:pPr>
            <w:r w:rsidRPr="00793329">
              <w:rPr>
                <w:rFonts w:eastAsia="Times New Roman"/>
                <w:color w:val="auto"/>
                <w:sz w:val="16"/>
                <w:szCs w:val="16"/>
                <w:lang w:eastAsia="it-IT"/>
              </w:rPr>
              <w:t>2.80</w:t>
            </w:r>
          </w:p>
        </w:tc>
        <w:tc>
          <w:tcPr>
            <w:tcW w:w="960" w:type="dxa"/>
            <w:tcBorders>
              <w:top w:val="single" w:sz="4" w:space="0" w:color="auto"/>
              <w:left w:val="nil"/>
              <w:bottom w:val="single" w:sz="4" w:space="0" w:color="auto"/>
              <w:right w:val="nil"/>
            </w:tcBorders>
            <w:shd w:val="clear" w:color="auto" w:fill="auto"/>
            <w:noWrap/>
            <w:vAlign w:val="center"/>
            <w:hideMark/>
          </w:tcPr>
          <w:p w14:paraId="7D1243C3" w14:textId="77777777" w:rsidR="00116C1B" w:rsidRPr="006726BE" w:rsidRDefault="00116C1B">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lang w:eastAsia="it-IT"/>
              </w:rPr>
            </w:pPr>
            <w:r w:rsidRPr="00793329">
              <w:rPr>
                <w:rFonts w:eastAsia="Times New Roman"/>
                <w:color w:val="auto"/>
                <w:sz w:val="16"/>
                <w:szCs w:val="16"/>
                <w:lang w:eastAsia="it-IT"/>
              </w:rPr>
              <w:t>3.05</w:t>
            </w:r>
          </w:p>
        </w:tc>
        <w:tc>
          <w:tcPr>
            <w:tcW w:w="1053" w:type="dxa"/>
            <w:tcBorders>
              <w:top w:val="single" w:sz="4" w:space="0" w:color="auto"/>
              <w:left w:val="nil"/>
              <w:bottom w:val="single" w:sz="4" w:space="0" w:color="auto"/>
              <w:right w:val="nil"/>
            </w:tcBorders>
            <w:shd w:val="clear" w:color="auto" w:fill="auto"/>
            <w:noWrap/>
            <w:vAlign w:val="center"/>
            <w:hideMark/>
          </w:tcPr>
          <w:p w14:paraId="40BE8973" w14:textId="77777777" w:rsidR="00116C1B" w:rsidRPr="006726BE" w:rsidRDefault="00116C1B">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lang w:eastAsia="it-IT"/>
              </w:rPr>
            </w:pPr>
            <w:r w:rsidRPr="00793329">
              <w:rPr>
                <w:rFonts w:eastAsia="Times New Roman"/>
                <w:color w:val="auto"/>
                <w:sz w:val="16"/>
                <w:szCs w:val="16"/>
                <w:lang w:eastAsia="it-IT"/>
              </w:rPr>
              <w:t>2.97</w:t>
            </w:r>
          </w:p>
        </w:tc>
      </w:tr>
    </w:tbl>
    <w:p w14:paraId="22CF3E01" w14:textId="77777777" w:rsidR="00116C1B" w:rsidRPr="001413F4" w:rsidRDefault="00116C1B" w:rsidP="00116C1B">
      <w:pPr>
        <w:spacing w:line="120" w:lineRule="auto"/>
        <w:ind w:firstLine="238"/>
        <w:jc w:val="both"/>
        <w:rPr>
          <w:sz w:val="18"/>
        </w:rPr>
      </w:pPr>
    </w:p>
    <w:p w14:paraId="038A7BDE" w14:textId="77777777" w:rsidR="004A56E6" w:rsidRPr="001413F4" w:rsidRDefault="004A56E6" w:rsidP="00116C1B">
      <w:pPr>
        <w:spacing w:line="240" w:lineRule="exact"/>
        <w:ind w:firstLine="238"/>
        <w:jc w:val="both"/>
        <w:rPr>
          <w:lang w:val="en-US"/>
        </w:rPr>
      </w:pPr>
    </w:p>
    <w:p w14:paraId="72BE9C68" w14:textId="77777777" w:rsidR="007F757A" w:rsidRPr="001413F4" w:rsidRDefault="00116C1B" w:rsidP="007F757A">
      <w:pPr>
        <w:spacing w:line="260" w:lineRule="exact"/>
        <w:ind w:firstLine="238"/>
        <w:jc w:val="both"/>
        <w:rPr>
          <w:lang w:val="en-US"/>
        </w:rPr>
      </w:pPr>
      <w:r w:rsidRPr="001413F4">
        <w:rPr>
          <w:lang w:val="en-US"/>
        </w:rPr>
        <w:t xml:space="preserve">In order to examine how the temporal extent of the perturbation influences the recovery time, simulations were run changing the duration of the disruption. Recalling that in the previous analysis the closure lasted 30 minutes (between </w:t>
      </w:r>
      <w:r w:rsidR="007F757A" w:rsidRPr="001413F4">
        <w:rPr>
          <w:lang w:val="en-US"/>
        </w:rPr>
        <w:lastRenderedPageBreak/>
        <w:t xml:space="preserve">7.15 and 7.45 AM), additional simulation scenarios were devised with shorter (between 7.15 and 7.30 AM, 15 minutes) and longer disruptions (between 7.15 and 8.00 AM, 45 minutes). In both cases, the trend of the RDR and ADR remained the same as in the original case, with a steep increase at the beginning and, followed by </w:t>
      </w:r>
      <w:r w:rsidR="00D1754B">
        <w:rPr>
          <w:lang w:val="en-US"/>
        </w:rPr>
        <w:t>more</w:t>
      </w:r>
      <w:r w:rsidR="007F757A" w:rsidRPr="001413F4">
        <w:rPr>
          <w:lang w:val="en-US"/>
        </w:rPr>
        <w:t xml:space="preserve"> modest</w:t>
      </w:r>
      <w:r w:rsidR="00D1754B">
        <w:rPr>
          <w:lang w:val="en-US"/>
        </w:rPr>
        <w:t xml:space="preserve"> values</w:t>
      </w:r>
      <w:r w:rsidR="007F757A" w:rsidRPr="001413F4">
        <w:rPr>
          <w:lang w:val="en-US"/>
        </w:rPr>
        <w:t xml:space="preserve"> and a similar recovery time.</w:t>
      </w:r>
    </w:p>
    <w:p w14:paraId="15833ACB" w14:textId="77777777" w:rsidR="000D46FF" w:rsidRPr="001413F4" w:rsidRDefault="000D46FF" w:rsidP="00585031">
      <w:pPr>
        <w:spacing w:line="260" w:lineRule="exact"/>
        <w:ind w:firstLine="238"/>
        <w:jc w:val="both"/>
        <w:rPr>
          <w:lang w:val="en-US"/>
        </w:rPr>
      </w:pPr>
    </w:p>
    <w:p w14:paraId="66733EB5" w14:textId="77777777" w:rsidR="00A91890" w:rsidRPr="001413F4" w:rsidRDefault="00A91890" w:rsidP="00107BE5">
      <w:pPr>
        <w:rPr>
          <w:i/>
          <w:lang w:val="en-US"/>
        </w:rPr>
      </w:pPr>
      <w:r w:rsidRPr="001413F4">
        <w:rPr>
          <w:i/>
          <w:lang w:val="en-US"/>
        </w:rPr>
        <w:t>3.2.</w:t>
      </w:r>
      <w:r w:rsidR="007F757A" w:rsidRPr="001413F4">
        <w:rPr>
          <w:i/>
          <w:lang w:val="en-US"/>
        </w:rPr>
        <w:t>3</w:t>
      </w:r>
      <w:r w:rsidRPr="001413F4">
        <w:rPr>
          <w:i/>
          <w:lang w:val="en-US"/>
        </w:rPr>
        <w:t xml:space="preserve">. Spatial </w:t>
      </w:r>
      <w:r w:rsidR="00753A8D" w:rsidRPr="001413F4">
        <w:rPr>
          <w:i/>
          <w:lang w:val="en-US"/>
        </w:rPr>
        <w:t>propagation</w:t>
      </w:r>
      <w:r w:rsidR="00714599" w:rsidRPr="001413F4">
        <w:rPr>
          <w:i/>
          <w:lang w:val="en-US"/>
        </w:rPr>
        <w:t>: Spillover effects</w:t>
      </w:r>
    </w:p>
    <w:p w14:paraId="6E399219" w14:textId="77777777" w:rsidR="00A91890" w:rsidRPr="001413F4" w:rsidRDefault="00A91890" w:rsidP="00585031">
      <w:pPr>
        <w:widowControl/>
        <w:spacing w:line="260" w:lineRule="exact"/>
        <w:ind w:firstLine="238"/>
        <w:jc w:val="both"/>
      </w:pPr>
    </w:p>
    <w:p w14:paraId="58274089" w14:textId="7214E80B" w:rsidR="003C24C2" w:rsidRDefault="00282400" w:rsidP="003C24C2">
      <w:pPr>
        <w:widowControl/>
        <w:spacing w:line="260" w:lineRule="exact"/>
        <w:ind w:firstLine="238"/>
        <w:jc w:val="both"/>
      </w:pPr>
      <w:r w:rsidRPr="001413F4">
        <w:t>T</w:t>
      </w:r>
      <w:r w:rsidR="00116C1B" w:rsidRPr="001413F4">
        <w:t xml:space="preserve">he spatial propagation of spillover effects </w:t>
      </w:r>
      <w:r w:rsidRPr="001413F4">
        <w:t>is analysed</w:t>
      </w:r>
      <w:r w:rsidR="00116C1B" w:rsidRPr="001413F4">
        <w:t xml:space="preserve"> for each scenario</w:t>
      </w:r>
      <w:r w:rsidRPr="001413F4">
        <w:t xml:space="preserve"> to quantify the network-wide effects provoked by each disruption</w:t>
      </w:r>
      <w:r w:rsidR="00116C1B" w:rsidRPr="001413F4">
        <w:t>. Figure 6 shows, for each scenario, the distance at which the maximum value of ADR was obtained (</w:t>
      </w:r>
      <w:r w:rsidR="004173D7">
        <w:t>corresponding to</w:t>
      </w:r>
      <w:r w:rsidR="004173D7" w:rsidRPr="001413F4">
        <w:t xml:space="preserve"> </w:t>
      </w:r>
      <w:r w:rsidR="00116C1B" w:rsidRPr="001413F4">
        <w:t>the radius of the blue circumference</w:t>
      </w:r>
      <w:r w:rsidR="004173D7">
        <w:t>s</w:t>
      </w:r>
      <w:r w:rsidR="00116C1B" w:rsidRPr="001413F4">
        <w:t xml:space="preserve">) and displays the line </w:t>
      </w:r>
      <w:r w:rsidR="004173D7">
        <w:t xml:space="preserve">with the largest </w:t>
      </w:r>
      <w:r w:rsidR="00116C1B" w:rsidRPr="001413F4">
        <w:t xml:space="preserve">increase in volume over capacity. The latter is often one of the lines that traverses the disrupted segment because of the knock-down effects in the post-disruption pre-recovery period for those passengers in the periphery of the network that have no possibility to reroute. Table 5 reports the distance at which the ADR reaches its maximum value, the corresponding ADR peak value, the 30-minutes time window during which it </w:t>
      </w:r>
      <w:r w:rsidR="00565096">
        <w:t>is observed</w:t>
      </w:r>
      <w:r w:rsidR="00565096" w:rsidRPr="001413F4">
        <w:t xml:space="preserve"> </w:t>
      </w:r>
      <w:r w:rsidR="00116C1B" w:rsidRPr="001413F4">
        <w:t xml:space="preserve">and the most affected public transport line for each scenario. The impacts of disruption scenarios with low NLS values are not necessarily confined to smaller areas. For example, D5 has the lowest NLS value but its influence extends to links located in the outskirts and the influence area encompasses the entire network, similarly to D2 which has the highest NLS value. If the most adversely affected links are characterized by low </w:t>
      </w:r>
      <w:r w:rsidR="00565096">
        <w:t>VOC</w:t>
      </w:r>
      <w:r w:rsidR="00116C1B" w:rsidRPr="001413F4">
        <w:t xml:space="preserve"> ratios in the base case, then even if the impacts are higher, there is </w:t>
      </w:r>
      <w:r w:rsidR="00565096">
        <w:t xml:space="preserve">a </w:t>
      </w:r>
      <w:r w:rsidR="00116C1B" w:rsidRPr="001413F4">
        <w:t xml:space="preserve">sufficient residual capacity to accommodate the rerouting passengers. </w:t>
      </w:r>
    </w:p>
    <w:p w14:paraId="2716DAA5" w14:textId="77777777" w:rsidR="003C24C2" w:rsidRDefault="003C24C2" w:rsidP="003C24C2">
      <w:pPr>
        <w:widowControl/>
        <w:spacing w:line="260" w:lineRule="exact"/>
        <w:ind w:firstLine="238"/>
        <w:jc w:val="both"/>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3C24C2" w14:paraId="1AF72DD3" w14:textId="77777777" w:rsidTr="00DD6F67">
        <w:trPr>
          <w:jc w:val="center"/>
        </w:trPr>
        <w:tc>
          <w:tcPr>
            <w:tcW w:w="9778" w:type="dxa"/>
            <w:vAlign w:val="center"/>
          </w:tcPr>
          <w:p w14:paraId="717B1C3C" w14:textId="5E96A991" w:rsidR="003C24C2" w:rsidRDefault="00DD6F67" w:rsidP="00DD6F67">
            <w:pPr>
              <w:widowControl/>
              <w:spacing w:line="260" w:lineRule="exact"/>
            </w:pPr>
            <w:r>
              <w:rPr>
                <w:noProof/>
                <w:lang w:eastAsia="en-GB"/>
              </w:rPr>
              <w:drawing>
                <wp:anchor distT="0" distB="0" distL="114300" distR="114300" simplePos="0" relativeHeight="251695616" behindDoc="0" locked="0" layoutInCell="1" allowOverlap="1" wp14:anchorId="54F4032E" wp14:editId="1FFD020B">
                  <wp:simplePos x="0" y="0"/>
                  <wp:positionH relativeFrom="column">
                    <wp:posOffset>360680</wp:posOffset>
                  </wp:positionH>
                  <wp:positionV relativeFrom="paragraph">
                    <wp:posOffset>-3553460</wp:posOffset>
                  </wp:positionV>
                  <wp:extent cx="5404485" cy="3553460"/>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404485" cy="3553460"/>
                          </a:xfrm>
                          <a:prstGeom prst="rect">
                            <a:avLst/>
                          </a:prstGeom>
                        </pic:spPr>
                      </pic:pic>
                    </a:graphicData>
                  </a:graphic>
                  <wp14:sizeRelH relativeFrom="page">
                    <wp14:pctWidth>0</wp14:pctWidth>
                  </wp14:sizeRelH>
                  <wp14:sizeRelV relativeFrom="page">
                    <wp14:pctHeight>0</wp14:pctHeight>
                  </wp14:sizeRelV>
                </wp:anchor>
              </w:drawing>
            </w:r>
          </w:p>
        </w:tc>
      </w:tr>
    </w:tbl>
    <w:p w14:paraId="519192D1" w14:textId="1EE347B8" w:rsidR="00116C1B" w:rsidRPr="001413F4" w:rsidRDefault="00116C1B" w:rsidP="003C24C2">
      <w:pPr>
        <w:widowControl/>
        <w:spacing w:after="240" w:line="200" w:lineRule="exact"/>
        <w:jc w:val="center"/>
        <w:rPr>
          <w:sz w:val="16"/>
          <w:szCs w:val="18"/>
        </w:rPr>
      </w:pPr>
      <w:r w:rsidRPr="001413F4">
        <w:rPr>
          <w:sz w:val="16"/>
          <w:szCs w:val="18"/>
        </w:rPr>
        <w:t xml:space="preserve">Figure 6: </w:t>
      </w:r>
      <w:r w:rsidR="004173D7">
        <w:rPr>
          <w:sz w:val="16"/>
          <w:szCs w:val="18"/>
        </w:rPr>
        <w:t>Extent and location</w:t>
      </w:r>
      <w:r w:rsidR="004173D7" w:rsidRPr="001413F4">
        <w:rPr>
          <w:sz w:val="16"/>
          <w:szCs w:val="18"/>
        </w:rPr>
        <w:t xml:space="preserve"> </w:t>
      </w:r>
      <w:r w:rsidRPr="001413F4">
        <w:rPr>
          <w:sz w:val="16"/>
          <w:szCs w:val="18"/>
        </w:rPr>
        <w:t xml:space="preserve">of the maximum impact </w:t>
      </w:r>
      <w:r w:rsidR="004173D7">
        <w:rPr>
          <w:sz w:val="16"/>
          <w:szCs w:val="18"/>
        </w:rPr>
        <w:t>in</w:t>
      </w:r>
      <w:r w:rsidR="003C24C2">
        <w:rPr>
          <w:sz w:val="16"/>
          <w:szCs w:val="18"/>
        </w:rPr>
        <w:t xml:space="preserve"> </w:t>
      </w:r>
      <w:r w:rsidRPr="001413F4">
        <w:rPr>
          <w:sz w:val="16"/>
          <w:szCs w:val="18"/>
        </w:rPr>
        <w:t>each scenario.</w:t>
      </w:r>
    </w:p>
    <w:p w14:paraId="58BA3B9C" w14:textId="77777777" w:rsidR="00116C1B" w:rsidRPr="001413F4" w:rsidRDefault="00116C1B" w:rsidP="00116C1B">
      <w:pPr>
        <w:pStyle w:val="figure"/>
        <w:spacing w:before="200" w:after="80" w:line="200" w:lineRule="exact"/>
        <w:ind w:left="709"/>
        <w:jc w:val="left"/>
        <w:rPr>
          <w:rFonts w:ascii="Times New Roman" w:hAnsi="Times New Roman" w:cs="Times New Roman"/>
          <w:i w:val="0"/>
          <w:sz w:val="16"/>
          <w:szCs w:val="18"/>
        </w:rPr>
      </w:pPr>
      <w:bookmarkStart w:id="3" w:name="_Toc445158304"/>
      <w:bookmarkStart w:id="4" w:name="_Toc445158238"/>
      <w:r w:rsidRPr="001413F4">
        <w:rPr>
          <w:rFonts w:ascii="Times New Roman" w:hAnsi="Times New Roman" w:cs="Times New Roman"/>
          <w:i w:val="0"/>
          <w:sz w:val="16"/>
          <w:szCs w:val="18"/>
        </w:rPr>
        <w:t>Tabl</w:t>
      </w:r>
      <w:r w:rsidR="00856EF4" w:rsidRPr="001413F4">
        <w:rPr>
          <w:rFonts w:ascii="Times New Roman" w:hAnsi="Times New Roman" w:cs="Times New Roman"/>
          <w:i w:val="0"/>
          <w:sz w:val="16"/>
          <w:szCs w:val="18"/>
        </w:rPr>
        <w:t xml:space="preserve">e 5: </w:t>
      </w:r>
      <w:r w:rsidR="004173D7">
        <w:rPr>
          <w:rFonts w:ascii="Times New Roman" w:hAnsi="Times New Roman" w:cs="Times New Roman"/>
          <w:i w:val="0"/>
          <w:sz w:val="16"/>
          <w:szCs w:val="18"/>
        </w:rPr>
        <w:t>Location and time of the m</w:t>
      </w:r>
      <w:r w:rsidR="00856EF4" w:rsidRPr="001413F4">
        <w:rPr>
          <w:rFonts w:ascii="Times New Roman" w:hAnsi="Times New Roman" w:cs="Times New Roman"/>
          <w:i w:val="0"/>
          <w:sz w:val="16"/>
          <w:szCs w:val="18"/>
        </w:rPr>
        <w:t xml:space="preserve">aximum </w:t>
      </w:r>
      <w:r w:rsidR="004173D7">
        <w:rPr>
          <w:rFonts w:ascii="Times New Roman" w:hAnsi="Times New Roman" w:cs="Times New Roman"/>
          <w:i w:val="0"/>
          <w:sz w:val="16"/>
          <w:szCs w:val="18"/>
        </w:rPr>
        <w:t>impact in each scenario</w:t>
      </w:r>
      <w:bookmarkEnd w:id="3"/>
      <w:bookmarkEnd w:id="4"/>
    </w:p>
    <w:tbl>
      <w:tblPr>
        <w:tblStyle w:val="Tabellagriglia6acolori-colore52"/>
        <w:tblW w:w="7629" w:type="dxa"/>
        <w:jc w:val="center"/>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1525"/>
        <w:gridCol w:w="1526"/>
        <w:gridCol w:w="1526"/>
        <w:gridCol w:w="1526"/>
        <w:gridCol w:w="1526"/>
      </w:tblGrid>
      <w:tr w:rsidR="003C24C2" w:rsidRPr="001413F4" w14:paraId="442464B6" w14:textId="77777777" w:rsidTr="003C24C2">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nil"/>
              <w:bottom w:val="single" w:sz="4" w:space="0" w:color="auto"/>
              <w:right w:val="nil"/>
            </w:tcBorders>
            <w:shd w:val="clear" w:color="auto" w:fill="auto"/>
            <w:vAlign w:val="center"/>
            <w:hideMark/>
          </w:tcPr>
          <w:p w14:paraId="7B8DA7C9" w14:textId="77777777" w:rsidR="003C24C2" w:rsidRPr="006726BE" w:rsidRDefault="003C24C2" w:rsidP="003C24C2">
            <w:pPr>
              <w:spacing w:line="276" w:lineRule="auto"/>
              <w:jc w:val="center"/>
              <w:rPr>
                <w:rFonts w:eastAsia="Times New Roman"/>
                <w:b w:val="0"/>
                <w:color w:val="auto"/>
                <w:sz w:val="16"/>
                <w:szCs w:val="18"/>
                <w:lang w:eastAsia="it-IT"/>
              </w:rPr>
            </w:pPr>
            <w:r w:rsidRPr="00F51DDA">
              <w:rPr>
                <w:rFonts w:eastAsia="Times New Roman"/>
                <w:color w:val="auto"/>
                <w:sz w:val="16"/>
                <w:szCs w:val="18"/>
                <w:lang w:eastAsia="it-IT"/>
              </w:rPr>
              <w:t>SCENARIO</w:t>
            </w:r>
          </w:p>
        </w:tc>
        <w:tc>
          <w:tcPr>
            <w:tcW w:w="1526" w:type="dxa"/>
            <w:tcBorders>
              <w:top w:val="single" w:sz="4" w:space="0" w:color="auto"/>
              <w:left w:val="nil"/>
              <w:bottom w:val="single" w:sz="4" w:space="0" w:color="auto"/>
              <w:right w:val="nil"/>
            </w:tcBorders>
            <w:shd w:val="clear" w:color="auto" w:fill="auto"/>
            <w:vAlign w:val="center"/>
            <w:hideMark/>
          </w:tcPr>
          <w:p w14:paraId="0D9DD853" w14:textId="77777777" w:rsidR="003C24C2" w:rsidRPr="006726BE" w:rsidRDefault="003C24C2" w:rsidP="003C24C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color w:val="auto"/>
                <w:sz w:val="16"/>
                <w:szCs w:val="18"/>
                <w:lang w:eastAsia="it-IT"/>
              </w:rPr>
            </w:pPr>
            <w:r w:rsidRPr="00F51DDA">
              <w:rPr>
                <w:rFonts w:eastAsia="Times New Roman"/>
                <w:color w:val="auto"/>
                <w:sz w:val="16"/>
                <w:szCs w:val="18"/>
                <w:lang w:eastAsia="it-IT"/>
              </w:rPr>
              <w:t>ADR</w:t>
            </w:r>
          </w:p>
        </w:tc>
        <w:tc>
          <w:tcPr>
            <w:tcW w:w="1526" w:type="dxa"/>
            <w:tcBorders>
              <w:top w:val="single" w:sz="4" w:space="0" w:color="auto"/>
              <w:left w:val="nil"/>
              <w:bottom w:val="single" w:sz="4" w:space="0" w:color="auto"/>
              <w:right w:val="nil"/>
            </w:tcBorders>
            <w:vAlign w:val="center"/>
          </w:tcPr>
          <w:p w14:paraId="69455385" w14:textId="53A4C173" w:rsidR="003C24C2" w:rsidRPr="00F51DDA" w:rsidRDefault="003C24C2" w:rsidP="003C24C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sz w:val="16"/>
                <w:szCs w:val="18"/>
                <w:lang w:eastAsia="it-IT"/>
              </w:rPr>
            </w:pPr>
            <w:r w:rsidRPr="00F51DDA">
              <w:rPr>
                <w:rFonts w:eastAsia="Times New Roman"/>
                <w:color w:val="auto"/>
                <w:sz w:val="16"/>
                <w:szCs w:val="18"/>
                <w:lang w:eastAsia="it-IT"/>
              </w:rPr>
              <w:t>LINE</w:t>
            </w:r>
          </w:p>
        </w:tc>
        <w:tc>
          <w:tcPr>
            <w:tcW w:w="1526" w:type="dxa"/>
            <w:tcBorders>
              <w:top w:val="single" w:sz="4" w:space="0" w:color="auto"/>
              <w:left w:val="nil"/>
              <w:bottom w:val="single" w:sz="4" w:space="0" w:color="auto"/>
              <w:right w:val="nil"/>
            </w:tcBorders>
            <w:vAlign w:val="center"/>
          </w:tcPr>
          <w:p w14:paraId="5B03087A" w14:textId="74C1F1E4" w:rsidR="003C24C2" w:rsidRPr="00F51DDA" w:rsidRDefault="003C24C2" w:rsidP="003C24C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sz w:val="16"/>
                <w:szCs w:val="18"/>
                <w:lang w:eastAsia="it-IT"/>
              </w:rPr>
            </w:pPr>
            <w:r w:rsidRPr="00F51DDA">
              <w:rPr>
                <w:rFonts w:eastAsia="Times New Roman"/>
                <w:color w:val="auto"/>
                <w:sz w:val="16"/>
                <w:szCs w:val="18"/>
                <w:lang w:eastAsia="it-IT"/>
              </w:rPr>
              <w:t>DISTANCE (m)</w:t>
            </w:r>
          </w:p>
        </w:tc>
        <w:tc>
          <w:tcPr>
            <w:tcW w:w="1526" w:type="dxa"/>
            <w:tcBorders>
              <w:top w:val="single" w:sz="4" w:space="0" w:color="auto"/>
              <w:left w:val="nil"/>
              <w:bottom w:val="single" w:sz="4" w:space="0" w:color="auto"/>
              <w:right w:val="nil"/>
            </w:tcBorders>
            <w:shd w:val="clear" w:color="auto" w:fill="auto"/>
            <w:vAlign w:val="center"/>
            <w:hideMark/>
          </w:tcPr>
          <w:p w14:paraId="7B808E5D" w14:textId="7BE8A506" w:rsidR="003C24C2" w:rsidRPr="006726BE" w:rsidRDefault="003C24C2" w:rsidP="003C24C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color w:val="auto"/>
                <w:sz w:val="16"/>
                <w:szCs w:val="18"/>
                <w:lang w:eastAsia="it-IT"/>
              </w:rPr>
            </w:pPr>
            <w:r w:rsidRPr="00F51DDA">
              <w:rPr>
                <w:rFonts w:eastAsia="Times New Roman"/>
                <w:color w:val="auto"/>
                <w:sz w:val="16"/>
                <w:szCs w:val="18"/>
                <w:lang w:eastAsia="it-IT"/>
              </w:rPr>
              <w:t>TIME</w:t>
            </w:r>
          </w:p>
        </w:tc>
      </w:tr>
      <w:tr w:rsidR="003C24C2" w:rsidRPr="001413F4" w14:paraId="5A0F5A9E" w14:textId="77777777" w:rsidTr="003C24C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nil"/>
              <w:bottom w:val="nil"/>
              <w:right w:val="nil"/>
            </w:tcBorders>
            <w:shd w:val="clear" w:color="auto" w:fill="auto"/>
            <w:vAlign w:val="center"/>
            <w:hideMark/>
          </w:tcPr>
          <w:p w14:paraId="433879BA" w14:textId="77777777" w:rsidR="003C24C2" w:rsidRPr="006726BE" w:rsidRDefault="003C24C2" w:rsidP="003C24C2">
            <w:pPr>
              <w:spacing w:line="276" w:lineRule="auto"/>
              <w:jc w:val="center"/>
              <w:rPr>
                <w:rFonts w:eastAsia="Times New Roman"/>
                <w:b w:val="0"/>
                <w:color w:val="auto"/>
                <w:sz w:val="16"/>
                <w:szCs w:val="18"/>
                <w:lang w:eastAsia="it-IT"/>
              </w:rPr>
            </w:pPr>
            <w:r w:rsidRPr="00F51DDA">
              <w:rPr>
                <w:rFonts w:eastAsia="Times New Roman"/>
                <w:color w:val="auto"/>
                <w:sz w:val="16"/>
                <w:szCs w:val="18"/>
                <w:lang w:eastAsia="it-IT"/>
              </w:rPr>
              <w:t>D1</w:t>
            </w:r>
          </w:p>
        </w:tc>
        <w:tc>
          <w:tcPr>
            <w:tcW w:w="1526" w:type="dxa"/>
            <w:tcBorders>
              <w:top w:val="single" w:sz="4" w:space="0" w:color="auto"/>
              <w:left w:val="nil"/>
              <w:bottom w:val="nil"/>
              <w:right w:val="nil"/>
            </w:tcBorders>
            <w:shd w:val="clear" w:color="auto" w:fill="auto"/>
            <w:vAlign w:val="center"/>
            <w:hideMark/>
          </w:tcPr>
          <w:p w14:paraId="42BC52D1" w14:textId="77777777" w:rsidR="003C24C2" w:rsidRPr="006726BE" w:rsidRDefault="003C24C2" w:rsidP="003C24C2">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8"/>
                <w:lang w:eastAsia="it-IT"/>
              </w:rPr>
            </w:pPr>
            <w:r w:rsidRPr="00F51DDA">
              <w:rPr>
                <w:rFonts w:eastAsia="Times New Roman"/>
                <w:color w:val="auto"/>
                <w:sz w:val="16"/>
                <w:szCs w:val="18"/>
                <w:lang w:eastAsia="it-IT"/>
              </w:rPr>
              <w:t>0.08</w:t>
            </w:r>
          </w:p>
        </w:tc>
        <w:tc>
          <w:tcPr>
            <w:tcW w:w="1526" w:type="dxa"/>
            <w:tcBorders>
              <w:top w:val="single" w:sz="4" w:space="0" w:color="auto"/>
              <w:left w:val="nil"/>
              <w:bottom w:val="nil"/>
              <w:right w:val="nil"/>
            </w:tcBorders>
            <w:shd w:val="clear" w:color="auto" w:fill="auto"/>
            <w:vAlign w:val="center"/>
          </w:tcPr>
          <w:p w14:paraId="19C1DC47" w14:textId="729E44F9" w:rsidR="003C24C2" w:rsidRPr="00F51DDA" w:rsidRDefault="003C24C2" w:rsidP="003C24C2">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8"/>
                <w:lang w:eastAsia="it-IT"/>
              </w:rPr>
            </w:pPr>
            <w:r w:rsidRPr="00F51DDA">
              <w:rPr>
                <w:rFonts w:eastAsia="Times New Roman"/>
                <w:color w:val="auto"/>
                <w:sz w:val="16"/>
                <w:szCs w:val="18"/>
                <w:lang w:eastAsia="it-IT"/>
              </w:rPr>
              <w:t>19</w:t>
            </w:r>
          </w:p>
        </w:tc>
        <w:tc>
          <w:tcPr>
            <w:tcW w:w="1526" w:type="dxa"/>
            <w:tcBorders>
              <w:top w:val="single" w:sz="4" w:space="0" w:color="auto"/>
              <w:left w:val="nil"/>
              <w:bottom w:val="nil"/>
              <w:right w:val="nil"/>
            </w:tcBorders>
            <w:shd w:val="clear" w:color="auto" w:fill="auto"/>
            <w:vAlign w:val="center"/>
          </w:tcPr>
          <w:p w14:paraId="4201D2AD" w14:textId="4F69A4EC" w:rsidR="003C24C2" w:rsidRPr="00F51DDA" w:rsidRDefault="003C24C2" w:rsidP="003C24C2">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8"/>
                <w:lang w:eastAsia="it-IT"/>
              </w:rPr>
            </w:pPr>
            <w:r w:rsidRPr="00F51DDA">
              <w:rPr>
                <w:rFonts w:eastAsia="Times New Roman"/>
                <w:color w:val="auto"/>
                <w:sz w:val="16"/>
                <w:szCs w:val="18"/>
                <w:lang w:eastAsia="it-IT"/>
              </w:rPr>
              <w:t>8500</w:t>
            </w:r>
          </w:p>
        </w:tc>
        <w:tc>
          <w:tcPr>
            <w:tcW w:w="1526" w:type="dxa"/>
            <w:tcBorders>
              <w:top w:val="single" w:sz="4" w:space="0" w:color="auto"/>
              <w:left w:val="nil"/>
              <w:bottom w:val="nil"/>
              <w:right w:val="nil"/>
            </w:tcBorders>
            <w:shd w:val="clear" w:color="auto" w:fill="auto"/>
            <w:vAlign w:val="center"/>
            <w:hideMark/>
          </w:tcPr>
          <w:p w14:paraId="4DC206FF" w14:textId="26CF1074" w:rsidR="003C24C2" w:rsidRPr="006726BE" w:rsidRDefault="003C24C2" w:rsidP="003C24C2">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8"/>
                <w:lang w:eastAsia="it-IT"/>
              </w:rPr>
            </w:pPr>
            <w:r w:rsidRPr="00F51DDA">
              <w:rPr>
                <w:rFonts w:eastAsia="Times New Roman"/>
                <w:color w:val="auto"/>
                <w:sz w:val="16"/>
                <w:szCs w:val="18"/>
                <w:lang w:eastAsia="it-IT"/>
              </w:rPr>
              <w:t>7.30-8.00 AM</w:t>
            </w:r>
          </w:p>
        </w:tc>
      </w:tr>
      <w:tr w:rsidR="003C24C2" w:rsidRPr="001413F4" w14:paraId="0CFE2A32" w14:textId="77777777" w:rsidTr="003C24C2">
        <w:trPr>
          <w:trHeight w:val="340"/>
          <w:jc w:val="center"/>
        </w:trPr>
        <w:tc>
          <w:tcPr>
            <w:cnfStyle w:val="001000000000" w:firstRow="0" w:lastRow="0" w:firstColumn="1" w:lastColumn="0" w:oddVBand="0" w:evenVBand="0" w:oddHBand="0" w:evenHBand="0" w:firstRowFirstColumn="0" w:firstRowLastColumn="0" w:lastRowFirstColumn="0" w:lastRowLastColumn="0"/>
            <w:tcW w:w="1525" w:type="dxa"/>
            <w:tcBorders>
              <w:top w:val="nil"/>
              <w:left w:val="nil"/>
              <w:bottom w:val="nil"/>
              <w:right w:val="nil"/>
            </w:tcBorders>
            <w:shd w:val="clear" w:color="auto" w:fill="auto"/>
            <w:vAlign w:val="center"/>
            <w:hideMark/>
          </w:tcPr>
          <w:p w14:paraId="1A143711" w14:textId="77777777" w:rsidR="003C24C2" w:rsidRPr="006726BE" w:rsidRDefault="003C24C2" w:rsidP="003C24C2">
            <w:pPr>
              <w:spacing w:line="276" w:lineRule="auto"/>
              <w:jc w:val="center"/>
              <w:rPr>
                <w:rFonts w:eastAsia="Times New Roman"/>
                <w:b w:val="0"/>
                <w:color w:val="auto"/>
                <w:sz w:val="16"/>
                <w:szCs w:val="18"/>
                <w:lang w:eastAsia="it-IT"/>
              </w:rPr>
            </w:pPr>
            <w:r w:rsidRPr="00F51DDA">
              <w:rPr>
                <w:rFonts w:eastAsia="Times New Roman"/>
                <w:color w:val="auto"/>
                <w:sz w:val="16"/>
                <w:szCs w:val="18"/>
                <w:lang w:eastAsia="it-IT"/>
              </w:rPr>
              <w:t>D2</w:t>
            </w:r>
          </w:p>
        </w:tc>
        <w:tc>
          <w:tcPr>
            <w:tcW w:w="1526" w:type="dxa"/>
            <w:tcBorders>
              <w:top w:val="nil"/>
              <w:left w:val="nil"/>
              <w:bottom w:val="nil"/>
              <w:right w:val="nil"/>
            </w:tcBorders>
            <w:shd w:val="clear" w:color="auto" w:fill="auto"/>
            <w:vAlign w:val="center"/>
            <w:hideMark/>
          </w:tcPr>
          <w:p w14:paraId="258087F1" w14:textId="77777777" w:rsidR="003C24C2" w:rsidRPr="006726BE" w:rsidRDefault="003C24C2" w:rsidP="003C24C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6"/>
                <w:szCs w:val="18"/>
                <w:lang w:eastAsia="it-IT"/>
              </w:rPr>
            </w:pPr>
            <w:r w:rsidRPr="00F51DDA">
              <w:rPr>
                <w:rFonts w:eastAsia="Times New Roman"/>
                <w:color w:val="auto"/>
                <w:sz w:val="16"/>
                <w:szCs w:val="18"/>
                <w:lang w:eastAsia="it-IT"/>
              </w:rPr>
              <w:t>0.08</w:t>
            </w:r>
          </w:p>
        </w:tc>
        <w:tc>
          <w:tcPr>
            <w:tcW w:w="1526" w:type="dxa"/>
            <w:tcBorders>
              <w:top w:val="nil"/>
              <w:left w:val="nil"/>
              <w:bottom w:val="nil"/>
              <w:right w:val="nil"/>
            </w:tcBorders>
            <w:shd w:val="clear" w:color="auto" w:fill="auto"/>
            <w:vAlign w:val="center"/>
          </w:tcPr>
          <w:p w14:paraId="69E07469" w14:textId="3CC8E963" w:rsidR="003C24C2" w:rsidRPr="00F51DDA" w:rsidRDefault="003C24C2" w:rsidP="003C24C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8"/>
                <w:lang w:eastAsia="it-IT"/>
              </w:rPr>
            </w:pPr>
            <w:r w:rsidRPr="00F51DDA">
              <w:rPr>
                <w:rFonts w:eastAsia="Times New Roman"/>
                <w:color w:val="auto"/>
                <w:sz w:val="16"/>
                <w:szCs w:val="18"/>
                <w:lang w:eastAsia="it-IT"/>
              </w:rPr>
              <w:t>13</w:t>
            </w:r>
          </w:p>
        </w:tc>
        <w:tc>
          <w:tcPr>
            <w:tcW w:w="1526" w:type="dxa"/>
            <w:tcBorders>
              <w:top w:val="nil"/>
              <w:left w:val="nil"/>
              <w:bottom w:val="nil"/>
              <w:right w:val="nil"/>
            </w:tcBorders>
            <w:shd w:val="clear" w:color="auto" w:fill="auto"/>
            <w:vAlign w:val="center"/>
          </w:tcPr>
          <w:p w14:paraId="104D41D1" w14:textId="22E8DD8F" w:rsidR="003C24C2" w:rsidRPr="00F51DDA" w:rsidRDefault="003C24C2" w:rsidP="003C24C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8"/>
                <w:lang w:eastAsia="it-IT"/>
              </w:rPr>
            </w:pPr>
            <w:r>
              <w:rPr>
                <w:rFonts w:eastAsia="Times New Roman"/>
                <w:color w:val="auto"/>
                <w:sz w:val="16"/>
                <w:szCs w:val="18"/>
                <w:lang w:eastAsia="it-IT"/>
              </w:rPr>
              <w:t>15000</w:t>
            </w:r>
          </w:p>
        </w:tc>
        <w:tc>
          <w:tcPr>
            <w:tcW w:w="1526" w:type="dxa"/>
            <w:tcBorders>
              <w:top w:val="nil"/>
              <w:left w:val="nil"/>
              <w:bottom w:val="nil"/>
              <w:right w:val="nil"/>
            </w:tcBorders>
            <w:shd w:val="clear" w:color="auto" w:fill="auto"/>
            <w:vAlign w:val="center"/>
            <w:hideMark/>
          </w:tcPr>
          <w:p w14:paraId="4EEBEBE9" w14:textId="353A3D0F" w:rsidR="003C24C2" w:rsidRPr="006726BE" w:rsidRDefault="003C24C2" w:rsidP="003C24C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6"/>
                <w:szCs w:val="18"/>
                <w:lang w:eastAsia="it-IT"/>
              </w:rPr>
            </w:pPr>
            <w:r w:rsidRPr="00F51DDA">
              <w:rPr>
                <w:rFonts w:eastAsia="Times New Roman"/>
                <w:color w:val="auto"/>
                <w:sz w:val="16"/>
                <w:szCs w:val="18"/>
                <w:lang w:eastAsia="it-IT"/>
              </w:rPr>
              <w:t>8.00-8.30 AM</w:t>
            </w:r>
          </w:p>
        </w:tc>
      </w:tr>
      <w:tr w:rsidR="003C24C2" w:rsidRPr="001413F4" w14:paraId="166639D7" w14:textId="77777777" w:rsidTr="003C24C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25" w:type="dxa"/>
            <w:tcBorders>
              <w:top w:val="nil"/>
              <w:left w:val="nil"/>
              <w:bottom w:val="nil"/>
              <w:right w:val="nil"/>
            </w:tcBorders>
            <w:shd w:val="clear" w:color="auto" w:fill="auto"/>
            <w:vAlign w:val="center"/>
            <w:hideMark/>
          </w:tcPr>
          <w:p w14:paraId="0DA56ABA" w14:textId="77777777" w:rsidR="003C24C2" w:rsidRPr="006726BE" w:rsidRDefault="003C24C2" w:rsidP="003C24C2">
            <w:pPr>
              <w:spacing w:line="276" w:lineRule="auto"/>
              <w:jc w:val="center"/>
              <w:rPr>
                <w:rFonts w:eastAsia="Times New Roman"/>
                <w:b w:val="0"/>
                <w:color w:val="auto"/>
                <w:sz w:val="16"/>
                <w:szCs w:val="18"/>
                <w:lang w:eastAsia="it-IT"/>
              </w:rPr>
            </w:pPr>
            <w:r w:rsidRPr="00F51DDA">
              <w:rPr>
                <w:rFonts w:eastAsia="Times New Roman"/>
                <w:color w:val="auto"/>
                <w:sz w:val="16"/>
                <w:szCs w:val="18"/>
                <w:lang w:eastAsia="it-IT"/>
              </w:rPr>
              <w:t>D3</w:t>
            </w:r>
          </w:p>
        </w:tc>
        <w:tc>
          <w:tcPr>
            <w:tcW w:w="1526" w:type="dxa"/>
            <w:tcBorders>
              <w:top w:val="nil"/>
              <w:left w:val="nil"/>
              <w:bottom w:val="nil"/>
              <w:right w:val="nil"/>
            </w:tcBorders>
            <w:shd w:val="clear" w:color="auto" w:fill="auto"/>
            <w:vAlign w:val="center"/>
            <w:hideMark/>
          </w:tcPr>
          <w:p w14:paraId="6BBD33A6" w14:textId="77777777" w:rsidR="003C24C2" w:rsidRPr="006726BE" w:rsidRDefault="003C24C2" w:rsidP="003C24C2">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8"/>
                <w:lang w:eastAsia="it-IT"/>
              </w:rPr>
            </w:pPr>
            <w:r w:rsidRPr="00F51DDA">
              <w:rPr>
                <w:rFonts w:eastAsia="Times New Roman"/>
                <w:color w:val="auto"/>
                <w:sz w:val="16"/>
                <w:szCs w:val="18"/>
                <w:lang w:eastAsia="it-IT"/>
              </w:rPr>
              <w:t>0.14</w:t>
            </w:r>
          </w:p>
        </w:tc>
        <w:tc>
          <w:tcPr>
            <w:tcW w:w="1526" w:type="dxa"/>
            <w:tcBorders>
              <w:top w:val="nil"/>
              <w:left w:val="nil"/>
              <w:bottom w:val="nil"/>
              <w:right w:val="nil"/>
            </w:tcBorders>
            <w:shd w:val="clear" w:color="auto" w:fill="auto"/>
            <w:vAlign w:val="center"/>
          </w:tcPr>
          <w:p w14:paraId="1B5467E1" w14:textId="02AE4838" w:rsidR="003C24C2" w:rsidRPr="00F51DDA" w:rsidRDefault="003C24C2" w:rsidP="003C24C2">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8"/>
                <w:lang w:eastAsia="it-IT"/>
              </w:rPr>
            </w:pPr>
            <w:r w:rsidRPr="00F51DDA">
              <w:rPr>
                <w:rFonts w:eastAsia="Times New Roman"/>
                <w:color w:val="auto"/>
                <w:sz w:val="16"/>
                <w:szCs w:val="18"/>
                <w:lang w:eastAsia="it-IT"/>
              </w:rPr>
              <w:t>18</w:t>
            </w:r>
          </w:p>
        </w:tc>
        <w:tc>
          <w:tcPr>
            <w:tcW w:w="1526" w:type="dxa"/>
            <w:tcBorders>
              <w:top w:val="nil"/>
              <w:left w:val="nil"/>
              <w:bottom w:val="nil"/>
              <w:right w:val="nil"/>
            </w:tcBorders>
            <w:shd w:val="clear" w:color="auto" w:fill="auto"/>
            <w:vAlign w:val="center"/>
          </w:tcPr>
          <w:p w14:paraId="55F90C8C" w14:textId="5A887909" w:rsidR="003C24C2" w:rsidRPr="00F51DDA" w:rsidRDefault="003C24C2" w:rsidP="003C24C2">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8"/>
                <w:lang w:eastAsia="it-IT"/>
              </w:rPr>
            </w:pPr>
            <w:r w:rsidRPr="00F51DDA">
              <w:rPr>
                <w:rFonts w:eastAsia="Times New Roman"/>
                <w:color w:val="auto"/>
                <w:sz w:val="16"/>
                <w:szCs w:val="18"/>
                <w:lang w:eastAsia="it-IT"/>
              </w:rPr>
              <w:t>9500</w:t>
            </w:r>
          </w:p>
        </w:tc>
        <w:tc>
          <w:tcPr>
            <w:tcW w:w="1526" w:type="dxa"/>
            <w:tcBorders>
              <w:top w:val="nil"/>
              <w:left w:val="nil"/>
              <w:bottom w:val="nil"/>
              <w:right w:val="nil"/>
            </w:tcBorders>
            <w:shd w:val="clear" w:color="auto" w:fill="auto"/>
            <w:vAlign w:val="center"/>
            <w:hideMark/>
          </w:tcPr>
          <w:p w14:paraId="547355AC" w14:textId="7B32155C" w:rsidR="003C24C2" w:rsidRPr="006726BE" w:rsidRDefault="003C24C2" w:rsidP="003C24C2">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8"/>
                <w:lang w:eastAsia="it-IT"/>
              </w:rPr>
            </w:pPr>
            <w:r w:rsidRPr="00F51DDA">
              <w:rPr>
                <w:rFonts w:eastAsia="Times New Roman"/>
                <w:color w:val="auto"/>
                <w:sz w:val="16"/>
                <w:szCs w:val="18"/>
                <w:lang w:eastAsia="it-IT"/>
              </w:rPr>
              <w:t>7.30-8.00 AM</w:t>
            </w:r>
          </w:p>
        </w:tc>
      </w:tr>
      <w:tr w:rsidR="003C24C2" w:rsidRPr="001413F4" w14:paraId="4F7136A0" w14:textId="77777777" w:rsidTr="003C24C2">
        <w:trPr>
          <w:trHeight w:val="340"/>
          <w:jc w:val="center"/>
        </w:trPr>
        <w:tc>
          <w:tcPr>
            <w:cnfStyle w:val="001000000000" w:firstRow="0" w:lastRow="0" w:firstColumn="1" w:lastColumn="0" w:oddVBand="0" w:evenVBand="0" w:oddHBand="0" w:evenHBand="0" w:firstRowFirstColumn="0" w:firstRowLastColumn="0" w:lastRowFirstColumn="0" w:lastRowLastColumn="0"/>
            <w:tcW w:w="1525" w:type="dxa"/>
            <w:tcBorders>
              <w:top w:val="nil"/>
              <w:left w:val="nil"/>
              <w:bottom w:val="nil"/>
              <w:right w:val="nil"/>
            </w:tcBorders>
            <w:shd w:val="clear" w:color="auto" w:fill="auto"/>
            <w:vAlign w:val="center"/>
            <w:hideMark/>
          </w:tcPr>
          <w:p w14:paraId="6AC5AAC5" w14:textId="77777777" w:rsidR="003C24C2" w:rsidRPr="006726BE" w:rsidRDefault="003C24C2" w:rsidP="003C24C2">
            <w:pPr>
              <w:spacing w:line="276" w:lineRule="auto"/>
              <w:jc w:val="center"/>
              <w:rPr>
                <w:rFonts w:eastAsia="Times New Roman"/>
                <w:b w:val="0"/>
                <w:color w:val="auto"/>
                <w:sz w:val="16"/>
                <w:szCs w:val="18"/>
                <w:lang w:eastAsia="it-IT"/>
              </w:rPr>
            </w:pPr>
            <w:r w:rsidRPr="00F51DDA">
              <w:rPr>
                <w:rFonts w:eastAsia="Times New Roman"/>
                <w:color w:val="auto"/>
                <w:sz w:val="16"/>
                <w:szCs w:val="18"/>
                <w:lang w:eastAsia="it-IT"/>
              </w:rPr>
              <w:t>D4</w:t>
            </w:r>
          </w:p>
        </w:tc>
        <w:tc>
          <w:tcPr>
            <w:tcW w:w="1526" w:type="dxa"/>
            <w:tcBorders>
              <w:top w:val="nil"/>
              <w:left w:val="nil"/>
              <w:bottom w:val="nil"/>
              <w:right w:val="nil"/>
            </w:tcBorders>
            <w:shd w:val="clear" w:color="auto" w:fill="auto"/>
            <w:vAlign w:val="center"/>
            <w:hideMark/>
          </w:tcPr>
          <w:p w14:paraId="6020E424" w14:textId="77777777" w:rsidR="003C24C2" w:rsidRPr="006726BE" w:rsidRDefault="003C24C2" w:rsidP="003C24C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6"/>
                <w:szCs w:val="18"/>
                <w:lang w:eastAsia="it-IT"/>
              </w:rPr>
            </w:pPr>
            <w:r w:rsidRPr="00F51DDA">
              <w:rPr>
                <w:rFonts w:eastAsia="Times New Roman"/>
                <w:color w:val="auto"/>
                <w:sz w:val="16"/>
                <w:szCs w:val="18"/>
                <w:lang w:eastAsia="it-IT"/>
              </w:rPr>
              <w:t>0.13</w:t>
            </w:r>
          </w:p>
        </w:tc>
        <w:tc>
          <w:tcPr>
            <w:tcW w:w="1526" w:type="dxa"/>
            <w:tcBorders>
              <w:top w:val="nil"/>
              <w:left w:val="nil"/>
              <w:bottom w:val="nil"/>
              <w:right w:val="nil"/>
            </w:tcBorders>
            <w:shd w:val="clear" w:color="auto" w:fill="auto"/>
            <w:vAlign w:val="center"/>
          </w:tcPr>
          <w:p w14:paraId="7C74758A" w14:textId="73154A3B" w:rsidR="003C24C2" w:rsidRPr="00F51DDA" w:rsidRDefault="003C24C2" w:rsidP="003C24C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8"/>
                <w:lang w:eastAsia="it-IT"/>
              </w:rPr>
            </w:pPr>
            <w:r w:rsidRPr="00F51DDA">
              <w:rPr>
                <w:rFonts w:eastAsia="Times New Roman"/>
                <w:color w:val="auto"/>
                <w:sz w:val="16"/>
                <w:szCs w:val="18"/>
                <w:lang w:eastAsia="it-IT"/>
              </w:rPr>
              <w:t>11</w:t>
            </w:r>
          </w:p>
        </w:tc>
        <w:tc>
          <w:tcPr>
            <w:tcW w:w="1526" w:type="dxa"/>
            <w:tcBorders>
              <w:top w:val="nil"/>
              <w:left w:val="nil"/>
              <w:bottom w:val="nil"/>
              <w:right w:val="nil"/>
            </w:tcBorders>
            <w:shd w:val="clear" w:color="auto" w:fill="auto"/>
            <w:vAlign w:val="center"/>
          </w:tcPr>
          <w:p w14:paraId="5124741C" w14:textId="4098300D" w:rsidR="003C24C2" w:rsidRPr="00F51DDA" w:rsidRDefault="003C24C2" w:rsidP="003C24C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8"/>
                <w:lang w:eastAsia="it-IT"/>
              </w:rPr>
            </w:pPr>
            <w:r w:rsidRPr="00F51DDA">
              <w:rPr>
                <w:rFonts w:eastAsia="Times New Roman"/>
                <w:color w:val="auto"/>
                <w:sz w:val="16"/>
                <w:szCs w:val="18"/>
                <w:lang w:eastAsia="it-IT"/>
              </w:rPr>
              <w:t>11500</w:t>
            </w:r>
          </w:p>
        </w:tc>
        <w:tc>
          <w:tcPr>
            <w:tcW w:w="1526" w:type="dxa"/>
            <w:tcBorders>
              <w:top w:val="nil"/>
              <w:left w:val="nil"/>
              <w:bottom w:val="nil"/>
              <w:right w:val="nil"/>
            </w:tcBorders>
            <w:shd w:val="clear" w:color="auto" w:fill="auto"/>
            <w:vAlign w:val="center"/>
            <w:hideMark/>
          </w:tcPr>
          <w:p w14:paraId="68DD21D3" w14:textId="4CB74BCD" w:rsidR="003C24C2" w:rsidRPr="006726BE" w:rsidRDefault="003C24C2" w:rsidP="003C24C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6"/>
                <w:szCs w:val="18"/>
                <w:lang w:eastAsia="it-IT"/>
              </w:rPr>
            </w:pPr>
            <w:r w:rsidRPr="00F51DDA">
              <w:rPr>
                <w:rFonts w:eastAsia="Times New Roman"/>
                <w:color w:val="auto"/>
                <w:sz w:val="16"/>
                <w:szCs w:val="18"/>
                <w:lang w:eastAsia="it-IT"/>
              </w:rPr>
              <w:t>7.30-8.00 AM</w:t>
            </w:r>
          </w:p>
        </w:tc>
      </w:tr>
      <w:tr w:rsidR="003C24C2" w:rsidRPr="001413F4" w14:paraId="61F393FC" w14:textId="77777777" w:rsidTr="003C24C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25" w:type="dxa"/>
            <w:tcBorders>
              <w:top w:val="nil"/>
              <w:left w:val="nil"/>
              <w:bottom w:val="single" w:sz="4" w:space="0" w:color="auto"/>
              <w:right w:val="nil"/>
            </w:tcBorders>
            <w:shd w:val="clear" w:color="auto" w:fill="auto"/>
            <w:vAlign w:val="center"/>
            <w:hideMark/>
          </w:tcPr>
          <w:p w14:paraId="45498A8A" w14:textId="77777777" w:rsidR="003C24C2" w:rsidRPr="006726BE" w:rsidRDefault="003C24C2" w:rsidP="003C24C2">
            <w:pPr>
              <w:spacing w:line="276" w:lineRule="auto"/>
              <w:jc w:val="center"/>
              <w:rPr>
                <w:rFonts w:eastAsia="Times New Roman"/>
                <w:b w:val="0"/>
                <w:color w:val="auto"/>
                <w:sz w:val="16"/>
                <w:szCs w:val="18"/>
                <w:lang w:eastAsia="it-IT"/>
              </w:rPr>
            </w:pPr>
            <w:r w:rsidRPr="00F51DDA">
              <w:rPr>
                <w:rFonts w:eastAsia="Times New Roman"/>
                <w:color w:val="auto"/>
                <w:sz w:val="16"/>
                <w:szCs w:val="18"/>
                <w:lang w:eastAsia="it-IT"/>
              </w:rPr>
              <w:t>D5</w:t>
            </w:r>
          </w:p>
        </w:tc>
        <w:tc>
          <w:tcPr>
            <w:tcW w:w="1526" w:type="dxa"/>
            <w:tcBorders>
              <w:top w:val="nil"/>
              <w:left w:val="nil"/>
              <w:bottom w:val="single" w:sz="4" w:space="0" w:color="auto"/>
              <w:right w:val="nil"/>
            </w:tcBorders>
            <w:shd w:val="clear" w:color="auto" w:fill="auto"/>
            <w:vAlign w:val="center"/>
            <w:hideMark/>
          </w:tcPr>
          <w:p w14:paraId="1A230EF3" w14:textId="77777777" w:rsidR="003C24C2" w:rsidRPr="006726BE" w:rsidRDefault="003C24C2" w:rsidP="003C24C2">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8"/>
                <w:lang w:eastAsia="it-IT"/>
              </w:rPr>
            </w:pPr>
            <w:r w:rsidRPr="00F51DDA">
              <w:rPr>
                <w:rFonts w:eastAsia="Times New Roman"/>
                <w:color w:val="auto"/>
                <w:sz w:val="16"/>
                <w:szCs w:val="18"/>
                <w:lang w:eastAsia="it-IT"/>
              </w:rPr>
              <w:t>0.22</w:t>
            </w:r>
          </w:p>
        </w:tc>
        <w:tc>
          <w:tcPr>
            <w:tcW w:w="1526" w:type="dxa"/>
            <w:tcBorders>
              <w:top w:val="nil"/>
              <w:left w:val="nil"/>
              <w:bottom w:val="single" w:sz="4" w:space="0" w:color="auto"/>
              <w:right w:val="nil"/>
            </w:tcBorders>
            <w:shd w:val="clear" w:color="auto" w:fill="auto"/>
            <w:vAlign w:val="center"/>
          </w:tcPr>
          <w:p w14:paraId="7057464E" w14:textId="12CDBAFD" w:rsidR="003C24C2" w:rsidRPr="00F51DDA" w:rsidRDefault="003C24C2" w:rsidP="003C24C2">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8"/>
                <w:lang w:eastAsia="it-IT"/>
              </w:rPr>
            </w:pPr>
            <w:r w:rsidRPr="00F51DDA">
              <w:rPr>
                <w:rFonts w:eastAsia="Times New Roman"/>
                <w:color w:val="auto"/>
                <w:sz w:val="16"/>
                <w:szCs w:val="18"/>
                <w:lang w:eastAsia="it-IT"/>
              </w:rPr>
              <w:t>13</w:t>
            </w:r>
          </w:p>
        </w:tc>
        <w:tc>
          <w:tcPr>
            <w:tcW w:w="1526" w:type="dxa"/>
            <w:tcBorders>
              <w:top w:val="nil"/>
              <w:left w:val="nil"/>
              <w:bottom w:val="single" w:sz="4" w:space="0" w:color="auto"/>
              <w:right w:val="nil"/>
            </w:tcBorders>
            <w:shd w:val="clear" w:color="auto" w:fill="auto"/>
            <w:vAlign w:val="center"/>
          </w:tcPr>
          <w:p w14:paraId="22D0FA32" w14:textId="29783E23" w:rsidR="003C24C2" w:rsidRPr="00F51DDA" w:rsidRDefault="003C24C2" w:rsidP="003C24C2">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8"/>
                <w:lang w:eastAsia="it-IT"/>
              </w:rPr>
            </w:pPr>
            <w:r>
              <w:rPr>
                <w:rFonts w:eastAsia="Times New Roman"/>
                <w:color w:val="auto"/>
                <w:sz w:val="16"/>
                <w:szCs w:val="18"/>
                <w:lang w:eastAsia="it-IT"/>
              </w:rPr>
              <w:t>14000</w:t>
            </w:r>
          </w:p>
        </w:tc>
        <w:tc>
          <w:tcPr>
            <w:tcW w:w="1526" w:type="dxa"/>
            <w:tcBorders>
              <w:top w:val="nil"/>
              <w:left w:val="nil"/>
              <w:bottom w:val="single" w:sz="4" w:space="0" w:color="auto"/>
              <w:right w:val="nil"/>
            </w:tcBorders>
            <w:shd w:val="clear" w:color="auto" w:fill="auto"/>
            <w:vAlign w:val="center"/>
            <w:hideMark/>
          </w:tcPr>
          <w:p w14:paraId="4E012FEE" w14:textId="7779BDDB" w:rsidR="003C24C2" w:rsidRPr="006726BE" w:rsidRDefault="003C24C2" w:rsidP="003C24C2">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8"/>
                <w:lang w:eastAsia="it-IT"/>
              </w:rPr>
            </w:pPr>
            <w:r w:rsidRPr="00F51DDA">
              <w:rPr>
                <w:rFonts w:eastAsia="Times New Roman"/>
                <w:color w:val="auto"/>
                <w:sz w:val="16"/>
                <w:szCs w:val="18"/>
                <w:lang w:eastAsia="it-IT"/>
              </w:rPr>
              <w:t>7.30-8.00 AM</w:t>
            </w:r>
          </w:p>
        </w:tc>
      </w:tr>
    </w:tbl>
    <w:p w14:paraId="58810C07" w14:textId="77777777" w:rsidR="001976F8" w:rsidRPr="001413F4" w:rsidRDefault="001976F8" w:rsidP="00116C1B">
      <w:pPr>
        <w:widowControl/>
        <w:rPr>
          <w:sz w:val="18"/>
          <w:szCs w:val="18"/>
        </w:rPr>
      </w:pPr>
    </w:p>
    <w:p w14:paraId="69B74E71" w14:textId="77777777" w:rsidR="00116C1B" w:rsidRPr="001413F4" w:rsidRDefault="00116C1B" w:rsidP="00116C1B">
      <w:pPr>
        <w:pStyle w:val="Els-1storder-head"/>
      </w:pPr>
      <w:r w:rsidRPr="001413F4">
        <w:lastRenderedPageBreak/>
        <w:t>Conclusions</w:t>
      </w:r>
    </w:p>
    <w:p w14:paraId="38494674" w14:textId="77777777" w:rsidR="00116C1B" w:rsidRPr="001413F4" w:rsidRDefault="006F27F2" w:rsidP="002A4629">
      <w:pPr>
        <w:spacing w:line="260" w:lineRule="exact"/>
        <w:ind w:firstLine="238"/>
        <w:jc w:val="both"/>
      </w:pPr>
      <w:r>
        <w:t>The attract more passengers.</w:t>
      </w:r>
      <w:r w:rsidR="00116C1B" w:rsidRPr="001413F4">
        <w:t xml:space="preserve"> </w:t>
      </w:r>
      <w:r>
        <w:t>public transport</w:t>
      </w:r>
      <w:r w:rsidR="00116C1B" w:rsidRPr="001413F4">
        <w:t xml:space="preserve"> system </w:t>
      </w:r>
      <w:r>
        <w:t xml:space="preserve">must </w:t>
      </w:r>
      <w:r w:rsidR="00116C1B" w:rsidRPr="001413F4">
        <w:t xml:space="preserve">be able to withstand or recover </w:t>
      </w:r>
      <w:r w:rsidRPr="001413F4">
        <w:t xml:space="preserve">quickly </w:t>
      </w:r>
      <w:r w:rsidR="00116C1B" w:rsidRPr="001413F4">
        <w:t>from disruptions such as infrastructural and vehicular malfunctions. Because of the dynamic nature of the public transport system, disturbances propagate across the network due to knock-down effects on the infrastructure and spillover effects caused by the redistribution of passenger f</w:t>
      </w:r>
      <w:r w:rsidR="002A4629">
        <w:t xml:space="preserve">lows and capacity limitations. To </w:t>
      </w:r>
      <w:r w:rsidR="000853BE">
        <w:t>study</w:t>
      </w:r>
      <w:r>
        <w:t xml:space="preserve"> these effects</w:t>
      </w:r>
      <w:r w:rsidR="002A4629">
        <w:t>, we utilize a</w:t>
      </w:r>
      <w:r w:rsidR="00116C1B" w:rsidRPr="001413F4">
        <w:t xml:space="preserve"> demand loading simulation model that takes into consideration the interaction between supply and demand and the inherent stochastic processes in the public transport system. The impacts of disruptions are analysed studying the spatial and temporal change </w:t>
      </w:r>
      <w:r w:rsidR="000853BE">
        <w:t>of</w:t>
      </w:r>
      <w:r w:rsidR="000853BE" w:rsidRPr="001413F4">
        <w:t xml:space="preserve"> </w:t>
      </w:r>
      <w:r w:rsidR="00116C1B" w:rsidRPr="001413F4">
        <w:t xml:space="preserve">the Volume over Capacity ratio </w:t>
      </w:r>
      <w:r w:rsidR="000853BE">
        <w:t>over</w:t>
      </w:r>
      <w:r w:rsidR="000853BE" w:rsidRPr="001413F4">
        <w:t xml:space="preserve"> </w:t>
      </w:r>
      <w:r w:rsidR="00116C1B" w:rsidRPr="001413F4">
        <w:t xml:space="preserve">the network. </w:t>
      </w:r>
      <w:r w:rsidR="000853BE">
        <w:t xml:space="preserve">We define two </w:t>
      </w:r>
      <w:r w:rsidR="00116C1B" w:rsidRPr="001413F4">
        <w:rPr>
          <w:rFonts w:eastAsiaTheme="minorEastAsia"/>
        </w:rPr>
        <w:t>indicator</w:t>
      </w:r>
      <w:r w:rsidR="000853BE">
        <w:rPr>
          <w:rFonts w:eastAsiaTheme="minorEastAsia"/>
        </w:rPr>
        <w:t>s that provide information on</w:t>
      </w:r>
      <w:r w:rsidR="00116C1B" w:rsidRPr="001413F4">
        <w:rPr>
          <w:rFonts w:eastAsiaTheme="minorEastAsia"/>
        </w:rPr>
        <w:t xml:space="preserve"> </w:t>
      </w:r>
      <w:r w:rsidR="000853BE">
        <w:rPr>
          <w:rFonts w:eastAsiaTheme="minorEastAsia"/>
        </w:rPr>
        <w:t xml:space="preserve">the </w:t>
      </w:r>
      <w:r w:rsidR="00116C1B" w:rsidRPr="001413F4">
        <w:rPr>
          <w:rFonts w:eastAsiaTheme="minorEastAsia"/>
        </w:rPr>
        <w:t xml:space="preserve">network saturation level and help understanding if, after a disruption, </w:t>
      </w:r>
      <w:r w:rsidR="000853BE">
        <w:rPr>
          <w:rFonts w:eastAsiaTheme="minorEastAsia"/>
        </w:rPr>
        <w:t xml:space="preserve">to what extent </w:t>
      </w:r>
      <w:r w:rsidR="00116C1B" w:rsidRPr="001413F4">
        <w:rPr>
          <w:rFonts w:eastAsiaTheme="minorEastAsia"/>
        </w:rPr>
        <w:t xml:space="preserve">the transit supply </w:t>
      </w:r>
      <w:r w:rsidR="000853BE">
        <w:rPr>
          <w:rFonts w:eastAsiaTheme="minorEastAsia"/>
        </w:rPr>
        <w:t xml:space="preserve">can </w:t>
      </w:r>
      <w:r w:rsidR="00116C1B" w:rsidRPr="001413F4">
        <w:rPr>
          <w:rFonts w:eastAsiaTheme="minorEastAsia"/>
        </w:rPr>
        <w:t>satisfy the demand.</w:t>
      </w:r>
      <w:r w:rsidR="000853BE">
        <w:rPr>
          <w:rFonts w:eastAsiaTheme="minorEastAsia"/>
        </w:rPr>
        <w:t xml:space="preserve"> </w:t>
      </w:r>
    </w:p>
    <w:p w14:paraId="6E209E37" w14:textId="77777777" w:rsidR="00116C1B" w:rsidRDefault="00816AAC" w:rsidP="00565096">
      <w:pPr>
        <w:spacing w:line="260" w:lineRule="exact"/>
        <w:ind w:firstLine="238"/>
        <w:jc w:val="both"/>
      </w:pPr>
      <w:r>
        <w:t xml:space="preserve">The proposed method was applied to </w:t>
      </w:r>
      <w:r w:rsidR="00565096">
        <w:t xml:space="preserve">a series of </w:t>
      </w:r>
      <w:r>
        <w:t xml:space="preserve">selected disruption scenarios of unplanned breakdowns of the most central service corridors for the rapid metropolitan network of Stockholm. The application demonstrates that the impact of disruptions on passenger flow distribution </w:t>
      </w:r>
      <w:r w:rsidR="000853BE">
        <w:t>last up to 6 times longer than</w:t>
      </w:r>
      <w:r>
        <w:t xml:space="preserve"> the </w:t>
      </w:r>
      <w:r w:rsidR="00565096">
        <w:t xml:space="preserve">service </w:t>
      </w:r>
      <w:r>
        <w:t>closure time. Furthermore, significant i</w:t>
      </w:r>
      <w:r w:rsidR="00BC114B">
        <w:t xml:space="preserve">mpacts of the disruption </w:t>
      </w:r>
      <w:r w:rsidR="000853BE">
        <w:t xml:space="preserve">are observed </w:t>
      </w:r>
      <w:r>
        <w:t>more than 10-15 km from the disruption location. Our findings</w:t>
      </w:r>
      <w:r w:rsidR="00116C1B" w:rsidRPr="001413F4">
        <w:t xml:space="preserve"> also show that the centrality measure is not indicative of the scenarios with higher impacts on network</w:t>
      </w:r>
      <w:r w:rsidR="00565096">
        <w:t xml:space="preserve"> performance</w:t>
      </w:r>
      <w:r w:rsidR="00116C1B" w:rsidRPr="001413F4">
        <w:t>.</w:t>
      </w:r>
    </w:p>
    <w:p w14:paraId="74628828" w14:textId="77777777" w:rsidR="002A4629" w:rsidRPr="001413F4" w:rsidRDefault="002A4629" w:rsidP="00816AAC">
      <w:pPr>
        <w:spacing w:line="260" w:lineRule="exact"/>
        <w:ind w:firstLine="238"/>
        <w:jc w:val="both"/>
      </w:pPr>
      <w:r w:rsidRPr="001413F4">
        <w:t xml:space="preserve">The </w:t>
      </w:r>
      <w:r w:rsidR="00816AAC">
        <w:t>disruption propagation</w:t>
      </w:r>
      <w:r w:rsidRPr="001413F4">
        <w:t xml:space="preserve"> analysis of public transport networks will facilitate the development of measures </w:t>
      </w:r>
      <w:r w:rsidR="004F25AC">
        <w:t>for</w:t>
      </w:r>
      <w:r w:rsidRPr="001413F4">
        <w:t xml:space="preserve"> improv</w:t>
      </w:r>
      <w:r w:rsidR="004F25AC">
        <w:t>ing</w:t>
      </w:r>
      <w:r w:rsidRPr="001413F4">
        <w:t xml:space="preserve"> system performance in planning, operations and real-time management. It allows identify</w:t>
      </w:r>
      <w:r w:rsidR="004F25AC">
        <w:t>ing</w:t>
      </w:r>
      <w:r w:rsidRPr="001413F4">
        <w:t xml:space="preserve"> adverse scenarios, expressed as a set of important network elements </w:t>
      </w:r>
      <w:r w:rsidR="000853BE">
        <w:t>whose</w:t>
      </w:r>
      <w:r w:rsidR="000853BE" w:rsidRPr="001413F4">
        <w:t xml:space="preserve"> </w:t>
      </w:r>
      <w:r w:rsidRPr="001413F4">
        <w:t xml:space="preserve">disruptions would </w:t>
      </w:r>
      <w:r w:rsidR="000853BE">
        <w:t>cause the worst consequences</w:t>
      </w:r>
      <w:r w:rsidRPr="001413F4">
        <w:t>. The identification of such links can provide guidelines for infrastructure and service investment decisions. Timetable and vehicle scheduling design consider</w:t>
      </w:r>
      <w:r w:rsidR="000853BE">
        <w:t>ing</w:t>
      </w:r>
      <w:r w:rsidRPr="001413F4">
        <w:t xml:space="preserve"> risk distribution may reduce the likelihood of disruption, while better management and restoration strategies will reduce </w:t>
      </w:r>
      <w:r w:rsidR="00816AAC">
        <w:t xml:space="preserve">or encapsulate </w:t>
      </w:r>
      <w:r w:rsidRPr="001413F4">
        <w:t xml:space="preserve">its impact. </w:t>
      </w:r>
    </w:p>
    <w:p w14:paraId="030E6131" w14:textId="77777777" w:rsidR="00116C1B" w:rsidRPr="001413F4" w:rsidRDefault="00116C1B" w:rsidP="00816AAC">
      <w:pPr>
        <w:spacing w:line="260" w:lineRule="exact"/>
        <w:ind w:firstLine="238"/>
        <w:jc w:val="both"/>
      </w:pPr>
      <w:r w:rsidRPr="001413F4">
        <w:t>Future studies may consider other types of failures such as node closures. The consequences of the simultaneous failure of multiple links should be analysed. The methodology should be expanded to include the probability of a link to be disrupted. The relationship between the results obtained from this study and some topological network properties such as the connectivity should also be investigated.</w:t>
      </w:r>
      <w:r w:rsidR="008F32F6">
        <w:t xml:space="preserve"> Finally, an empirical network analysis of the recovery times and spillover effects of service disruptions </w:t>
      </w:r>
      <w:r w:rsidR="000853BE">
        <w:t xml:space="preserve">would </w:t>
      </w:r>
      <w:r w:rsidR="008F32F6">
        <w:t>validat</w:t>
      </w:r>
      <w:r w:rsidR="000853BE">
        <w:t>e the approach</w:t>
      </w:r>
      <w:r w:rsidR="008F32F6">
        <w:t xml:space="preserve">. </w:t>
      </w:r>
    </w:p>
    <w:p w14:paraId="59B3559D" w14:textId="77777777" w:rsidR="001976F8" w:rsidRPr="001413F4" w:rsidRDefault="001976F8" w:rsidP="00116C1B">
      <w:pPr>
        <w:spacing w:line="240" w:lineRule="exact"/>
        <w:ind w:firstLine="238"/>
        <w:jc w:val="both"/>
      </w:pPr>
    </w:p>
    <w:p w14:paraId="4FE84672" w14:textId="77777777" w:rsidR="00116C1B" w:rsidRPr="001413F4" w:rsidRDefault="00116C1B" w:rsidP="00116C1B">
      <w:pPr>
        <w:spacing w:before="240" w:after="240" w:line="240" w:lineRule="exact"/>
        <w:rPr>
          <w:b/>
        </w:rPr>
      </w:pPr>
      <w:r w:rsidRPr="001413F4">
        <w:rPr>
          <w:b/>
        </w:rPr>
        <w:t>References</w:t>
      </w:r>
    </w:p>
    <w:p w14:paraId="1CE36F2A" w14:textId="77777777" w:rsidR="00116C1B" w:rsidRPr="001413F4" w:rsidRDefault="00116C1B" w:rsidP="00585031">
      <w:pPr>
        <w:spacing w:after="120"/>
        <w:jc w:val="both"/>
        <w:rPr>
          <w:sz w:val="18"/>
          <w:szCs w:val="16"/>
        </w:rPr>
      </w:pPr>
      <w:r w:rsidRPr="001413F4">
        <w:rPr>
          <w:sz w:val="18"/>
          <w:szCs w:val="16"/>
        </w:rPr>
        <w:t>Angeloudis, P., Fisk, D., 2006. Large subway systems as complex networks. Physica A: Statistical Mechanics and its Applications, 367, 553-558.</w:t>
      </w:r>
    </w:p>
    <w:p w14:paraId="5C2C5960" w14:textId="77777777" w:rsidR="00E30A26" w:rsidRDefault="00116C1B" w:rsidP="00585031">
      <w:pPr>
        <w:spacing w:after="120" w:line="200" w:lineRule="exact"/>
        <w:jc w:val="both"/>
        <w:rPr>
          <w:sz w:val="18"/>
          <w:szCs w:val="16"/>
          <w:lang w:val="en-US"/>
        </w:rPr>
      </w:pPr>
      <w:r w:rsidRPr="001413F4">
        <w:rPr>
          <w:sz w:val="18"/>
          <w:szCs w:val="16"/>
          <w:lang w:val="en-US"/>
        </w:rPr>
        <w:t>Ash, J., Newth, D., 2007. Optimizing complex networks for resilience against cascading failure. Physica A 380, 673-683.</w:t>
      </w:r>
    </w:p>
    <w:p w14:paraId="2C6D9DC7" w14:textId="77777777" w:rsidR="00076BAF" w:rsidRPr="001413F4" w:rsidRDefault="00076BAF" w:rsidP="00076BAF">
      <w:pPr>
        <w:spacing w:after="120" w:line="200" w:lineRule="exact"/>
        <w:jc w:val="both"/>
        <w:rPr>
          <w:sz w:val="18"/>
          <w:szCs w:val="16"/>
          <w:lang w:val="en-US"/>
        </w:rPr>
      </w:pPr>
      <w:r w:rsidRPr="00076BAF">
        <w:rPr>
          <w:sz w:val="18"/>
          <w:szCs w:val="16"/>
          <w:lang w:val="en-US"/>
        </w:rPr>
        <w:t>Barker, K., Ramir</w:t>
      </w:r>
      <w:r>
        <w:rPr>
          <w:sz w:val="18"/>
          <w:szCs w:val="16"/>
          <w:lang w:val="en-US"/>
        </w:rPr>
        <w:t>ez-Marquez, J.E., and Rocco, C.M., 2013</w:t>
      </w:r>
      <w:r w:rsidRPr="00076BAF">
        <w:rPr>
          <w:sz w:val="18"/>
          <w:szCs w:val="16"/>
          <w:lang w:val="en-US"/>
        </w:rPr>
        <w:t>. Resilience-based network component importance measures. Reliability Engineering &amp; System Safety 117, pp. 89-97.</w:t>
      </w:r>
    </w:p>
    <w:p w14:paraId="044AB656" w14:textId="77777777" w:rsidR="00116C1B" w:rsidRPr="001413F4" w:rsidRDefault="00116C1B" w:rsidP="00585031">
      <w:pPr>
        <w:spacing w:after="120" w:line="200" w:lineRule="exact"/>
        <w:jc w:val="both"/>
        <w:rPr>
          <w:sz w:val="18"/>
          <w:szCs w:val="16"/>
        </w:rPr>
      </w:pPr>
      <w:r w:rsidRPr="001413F4">
        <w:rPr>
          <w:sz w:val="18"/>
          <w:szCs w:val="16"/>
          <w:lang w:val="en-US"/>
        </w:rPr>
        <w:t xml:space="preserve">Berche, B., von Ferber, C., Holovatch, T., Holovatch, Y., 2009. Resilience of public transport networks against attacks. </w:t>
      </w:r>
      <w:r w:rsidRPr="001413F4">
        <w:rPr>
          <w:sz w:val="18"/>
          <w:szCs w:val="16"/>
        </w:rPr>
        <w:t>Eur. Phys. J. B 71, 125–137.</w:t>
      </w:r>
    </w:p>
    <w:p w14:paraId="4141A8F4" w14:textId="77777777" w:rsidR="0041467B" w:rsidRPr="001413F4" w:rsidRDefault="0041467B" w:rsidP="00107BE5">
      <w:pPr>
        <w:spacing w:after="120" w:line="200" w:lineRule="exact"/>
        <w:jc w:val="both"/>
        <w:rPr>
          <w:sz w:val="18"/>
          <w:szCs w:val="16"/>
        </w:rPr>
      </w:pPr>
      <w:r w:rsidRPr="00F51DDA">
        <w:rPr>
          <w:sz w:val="18"/>
          <w:szCs w:val="16"/>
        </w:rPr>
        <w:t>Cats O.</w:t>
      </w:r>
      <w:r w:rsidRPr="001413F4">
        <w:rPr>
          <w:sz w:val="18"/>
          <w:szCs w:val="16"/>
        </w:rPr>
        <w:t>,</w:t>
      </w:r>
      <w:r w:rsidRPr="00F51DDA">
        <w:rPr>
          <w:sz w:val="18"/>
          <w:szCs w:val="16"/>
        </w:rPr>
        <w:t xml:space="preserve"> Hartl M.</w:t>
      </w:r>
      <w:r w:rsidRPr="001413F4">
        <w:rPr>
          <w:sz w:val="18"/>
          <w:szCs w:val="16"/>
        </w:rPr>
        <w:t>, 2016</w:t>
      </w:r>
      <w:r w:rsidRPr="00F51DDA">
        <w:rPr>
          <w:sz w:val="18"/>
          <w:szCs w:val="16"/>
        </w:rPr>
        <w:t>. Modelling public transport on-board congestion: Comparing schedule-based and agent-based assignment approaches and their implications. Journal of Advanced Transportation, 50 (6), 1209-1224.</w:t>
      </w:r>
    </w:p>
    <w:p w14:paraId="0EFB7CD3" w14:textId="77777777" w:rsidR="00116C1B" w:rsidRPr="001413F4" w:rsidRDefault="00116C1B" w:rsidP="00585031">
      <w:pPr>
        <w:spacing w:after="120" w:line="200" w:lineRule="exact"/>
        <w:jc w:val="both"/>
        <w:rPr>
          <w:sz w:val="18"/>
          <w:szCs w:val="16"/>
        </w:rPr>
      </w:pPr>
      <w:r w:rsidRPr="001413F4">
        <w:rPr>
          <w:sz w:val="18"/>
          <w:szCs w:val="16"/>
        </w:rPr>
        <w:t>Cats, O., Jenelius, E., 2015. Planning for the unexpected: the value of reserve capacity for public transport network robustness. Transportation Research Part A: Policy and Practice 81, 47-61.</w:t>
      </w:r>
    </w:p>
    <w:p w14:paraId="60F05882" w14:textId="77777777" w:rsidR="00116C1B" w:rsidRDefault="00116C1B" w:rsidP="00585031">
      <w:pPr>
        <w:spacing w:after="120" w:line="200" w:lineRule="exact"/>
        <w:jc w:val="both"/>
        <w:rPr>
          <w:sz w:val="18"/>
          <w:szCs w:val="16"/>
        </w:rPr>
      </w:pPr>
      <w:r w:rsidRPr="001413F4">
        <w:rPr>
          <w:sz w:val="18"/>
          <w:szCs w:val="16"/>
        </w:rPr>
        <w:t>Cats, O., Jenelius, E., 2014. Dynamic vulnerability analysis of public transport networks: mitigation effects of real-time information. Networks and Spatial Economics 14 (3-4), 435-463.</w:t>
      </w:r>
    </w:p>
    <w:p w14:paraId="7F80535B" w14:textId="77777777" w:rsidR="00905007" w:rsidRPr="00905007" w:rsidRDefault="00691833" w:rsidP="00905007">
      <w:pPr>
        <w:pStyle w:val="Heading1"/>
        <w:rPr>
          <w:rFonts w:eastAsiaTheme="minorEastAsia"/>
          <w:b w:val="0"/>
          <w:bCs w:val="0"/>
          <w:iCs/>
          <w:kern w:val="0"/>
          <w:sz w:val="18"/>
          <w:szCs w:val="16"/>
          <w:lang w:val="en-GB" w:eastAsia="en-US" w:bidi="ar-SA"/>
        </w:rPr>
      </w:pPr>
      <w:r w:rsidRPr="00905007">
        <w:rPr>
          <w:rFonts w:eastAsiaTheme="minorEastAsia"/>
          <w:b w:val="0"/>
          <w:bCs w:val="0"/>
          <w:iCs/>
          <w:kern w:val="0"/>
          <w:sz w:val="18"/>
          <w:szCs w:val="16"/>
          <w:lang w:val="en-GB" w:eastAsia="en-US" w:bidi="ar-SA"/>
        </w:rPr>
        <w:t xml:space="preserve">Cats, O., Jenelius, E., 2016. </w:t>
      </w:r>
      <w:r w:rsidR="00905007" w:rsidRPr="00905007">
        <w:rPr>
          <w:rFonts w:eastAsiaTheme="minorEastAsia"/>
          <w:b w:val="0"/>
          <w:bCs w:val="0"/>
          <w:iCs/>
          <w:kern w:val="0"/>
          <w:sz w:val="18"/>
          <w:szCs w:val="16"/>
          <w:lang w:val="en-GB" w:eastAsia="en-US" w:bidi="ar-SA"/>
        </w:rPr>
        <w:t>Beyond a complete failure: the impact of partial capacity degradation on public transport network vulnerability</w:t>
      </w:r>
      <w:r w:rsidR="00905007">
        <w:rPr>
          <w:rFonts w:eastAsiaTheme="minorEastAsia"/>
          <w:b w:val="0"/>
          <w:bCs w:val="0"/>
          <w:iCs/>
          <w:kern w:val="0"/>
          <w:sz w:val="18"/>
          <w:szCs w:val="16"/>
          <w:lang w:val="en-GB" w:eastAsia="en-US" w:bidi="ar-SA"/>
        </w:rPr>
        <w:t xml:space="preserve">. Tranportmetrica B: Transport Dynamics. </w:t>
      </w:r>
      <w:hyperlink r:id="rId18" w:history="1">
        <w:r w:rsidR="00905007" w:rsidRPr="00905007">
          <w:rPr>
            <w:rFonts w:eastAsiaTheme="minorEastAsia"/>
            <w:b w:val="0"/>
            <w:bCs w:val="0"/>
            <w:iCs/>
            <w:kern w:val="0"/>
            <w:sz w:val="18"/>
            <w:szCs w:val="16"/>
            <w:lang w:val="en-GB" w:eastAsia="en-US" w:bidi="ar-SA"/>
          </w:rPr>
          <w:t>doi.org/10.1080/21680566.2016.1267596</w:t>
        </w:r>
      </w:hyperlink>
      <w:r w:rsidR="00905007">
        <w:rPr>
          <w:rFonts w:eastAsiaTheme="minorEastAsia"/>
          <w:b w:val="0"/>
          <w:bCs w:val="0"/>
          <w:iCs/>
          <w:kern w:val="0"/>
          <w:sz w:val="18"/>
          <w:szCs w:val="16"/>
          <w:lang w:val="en-GB" w:eastAsia="en-US" w:bidi="ar-SA"/>
        </w:rPr>
        <w:t>.</w:t>
      </w:r>
    </w:p>
    <w:p w14:paraId="790ACBFB" w14:textId="77777777" w:rsidR="00116C1B" w:rsidRPr="001413F4" w:rsidRDefault="00116C1B" w:rsidP="00905007">
      <w:pPr>
        <w:widowControl/>
        <w:autoSpaceDE w:val="0"/>
        <w:autoSpaceDN w:val="0"/>
        <w:adjustRightInd w:val="0"/>
        <w:spacing w:after="120" w:line="200" w:lineRule="exact"/>
        <w:jc w:val="both"/>
        <w:rPr>
          <w:rFonts w:eastAsiaTheme="minorEastAsia"/>
          <w:sz w:val="18"/>
          <w:szCs w:val="16"/>
        </w:rPr>
      </w:pPr>
      <w:r w:rsidRPr="001413F4">
        <w:rPr>
          <w:rFonts w:eastAsiaTheme="minorEastAsia"/>
          <w:sz w:val="18"/>
          <w:szCs w:val="16"/>
        </w:rPr>
        <w:t xml:space="preserve">Cats, O., Koutsopoulos, H.N., Burghout, W., Toledo, T., 2011. Effect of real-time transit information on dynamic passenger path choice. </w:t>
      </w:r>
      <w:r w:rsidRPr="001413F4">
        <w:rPr>
          <w:rFonts w:eastAsiaTheme="minorEastAsia"/>
          <w:iCs/>
          <w:sz w:val="18"/>
          <w:szCs w:val="16"/>
        </w:rPr>
        <w:t xml:space="preserve">Transportation Research Record </w:t>
      </w:r>
      <w:r w:rsidRPr="001413F4">
        <w:rPr>
          <w:rFonts w:eastAsiaTheme="minorEastAsia"/>
          <w:sz w:val="18"/>
          <w:szCs w:val="16"/>
        </w:rPr>
        <w:t>2217, 46-54.</w:t>
      </w:r>
    </w:p>
    <w:p w14:paraId="2E405B30" w14:textId="77777777" w:rsidR="00116C1B" w:rsidRPr="001413F4" w:rsidRDefault="00116C1B" w:rsidP="00585031">
      <w:pPr>
        <w:widowControl/>
        <w:autoSpaceDE w:val="0"/>
        <w:autoSpaceDN w:val="0"/>
        <w:adjustRightInd w:val="0"/>
        <w:spacing w:after="120" w:line="200" w:lineRule="exact"/>
        <w:jc w:val="both"/>
        <w:rPr>
          <w:rFonts w:eastAsiaTheme="minorEastAsia"/>
          <w:sz w:val="18"/>
          <w:szCs w:val="16"/>
        </w:rPr>
      </w:pPr>
      <w:r w:rsidRPr="001413F4">
        <w:rPr>
          <w:rFonts w:eastAsiaTheme="minorEastAsia"/>
          <w:sz w:val="18"/>
          <w:szCs w:val="16"/>
        </w:rPr>
        <w:t xml:space="preserve">Cats O., West J., Eliasson J., 2016. </w:t>
      </w:r>
      <w:r w:rsidRPr="001413F4">
        <w:rPr>
          <w:rFonts w:eastAsiaTheme="minorEastAsia"/>
          <w:iCs/>
          <w:sz w:val="18"/>
          <w:szCs w:val="16"/>
        </w:rPr>
        <w:t>A dynamic stochastic model for evaluating congestion and crowding effects in transit systems</w:t>
      </w:r>
      <w:r w:rsidRPr="001413F4">
        <w:rPr>
          <w:rFonts w:eastAsiaTheme="minorEastAsia"/>
          <w:sz w:val="18"/>
          <w:szCs w:val="16"/>
        </w:rPr>
        <w:t>. Transportation Research Part B: Methodology 89, 43-57.</w:t>
      </w:r>
    </w:p>
    <w:p w14:paraId="75F715C7" w14:textId="77777777" w:rsidR="00F81DC9" w:rsidRPr="001413F4" w:rsidRDefault="00116C1B" w:rsidP="00585031">
      <w:pPr>
        <w:spacing w:after="120"/>
        <w:jc w:val="both"/>
        <w:rPr>
          <w:sz w:val="18"/>
          <w:szCs w:val="16"/>
        </w:rPr>
      </w:pPr>
      <w:r w:rsidRPr="001413F4">
        <w:rPr>
          <w:sz w:val="18"/>
          <w:szCs w:val="16"/>
        </w:rPr>
        <w:t>De-Los-Santos, A., Laporte, G., Mesa, J. A., Perea, F., 2012. Evaluating passenger robustness in a rail transit network. Transportation Research Part C: Emerging Technologies, 20 (1), 34-46.</w:t>
      </w:r>
    </w:p>
    <w:p w14:paraId="230B6F3A" w14:textId="77777777" w:rsidR="00116C1B" w:rsidRPr="001413F4" w:rsidRDefault="00116C1B" w:rsidP="00585031">
      <w:pPr>
        <w:spacing w:after="120"/>
        <w:jc w:val="both"/>
        <w:rPr>
          <w:sz w:val="18"/>
          <w:szCs w:val="16"/>
        </w:rPr>
      </w:pPr>
      <w:r w:rsidRPr="001413F4">
        <w:rPr>
          <w:sz w:val="18"/>
          <w:szCs w:val="16"/>
        </w:rPr>
        <w:t>Derrible, K., Kennedy C., 2010. The complexity and robustness of metro networks. Physica A 389 (17), 3678-3691.</w:t>
      </w:r>
    </w:p>
    <w:p w14:paraId="08B6C855" w14:textId="77777777" w:rsidR="00D63301" w:rsidRPr="001413F4" w:rsidRDefault="00116C1B" w:rsidP="00D63301">
      <w:pPr>
        <w:spacing w:after="120"/>
        <w:jc w:val="both"/>
        <w:rPr>
          <w:sz w:val="18"/>
          <w:szCs w:val="16"/>
        </w:rPr>
      </w:pPr>
      <w:r w:rsidRPr="001413F4">
        <w:rPr>
          <w:sz w:val="18"/>
          <w:szCs w:val="16"/>
        </w:rPr>
        <w:lastRenderedPageBreak/>
        <w:t>Han, C., Liu, L., 2009. Topological vulnerability of subway networks in China. International Conference on Management Service Science in Wuhan 20-22 Sept. 2009, IEEE.</w:t>
      </w:r>
    </w:p>
    <w:p w14:paraId="67302A8F" w14:textId="77777777" w:rsidR="006B4426" w:rsidRPr="001413F4" w:rsidRDefault="006B4426" w:rsidP="00D63301">
      <w:pPr>
        <w:spacing w:after="120"/>
        <w:jc w:val="both"/>
        <w:rPr>
          <w:sz w:val="18"/>
          <w:szCs w:val="16"/>
        </w:rPr>
      </w:pPr>
      <w:r w:rsidRPr="001413F4">
        <w:rPr>
          <w:sz w:val="18"/>
          <w:szCs w:val="16"/>
        </w:rPr>
        <w:t>Hollnagel, E., 2011. Prologue: the scope of resilience engineering. In: Hollnagel, E., Dédale, J.P., Woods, D., Wreathall, J. (Eds.), Resilience Engineering in Practice: A Guidebook. Ashgate, pp.  xix–xxxix.</w:t>
      </w:r>
    </w:p>
    <w:p w14:paraId="3DDDAD4E" w14:textId="77777777" w:rsidR="00116C1B" w:rsidRPr="001413F4" w:rsidRDefault="00116C1B" w:rsidP="00585031">
      <w:pPr>
        <w:spacing w:after="120"/>
        <w:jc w:val="both"/>
        <w:rPr>
          <w:sz w:val="18"/>
          <w:szCs w:val="16"/>
        </w:rPr>
      </w:pPr>
      <w:r w:rsidRPr="001413F4">
        <w:rPr>
          <w:sz w:val="18"/>
          <w:szCs w:val="16"/>
        </w:rPr>
        <w:t>Holme, P., Kim, B. J., Yoon, C. N., Han, S. K., 2002. Attack vulnerability of complex networks. Physical review E, 65 (5), art. no. 056109.</w:t>
      </w:r>
    </w:p>
    <w:p w14:paraId="7C4E5EC0" w14:textId="77777777" w:rsidR="00116C1B" w:rsidRPr="001413F4" w:rsidRDefault="00116C1B" w:rsidP="00585031">
      <w:pPr>
        <w:spacing w:after="120"/>
        <w:jc w:val="both"/>
        <w:rPr>
          <w:sz w:val="18"/>
          <w:szCs w:val="16"/>
        </w:rPr>
      </w:pPr>
      <w:r w:rsidRPr="001413F4">
        <w:rPr>
          <w:sz w:val="18"/>
          <w:szCs w:val="16"/>
        </w:rPr>
        <w:t>Latora, V., Marchiori, M., 2005. Vulnerability and protection of infrastructure networks. Physical Review E, 71 (1), art. no. 015103.</w:t>
      </w:r>
    </w:p>
    <w:p w14:paraId="6595EEA6" w14:textId="77777777" w:rsidR="00116C1B" w:rsidRDefault="00116C1B" w:rsidP="00585031">
      <w:pPr>
        <w:spacing w:after="120"/>
        <w:jc w:val="both"/>
        <w:rPr>
          <w:sz w:val="18"/>
          <w:szCs w:val="16"/>
        </w:rPr>
      </w:pPr>
      <w:r w:rsidRPr="001413F4">
        <w:rPr>
          <w:sz w:val="18"/>
          <w:szCs w:val="16"/>
        </w:rPr>
        <w:t>Rodríguez-Núñez, E., García-Palomares, J. C., 2014. Measuring the vulnerability of public transport networks. Journal of transport geography, 35, 50-63.</w:t>
      </w:r>
    </w:p>
    <w:p w14:paraId="43F13CBB" w14:textId="77777777" w:rsidR="00EE636E" w:rsidRPr="006726BE" w:rsidRDefault="00EE636E" w:rsidP="006726BE">
      <w:pPr>
        <w:spacing w:after="120"/>
        <w:jc w:val="both"/>
        <w:rPr>
          <w:sz w:val="18"/>
          <w:szCs w:val="16"/>
        </w:rPr>
      </w:pPr>
      <w:r w:rsidRPr="00F51DDA">
        <w:rPr>
          <w:sz w:val="18"/>
          <w:szCs w:val="16"/>
        </w:rPr>
        <w:t>Shelat</w:t>
      </w:r>
      <w:r>
        <w:rPr>
          <w:sz w:val="18"/>
          <w:szCs w:val="16"/>
        </w:rPr>
        <w:t>,</w:t>
      </w:r>
      <w:r w:rsidRPr="00F51DDA">
        <w:rPr>
          <w:sz w:val="18"/>
          <w:szCs w:val="16"/>
        </w:rPr>
        <w:t xml:space="preserve"> S.</w:t>
      </w:r>
      <w:r>
        <w:rPr>
          <w:sz w:val="18"/>
          <w:szCs w:val="16"/>
        </w:rPr>
        <w:t>,</w:t>
      </w:r>
      <w:r w:rsidRPr="00F51DDA">
        <w:rPr>
          <w:sz w:val="18"/>
          <w:szCs w:val="16"/>
        </w:rPr>
        <w:t xml:space="preserve"> Cats</w:t>
      </w:r>
      <w:r>
        <w:rPr>
          <w:sz w:val="18"/>
          <w:szCs w:val="16"/>
        </w:rPr>
        <w:t>,</w:t>
      </w:r>
      <w:r w:rsidRPr="00F51DDA">
        <w:rPr>
          <w:sz w:val="18"/>
          <w:szCs w:val="16"/>
        </w:rPr>
        <w:t xml:space="preserve"> O.</w:t>
      </w:r>
      <w:r>
        <w:rPr>
          <w:sz w:val="18"/>
          <w:szCs w:val="16"/>
        </w:rPr>
        <w:t>,</w:t>
      </w:r>
      <w:r w:rsidRPr="006726BE">
        <w:rPr>
          <w:sz w:val="18"/>
          <w:szCs w:val="16"/>
        </w:rPr>
        <w:t xml:space="preserve"> 2017. Measuring </w:t>
      </w:r>
      <w:r>
        <w:rPr>
          <w:sz w:val="18"/>
          <w:szCs w:val="16"/>
        </w:rPr>
        <w:t>s</w:t>
      </w:r>
      <w:r w:rsidRPr="006726BE">
        <w:rPr>
          <w:sz w:val="18"/>
          <w:szCs w:val="16"/>
        </w:rPr>
        <w:t xml:space="preserve">pill-over </w:t>
      </w:r>
      <w:r>
        <w:rPr>
          <w:sz w:val="18"/>
          <w:szCs w:val="16"/>
        </w:rPr>
        <w:t>e</w:t>
      </w:r>
      <w:r w:rsidRPr="006726BE">
        <w:rPr>
          <w:sz w:val="18"/>
          <w:szCs w:val="16"/>
        </w:rPr>
        <w:t xml:space="preserve">ffects of </w:t>
      </w:r>
      <w:r>
        <w:rPr>
          <w:sz w:val="18"/>
          <w:szCs w:val="16"/>
        </w:rPr>
        <w:t>d</w:t>
      </w:r>
      <w:r w:rsidRPr="006726BE">
        <w:rPr>
          <w:sz w:val="18"/>
          <w:szCs w:val="16"/>
        </w:rPr>
        <w:t xml:space="preserve">isruptions in </w:t>
      </w:r>
      <w:r>
        <w:rPr>
          <w:sz w:val="18"/>
          <w:szCs w:val="16"/>
        </w:rPr>
        <w:t>p</w:t>
      </w:r>
      <w:r w:rsidRPr="006726BE">
        <w:rPr>
          <w:sz w:val="18"/>
          <w:szCs w:val="16"/>
        </w:rPr>
        <w:t xml:space="preserve">ublic </w:t>
      </w:r>
      <w:r>
        <w:rPr>
          <w:sz w:val="18"/>
          <w:szCs w:val="16"/>
        </w:rPr>
        <w:t>t</w:t>
      </w:r>
      <w:r w:rsidRPr="006726BE">
        <w:rPr>
          <w:sz w:val="18"/>
          <w:szCs w:val="16"/>
        </w:rPr>
        <w:t xml:space="preserve">ransport </w:t>
      </w:r>
      <w:r>
        <w:rPr>
          <w:sz w:val="18"/>
          <w:szCs w:val="16"/>
        </w:rPr>
        <w:t>n</w:t>
      </w:r>
      <w:r w:rsidRPr="00F51DDA">
        <w:rPr>
          <w:sz w:val="18"/>
          <w:szCs w:val="16"/>
        </w:rPr>
        <w:t>etworks. The 5th IEEE International Conference on Models and Technologies for Intelligent Transportatio</w:t>
      </w:r>
      <w:r w:rsidRPr="006726BE">
        <w:rPr>
          <w:sz w:val="18"/>
          <w:szCs w:val="16"/>
        </w:rPr>
        <w:t>n Systems (MT-ITS2017), Naples</w:t>
      </w:r>
      <w:r w:rsidRPr="00F51DDA">
        <w:rPr>
          <w:sz w:val="18"/>
          <w:szCs w:val="16"/>
        </w:rPr>
        <w:t>, 756-761.</w:t>
      </w:r>
    </w:p>
    <w:p w14:paraId="18B3B764" w14:textId="77777777" w:rsidR="00AB3430" w:rsidRDefault="00AB3430" w:rsidP="00AB3430">
      <w:pPr>
        <w:ind w:left="567" w:hanging="567"/>
        <w:jc w:val="both"/>
        <w:rPr>
          <w:sz w:val="18"/>
          <w:szCs w:val="16"/>
        </w:rPr>
      </w:pPr>
      <w:r w:rsidRPr="00AB3430">
        <w:rPr>
          <w:sz w:val="18"/>
          <w:szCs w:val="16"/>
        </w:rPr>
        <w:t>Taleb</w:t>
      </w:r>
      <w:r>
        <w:rPr>
          <w:sz w:val="18"/>
          <w:szCs w:val="16"/>
        </w:rPr>
        <w:t>,</w:t>
      </w:r>
      <w:r w:rsidRPr="00AB3430">
        <w:rPr>
          <w:sz w:val="18"/>
          <w:szCs w:val="16"/>
        </w:rPr>
        <w:t xml:space="preserve"> N.N.</w:t>
      </w:r>
      <w:r>
        <w:rPr>
          <w:sz w:val="18"/>
          <w:szCs w:val="16"/>
        </w:rPr>
        <w:t>, 2014</w:t>
      </w:r>
      <w:r w:rsidRPr="00AB3430">
        <w:rPr>
          <w:sz w:val="18"/>
          <w:szCs w:val="16"/>
        </w:rPr>
        <w:t>. Antifragile: Things That Gain From Disorder. Random House, New York.</w:t>
      </w:r>
    </w:p>
    <w:p w14:paraId="418F288E" w14:textId="77777777" w:rsidR="00AB3430" w:rsidRDefault="00AB3430" w:rsidP="00AB3430">
      <w:pPr>
        <w:ind w:left="567" w:hanging="567"/>
        <w:jc w:val="both"/>
        <w:rPr>
          <w:sz w:val="18"/>
          <w:szCs w:val="16"/>
        </w:rPr>
      </w:pPr>
    </w:p>
    <w:p w14:paraId="2C13B664" w14:textId="77777777" w:rsidR="00116C1B" w:rsidRPr="001413F4" w:rsidRDefault="00116C1B" w:rsidP="00585031">
      <w:pPr>
        <w:spacing w:after="120" w:line="200" w:lineRule="exact"/>
        <w:jc w:val="both"/>
        <w:rPr>
          <w:sz w:val="18"/>
          <w:szCs w:val="16"/>
        </w:rPr>
      </w:pPr>
      <w:r w:rsidRPr="001413F4">
        <w:rPr>
          <w:sz w:val="18"/>
          <w:szCs w:val="16"/>
        </w:rPr>
        <w:t>Toledo, T., Cats, O., Burghout, W., Koutsopoulos, H.N., 2010. Mesoscopic simulation for transit operations. Transportation Research Part C: Emerging Technologies 18 (6), 896-908.</w:t>
      </w:r>
    </w:p>
    <w:p w14:paraId="0B48D5E6" w14:textId="77777777" w:rsidR="00116C1B" w:rsidRPr="001413F4" w:rsidRDefault="00116C1B" w:rsidP="00585031">
      <w:pPr>
        <w:spacing w:after="120"/>
        <w:jc w:val="both"/>
        <w:rPr>
          <w:sz w:val="18"/>
          <w:szCs w:val="16"/>
        </w:rPr>
      </w:pPr>
      <w:r w:rsidRPr="001413F4">
        <w:rPr>
          <w:sz w:val="18"/>
          <w:szCs w:val="16"/>
        </w:rPr>
        <w:t>Von Ferber, C., Berche, B., Holovatch, T., Holovatch, Y., 2012. A tale of two cities. Journal of Transportation Security, 5 (3), 199-216.</w:t>
      </w:r>
    </w:p>
    <w:p w14:paraId="04429B8B" w14:textId="77777777" w:rsidR="00116C1B" w:rsidRPr="001413F4" w:rsidRDefault="00116C1B" w:rsidP="00585031">
      <w:pPr>
        <w:spacing w:after="120"/>
        <w:jc w:val="both"/>
        <w:rPr>
          <w:sz w:val="18"/>
          <w:szCs w:val="16"/>
        </w:rPr>
      </w:pPr>
      <w:r w:rsidRPr="001413F4">
        <w:rPr>
          <w:sz w:val="18"/>
          <w:szCs w:val="16"/>
        </w:rPr>
        <w:t>Von Ferber, C., Holovatch, T., Holovatch, Y., Palchykov, V., 2009. Public transport networks: empirical analysis and modeling. The European Physical Journal B-Condensed Matter and Complex Systems, 68 (2), 261-275.</w:t>
      </w:r>
    </w:p>
    <w:p w14:paraId="0A55E5D0" w14:textId="77777777" w:rsidR="0094417A" w:rsidRPr="001413F4" w:rsidRDefault="00116C1B" w:rsidP="00F81DC9">
      <w:pPr>
        <w:spacing w:after="120" w:line="200" w:lineRule="exact"/>
        <w:jc w:val="both"/>
        <w:rPr>
          <w:sz w:val="18"/>
          <w:szCs w:val="16"/>
        </w:rPr>
      </w:pPr>
      <w:r w:rsidRPr="00AB3430">
        <w:rPr>
          <w:sz w:val="18"/>
          <w:szCs w:val="16"/>
          <w:lang w:val="nl-NL"/>
        </w:rPr>
        <w:t xml:space="preserve">Zhang, J., Xu, X., Hong, L., Wang, S., Fei, Q., 2011. </w:t>
      </w:r>
      <w:r w:rsidRPr="00AB3430">
        <w:rPr>
          <w:sz w:val="18"/>
          <w:szCs w:val="16"/>
        </w:rPr>
        <w:t xml:space="preserve">Networked analysis of the Shanghai subway network, in China. </w:t>
      </w:r>
      <w:r w:rsidRPr="001413F4">
        <w:rPr>
          <w:sz w:val="18"/>
          <w:szCs w:val="16"/>
        </w:rPr>
        <w:t>Physica A 390, 4562-4570.</w:t>
      </w:r>
    </w:p>
    <w:sectPr w:rsidR="0094417A" w:rsidRPr="001413F4" w:rsidSect="00A364B0">
      <w:footerReference w:type="first" r:id="rId19"/>
      <w:pgSz w:w="11906" w:h="16838"/>
      <w:pgMar w:top="1417" w:right="1134"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FB46D" w14:textId="77777777" w:rsidR="009F113E" w:rsidRDefault="009F113E" w:rsidP="0082086B">
      <w:r>
        <w:separator/>
      </w:r>
    </w:p>
  </w:endnote>
  <w:endnote w:type="continuationSeparator" w:id="0">
    <w:p w14:paraId="3B2BCD84" w14:textId="77777777" w:rsidR="009F113E" w:rsidRDefault="009F113E" w:rsidP="00820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4308"/>
      <w:docPartObj>
        <w:docPartGallery w:val="Page Numbers (Bottom of Page)"/>
        <w:docPartUnique/>
      </w:docPartObj>
    </w:sdtPr>
    <w:sdtEndPr/>
    <w:sdtContent>
      <w:p w14:paraId="30E74F9E" w14:textId="76157620" w:rsidR="00164C4D" w:rsidRDefault="00164C4D">
        <w:pPr>
          <w:pStyle w:val="Footer"/>
          <w:jc w:val="center"/>
        </w:pPr>
        <w:r>
          <w:fldChar w:fldCharType="begin"/>
        </w:r>
        <w:r>
          <w:instrText xml:space="preserve"> PAGE   \* MERGEFORMAT </w:instrText>
        </w:r>
        <w:r>
          <w:fldChar w:fldCharType="separate"/>
        </w:r>
        <w:r w:rsidR="006417CA">
          <w:rPr>
            <w:noProof/>
          </w:rPr>
          <w:t>12</w:t>
        </w:r>
        <w:r>
          <w:rPr>
            <w:noProof/>
          </w:rPr>
          <w:fldChar w:fldCharType="end"/>
        </w:r>
      </w:p>
    </w:sdtContent>
  </w:sdt>
  <w:p w14:paraId="34E626C2" w14:textId="77777777" w:rsidR="00164C4D" w:rsidRPr="00A364B0" w:rsidRDefault="00164C4D">
    <w:pPr>
      <w:pStyle w:val="Footer"/>
      <w:rPr>
        <w:lang w:val="it-I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4301"/>
      <w:docPartObj>
        <w:docPartGallery w:val="Page Numbers (Bottom of Page)"/>
        <w:docPartUnique/>
      </w:docPartObj>
    </w:sdtPr>
    <w:sdtEndPr/>
    <w:sdtContent>
      <w:p w14:paraId="7C96C431" w14:textId="77777777" w:rsidR="00164C4D" w:rsidRDefault="006417CA">
        <w:pPr>
          <w:pStyle w:val="Footer"/>
          <w:jc w:val="center"/>
        </w:pPr>
      </w:p>
    </w:sdtContent>
  </w:sdt>
  <w:p w14:paraId="3EF19226" w14:textId="77777777" w:rsidR="00164C4D" w:rsidRDefault="00164C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4302"/>
      <w:docPartObj>
        <w:docPartGallery w:val="Page Numbers (Bottom of Page)"/>
        <w:docPartUnique/>
      </w:docPartObj>
    </w:sdtPr>
    <w:sdtEndPr/>
    <w:sdtContent>
      <w:p w14:paraId="62280190" w14:textId="77777777" w:rsidR="00164C4D" w:rsidRDefault="00164C4D">
        <w:pPr>
          <w:pStyle w:val="Footer"/>
          <w:jc w:val="center"/>
        </w:pPr>
        <w:r>
          <w:t>1</w:t>
        </w:r>
      </w:p>
    </w:sdtContent>
  </w:sdt>
  <w:p w14:paraId="33D0DA23" w14:textId="77777777" w:rsidR="00164C4D" w:rsidRDefault="00164C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A6988" w14:textId="77777777" w:rsidR="009F113E" w:rsidRDefault="009F113E" w:rsidP="0082086B">
      <w:r>
        <w:separator/>
      </w:r>
    </w:p>
  </w:footnote>
  <w:footnote w:type="continuationSeparator" w:id="0">
    <w:p w14:paraId="2EC662D2" w14:textId="77777777" w:rsidR="009F113E" w:rsidRDefault="009F113E" w:rsidP="008208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BC791B"/>
    <w:multiLevelType w:val="hybridMultilevel"/>
    <w:tmpl w:val="0A1C35A0"/>
    <w:lvl w:ilvl="0" w:tplc="F0FED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5E148E"/>
    <w:multiLevelType w:val="multilevel"/>
    <w:tmpl w:val="8A06A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3" w15:restartNumberingAfterBreak="0">
    <w:nsid w:val="6EB26AA7"/>
    <w:multiLevelType w:val="hybridMultilevel"/>
    <w:tmpl w:val="92BCBBAC"/>
    <w:lvl w:ilvl="0" w:tplc="041D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2A5D4A"/>
    <w:multiLevelType w:val="hybridMultilevel"/>
    <w:tmpl w:val="4C3C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17A"/>
    <w:rsid w:val="000002AE"/>
    <w:rsid w:val="00004F29"/>
    <w:rsid w:val="00007020"/>
    <w:rsid w:val="000078DF"/>
    <w:rsid w:val="00007AD8"/>
    <w:rsid w:val="00010F0D"/>
    <w:rsid w:val="00011DBA"/>
    <w:rsid w:val="00012471"/>
    <w:rsid w:val="000138B5"/>
    <w:rsid w:val="00021184"/>
    <w:rsid w:val="00022F4D"/>
    <w:rsid w:val="00023DEA"/>
    <w:rsid w:val="0002511F"/>
    <w:rsid w:val="0002512E"/>
    <w:rsid w:val="00025D79"/>
    <w:rsid w:val="00027E63"/>
    <w:rsid w:val="000308CD"/>
    <w:rsid w:val="00031AA4"/>
    <w:rsid w:val="0003227F"/>
    <w:rsid w:val="00036694"/>
    <w:rsid w:val="00040469"/>
    <w:rsid w:val="00042F1F"/>
    <w:rsid w:val="00044877"/>
    <w:rsid w:val="000519CB"/>
    <w:rsid w:val="0005451F"/>
    <w:rsid w:val="00057645"/>
    <w:rsid w:val="00060CAF"/>
    <w:rsid w:val="00063112"/>
    <w:rsid w:val="0006775D"/>
    <w:rsid w:val="00070E16"/>
    <w:rsid w:val="00071E71"/>
    <w:rsid w:val="000721D8"/>
    <w:rsid w:val="000746FC"/>
    <w:rsid w:val="00075882"/>
    <w:rsid w:val="0007606C"/>
    <w:rsid w:val="000762D3"/>
    <w:rsid w:val="00076940"/>
    <w:rsid w:val="00076BAF"/>
    <w:rsid w:val="0007713A"/>
    <w:rsid w:val="00080873"/>
    <w:rsid w:val="0008159E"/>
    <w:rsid w:val="00081E2A"/>
    <w:rsid w:val="00082A8A"/>
    <w:rsid w:val="0008495F"/>
    <w:rsid w:val="000853BE"/>
    <w:rsid w:val="000859BE"/>
    <w:rsid w:val="000870D0"/>
    <w:rsid w:val="000911E7"/>
    <w:rsid w:val="00092527"/>
    <w:rsid w:val="00095083"/>
    <w:rsid w:val="00096759"/>
    <w:rsid w:val="000A005C"/>
    <w:rsid w:val="000A39F0"/>
    <w:rsid w:val="000A3BC7"/>
    <w:rsid w:val="000A4ADA"/>
    <w:rsid w:val="000A5025"/>
    <w:rsid w:val="000A775C"/>
    <w:rsid w:val="000B0CD1"/>
    <w:rsid w:val="000B220C"/>
    <w:rsid w:val="000B23B7"/>
    <w:rsid w:val="000C46AA"/>
    <w:rsid w:val="000C6EB6"/>
    <w:rsid w:val="000C7823"/>
    <w:rsid w:val="000D32DC"/>
    <w:rsid w:val="000D4641"/>
    <w:rsid w:val="000D46FF"/>
    <w:rsid w:val="000E06C6"/>
    <w:rsid w:val="000E1AF6"/>
    <w:rsid w:val="000E2326"/>
    <w:rsid w:val="000E3D29"/>
    <w:rsid w:val="000E3F11"/>
    <w:rsid w:val="000E65BF"/>
    <w:rsid w:val="000E7146"/>
    <w:rsid w:val="000E786F"/>
    <w:rsid w:val="000F1D28"/>
    <w:rsid w:val="000F633B"/>
    <w:rsid w:val="000F6C29"/>
    <w:rsid w:val="000F6C61"/>
    <w:rsid w:val="000F6E89"/>
    <w:rsid w:val="0010145A"/>
    <w:rsid w:val="00101713"/>
    <w:rsid w:val="00103CA8"/>
    <w:rsid w:val="00104DA1"/>
    <w:rsid w:val="00105AD4"/>
    <w:rsid w:val="00106480"/>
    <w:rsid w:val="00107BE5"/>
    <w:rsid w:val="00110AA4"/>
    <w:rsid w:val="00110AB9"/>
    <w:rsid w:val="001114FF"/>
    <w:rsid w:val="00112996"/>
    <w:rsid w:val="00115A94"/>
    <w:rsid w:val="00116C1B"/>
    <w:rsid w:val="00117575"/>
    <w:rsid w:val="00121644"/>
    <w:rsid w:val="00122725"/>
    <w:rsid w:val="00122FD8"/>
    <w:rsid w:val="00124B18"/>
    <w:rsid w:val="00130A25"/>
    <w:rsid w:val="00131C6D"/>
    <w:rsid w:val="00132ED4"/>
    <w:rsid w:val="00132F05"/>
    <w:rsid w:val="001336AF"/>
    <w:rsid w:val="00135203"/>
    <w:rsid w:val="00135572"/>
    <w:rsid w:val="001401DE"/>
    <w:rsid w:val="001413F4"/>
    <w:rsid w:val="00141B75"/>
    <w:rsid w:val="0014254C"/>
    <w:rsid w:val="00143992"/>
    <w:rsid w:val="00143FBC"/>
    <w:rsid w:val="00144370"/>
    <w:rsid w:val="0014545D"/>
    <w:rsid w:val="00146C5B"/>
    <w:rsid w:val="001473B6"/>
    <w:rsid w:val="00150440"/>
    <w:rsid w:val="00150507"/>
    <w:rsid w:val="00150B85"/>
    <w:rsid w:val="00151E34"/>
    <w:rsid w:val="00152571"/>
    <w:rsid w:val="00153F19"/>
    <w:rsid w:val="001568DD"/>
    <w:rsid w:val="001570E9"/>
    <w:rsid w:val="001571EB"/>
    <w:rsid w:val="00157810"/>
    <w:rsid w:val="00161041"/>
    <w:rsid w:val="00164B27"/>
    <w:rsid w:val="00164C4D"/>
    <w:rsid w:val="001659FC"/>
    <w:rsid w:val="00166AA3"/>
    <w:rsid w:val="00166F42"/>
    <w:rsid w:val="0017056F"/>
    <w:rsid w:val="00170B1F"/>
    <w:rsid w:val="0017258E"/>
    <w:rsid w:val="00176F71"/>
    <w:rsid w:val="001773F7"/>
    <w:rsid w:val="00180313"/>
    <w:rsid w:val="001808EA"/>
    <w:rsid w:val="00180DA0"/>
    <w:rsid w:val="00184459"/>
    <w:rsid w:val="001921CF"/>
    <w:rsid w:val="001922BC"/>
    <w:rsid w:val="00192580"/>
    <w:rsid w:val="001976F8"/>
    <w:rsid w:val="001A100F"/>
    <w:rsid w:val="001A112C"/>
    <w:rsid w:val="001A4B36"/>
    <w:rsid w:val="001A4C2E"/>
    <w:rsid w:val="001A6593"/>
    <w:rsid w:val="001A7906"/>
    <w:rsid w:val="001B0BA3"/>
    <w:rsid w:val="001B2DCE"/>
    <w:rsid w:val="001B32FB"/>
    <w:rsid w:val="001B4A72"/>
    <w:rsid w:val="001B51CE"/>
    <w:rsid w:val="001C00DA"/>
    <w:rsid w:val="001C0E4A"/>
    <w:rsid w:val="001C0E4C"/>
    <w:rsid w:val="001C1132"/>
    <w:rsid w:val="001C1ED6"/>
    <w:rsid w:val="001C5DAD"/>
    <w:rsid w:val="001C68E7"/>
    <w:rsid w:val="001C7848"/>
    <w:rsid w:val="001D04B4"/>
    <w:rsid w:val="001D14F0"/>
    <w:rsid w:val="001D710F"/>
    <w:rsid w:val="001E1A67"/>
    <w:rsid w:val="001E2926"/>
    <w:rsid w:val="001E3785"/>
    <w:rsid w:val="001E4702"/>
    <w:rsid w:val="001E4D06"/>
    <w:rsid w:val="001E56AD"/>
    <w:rsid w:val="001E5A48"/>
    <w:rsid w:val="001E5BAF"/>
    <w:rsid w:val="001F0D53"/>
    <w:rsid w:val="001F2424"/>
    <w:rsid w:val="001F61D7"/>
    <w:rsid w:val="001F6989"/>
    <w:rsid w:val="001F7136"/>
    <w:rsid w:val="001F71B4"/>
    <w:rsid w:val="002019A6"/>
    <w:rsid w:val="00203443"/>
    <w:rsid w:val="002047CC"/>
    <w:rsid w:val="00204835"/>
    <w:rsid w:val="0020533C"/>
    <w:rsid w:val="0021230E"/>
    <w:rsid w:val="00214B98"/>
    <w:rsid w:val="00216A97"/>
    <w:rsid w:val="00220F0A"/>
    <w:rsid w:val="00221189"/>
    <w:rsid w:val="00221404"/>
    <w:rsid w:val="00221DF8"/>
    <w:rsid w:val="00223000"/>
    <w:rsid w:val="00230C0F"/>
    <w:rsid w:val="00233A5C"/>
    <w:rsid w:val="002350B8"/>
    <w:rsid w:val="00236191"/>
    <w:rsid w:val="00244F29"/>
    <w:rsid w:val="00246B95"/>
    <w:rsid w:val="00250CDE"/>
    <w:rsid w:val="00251476"/>
    <w:rsid w:val="002515F7"/>
    <w:rsid w:val="00251C2B"/>
    <w:rsid w:val="0025350F"/>
    <w:rsid w:val="00253B68"/>
    <w:rsid w:val="00254D14"/>
    <w:rsid w:val="00255817"/>
    <w:rsid w:val="00257944"/>
    <w:rsid w:val="00257B63"/>
    <w:rsid w:val="00257C53"/>
    <w:rsid w:val="002606B3"/>
    <w:rsid w:val="0026324C"/>
    <w:rsid w:val="00265110"/>
    <w:rsid w:val="002678A3"/>
    <w:rsid w:val="00267D27"/>
    <w:rsid w:val="00270054"/>
    <w:rsid w:val="002742BA"/>
    <w:rsid w:val="0027537D"/>
    <w:rsid w:val="00276206"/>
    <w:rsid w:val="00276B6B"/>
    <w:rsid w:val="0028206A"/>
    <w:rsid w:val="00282400"/>
    <w:rsid w:val="002842DF"/>
    <w:rsid w:val="002844AF"/>
    <w:rsid w:val="002856F0"/>
    <w:rsid w:val="002876BE"/>
    <w:rsid w:val="00287B18"/>
    <w:rsid w:val="00290FA4"/>
    <w:rsid w:val="002919F8"/>
    <w:rsid w:val="00291DAE"/>
    <w:rsid w:val="00294BB8"/>
    <w:rsid w:val="0029565F"/>
    <w:rsid w:val="002957C3"/>
    <w:rsid w:val="00296A40"/>
    <w:rsid w:val="002A354A"/>
    <w:rsid w:val="002A365E"/>
    <w:rsid w:val="002A4442"/>
    <w:rsid w:val="002A4629"/>
    <w:rsid w:val="002A507F"/>
    <w:rsid w:val="002A556F"/>
    <w:rsid w:val="002A5947"/>
    <w:rsid w:val="002A61D9"/>
    <w:rsid w:val="002A62CA"/>
    <w:rsid w:val="002A79FB"/>
    <w:rsid w:val="002B0819"/>
    <w:rsid w:val="002B309E"/>
    <w:rsid w:val="002B3E06"/>
    <w:rsid w:val="002B4997"/>
    <w:rsid w:val="002B5C08"/>
    <w:rsid w:val="002B6B9E"/>
    <w:rsid w:val="002C3D0D"/>
    <w:rsid w:val="002C3F47"/>
    <w:rsid w:val="002C46D5"/>
    <w:rsid w:val="002C4785"/>
    <w:rsid w:val="002D25E2"/>
    <w:rsid w:val="002D6390"/>
    <w:rsid w:val="002D66C1"/>
    <w:rsid w:val="002E1F8A"/>
    <w:rsid w:val="002E1FF8"/>
    <w:rsid w:val="002E43C4"/>
    <w:rsid w:val="002E60F2"/>
    <w:rsid w:val="002E6506"/>
    <w:rsid w:val="002E6D35"/>
    <w:rsid w:val="002E777D"/>
    <w:rsid w:val="002F0932"/>
    <w:rsid w:val="002F3796"/>
    <w:rsid w:val="002F3C4C"/>
    <w:rsid w:val="002F3C83"/>
    <w:rsid w:val="002F41C0"/>
    <w:rsid w:val="002F49BA"/>
    <w:rsid w:val="002F55F7"/>
    <w:rsid w:val="0030089C"/>
    <w:rsid w:val="00302FED"/>
    <w:rsid w:val="00304682"/>
    <w:rsid w:val="00305361"/>
    <w:rsid w:val="00310F3D"/>
    <w:rsid w:val="0031175F"/>
    <w:rsid w:val="00314947"/>
    <w:rsid w:val="003156E8"/>
    <w:rsid w:val="0031768E"/>
    <w:rsid w:val="00322D92"/>
    <w:rsid w:val="003255D7"/>
    <w:rsid w:val="0033318D"/>
    <w:rsid w:val="0033619A"/>
    <w:rsid w:val="00336325"/>
    <w:rsid w:val="003366BD"/>
    <w:rsid w:val="003449B8"/>
    <w:rsid w:val="00344E5D"/>
    <w:rsid w:val="00345F8C"/>
    <w:rsid w:val="00346B4C"/>
    <w:rsid w:val="00347FB0"/>
    <w:rsid w:val="0035007F"/>
    <w:rsid w:val="0035115F"/>
    <w:rsid w:val="00351F25"/>
    <w:rsid w:val="00352F0D"/>
    <w:rsid w:val="00356F81"/>
    <w:rsid w:val="003605DF"/>
    <w:rsid w:val="00360B4D"/>
    <w:rsid w:val="00362E38"/>
    <w:rsid w:val="00363431"/>
    <w:rsid w:val="00363D23"/>
    <w:rsid w:val="00363EEE"/>
    <w:rsid w:val="00364DEE"/>
    <w:rsid w:val="00366762"/>
    <w:rsid w:val="0037139C"/>
    <w:rsid w:val="00371EE9"/>
    <w:rsid w:val="003743E4"/>
    <w:rsid w:val="00374431"/>
    <w:rsid w:val="00374666"/>
    <w:rsid w:val="003746AE"/>
    <w:rsid w:val="00375495"/>
    <w:rsid w:val="0037622D"/>
    <w:rsid w:val="00377896"/>
    <w:rsid w:val="0038129E"/>
    <w:rsid w:val="003869F1"/>
    <w:rsid w:val="003940D4"/>
    <w:rsid w:val="00397D4E"/>
    <w:rsid w:val="003A0E7C"/>
    <w:rsid w:val="003A464D"/>
    <w:rsid w:val="003A50E5"/>
    <w:rsid w:val="003A69B6"/>
    <w:rsid w:val="003A7C46"/>
    <w:rsid w:val="003B0D50"/>
    <w:rsid w:val="003B1725"/>
    <w:rsid w:val="003B403E"/>
    <w:rsid w:val="003C01FB"/>
    <w:rsid w:val="003C0545"/>
    <w:rsid w:val="003C0642"/>
    <w:rsid w:val="003C24C2"/>
    <w:rsid w:val="003C73BD"/>
    <w:rsid w:val="003D1137"/>
    <w:rsid w:val="003D38DD"/>
    <w:rsid w:val="003D4662"/>
    <w:rsid w:val="003D546A"/>
    <w:rsid w:val="003D5489"/>
    <w:rsid w:val="003D648F"/>
    <w:rsid w:val="003D7A85"/>
    <w:rsid w:val="003E2861"/>
    <w:rsid w:val="003E3DEF"/>
    <w:rsid w:val="003E4C5A"/>
    <w:rsid w:val="003E5B9C"/>
    <w:rsid w:val="003E6167"/>
    <w:rsid w:val="003E63FB"/>
    <w:rsid w:val="003E64E0"/>
    <w:rsid w:val="003F2CF3"/>
    <w:rsid w:val="003F609A"/>
    <w:rsid w:val="003F7E1B"/>
    <w:rsid w:val="004046D4"/>
    <w:rsid w:val="00406315"/>
    <w:rsid w:val="00411227"/>
    <w:rsid w:val="00411A98"/>
    <w:rsid w:val="0041467B"/>
    <w:rsid w:val="004167D0"/>
    <w:rsid w:val="004173D7"/>
    <w:rsid w:val="00420C36"/>
    <w:rsid w:val="00421A7A"/>
    <w:rsid w:val="00422603"/>
    <w:rsid w:val="00423FFE"/>
    <w:rsid w:val="00424883"/>
    <w:rsid w:val="0042506D"/>
    <w:rsid w:val="00425BED"/>
    <w:rsid w:val="00425DC9"/>
    <w:rsid w:val="004278B8"/>
    <w:rsid w:val="0043048C"/>
    <w:rsid w:val="004305E4"/>
    <w:rsid w:val="00435EC6"/>
    <w:rsid w:val="00436044"/>
    <w:rsid w:val="00436F58"/>
    <w:rsid w:val="004425A8"/>
    <w:rsid w:val="004438AA"/>
    <w:rsid w:val="00443D04"/>
    <w:rsid w:val="00444EAD"/>
    <w:rsid w:val="00446378"/>
    <w:rsid w:val="00452253"/>
    <w:rsid w:val="00452FAD"/>
    <w:rsid w:val="0045334A"/>
    <w:rsid w:val="0045385B"/>
    <w:rsid w:val="00463573"/>
    <w:rsid w:val="004639C6"/>
    <w:rsid w:val="00463BB9"/>
    <w:rsid w:val="0046484D"/>
    <w:rsid w:val="00464CA0"/>
    <w:rsid w:val="004714C1"/>
    <w:rsid w:val="004721B6"/>
    <w:rsid w:val="004724ED"/>
    <w:rsid w:val="00473702"/>
    <w:rsid w:val="00473EB6"/>
    <w:rsid w:val="00481A31"/>
    <w:rsid w:val="00481BDD"/>
    <w:rsid w:val="00483E56"/>
    <w:rsid w:val="004860A5"/>
    <w:rsid w:val="00486924"/>
    <w:rsid w:val="0049223F"/>
    <w:rsid w:val="004929A7"/>
    <w:rsid w:val="00494D0B"/>
    <w:rsid w:val="0049510D"/>
    <w:rsid w:val="00496602"/>
    <w:rsid w:val="004971EC"/>
    <w:rsid w:val="004A06E2"/>
    <w:rsid w:val="004A2B7D"/>
    <w:rsid w:val="004A34E1"/>
    <w:rsid w:val="004A4BED"/>
    <w:rsid w:val="004A56E6"/>
    <w:rsid w:val="004A6D3E"/>
    <w:rsid w:val="004B0C7B"/>
    <w:rsid w:val="004B3834"/>
    <w:rsid w:val="004B434D"/>
    <w:rsid w:val="004B5169"/>
    <w:rsid w:val="004B76D0"/>
    <w:rsid w:val="004C1F94"/>
    <w:rsid w:val="004C2EF2"/>
    <w:rsid w:val="004C31B8"/>
    <w:rsid w:val="004C34B4"/>
    <w:rsid w:val="004C364D"/>
    <w:rsid w:val="004C3F1D"/>
    <w:rsid w:val="004C524E"/>
    <w:rsid w:val="004C56CC"/>
    <w:rsid w:val="004C69E5"/>
    <w:rsid w:val="004D28C6"/>
    <w:rsid w:val="004D3422"/>
    <w:rsid w:val="004D3B60"/>
    <w:rsid w:val="004E28E7"/>
    <w:rsid w:val="004E7918"/>
    <w:rsid w:val="004F25AC"/>
    <w:rsid w:val="004F544D"/>
    <w:rsid w:val="004F617B"/>
    <w:rsid w:val="004F670B"/>
    <w:rsid w:val="004F772E"/>
    <w:rsid w:val="00500380"/>
    <w:rsid w:val="00502E37"/>
    <w:rsid w:val="005055D7"/>
    <w:rsid w:val="00505E59"/>
    <w:rsid w:val="00507065"/>
    <w:rsid w:val="00507320"/>
    <w:rsid w:val="00507EE3"/>
    <w:rsid w:val="005103F7"/>
    <w:rsid w:val="00511EBA"/>
    <w:rsid w:val="0051407F"/>
    <w:rsid w:val="00514C0C"/>
    <w:rsid w:val="00515844"/>
    <w:rsid w:val="00520238"/>
    <w:rsid w:val="00522029"/>
    <w:rsid w:val="0052213E"/>
    <w:rsid w:val="00524BEF"/>
    <w:rsid w:val="00530ACA"/>
    <w:rsid w:val="00534BE1"/>
    <w:rsid w:val="005350A5"/>
    <w:rsid w:val="0053764B"/>
    <w:rsid w:val="005457BC"/>
    <w:rsid w:val="00546415"/>
    <w:rsid w:val="0056020C"/>
    <w:rsid w:val="005607CB"/>
    <w:rsid w:val="00560C66"/>
    <w:rsid w:val="005626C1"/>
    <w:rsid w:val="00565096"/>
    <w:rsid w:val="00565A34"/>
    <w:rsid w:val="00566E8F"/>
    <w:rsid w:val="00566F2E"/>
    <w:rsid w:val="00570372"/>
    <w:rsid w:val="00570C2C"/>
    <w:rsid w:val="00570ED5"/>
    <w:rsid w:val="005713D0"/>
    <w:rsid w:val="00571A00"/>
    <w:rsid w:val="00571C27"/>
    <w:rsid w:val="005723D1"/>
    <w:rsid w:val="0057423D"/>
    <w:rsid w:val="00576317"/>
    <w:rsid w:val="005824B4"/>
    <w:rsid w:val="00584337"/>
    <w:rsid w:val="00585031"/>
    <w:rsid w:val="0058535A"/>
    <w:rsid w:val="005855EE"/>
    <w:rsid w:val="00590ADC"/>
    <w:rsid w:val="00591E24"/>
    <w:rsid w:val="00593E79"/>
    <w:rsid w:val="00595077"/>
    <w:rsid w:val="005951C3"/>
    <w:rsid w:val="00597029"/>
    <w:rsid w:val="005976BC"/>
    <w:rsid w:val="00597826"/>
    <w:rsid w:val="00597877"/>
    <w:rsid w:val="005A0A09"/>
    <w:rsid w:val="005A18B1"/>
    <w:rsid w:val="005A2B74"/>
    <w:rsid w:val="005A2FA3"/>
    <w:rsid w:val="005A3BE5"/>
    <w:rsid w:val="005A3D18"/>
    <w:rsid w:val="005A3EEE"/>
    <w:rsid w:val="005B0BD8"/>
    <w:rsid w:val="005B27D2"/>
    <w:rsid w:val="005B3811"/>
    <w:rsid w:val="005B3E4F"/>
    <w:rsid w:val="005B5F5A"/>
    <w:rsid w:val="005B7385"/>
    <w:rsid w:val="005B73AB"/>
    <w:rsid w:val="005C05AA"/>
    <w:rsid w:val="005C1B11"/>
    <w:rsid w:val="005C2861"/>
    <w:rsid w:val="005C3E28"/>
    <w:rsid w:val="005C4510"/>
    <w:rsid w:val="005C5F33"/>
    <w:rsid w:val="005D0245"/>
    <w:rsid w:val="005D37CA"/>
    <w:rsid w:val="005D5065"/>
    <w:rsid w:val="005D68FA"/>
    <w:rsid w:val="005D738F"/>
    <w:rsid w:val="005D7A15"/>
    <w:rsid w:val="005E0337"/>
    <w:rsid w:val="005E33AA"/>
    <w:rsid w:val="005E405C"/>
    <w:rsid w:val="005E4D0E"/>
    <w:rsid w:val="005E5AFA"/>
    <w:rsid w:val="005E5B0A"/>
    <w:rsid w:val="005E7909"/>
    <w:rsid w:val="005E7B70"/>
    <w:rsid w:val="005E7EA4"/>
    <w:rsid w:val="005E7EEF"/>
    <w:rsid w:val="005F1C73"/>
    <w:rsid w:val="005F2C33"/>
    <w:rsid w:val="005F4180"/>
    <w:rsid w:val="005F554F"/>
    <w:rsid w:val="005F5F6B"/>
    <w:rsid w:val="005F760D"/>
    <w:rsid w:val="00602E6A"/>
    <w:rsid w:val="00605CFD"/>
    <w:rsid w:val="00607FCE"/>
    <w:rsid w:val="00611F31"/>
    <w:rsid w:val="0061271F"/>
    <w:rsid w:val="0061348C"/>
    <w:rsid w:val="00614A9C"/>
    <w:rsid w:val="00617F2B"/>
    <w:rsid w:val="00633DDC"/>
    <w:rsid w:val="0064063D"/>
    <w:rsid w:val="00640F09"/>
    <w:rsid w:val="006417CA"/>
    <w:rsid w:val="00650422"/>
    <w:rsid w:val="0065051C"/>
    <w:rsid w:val="006523AB"/>
    <w:rsid w:val="0065269D"/>
    <w:rsid w:val="00652851"/>
    <w:rsid w:val="006535A0"/>
    <w:rsid w:val="00653BE7"/>
    <w:rsid w:val="0065446E"/>
    <w:rsid w:val="00655932"/>
    <w:rsid w:val="00655C0F"/>
    <w:rsid w:val="006575E5"/>
    <w:rsid w:val="00665F21"/>
    <w:rsid w:val="006664BD"/>
    <w:rsid w:val="006666B5"/>
    <w:rsid w:val="00670335"/>
    <w:rsid w:val="00670DA7"/>
    <w:rsid w:val="00671DC4"/>
    <w:rsid w:val="006726BE"/>
    <w:rsid w:val="00673A7E"/>
    <w:rsid w:val="006774AF"/>
    <w:rsid w:val="006778EF"/>
    <w:rsid w:val="006819B3"/>
    <w:rsid w:val="00686ABA"/>
    <w:rsid w:val="006879EF"/>
    <w:rsid w:val="0069077C"/>
    <w:rsid w:val="006914D8"/>
    <w:rsid w:val="00691833"/>
    <w:rsid w:val="00693A12"/>
    <w:rsid w:val="00693F54"/>
    <w:rsid w:val="00694399"/>
    <w:rsid w:val="00695BAF"/>
    <w:rsid w:val="0069740C"/>
    <w:rsid w:val="00697931"/>
    <w:rsid w:val="006A0749"/>
    <w:rsid w:val="006A109B"/>
    <w:rsid w:val="006A1BAB"/>
    <w:rsid w:val="006A4170"/>
    <w:rsid w:val="006A501E"/>
    <w:rsid w:val="006A505C"/>
    <w:rsid w:val="006A5AAD"/>
    <w:rsid w:val="006A5D7B"/>
    <w:rsid w:val="006B17D5"/>
    <w:rsid w:val="006B4404"/>
    <w:rsid w:val="006B4426"/>
    <w:rsid w:val="006B5213"/>
    <w:rsid w:val="006B5DB6"/>
    <w:rsid w:val="006C05C9"/>
    <w:rsid w:val="006C1022"/>
    <w:rsid w:val="006D3DA5"/>
    <w:rsid w:val="006D4313"/>
    <w:rsid w:val="006D57EC"/>
    <w:rsid w:val="006D5D6B"/>
    <w:rsid w:val="006D6864"/>
    <w:rsid w:val="006D6E4D"/>
    <w:rsid w:val="006E0B3F"/>
    <w:rsid w:val="006E15DA"/>
    <w:rsid w:val="006E3D7D"/>
    <w:rsid w:val="006E40E4"/>
    <w:rsid w:val="006E6D95"/>
    <w:rsid w:val="006F27F2"/>
    <w:rsid w:val="006F3088"/>
    <w:rsid w:val="006F33FE"/>
    <w:rsid w:val="006F47B2"/>
    <w:rsid w:val="006F5A5B"/>
    <w:rsid w:val="006F673C"/>
    <w:rsid w:val="006F6982"/>
    <w:rsid w:val="006F6D23"/>
    <w:rsid w:val="006F7E20"/>
    <w:rsid w:val="00701964"/>
    <w:rsid w:val="00702626"/>
    <w:rsid w:val="00702689"/>
    <w:rsid w:val="00703ACF"/>
    <w:rsid w:val="00704DF6"/>
    <w:rsid w:val="00705C0F"/>
    <w:rsid w:val="0070746E"/>
    <w:rsid w:val="007101BC"/>
    <w:rsid w:val="00712E8B"/>
    <w:rsid w:val="00714599"/>
    <w:rsid w:val="00714947"/>
    <w:rsid w:val="007158BB"/>
    <w:rsid w:val="00715A83"/>
    <w:rsid w:val="00716040"/>
    <w:rsid w:val="0071663C"/>
    <w:rsid w:val="00726014"/>
    <w:rsid w:val="0072658D"/>
    <w:rsid w:val="007323EA"/>
    <w:rsid w:val="00732956"/>
    <w:rsid w:val="0073420A"/>
    <w:rsid w:val="00734296"/>
    <w:rsid w:val="0073524B"/>
    <w:rsid w:val="007370A0"/>
    <w:rsid w:val="00740268"/>
    <w:rsid w:val="007403E4"/>
    <w:rsid w:val="007407B6"/>
    <w:rsid w:val="00740863"/>
    <w:rsid w:val="00741414"/>
    <w:rsid w:val="00743350"/>
    <w:rsid w:val="00744769"/>
    <w:rsid w:val="007470FD"/>
    <w:rsid w:val="00747526"/>
    <w:rsid w:val="007476D2"/>
    <w:rsid w:val="00747C53"/>
    <w:rsid w:val="00753A8D"/>
    <w:rsid w:val="0075441F"/>
    <w:rsid w:val="007558C0"/>
    <w:rsid w:val="007564B1"/>
    <w:rsid w:val="0075717A"/>
    <w:rsid w:val="00760EDA"/>
    <w:rsid w:val="0076271C"/>
    <w:rsid w:val="00762C3F"/>
    <w:rsid w:val="00765F6D"/>
    <w:rsid w:val="007716A5"/>
    <w:rsid w:val="00772FAC"/>
    <w:rsid w:val="00772FAF"/>
    <w:rsid w:val="00774860"/>
    <w:rsid w:val="00775A9E"/>
    <w:rsid w:val="00777AF1"/>
    <w:rsid w:val="00780541"/>
    <w:rsid w:val="007859E3"/>
    <w:rsid w:val="00791804"/>
    <w:rsid w:val="00791DFF"/>
    <w:rsid w:val="00793329"/>
    <w:rsid w:val="007939E8"/>
    <w:rsid w:val="00796A98"/>
    <w:rsid w:val="007A1061"/>
    <w:rsid w:val="007A4150"/>
    <w:rsid w:val="007A5464"/>
    <w:rsid w:val="007A702F"/>
    <w:rsid w:val="007A7620"/>
    <w:rsid w:val="007B0B45"/>
    <w:rsid w:val="007B32D8"/>
    <w:rsid w:val="007B6C07"/>
    <w:rsid w:val="007B6FA1"/>
    <w:rsid w:val="007B742A"/>
    <w:rsid w:val="007C013B"/>
    <w:rsid w:val="007C0878"/>
    <w:rsid w:val="007C1538"/>
    <w:rsid w:val="007C1B30"/>
    <w:rsid w:val="007C5754"/>
    <w:rsid w:val="007D12F0"/>
    <w:rsid w:val="007D17A1"/>
    <w:rsid w:val="007D24BB"/>
    <w:rsid w:val="007D3661"/>
    <w:rsid w:val="007D4CA6"/>
    <w:rsid w:val="007D5FF1"/>
    <w:rsid w:val="007E017D"/>
    <w:rsid w:val="007E0FDC"/>
    <w:rsid w:val="007E2365"/>
    <w:rsid w:val="007E403E"/>
    <w:rsid w:val="007E5685"/>
    <w:rsid w:val="007F02C7"/>
    <w:rsid w:val="007F0BED"/>
    <w:rsid w:val="007F24F6"/>
    <w:rsid w:val="007F2583"/>
    <w:rsid w:val="007F2D3E"/>
    <w:rsid w:val="007F2DCC"/>
    <w:rsid w:val="007F49FA"/>
    <w:rsid w:val="007F5A43"/>
    <w:rsid w:val="007F6583"/>
    <w:rsid w:val="007F6EC9"/>
    <w:rsid w:val="007F757A"/>
    <w:rsid w:val="00803134"/>
    <w:rsid w:val="008069B1"/>
    <w:rsid w:val="008119B0"/>
    <w:rsid w:val="008122E7"/>
    <w:rsid w:val="00812782"/>
    <w:rsid w:val="008132D1"/>
    <w:rsid w:val="00816AAC"/>
    <w:rsid w:val="008175FF"/>
    <w:rsid w:val="00817834"/>
    <w:rsid w:val="0082067C"/>
    <w:rsid w:val="0082086B"/>
    <w:rsid w:val="00821168"/>
    <w:rsid w:val="00821302"/>
    <w:rsid w:val="008220B4"/>
    <w:rsid w:val="00822B24"/>
    <w:rsid w:val="00832B3D"/>
    <w:rsid w:val="00833877"/>
    <w:rsid w:val="00833D3E"/>
    <w:rsid w:val="00840F5A"/>
    <w:rsid w:val="008436DB"/>
    <w:rsid w:val="0084383C"/>
    <w:rsid w:val="00843992"/>
    <w:rsid w:val="00843CFC"/>
    <w:rsid w:val="00843E7C"/>
    <w:rsid w:val="008444AE"/>
    <w:rsid w:val="008449AA"/>
    <w:rsid w:val="00845087"/>
    <w:rsid w:val="008476A8"/>
    <w:rsid w:val="00851725"/>
    <w:rsid w:val="00855D3A"/>
    <w:rsid w:val="008563E1"/>
    <w:rsid w:val="00856EF4"/>
    <w:rsid w:val="00857104"/>
    <w:rsid w:val="008575C3"/>
    <w:rsid w:val="00860168"/>
    <w:rsid w:val="008601D5"/>
    <w:rsid w:val="00861BBF"/>
    <w:rsid w:val="008620F3"/>
    <w:rsid w:val="00863ADC"/>
    <w:rsid w:val="00863CD4"/>
    <w:rsid w:val="00865161"/>
    <w:rsid w:val="00865EE5"/>
    <w:rsid w:val="0086622A"/>
    <w:rsid w:val="00866CBE"/>
    <w:rsid w:val="00871C0E"/>
    <w:rsid w:val="0087308B"/>
    <w:rsid w:val="00874AAE"/>
    <w:rsid w:val="00881E17"/>
    <w:rsid w:val="008823A6"/>
    <w:rsid w:val="00883D10"/>
    <w:rsid w:val="00886396"/>
    <w:rsid w:val="00886A33"/>
    <w:rsid w:val="00893B65"/>
    <w:rsid w:val="00893C50"/>
    <w:rsid w:val="00893E66"/>
    <w:rsid w:val="00894E29"/>
    <w:rsid w:val="00897646"/>
    <w:rsid w:val="00897B26"/>
    <w:rsid w:val="00897F18"/>
    <w:rsid w:val="008A1512"/>
    <w:rsid w:val="008A1959"/>
    <w:rsid w:val="008A31FD"/>
    <w:rsid w:val="008A48B3"/>
    <w:rsid w:val="008A49A2"/>
    <w:rsid w:val="008A5BD7"/>
    <w:rsid w:val="008B014E"/>
    <w:rsid w:val="008B1C1F"/>
    <w:rsid w:val="008B2406"/>
    <w:rsid w:val="008B3695"/>
    <w:rsid w:val="008B5C7C"/>
    <w:rsid w:val="008B750E"/>
    <w:rsid w:val="008C07E9"/>
    <w:rsid w:val="008C1678"/>
    <w:rsid w:val="008C3B38"/>
    <w:rsid w:val="008C4E73"/>
    <w:rsid w:val="008C54B3"/>
    <w:rsid w:val="008C73EA"/>
    <w:rsid w:val="008D59A8"/>
    <w:rsid w:val="008D7888"/>
    <w:rsid w:val="008D7D1F"/>
    <w:rsid w:val="008E0243"/>
    <w:rsid w:val="008E0C0D"/>
    <w:rsid w:val="008E2304"/>
    <w:rsid w:val="008E689B"/>
    <w:rsid w:val="008F002C"/>
    <w:rsid w:val="008F32F6"/>
    <w:rsid w:val="008F3512"/>
    <w:rsid w:val="008F64F5"/>
    <w:rsid w:val="00901C5F"/>
    <w:rsid w:val="00902356"/>
    <w:rsid w:val="009027F1"/>
    <w:rsid w:val="009033CA"/>
    <w:rsid w:val="00905007"/>
    <w:rsid w:val="0090533A"/>
    <w:rsid w:val="00905B84"/>
    <w:rsid w:val="009069B2"/>
    <w:rsid w:val="009075B7"/>
    <w:rsid w:val="009105EF"/>
    <w:rsid w:val="009108CC"/>
    <w:rsid w:val="00911361"/>
    <w:rsid w:val="00911E5E"/>
    <w:rsid w:val="00913DA8"/>
    <w:rsid w:val="009150AA"/>
    <w:rsid w:val="00921050"/>
    <w:rsid w:val="009212D3"/>
    <w:rsid w:val="00923234"/>
    <w:rsid w:val="0092558D"/>
    <w:rsid w:val="009266C5"/>
    <w:rsid w:val="00931023"/>
    <w:rsid w:val="00934813"/>
    <w:rsid w:val="00934AE7"/>
    <w:rsid w:val="00942BBC"/>
    <w:rsid w:val="00943D05"/>
    <w:rsid w:val="00943DEE"/>
    <w:rsid w:val="0094417A"/>
    <w:rsid w:val="0094660F"/>
    <w:rsid w:val="00950660"/>
    <w:rsid w:val="009526F8"/>
    <w:rsid w:val="00952D0F"/>
    <w:rsid w:val="00955EB2"/>
    <w:rsid w:val="009561B5"/>
    <w:rsid w:val="00957BD2"/>
    <w:rsid w:val="00960567"/>
    <w:rsid w:val="009611DA"/>
    <w:rsid w:val="00962A79"/>
    <w:rsid w:val="00965678"/>
    <w:rsid w:val="00966329"/>
    <w:rsid w:val="00966639"/>
    <w:rsid w:val="0096674D"/>
    <w:rsid w:val="009707D3"/>
    <w:rsid w:val="00974D64"/>
    <w:rsid w:val="00981B7E"/>
    <w:rsid w:val="00982A4A"/>
    <w:rsid w:val="00984FA2"/>
    <w:rsid w:val="00991074"/>
    <w:rsid w:val="0099603E"/>
    <w:rsid w:val="009964B9"/>
    <w:rsid w:val="009A2DC3"/>
    <w:rsid w:val="009A45B5"/>
    <w:rsid w:val="009A5947"/>
    <w:rsid w:val="009A624A"/>
    <w:rsid w:val="009A6D91"/>
    <w:rsid w:val="009A7594"/>
    <w:rsid w:val="009A7C1B"/>
    <w:rsid w:val="009A7F7A"/>
    <w:rsid w:val="009B000C"/>
    <w:rsid w:val="009B153F"/>
    <w:rsid w:val="009B1778"/>
    <w:rsid w:val="009B24E8"/>
    <w:rsid w:val="009B32FE"/>
    <w:rsid w:val="009B36BE"/>
    <w:rsid w:val="009B4B6A"/>
    <w:rsid w:val="009C4393"/>
    <w:rsid w:val="009C73FF"/>
    <w:rsid w:val="009D048A"/>
    <w:rsid w:val="009D07FC"/>
    <w:rsid w:val="009D26FD"/>
    <w:rsid w:val="009D3AF1"/>
    <w:rsid w:val="009D46B1"/>
    <w:rsid w:val="009D50D8"/>
    <w:rsid w:val="009D5936"/>
    <w:rsid w:val="009E0447"/>
    <w:rsid w:val="009E090E"/>
    <w:rsid w:val="009E199E"/>
    <w:rsid w:val="009E1A72"/>
    <w:rsid w:val="009E2128"/>
    <w:rsid w:val="009E36CE"/>
    <w:rsid w:val="009E3B25"/>
    <w:rsid w:val="009E4B89"/>
    <w:rsid w:val="009E503F"/>
    <w:rsid w:val="009E692B"/>
    <w:rsid w:val="009E71DF"/>
    <w:rsid w:val="009F113E"/>
    <w:rsid w:val="009F2484"/>
    <w:rsid w:val="009F37FA"/>
    <w:rsid w:val="009F3A55"/>
    <w:rsid w:val="009F49BA"/>
    <w:rsid w:val="009F5673"/>
    <w:rsid w:val="009F6F91"/>
    <w:rsid w:val="00A01382"/>
    <w:rsid w:val="00A0172B"/>
    <w:rsid w:val="00A02036"/>
    <w:rsid w:val="00A03DB6"/>
    <w:rsid w:val="00A049F2"/>
    <w:rsid w:val="00A1180C"/>
    <w:rsid w:val="00A15ECC"/>
    <w:rsid w:val="00A1634B"/>
    <w:rsid w:val="00A217D5"/>
    <w:rsid w:val="00A23F96"/>
    <w:rsid w:val="00A2546E"/>
    <w:rsid w:val="00A278EB"/>
    <w:rsid w:val="00A30ADF"/>
    <w:rsid w:val="00A32B49"/>
    <w:rsid w:val="00A364B0"/>
    <w:rsid w:val="00A407BF"/>
    <w:rsid w:val="00A409C5"/>
    <w:rsid w:val="00A40F21"/>
    <w:rsid w:val="00A430F4"/>
    <w:rsid w:val="00A435E7"/>
    <w:rsid w:val="00A43E44"/>
    <w:rsid w:val="00A448D9"/>
    <w:rsid w:val="00A45B88"/>
    <w:rsid w:val="00A478E2"/>
    <w:rsid w:val="00A47C67"/>
    <w:rsid w:val="00A47D4F"/>
    <w:rsid w:val="00A50AAB"/>
    <w:rsid w:val="00A558D2"/>
    <w:rsid w:val="00A56874"/>
    <w:rsid w:val="00A56FA8"/>
    <w:rsid w:val="00A6062C"/>
    <w:rsid w:val="00A61D4D"/>
    <w:rsid w:val="00A62484"/>
    <w:rsid w:val="00A62C84"/>
    <w:rsid w:val="00A62F0C"/>
    <w:rsid w:val="00A7399B"/>
    <w:rsid w:val="00A749A9"/>
    <w:rsid w:val="00A7542D"/>
    <w:rsid w:val="00A82B81"/>
    <w:rsid w:val="00A82F8D"/>
    <w:rsid w:val="00A849FB"/>
    <w:rsid w:val="00A85BE1"/>
    <w:rsid w:val="00A85F9B"/>
    <w:rsid w:val="00A90E1F"/>
    <w:rsid w:val="00A90FC5"/>
    <w:rsid w:val="00A91890"/>
    <w:rsid w:val="00A91D5F"/>
    <w:rsid w:val="00A9235C"/>
    <w:rsid w:val="00A926BB"/>
    <w:rsid w:val="00A9294B"/>
    <w:rsid w:val="00A933DF"/>
    <w:rsid w:val="00AA3775"/>
    <w:rsid w:val="00AA61F8"/>
    <w:rsid w:val="00AA6970"/>
    <w:rsid w:val="00AB0BD1"/>
    <w:rsid w:val="00AB3430"/>
    <w:rsid w:val="00AB392B"/>
    <w:rsid w:val="00AB4E27"/>
    <w:rsid w:val="00AB54E4"/>
    <w:rsid w:val="00AB7A3D"/>
    <w:rsid w:val="00AC3852"/>
    <w:rsid w:val="00AC49B7"/>
    <w:rsid w:val="00AD0C9B"/>
    <w:rsid w:val="00AD1649"/>
    <w:rsid w:val="00AD2A6D"/>
    <w:rsid w:val="00AD33E6"/>
    <w:rsid w:val="00AD4137"/>
    <w:rsid w:val="00AD4AD3"/>
    <w:rsid w:val="00AE1E4B"/>
    <w:rsid w:val="00AE2DDE"/>
    <w:rsid w:val="00AE3DE0"/>
    <w:rsid w:val="00AE48CE"/>
    <w:rsid w:val="00AF11DD"/>
    <w:rsid w:val="00AF1C7E"/>
    <w:rsid w:val="00AF28B7"/>
    <w:rsid w:val="00AF2904"/>
    <w:rsid w:val="00AF2CD1"/>
    <w:rsid w:val="00AF364B"/>
    <w:rsid w:val="00AF522B"/>
    <w:rsid w:val="00AF587F"/>
    <w:rsid w:val="00AF66F1"/>
    <w:rsid w:val="00AF79A3"/>
    <w:rsid w:val="00B01BC6"/>
    <w:rsid w:val="00B01FCE"/>
    <w:rsid w:val="00B033F3"/>
    <w:rsid w:val="00B04446"/>
    <w:rsid w:val="00B142B1"/>
    <w:rsid w:val="00B1448E"/>
    <w:rsid w:val="00B17E79"/>
    <w:rsid w:val="00B21934"/>
    <w:rsid w:val="00B22A02"/>
    <w:rsid w:val="00B26E4C"/>
    <w:rsid w:val="00B30552"/>
    <w:rsid w:val="00B319A1"/>
    <w:rsid w:val="00B349D2"/>
    <w:rsid w:val="00B34E15"/>
    <w:rsid w:val="00B35497"/>
    <w:rsid w:val="00B4025B"/>
    <w:rsid w:val="00B41B67"/>
    <w:rsid w:val="00B44DCB"/>
    <w:rsid w:val="00B455F1"/>
    <w:rsid w:val="00B45F9F"/>
    <w:rsid w:val="00B46244"/>
    <w:rsid w:val="00B518D3"/>
    <w:rsid w:val="00B52141"/>
    <w:rsid w:val="00B5215E"/>
    <w:rsid w:val="00B56023"/>
    <w:rsid w:val="00B610DF"/>
    <w:rsid w:val="00B62439"/>
    <w:rsid w:val="00B662A9"/>
    <w:rsid w:val="00B70003"/>
    <w:rsid w:val="00B760BD"/>
    <w:rsid w:val="00B76398"/>
    <w:rsid w:val="00B8016E"/>
    <w:rsid w:val="00B81BB9"/>
    <w:rsid w:val="00B82EEB"/>
    <w:rsid w:val="00B836FC"/>
    <w:rsid w:val="00B84503"/>
    <w:rsid w:val="00B87D54"/>
    <w:rsid w:val="00B902EA"/>
    <w:rsid w:val="00B905D7"/>
    <w:rsid w:val="00B922BD"/>
    <w:rsid w:val="00B92DBB"/>
    <w:rsid w:val="00B952E1"/>
    <w:rsid w:val="00BA2742"/>
    <w:rsid w:val="00BA306A"/>
    <w:rsid w:val="00BA57E8"/>
    <w:rsid w:val="00BA6B51"/>
    <w:rsid w:val="00BA6CB2"/>
    <w:rsid w:val="00BA7165"/>
    <w:rsid w:val="00BA71D0"/>
    <w:rsid w:val="00BB1043"/>
    <w:rsid w:val="00BB5503"/>
    <w:rsid w:val="00BB5FCF"/>
    <w:rsid w:val="00BB6424"/>
    <w:rsid w:val="00BB64D0"/>
    <w:rsid w:val="00BB7194"/>
    <w:rsid w:val="00BB73CE"/>
    <w:rsid w:val="00BC0CE3"/>
    <w:rsid w:val="00BC0F03"/>
    <w:rsid w:val="00BC114B"/>
    <w:rsid w:val="00BC2B1D"/>
    <w:rsid w:val="00BC37A3"/>
    <w:rsid w:val="00BC3F97"/>
    <w:rsid w:val="00BC5796"/>
    <w:rsid w:val="00BC639C"/>
    <w:rsid w:val="00BC6D9F"/>
    <w:rsid w:val="00BC7735"/>
    <w:rsid w:val="00BD2A3F"/>
    <w:rsid w:val="00BD3B41"/>
    <w:rsid w:val="00BD6D67"/>
    <w:rsid w:val="00BE628C"/>
    <w:rsid w:val="00BE724D"/>
    <w:rsid w:val="00BF00B0"/>
    <w:rsid w:val="00BF15C6"/>
    <w:rsid w:val="00BF1FD9"/>
    <w:rsid w:val="00BF26FB"/>
    <w:rsid w:val="00BF2EF7"/>
    <w:rsid w:val="00BF3B3E"/>
    <w:rsid w:val="00BF4DE7"/>
    <w:rsid w:val="00BF5D48"/>
    <w:rsid w:val="00BF6D22"/>
    <w:rsid w:val="00C02D22"/>
    <w:rsid w:val="00C04FAF"/>
    <w:rsid w:val="00C05334"/>
    <w:rsid w:val="00C053C3"/>
    <w:rsid w:val="00C059EE"/>
    <w:rsid w:val="00C0701B"/>
    <w:rsid w:val="00C0783D"/>
    <w:rsid w:val="00C10E80"/>
    <w:rsid w:val="00C11C36"/>
    <w:rsid w:val="00C14B37"/>
    <w:rsid w:val="00C1540C"/>
    <w:rsid w:val="00C1585C"/>
    <w:rsid w:val="00C15B6F"/>
    <w:rsid w:val="00C15B86"/>
    <w:rsid w:val="00C2063C"/>
    <w:rsid w:val="00C2128E"/>
    <w:rsid w:val="00C22914"/>
    <w:rsid w:val="00C23F48"/>
    <w:rsid w:val="00C245E4"/>
    <w:rsid w:val="00C24985"/>
    <w:rsid w:val="00C276DF"/>
    <w:rsid w:val="00C317E7"/>
    <w:rsid w:val="00C3290B"/>
    <w:rsid w:val="00C3470E"/>
    <w:rsid w:val="00C369E6"/>
    <w:rsid w:val="00C37345"/>
    <w:rsid w:val="00C41E52"/>
    <w:rsid w:val="00C4203A"/>
    <w:rsid w:val="00C42E9A"/>
    <w:rsid w:val="00C464E9"/>
    <w:rsid w:val="00C50281"/>
    <w:rsid w:val="00C5107E"/>
    <w:rsid w:val="00C518DE"/>
    <w:rsid w:val="00C527B9"/>
    <w:rsid w:val="00C5474C"/>
    <w:rsid w:val="00C5741C"/>
    <w:rsid w:val="00C616B9"/>
    <w:rsid w:val="00C628DC"/>
    <w:rsid w:val="00C633B5"/>
    <w:rsid w:val="00C6453B"/>
    <w:rsid w:val="00C64789"/>
    <w:rsid w:val="00C65B64"/>
    <w:rsid w:val="00C72149"/>
    <w:rsid w:val="00C76263"/>
    <w:rsid w:val="00C765F7"/>
    <w:rsid w:val="00C774FB"/>
    <w:rsid w:val="00C8132E"/>
    <w:rsid w:val="00C81804"/>
    <w:rsid w:val="00C82CB0"/>
    <w:rsid w:val="00C8343D"/>
    <w:rsid w:val="00C83F9B"/>
    <w:rsid w:val="00C8635A"/>
    <w:rsid w:val="00C86676"/>
    <w:rsid w:val="00C87E82"/>
    <w:rsid w:val="00C90B62"/>
    <w:rsid w:val="00C92FE1"/>
    <w:rsid w:val="00C930E5"/>
    <w:rsid w:val="00C95945"/>
    <w:rsid w:val="00CA0E4B"/>
    <w:rsid w:val="00CA12B5"/>
    <w:rsid w:val="00CA14F4"/>
    <w:rsid w:val="00CA158B"/>
    <w:rsid w:val="00CA384B"/>
    <w:rsid w:val="00CA3C05"/>
    <w:rsid w:val="00CA7AEB"/>
    <w:rsid w:val="00CB0207"/>
    <w:rsid w:val="00CB14DB"/>
    <w:rsid w:val="00CB2266"/>
    <w:rsid w:val="00CB3EB0"/>
    <w:rsid w:val="00CB4434"/>
    <w:rsid w:val="00CC0AA5"/>
    <w:rsid w:val="00CC39B3"/>
    <w:rsid w:val="00CC7868"/>
    <w:rsid w:val="00CD16FD"/>
    <w:rsid w:val="00CD3202"/>
    <w:rsid w:val="00CD5E31"/>
    <w:rsid w:val="00CD6CA3"/>
    <w:rsid w:val="00CE026B"/>
    <w:rsid w:val="00CE200C"/>
    <w:rsid w:val="00CE3D71"/>
    <w:rsid w:val="00CE588F"/>
    <w:rsid w:val="00CE67F5"/>
    <w:rsid w:val="00CE7178"/>
    <w:rsid w:val="00CF00C3"/>
    <w:rsid w:val="00CF00D4"/>
    <w:rsid w:val="00CF012A"/>
    <w:rsid w:val="00CF037D"/>
    <w:rsid w:val="00CF0CE1"/>
    <w:rsid w:val="00CF157A"/>
    <w:rsid w:val="00CF1B07"/>
    <w:rsid w:val="00CF1FE2"/>
    <w:rsid w:val="00CF36D8"/>
    <w:rsid w:val="00CF4A3D"/>
    <w:rsid w:val="00CF5FCC"/>
    <w:rsid w:val="00CF615E"/>
    <w:rsid w:val="00CF6E27"/>
    <w:rsid w:val="00CF740F"/>
    <w:rsid w:val="00D02031"/>
    <w:rsid w:val="00D0345A"/>
    <w:rsid w:val="00D0416D"/>
    <w:rsid w:val="00D052FA"/>
    <w:rsid w:val="00D0716D"/>
    <w:rsid w:val="00D11FA6"/>
    <w:rsid w:val="00D1248C"/>
    <w:rsid w:val="00D12559"/>
    <w:rsid w:val="00D13DBC"/>
    <w:rsid w:val="00D14157"/>
    <w:rsid w:val="00D14B1D"/>
    <w:rsid w:val="00D15616"/>
    <w:rsid w:val="00D15EFA"/>
    <w:rsid w:val="00D168E6"/>
    <w:rsid w:val="00D16D2A"/>
    <w:rsid w:val="00D1754B"/>
    <w:rsid w:val="00D22D07"/>
    <w:rsid w:val="00D34E68"/>
    <w:rsid w:val="00D3529E"/>
    <w:rsid w:val="00D404A0"/>
    <w:rsid w:val="00D406A6"/>
    <w:rsid w:val="00D41081"/>
    <w:rsid w:val="00D42142"/>
    <w:rsid w:val="00D42519"/>
    <w:rsid w:val="00D43206"/>
    <w:rsid w:val="00D4610F"/>
    <w:rsid w:val="00D46DEA"/>
    <w:rsid w:val="00D51A2A"/>
    <w:rsid w:val="00D54AB8"/>
    <w:rsid w:val="00D55100"/>
    <w:rsid w:val="00D56BD4"/>
    <w:rsid w:val="00D60758"/>
    <w:rsid w:val="00D616E9"/>
    <w:rsid w:val="00D63301"/>
    <w:rsid w:val="00D6536C"/>
    <w:rsid w:val="00D66787"/>
    <w:rsid w:val="00D67AA3"/>
    <w:rsid w:val="00D67AB6"/>
    <w:rsid w:val="00D71DE7"/>
    <w:rsid w:val="00D73850"/>
    <w:rsid w:val="00D741D6"/>
    <w:rsid w:val="00D7571B"/>
    <w:rsid w:val="00D76D74"/>
    <w:rsid w:val="00D8064D"/>
    <w:rsid w:val="00D8072D"/>
    <w:rsid w:val="00D8154C"/>
    <w:rsid w:val="00D8230D"/>
    <w:rsid w:val="00D824E9"/>
    <w:rsid w:val="00D86177"/>
    <w:rsid w:val="00D9034F"/>
    <w:rsid w:val="00D90932"/>
    <w:rsid w:val="00D90D78"/>
    <w:rsid w:val="00D9175E"/>
    <w:rsid w:val="00D92BCF"/>
    <w:rsid w:val="00D960EB"/>
    <w:rsid w:val="00D96A9B"/>
    <w:rsid w:val="00DA31EB"/>
    <w:rsid w:val="00DA3B11"/>
    <w:rsid w:val="00DA4C5F"/>
    <w:rsid w:val="00DB0A62"/>
    <w:rsid w:val="00DB21E2"/>
    <w:rsid w:val="00DB26B5"/>
    <w:rsid w:val="00DB3471"/>
    <w:rsid w:val="00DC098A"/>
    <w:rsid w:val="00DC60B0"/>
    <w:rsid w:val="00DC77B7"/>
    <w:rsid w:val="00DD0FDF"/>
    <w:rsid w:val="00DD3F5D"/>
    <w:rsid w:val="00DD4F98"/>
    <w:rsid w:val="00DD6F67"/>
    <w:rsid w:val="00DE11B5"/>
    <w:rsid w:val="00DE1569"/>
    <w:rsid w:val="00DE1875"/>
    <w:rsid w:val="00DE40A4"/>
    <w:rsid w:val="00DE63E5"/>
    <w:rsid w:val="00DE64CE"/>
    <w:rsid w:val="00DE78AD"/>
    <w:rsid w:val="00DE7B41"/>
    <w:rsid w:val="00DF220C"/>
    <w:rsid w:val="00DF2EA9"/>
    <w:rsid w:val="00DF4205"/>
    <w:rsid w:val="00DF4F5E"/>
    <w:rsid w:val="00DF5287"/>
    <w:rsid w:val="00DF6067"/>
    <w:rsid w:val="00E0120B"/>
    <w:rsid w:val="00E01E7A"/>
    <w:rsid w:val="00E020F5"/>
    <w:rsid w:val="00E03B36"/>
    <w:rsid w:val="00E10D82"/>
    <w:rsid w:val="00E10D9C"/>
    <w:rsid w:val="00E114B1"/>
    <w:rsid w:val="00E1325B"/>
    <w:rsid w:val="00E16DCE"/>
    <w:rsid w:val="00E20E47"/>
    <w:rsid w:val="00E241DE"/>
    <w:rsid w:val="00E2559C"/>
    <w:rsid w:val="00E25E12"/>
    <w:rsid w:val="00E2652D"/>
    <w:rsid w:val="00E27B41"/>
    <w:rsid w:val="00E30A26"/>
    <w:rsid w:val="00E31AFC"/>
    <w:rsid w:val="00E32952"/>
    <w:rsid w:val="00E33221"/>
    <w:rsid w:val="00E33265"/>
    <w:rsid w:val="00E37112"/>
    <w:rsid w:val="00E40468"/>
    <w:rsid w:val="00E43FCA"/>
    <w:rsid w:val="00E47C38"/>
    <w:rsid w:val="00E52CD0"/>
    <w:rsid w:val="00E57477"/>
    <w:rsid w:val="00E60829"/>
    <w:rsid w:val="00E60AB1"/>
    <w:rsid w:val="00E61025"/>
    <w:rsid w:val="00E618C8"/>
    <w:rsid w:val="00E626FD"/>
    <w:rsid w:val="00E647C1"/>
    <w:rsid w:val="00E65B00"/>
    <w:rsid w:val="00E65B98"/>
    <w:rsid w:val="00E67948"/>
    <w:rsid w:val="00E703E3"/>
    <w:rsid w:val="00E867D9"/>
    <w:rsid w:val="00E876D5"/>
    <w:rsid w:val="00E90584"/>
    <w:rsid w:val="00E94E57"/>
    <w:rsid w:val="00E96E8D"/>
    <w:rsid w:val="00E97A97"/>
    <w:rsid w:val="00EA1CB4"/>
    <w:rsid w:val="00EA2220"/>
    <w:rsid w:val="00EA6421"/>
    <w:rsid w:val="00EA68E9"/>
    <w:rsid w:val="00EB2A10"/>
    <w:rsid w:val="00EB4D98"/>
    <w:rsid w:val="00EB4F52"/>
    <w:rsid w:val="00EC0A19"/>
    <w:rsid w:val="00EC0D8B"/>
    <w:rsid w:val="00EC1DB0"/>
    <w:rsid w:val="00EC39CE"/>
    <w:rsid w:val="00EC49B1"/>
    <w:rsid w:val="00EC6933"/>
    <w:rsid w:val="00EC7456"/>
    <w:rsid w:val="00EC7E33"/>
    <w:rsid w:val="00ED095B"/>
    <w:rsid w:val="00ED0A80"/>
    <w:rsid w:val="00ED0E45"/>
    <w:rsid w:val="00ED2E6E"/>
    <w:rsid w:val="00ED4518"/>
    <w:rsid w:val="00ED4BE2"/>
    <w:rsid w:val="00EE0031"/>
    <w:rsid w:val="00EE07C2"/>
    <w:rsid w:val="00EE2F7D"/>
    <w:rsid w:val="00EE3A04"/>
    <w:rsid w:val="00EE406E"/>
    <w:rsid w:val="00EE5044"/>
    <w:rsid w:val="00EE636E"/>
    <w:rsid w:val="00EE6E9B"/>
    <w:rsid w:val="00EF1595"/>
    <w:rsid w:val="00EF283A"/>
    <w:rsid w:val="00EF3AA2"/>
    <w:rsid w:val="00EF495C"/>
    <w:rsid w:val="00EF5655"/>
    <w:rsid w:val="00EF5C6A"/>
    <w:rsid w:val="00EF7EF6"/>
    <w:rsid w:val="00F058A8"/>
    <w:rsid w:val="00F0635D"/>
    <w:rsid w:val="00F07024"/>
    <w:rsid w:val="00F0749A"/>
    <w:rsid w:val="00F11F96"/>
    <w:rsid w:val="00F1328E"/>
    <w:rsid w:val="00F14776"/>
    <w:rsid w:val="00F1577A"/>
    <w:rsid w:val="00F176F4"/>
    <w:rsid w:val="00F23B5B"/>
    <w:rsid w:val="00F244BE"/>
    <w:rsid w:val="00F24FB5"/>
    <w:rsid w:val="00F27326"/>
    <w:rsid w:val="00F31985"/>
    <w:rsid w:val="00F32C80"/>
    <w:rsid w:val="00F36371"/>
    <w:rsid w:val="00F376AE"/>
    <w:rsid w:val="00F3773C"/>
    <w:rsid w:val="00F4035C"/>
    <w:rsid w:val="00F44411"/>
    <w:rsid w:val="00F44DFC"/>
    <w:rsid w:val="00F4575B"/>
    <w:rsid w:val="00F503F7"/>
    <w:rsid w:val="00F51DDA"/>
    <w:rsid w:val="00F52A65"/>
    <w:rsid w:val="00F53BD1"/>
    <w:rsid w:val="00F551EC"/>
    <w:rsid w:val="00F57432"/>
    <w:rsid w:val="00F60467"/>
    <w:rsid w:val="00F6159A"/>
    <w:rsid w:val="00F61B41"/>
    <w:rsid w:val="00F61CC2"/>
    <w:rsid w:val="00F67A69"/>
    <w:rsid w:val="00F72F75"/>
    <w:rsid w:val="00F75948"/>
    <w:rsid w:val="00F75BE5"/>
    <w:rsid w:val="00F81DC9"/>
    <w:rsid w:val="00F826B9"/>
    <w:rsid w:val="00F828C1"/>
    <w:rsid w:val="00F82E50"/>
    <w:rsid w:val="00F83026"/>
    <w:rsid w:val="00F83391"/>
    <w:rsid w:val="00F83491"/>
    <w:rsid w:val="00F84D00"/>
    <w:rsid w:val="00F91079"/>
    <w:rsid w:val="00F924EA"/>
    <w:rsid w:val="00F92C0D"/>
    <w:rsid w:val="00F93E43"/>
    <w:rsid w:val="00F942EA"/>
    <w:rsid w:val="00F95E91"/>
    <w:rsid w:val="00F95EDB"/>
    <w:rsid w:val="00F97B58"/>
    <w:rsid w:val="00FA03FA"/>
    <w:rsid w:val="00FA06BD"/>
    <w:rsid w:val="00FA150E"/>
    <w:rsid w:val="00FA2ECF"/>
    <w:rsid w:val="00FA2F1C"/>
    <w:rsid w:val="00FA4FFD"/>
    <w:rsid w:val="00FA630A"/>
    <w:rsid w:val="00FA7792"/>
    <w:rsid w:val="00FB06D4"/>
    <w:rsid w:val="00FB168A"/>
    <w:rsid w:val="00FB44C4"/>
    <w:rsid w:val="00FB4573"/>
    <w:rsid w:val="00FB5C5E"/>
    <w:rsid w:val="00FB6C82"/>
    <w:rsid w:val="00FC0BB2"/>
    <w:rsid w:val="00FC2AF4"/>
    <w:rsid w:val="00FC2F90"/>
    <w:rsid w:val="00FC65ED"/>
    <w:rsid w:val="00FC712D"/>
    <w:rsid w:val="00FD3250"/>
    <w:rsid w:val="00FD3CEC"/>
    <w:rsid w:val="00FD5A2F"/>
    <w:rsid w:val="00FD5D3C"/>
    <w:rsid w:val="00FE1837"/>
    <w:rsid w:val="00FE1FEC"/>
    <w:rsid w:val="00FE4693"/>
    <w:rsid w:val="00FF2336"/>
    <w:rsid w:val="00FF4679"/>
    <w:rsid w:val="00FF508A"/>
    <w:rsid w:val="00FF52A4"/>
    <w:rsid w:val="00FF5B9D"/>
    <w:rsid w:val="00FF7B9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FD5FE"/>
  <w15:docId w15:val="{6C652416-11B8-4C89-8104-E8AC374C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17A"/>
    <w:pPr>
      <w:widowControl w:val="0"/>
      <w:spacing w:after="0" w:line="240" w:lineRule="auto"/>
    </w:pPr>
    <w:rPr>
      <w:rFonts w:ascii="Times New Roman" w:eastAsia="SimSun" w:hAnsi="Times New Roman" w:cs="Times New Roman"/>
      <w:sz w:val="20"/>
      <w:szCs w:val="20"/>
      <w:lang w:val="en-GB"/>
    </w:rPr>
  </w:style>
  <w:style w:type="paragraph" w:styleId="Heading1">
    <w:name w:val="heading 1"/>
    <w:basedOn w:val="Normal"/>
    <w:link w:val="Heading1Char"/>
    <w:uiPriority w:val="9"/>
    <w:qFormat/>
    <w:rsid w:val="00905007"/>
    <w:pPr>
      <w:widowControl/>
      <w:spacing w:before="100" w:beforeAutospacing="1" w:after="100" w:afterAutospacing="1"/>
      <w:outlineLvl w:val="0"/>
    </w:pPr>
    <w:rPr>
      <w:rFonts w:eastAsia="Times New Roman"/>
      <w:b/>
      <w:bCs/>
      <w:kern w:val="36"/>
      <w:sz w:val="48"/>
      <w:szCs w:val="48"/>
      <w:lang w:val="nl-NL" w:eastAsia="nl-N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bstract-head">
    <w:name w:val="Els-Abstract-head"/>
    <w:next w:val="Normal"/>
    <w:rsid w:val="0094417A"/>
    <w:pPr>
      <w:keepNext/>
      <w:pBdr>
        <w:top w:val="single" w:sz="4" w:space="10" w:color="auto"/>
      </w:pBdr>
      <w:suppressAutoHyphens/>
      <w:spacing w:after="220" w:line="220" w:lineRule="exact"/>
    </w:pPr>
    <w:rPr>
      <w:rFonts w:ascii="Times New Roman" w:eastAsia="SimSun" w:hAnsi="Times New Roman" w:cs="Times New Roman"/>
      <w:b/>
      <w:sz w:val="18"/>
      <w:szCs w:val="20"/>
      <w:lang w:val="en-US"/>
    </w:rPr>
  </w:style>
  <w:style w:type="paragraph" w:customStyle="1" w:styleId="Els-Affiliation">
    <w:name w:val="Els-Affiliation"/>
    <w:next w:val="Els-Abstract-head"/>
    <w:rsid w:val="0094417A"/>
    <w:pPr>
      <w:suppressAutoHyphens/>
      <w:spacing w:after="0" w:line="200" w:lineRule="exact"/>
      <w:jc w:val="center"/>
    </w:pPr>
    <w:rPr>
      <w:rFonts w:ascii="Times New Roman" w:eastAsia="SimSun" w:hAnsi="Times New Roman" w:cs="Times New Roman"/>
      <w:i/>
      <w:noProof/>
      <w:sz w:val="16"/>
      <w:szCs w:val="20"/>
      <w:lang w:val="en-US"/>
    </w:rPr>
  </w:style>
  <w:style w:type="paragraph" w:customStyle="1" w:styleId="Els-Author">
    <w:name w:val="Els-Author"/>
    <w:next w:val="Normal"/>
    <w:rsid w:val="0094417A"/>
    <w:pPr>
      <w:keepNext/>
      <w:suppressAutoHyphens/>
      <w:spacing w:line="300" w:lineRule="exact"/>
      <w:jc w:val="center"/>
    </w:pPr>
    <w:rPr>
      <w:rFonts w:ascii="Times New Roman" w:eastAsia="SimSun" w:hAnsi="Times New Roman" w:cs="Times New Roman"/>
      <w:noProof/>
      <w:sz w:val="26"/>
      <w:szCs w:val="20"/>
      <w:lang w:val="en-US"/>
    </w:rPr>
  </w:style>
  <w:style w:type="paragraph" w:customStyle="1" w:styleId="Els-Title">
    <w:name w:val="Els-Title"/>
    <w:next w:val="Els-Author"/>
    <w:autoRedefine/>
    <w:rsid w:val="0094417A"/>
    <w:pPr>
      <w:suppressAutoHyphens/>
      <w:spacing w:after="240" w:line="400" w:lineRule="exact"/>
      <w:jc w:val="center"/>
    </w:pPr>
    <w:rPr>
      <w:rFonts w:ascii="Times New Roman" w:eastAsia="SimSun" w:hAnsi="Times New Roman" w:cs="Times New Roman"/>
      <w:sz w:val="34"/>
      <w:szCs w:val="20"/>
      <w:lang w:val="en-US"/>
    </w:rPr>
  </w:style>
  <w:style w:type="paragraph" w:customStyle="1" w:styleId="Els-keywords">
    <w:name w:val="Els-keywords"/>
    <w:next w:val="Normal"/>
    <w:rsid w:val="0094417A"/>
    <w:pPr>
      <w:pBdr>
        <w:bottom w:val="single" w:sz="4" w:space="10" w:color="auto"/>
      </w:pBdr>
      <w:spacing w:after="200" w:line="200" w:lineRule="exact"/>
    </w:pPr>
    <w:rPr>
      <w:rFonts w:ascii="Times New Roman" w:eastAsia="SimSun" w:hAnsi="Times New Roman" w:cs="Times New Roman"/>
      <w:noProof/>
      <w:sz w:val="16"/>
      <w:szCs w:val="20"/>
      <w:lang w:val="en-US"/>
    </w:rPr>
  </w:style>
  <w:style w:type="paragraph" w:customStyle="1" w:styleId="Els-1storder-head">
    <w:name w:val="Els-1storder-head"/>
    <w:next w:val="Normal"/>
    <w:rsid w:val="00116C1B"/>
    <w:pPr>
      <w:keepNext/>
      <w:numPr>
        <w:numId w:val="1"/>
      </w:numPr>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Normal"/>
    <w:rsid w:val="00116C1B"/>
    <w:pPr>
      <w:keepNext/>
      <w:numPr>
        <w:ilvl w:val="1"/>
        <w:numId w:val="1"/>
      </w:numPr>
      <w:suppressAutoHyphens/>
      <w:spacing w:before="240" w:after="240" w:line="240" w:lineRule="exact"/>
    </w:pPr>
    <w:rPr>
      <w:rFonts w:ascii="Times New Roman" w:eastAsia="SimSun" w:hAnsi="Times New Roman" w:cs="Times New Roman"/>
      <w:i/>
      <w:sz w:val="20"/>
      <w:szCs w:val="20"/>
      <w:lang w:val="en-US"/>
    </w:rPr>
  </w:style>
  <w:style w:type="paragraph" w:customStyle="1" w:styleId="Els-3rdorder-head">
    <w:name w:val="Els-3rdorder-head"/>
    <w:next w:val="Normal"/>
    <w:rsid w:val="00116C1B"/>
    <w:pPr>
      <w:keepNext/>
      <w:numPr>
        <w:ilvl w:val="2"/>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Normal"/>
    <w:rsid w:val="00116C1B"/>
    <w:pPr>
      <w:keepNext/>
      <w:numPr>
        <w:ilvl w:val="3"/>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figure">
    <w:name w:val="figure"/>
    <w:basedOn w:val="Normal"/>
    <w:qFormat/>
    <w:rsid w:val="00116C1B"/>
    <w:pPr>
      <w:widowControl/>
      <w:spacing w:line="360" w:lineRule="auto"/>
      <w:jc w:val="center"/>
    </w:pPr>
    <w:rPr>
      <w:rFonts w:ascii="Arial" w:eastAsiaTheme="minorHAnsi" w:hAnsi="Arial" w:cstheme="minorBidi"/>
      <w:i/>
      <w:sz w:val="22"/>
      <w:szCs w:val="22"/>
    </w:rPr>
  </w:style>
  <w:style w:type="table" w:styleId="TableGrid">
    <w:name w:val="Table Grid"/>
    <w:basedOn w:val="TableNormal"/>
    <w:uiPriority w:val="39"/>
    <w:unhideWhenUsed/>
    <w:rsid w:val="00116C1B"/>
    <w:pPr>
      <w:spacing w:after="0" w:line="240" w:lineRule="auto"/>
    </w:pPr>
    <w:rPr>
      <w:rFonts w:ascii="Times New Roman" w:hAnsi="Times New Roman" w:cs="Times New Roman"/>
      <w:sz w:val="20"/>
      <w:szCs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6acolori-colore51">
    <w:name w:val="Tabella griglia 6 a colori - colore 51"/>
    <w:basedOn w:val="TableNormal"/>
    <w:uiPriority w:val="51"/>
    <w:rsid w:val="00116C1B"/>
    <w:pPr>
      <w:spacing w:after="0" w:line="240" w:lineRule="auto"/>
    </w:pPr>
    <w:rPr>
      <w:color w:val="2E74B5" w:themeColor="accent5" w:themeShade="BF"/>
      <w:lang w:val="en-I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lagriglia6acolori-colore52">
    <w:name w:val="Tabella griglia 6 a colori - colore 52"/>
    <w:basedOn w:val="TableNormal"/>
    <w:uiPriority w:val="51"/>
    <w:rsid w:val="00116C1B"/>
    <w:pPr>
      <w:spacing w:after="0" w:line="240" w:lineRule="auto"/>
    </w:pPr>
    <w:rPr>
      <w:color w:val="2E74B5" w:themeColor="accent5" w:themeShade="BF"/>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BalloonText">
    <w:name w:val="Balloon Text"/>
    <w:basedOn w:val="Normal"/>
    <w:link w:val="BalloonTextChar"/>
    <w:uiPriority w:val="99"/>
    <w:semiHidden/>
    <w:unhideWhenUsed/>
    <w:rsid w:val="00116C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C1B"/>
    <w:rPr>
      <w:rFonts w:ascii="Segoe UI" w:eastAsia="SimSun" w:hAnsi="Segoe UI" w:cs="Segoe UI"/>
      <w:sz w:val="18"/>
      <w:szCs w:val="18"/>
      <w:lang w:val="en-GB"/>
    </w:rPr>
  </w:style>
  <w:style w:type="paragraph" w:styleId="Header">
    <w:name w:val="header"/>
    <w:basedOn w:val="Normal"/>
    <w:link w:val="HeaderChar"/>
    <w:uiPriority w:val="99"/>
    <w:unhideWhenUsed/>
    <w:rsid w:val="0082086B"/>
    <w:pPr>
      <w:tabs>
        <w:tab w:val="center" w:pos="4819"/>
        <w:tab w:val="right" w:pos="9638"/>
      </w:tabs>
    </w:pPr>
  </w:style>
  <w:style w:type="character" w:customStyle="1" w:styleId="HeaderChar">
    <w:name w:val="Header Char"/>
    <w:basedOn w:val="DefaultParagraphFont"/>
    <w:link w:val="Header"/>
    <w:uiPriority w:val="99"/>
    <w:rsid w:val="0082086B"/>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82086B"/>
    <w:pPr>
      <w:tabs>
        <w:tab w:val="center" w:pos="4819"/>
        <w:tab w:val="right" w:pos="9638"/>
      </w:tabs>
    </w:pPr>
  </w:style>
  <w:style w:type="character" w:customStyle="1" w:styleId="FooterChar">
    <w:name w:val="Footer Char"/>
    <w:basedOn w:val="DefaultParagraphFont"/>
    <w:link w:val="Footer"/>
    <w:uiPriority w:val="99"/>
    <w:rsid w:val="0082086B"/>
    <w:rPr>
      <w:rFonts w:ascii="Times New Roman" w:eastAsia="SimSun" w:hAnsi="Times New Roman" w:cs="Times New Roman"/>
      <w:sz w:val="20"/>
      <w:szCs w:val="20"/>
      <w:lang w:val="en-GB"/>
    </w:rPr>
  </w:style>
  <w:style w:type="character" w:styleId="CommentReference">
    <w:name w:val="annotation reference"/>
    <w:basedOn w:val="DefaultParagraphFont"/>
    <w:uiPriority w:val="99"/>
    <w:semiHidden/>
    <w:unhideWhenUsed/>
    <w:rsid w:val="00420C36"/>
    <w:rPr>
      <w:sz w:val="16"/>
      <w:szCs w:val="16"/>
    </w:rPr>
  </w:style>
  <w:style w:type="paragraph" w:styleId="CommentText">
    <w:name w:val="annotation text"/>
    <w:basedOn w:val="Normal"/>
    <w:link w:val="CommentTextChar"/>
    <w:uiPriority w:val="99"/>
    <w:semiHidden/>
    <w:unhideWhenUsed/>
    <w:rsid w:val="00420C36"/>
  </w:style>
  <w:style w:type="character" w:customStyle="1" w:styleId="CommentTextChar">
    <w:name w:val="Comment Text Char"/>
    <w:basedOn w:val="DefaultParagraphFont"/>
    <w:link w:val="CommentText"/>
    <w:uiPriority w:val="99"/>
    <w:semiHidden/>
    <w:rsid w:val="00420C36"/>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20C36"/>
    <w:rPr>
      <w:b/>
      <w:bCs/>
    </w:rPr>
  </w:style>
  <w:style w:type="character" w:customStyle="1" w:styleId="CommentSubjectChar">
    <w:name w:val="Comment Subject Char"/>
    <w:basedOn w:val="CommentTextChar"/>
    <w:link w:val="CommentSubject"/>
    <w:uiPriority w:val="99"/>
    <w:semiHidden/>
    <w:rsid w:val="00420C36"/>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rsid w:val="007C1B30"/>
    <w:rPr>
      <w:color w:val="808080"/>
    </w:rPr>
  </w:style>
  <w:style w:type="paragraph" w:styleId="ListParagraph">
    <w:name w:val="List Paragraph"/>
    <w:basedOn w:val="Normal"/>
    <w:uiPriority w:val="99"/>
    <w:qFormat/>
    <w:rsid w:val="00464CA0"/>
    <w:pPr>
      <w:widowControl/>
      <w:contextualSpacing/>
      <w:jc w:val="both"/>
    </w:pPr>
    <w:rPr>
      <w:rFonts w:ascii="Californian FB" w:eastAsiaTheme="minorHAnsi" w:hAnsi="Californian FB" w:cstheme="minorBidi"/>
      <w:sz w:val="24"/>
      <w:szCs w:val="22"/>
      <w:lang w:val="en-US"/>
    </w:rPr>
  </w:style>
  <w:style w:type="paragraph" w:styleId="Revision">
    <w:name w:val="Revision"/>
    <w:hidden/>
    <w:uiPriority w:val="99"/>
    <w:semiHidden/>
    <w:rsid w:val="006726BE"/>
    <w:pPr>
      <w:spacing w:after="0" w:line="240" w:lineRule="auto"/>
    </w:pPr>
    <w:rPr>
      <w:rFonts w:ascii="Times New Roman" w:eastAsia="SimSun" w:hAnsi="Times New Roman" w:cs="Times New Roman"/>
      <w:sz w:val="20"/>
      <w:szCs w:val="20"/>
      <w:lang w:val="en-GB"/>
    </w:rPr>
  </w:style>
  <w:style w:type="character" w:customStyle="1" w:styleId="Heading1Char">
    <w:name w:val="Heading 1 Char"/>
    <w:basedOn w:val="DefaultParagraphFont"/>
    <w:link w:val="Heading1"/>
    <w:uiPriority w:val="9"/>
    <w:rsid w:val="00905007"/>
    <w:rPr>
      <w:rFonts w:ascii="Times New Roman" w:eastAsia="Times New Roman" w:hAnsi="Times New Roman" w:cs="Times New Roman"/>
      <w:b/>
      <w:bCs/>
      <w:kern w:val="36"/>
      <w:sz w:val="48"/>
      <w:szCs w:val="48"/>
      <w:lang w:val="nl-NL" w:eastAsia="nl-NL" w:bidi="he-IL"/>
    </w:rPr>
  </w:style>
  <w:style w:type="character" w:customStyle="1" w:styleId="nlmarticle-title">
    <w:name w:val="nlm_article-title"/>
    <w:basedOn w:val="DefaultParagraphFont"/>
    <w:rsid w:val="00905007"/>
  </w:style>
  <w:style w:type="character" w:styleId="Hyperlink">
    <w:name w:val="Hyperlink"/>
    <w:basedOn w:val="DefaultParagraphFont"/>
    <w:uiPriority w:val="99"/>
    <w:semiHidden/>
    <w:unhideWhenUsed/>
    <w:rsid w:val="009050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39978">
      <w:bodyDiv w:val="1"/>
      <w:marLeft w:val="0"/>
      <w:marRight w:val="0"/>
      <w:marTop w:val="0"/>
      <w:marBottom w:val="0"/>
      <w:divBdr>
        <w:top w:val="none" w:sz="0" w:space="0" w:color="auto"/>
        <w:left w:val="none" w:sz="0" w:space="0" w:color="auto"/>
        <w:bottom w:val="none" w:sz="0" w:space="0" w:color="auto"/>
        <w:right w:val="none" w:sz="0" w:space="0" w:color="auto"/>
      </w:divBdr>
    </w:div>
    <w:div w:id="147675184">
      <w:bodyDiv w:val="1"/>
      <w:marLeft w:val="0"/>
      <w:marRight w:val="0"/>
      <w:marTop w:val="0"/>
      <w:marBottom w:val="0"/>
      <w:divBdr>
        <w:top w:val="none" w:sz="0" w:space="0" w:color="auto"/>
        <w:left w:val="none" w:sz="0" w:space="0" w:color="auto"/>
        <w:bottom w:val="none" w:sz="0" w:space="0" w:color="auto"/>
        <w:right w:val="none" w:sz="0" w:space="0" w:color="auto"/>
      </w:divBdr>
    </w:div>
    <w:div w:id="307563346">
      <w:bodyDiv w:val="1"/>
      <w:marLeft w:val="0"/>
      <w:marRight w:val="0"/>
      <w:marTop w:val="0"/>
      <w:marBottom w:val="0"/>
      <w:divBdr>
        <w:top w:val="none" w:sz="0" w:space="0" w:color="auto"/>
        <w:left w:val="none" w:sz="0" w:space="0" w:color="auto"/>
        <w:bottom w:val="none" w:sz="0" w:space="0" w:color="auto"/>
        <w:right w:val="none" w:sz="0" w:space="0" w:color="auto"/>
      </w:divBdr>
    </w:div>
    <w:div w:id="765150111">
      <w:bodyDiv w:val="1"/>
      <w:marLeft w:val="0"/>
      <w:marRight w:val="0"/>
      <w:marTop w:val="0"/>
      <w:marBottom w:val="0"/>
      <w:divBdr>
        <w:top w:val="none" w:sz="0" w:space="0" w:color="auto"/>
        <w:left w:val="none" w:sz="0" w:space="0" w:color="auto"/>
        <w:bottom w:val="none" w:sz="0" w:space="0" w:color="auto"/>
        <w:right w:val="none" w:sz="0" w:space="0" w:color="auto"/>
      </w:divBdr>
    </w:div>
    <w:div w:id="1182671754">
      <w:bodyDiv w:val="1"/>
      <w:marLeft w:val="0"/>
      <w:marRight w:val="0"/>
      <w:marTop w:val="0"/>
      <w:marBottom w:val="0"/>
      <w:divBdr>
        <w:top w:val="none" w:sz="0" w:space="0" w:color="auto"/>
        <w:left w:val="none" w:sz="0" w:space="0" w:color="auto"/>
        <w:bottom w:val="none" w:sz="0" w:space="0" w:color="auto"/>
        <w:right w:val="none" w:sz="0" w:space="0" w:color="auto"/>
      </w:divBdr>
    </w:div>
    <w:div w:id="1558588600">
      <w:bodyDiv w:val="1"/>
      <w:marLeft w:val="0"/>
      <w:marRight w:val="0"/>
      <w:marTop w:val="0"/>
      <w:marBottom w:val="0"/>
      <w:divBdr>
        <w:top w:val="none" w:sz="0" w:space="0" w:color="auto"/>
        <w:left w:val="none" w:sz="0" w:space="0" w:color="auto"/>
        <w:bottom w:val="none" w:sz="0" w:space="0" w:color="auto"/>
        <w:right w:val="none" w:sz="0" w:space="0" w:color="auto"/>
      </w:divBdr>
    </w:div>
    <w:div w:id="1826123145">
      <w:bodyDiv w:val="1"/>
      <w:marLeft w:val="0"/>
      <w:marRight w:val="0"/>
      <w:marTop w:val="0"/>
      <w:marBottom w:val="0"/>
      <w:divBdr>
        <w:top w:val="none" w:sz="0" w:space="0" w:color="auto"/>
        <w:left w:val="none" w:sz="0" w:space="0" w:color="auto"/>
        <w:bottom w:val="none" w:sz="0" w:space="0" w:color="auto"/>
        <w:right w:val="none" w:sz="0" w:space="0" w:color="auto"/>
      </w:divBdr>
    </w:div>
    <w:div w:id="188383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hart" Target="charts/chart1.xml"/><Relationship Id="rId18" Type="http://schemas.openxmlformats.org/officeDocument/2006/relationships/hyperlink" Target="https://doi.org/10.1080/21680566.2016.126759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ate\Desktop\graphs_VOCtim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ate\Desktop\frequenc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71159352458564"/>
          <c:y val="0.12740384196161525"/>
          <c:w val="0.82321148339849504"/>
          <c:h val="0.68377150530602271"/>
        </c:manualLayout>
      </c:layout>
      <c:lineChart>
        <c:grouping val="standard"/>
        <c:varyColors val="0"/>
        <c:ser>
          <c:idx val="0"/>
          <c:order val="0"/>
          <c:tx>
            <c:strRef>
              <c:f>vocbase!$M$3</c:f>
              <c:strCache>
                <c:ptCount val="1"/>
              </c:strCache>
            </c:strRef>
          </c:tx>
          <c:spPr>
            <a:ln w="12700" cap="rnd">
              <a:solidFill>
                <a:schemeClr val="accent1"/>
              </a:solidFill>
              <a:round/>
            </a:ln>
            <a:effectLst/>
          </c:spPr>
          <c:marker>
            <c:symbol val="none"/>
          </c:marker>
          <c:cat>
            <c:strRef>
              <c:f>vocbase!$M$5:$M$62</c:f>
              <c:strCache>
                <c:ptCount val="58"/>
                <c:pt idx="0">
                  <c:v>06:00</c:v>
                </c:pt>
                <c:pt idx="1">
                  <c:v>06:05</c:v>
                </c:pt>
                <c:pt idx="2">
                  <c:v>06:10</c:v>
                </c:pt>
                <c:pt idx="3">
                  <c:v>06:15</c:v>
                </c:pt>
                <c:pt idx="4">
                  <c:v>06:20</c:v>
                </c:pt>
                <c:pt idx="5">
                  <c:v>06:25</c:v>
                </c:pt>
                <c:pt idx="6">
                  <c:v>06:30</c:v>
                </c:pt>
                <c:pt idx="7">
                  <c:v>06:35</c:v>
                </c:pt>
                <c:pt idx="8">
                  <c:v>06:40</c:v>
                </c:pt>
                <c:pt idx="9">
                  <c:v>06:45</c:v>
                </c:pt>
                <c:pt idx="10">
                  <c:v>06:50</c:v>
                </c:pt>
                <c:pt idx="11">
                  <c:v>06:55</c:v>
                </c:pt>
                <c:pt idx="12">
                  <c:v>07:00</c:v>
                </c:pt>
                <c:pt idx="13">
                  <c:v>07:05</c:v>
                </c:pt>
                <c:pt idx="14">
                  <c:v>07:10</c:v>
                </c:pt>
                <c:pt idx="15">
                  <c:v>07:15</c:v>
                </c:pt>
                <c:pt idx="16">
                  <c:v>07:20</c:v>
                </c:pt>
                <c:pt idx="17">
                  <c:v>07:25</c:v>
                </c:pt>
                <c:pt idx="18">
                  <c:v>07:30</c:v>
                </c:pt>
                <c:pt idx="19">
                  <c:v>07:35</c:v>
                </c:pt>
                <c:pt idx="20">
                  <c:v>07:40</c:v>
                </c:pt>
                <c:pt idx="21">
                  <c:v>07:45</c:v>
                </c:pt>
                <c:pt idx="22">
                  <c:v>07:50</c:v>
                </c:pt>
                <c:pt idx="23">
                  <c:v>07:55</c:v>
                </c:pt>
                <c:pt idx="24">
                  <c:v>08:00</c:v>
                </c:pt>
                <c:pt idx="25">
                  <c:v>08:05</c:v>
                </c:pt>
                <c:pt idx="26">
                  <c:v>08:10</c:v>
                </c:pt>
                <c:pt idx="27">
                  <c:v>08:15</c:v>
                </c:pt>
                <c:pt idx="28">
                  <c:v>08:20</c:v>
                </c:pt>
                <c:pt idx="29">
                  <c:v>08:25</c:v>
                </c:pt>
                <c:pt idx="30">
                  <c:v>08:30</c:v>
                </c:pt>
                <c:pt idx="31">
                  <c:v>08:35</c:v>
                </c:pt>
                <c:pt idx="32">
                  <c:v>08:40</c:v>
                </c:pt>
                <c:pt idx="33">
                  <c:v>08:45</c:v>
                </c:pt>
                <c:pt idx="34">
                  <c:v>08:50</c:v>
                </c:pt>
                <c:pt idx="35">
                  <c:v>08:55</c:v>
                </c:pt>
                <c:pt idx="36">
                  <c:v>09:00</c:v>
                </c:pt>
                <c:pt idx="37">
                  <c:v>09:05</c:v>
                </c:pt>
                <c:pt idx="38">
                  <c:v>09:10</c:v>
                </c:pt>
                <c:pt idx="39">
                  <c:v>09:15</c:v>
                </c:pt>
                <c:pt idx="40">
                  <c:v>09:20</c:v>
                </c:pt>
                <c:pt idx="41">
                  <c:v>09:25</c:v>
                </c:pt>
                <c:pt idx="42">
                  <c:v>09:30</c:v>
                </c:pt>
                <c:pt idx="43">
                  <c:v>09:35</c:v>
                </c:pt>
                <c:pt idx="44">
                  <c:v>09:40</c:v>
                </c:pt>
                <c:pt idx="45">
                  <c:v>09:45</c:v>
                </c:pt>
                <c:pt idx="46">
                  <c:v>09:50</c:v>
                </c:pt>
                <c:pt idx="47">
                  <c:v>09:55</c:v>
                </c:pt>
                <c:pt idx="48">
                  <c:v>10:00</c:v>
                </c:pt>
                <c:pt idx="49">
                  <c:v>10:05</c:v>
                </c:pt>
                <c:pt idx="50">
                  <c:v>10:10</c:v>
                </c:pt>
                <c:pt idx="51">
                  <c:v>10:15</c:v>
                </c:pt>
                <c:pt idx="52">
                  <c:v>10:20</c:v>
                </c:pt>
                <c:pt idx="53">
                  <c:v>10:25</c:v>
                </c:pt>
                <c:pt idx="54">
                  <c:v>10:30</c:v>
                </c:pt>
                <c:pt idx="55">
                  <c:v>10:35</c:v>
                </c:pt>
                <c:pt idx="56">
                  <c:v>10:40</c:v>
                </c:pt>
                <c:pt idx="57">
                  <c:v>10:45</c:v>
                </c:pt>
              </c:strCache>
            </c:strRef>
          </c:cat>
          <c:val>
            <c:numRef>
              <c:f>vocbase!$O$5:$O$62</c:f>
              <c:numCache>
                <c:formatCode>General</c:formatCode>
                <c:ptCount val="58"/>
                <c:pt idx="0">
                  <c:v>0</c:v>
                </c:pt>
                <c:pt idx="1">
                  <c:v>0</c:v>
                </c:pt>
                <c:pt idx="2">
                  <c:v>0</c:v>
                </c:pt>
                <c:pt idx="3">
                  <c:v>0</c:v>
                </c:pt>
                <c:pt idx="4">
                  <c:v>0</c:v>
                </c:pt>
                <c:pt idx="5">
                  <c:v>0</c:v>
                </c:pt>
                <c:pt idx="6">
                  <c:v>0</c:v>
                </c:pt>
                <c:pt idx="7">
                  <c:v>0</c:v>
                </c:pt>
                <c:pt idx="8">
                  <c:v>0</c:v>
                </c:pt>
                <c:pt idx="9">
                  <c:v>0</c:v>
                </c:pt>
                <c:pt idx="10">
                  <c:v>0</c:v>
                </c:pt>
                <c:pt idx="11">
                  <c:v>0.10317099567099565</c:v>
                </c:pt>
                <c:pt idx="12">
                  <c:v>4.6526624171227833E-2</c:v>
                </c:pt>
                <c:pt idx="13">
                  <c:v>0.10374002231618577</c:v>
                </c:pt>
                <c:pt idx="14">
                  <c:v>0.14680679810700553</c:v>
                </c:pt>
                <c:pt idx="15">
                  <c:v>0.18082001370851367</c:v>
                </c:pt>
                <c:pt idx="16">
                  <c:v>0.20021400377400439</c:v>
                </c:pt>
                <c:pt idx="17">
                  <c:v>0.23035956991517917</c:v>
                </c:pt>
                <c:pt idx="18">
                  <c:v>0.24854759033117388</c:v>
                </c:pt>
                <c:pt idx="19">
                  <c:v>0.25872872315592932</c:v>
                </c:pt>
                <c:pt idx="20">
                  <c:v>0.27660714519617274</c:v>
                </c:pt>
                <c:pt idx="21">
                  <c:v>0.28476971215918595</c:v>
                </c:pt>
                <c:pt idx="22">
                  <c:v>0.29615258338783856</c:v>
                </c:pt>
                <c:pt idx="23">
                  <c:v>0.30118724891775045</c:v>
                </c:pt>
                <c:pt idx="24">
                  <c:v>0.28382638308788233</c:v>
                </c:pt>
                <c:pt idx="25">
                  <c:v>0.26188400707144605</c:v>
                </c:pt>
                <c:pt idx="26">
                  <c:v>0.22802392188041656</c:v>
                </c:pt>
                <c:pt idx="27">
                  <c:v>0.19532771537771532</c:v>
                </c:pt>
                <c:pt idx="28">
                  <c:v>0.16235224305608911</c:v>
                </c:pt>
                <c:pt idx="29">
                  <c:v>0.13796547000907974</c:v>
                </c:pt>
                <c:pt idx="30">
                  <c:v>0.10786046252337796</c:v>
                </c:pt>
                <c:pt idx="31">
                  <c:v>9.9373432366143793E-2</c:v>
                </c:pt>
                <c:pt idx="32">
                  <c:v>7.1018818277151549E-2</c:v>
                </c:pt>
                <c:pt idx="33">
                  <c:v>5.7722768881397414E-2</c:v>
                </c:pt>
                <c:pt idx="34">
                  <c:v>4.4439054834054831E-2</c:v>
                </c:pt>
                <c:pt idx="35">
                  <c:v>3.631326075884922E-2</c:v>
                </c:pt>
                <c:pt idx="36">
                  <c:v>3.5554560038070684E-2</c:v>
                </c:pt>
                <c:pt idx="37">
                  <c:v>3.2781097899848011E-2</c:v>
                </c:pt>
                <c:pt idx="38">
                  <c:v>3.3274950782385716E-2</c:v>
                </c:pt>
                <c:pt idx="39">
                  <c:v>2.4539401937931329E-2</c:v>
                </c:pt>
                <c:pt idx="40">
                  <c:v>2.2712269350035331E-2</c:v>
                </c:pt>
                <c:pt idx="41">
                  <c:v>2.0535031866281861E-2</c:v>
                </c:pt>
                <c:pt idx="42">
                  <c:v>1.3479019694297541E-2</c:v>
                </c:pt>
                <c:pt idx="43">
                  <c:v>9.4823546019198266E-3</c:v>
                </c:pt>
                <c:pt idx="44">
                  <c:v>6.4108567199084483E-3</c:v>
                </c:pt>
                <c:pt idx="45">
                  <c:v>4.8998582167186812E-3</c:v>
                </c:pt>
                <c:pt idx="46">
                  <c:v>5.2468855218855224E-3</c:v>
                </c:pt>
                <c:pt idx="47">
                  <c:v>3.0958994708994792E-3</c:v>
                </c:pt>
                <c:pt idx="48">
                  <c:v>2.2830128205128383E-3</c:v>
                </c:pt>
                <c:pt idx="49">
                  <c:v>2.4472857142857152E-3</c:v>
                </c:pt>
                <c:pt idx="50">
                  <c:v>2.0006448412698452E-3</c:v>
                </c:pt>
                <c:pt idx="51">
                  <c:v>1.2507936507936508E-3</c:v>
                </c:pt>
                <c:pt idx="52">
                  <c:v>1.0000000000000041E-3</c:v>
                </c:pt>
                <c:pt idx="53">
                  <c:v>0</c:v>
                </c:pt>
                <c:pt idx="54">
                  <c:v>0</c:v>
                </c:pt>
                <c:pt idx="55">
                  <c:v>1.0000000000000041E-3</c:v>
                </c:pt>
                <c:pt idx="56">
                  <c:v>1.0000000000000041E-3</c:v>
                </c:pt>
                <c:pt idx="57">
                  <c:v>0</c:v>
                </c:pt>
              </c:numCache>
            </c:numRef>
          </c:val>
          <c:smooth val="0"/>
          <c:extLst xmlns:c16r2="http://schemas.microsoft.com/office/drawing/2015/06/chart">
            <c:ext xmlns:c16="http://schemas.microsoft.com/office/drawing/2014/chart" uri="{C3380CC4-5D6E-409C-BE32-E72D297353CC}">
              <c16:uniqueId val="{00000000-21BB-4B82-8BAD-7716D01F04F2}"/>
            </c:ext>
          </c:extLst>
        </c:ser>
        <c:dLbls>
          <c:showLegendKey val="0"/>
          <c:showVal val="0"/>
          <c:showCatName val="0"/>
          <c:showSerName val="0"/>
          <c:showPercent val="0"/>
          <c:showBubbleSize val="0"/>
        </c:dLbls>
        <c:smooth val="0"/>
        <c:axId val="374023128"/>
        <c:axId val="374023520"/>
      </c:lineChart>
      <c:catAx>
        <c:axId val="374023128"/>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t-IT" sz="900"/>
                  <a:t>TIME</a:t>
                </a:r>
              </a:p>
            </c:rich>
          </c:tx>
          <c:layout>
            <c:manualLayout>
              <c:xMode val="edge"/>
              <c:yMode val="edge"/>
              <c:x val="0.44112079740032506"/>
              <c:y val="0.9260457779435984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74023520"/>
        <c:crosses val="autoZero"/>
        <c:auto val="1"/>
        <c:lblAlgn val="ctr"/>
        <c:lblOffset val="100"/>
        <c:noMultiLvlLbl val="0"/>
      </c:catAx>
      <c:valAx>
        <c:axId val="374023520"/>
        <c:scaling>
          <c:orientation val="minMax"/>
        </c:scaling>
        <c:delete val="0"/>
        <c:axPos val="l"/>
        <c:majorGridlines>
          <c:spPr>
            <a:ln w="317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t-IT" sz="900"/>
                  <a:t>VOC</a:t>
                </a:r>
              </a:p>
            </c:rich>
          </c:tx>
          <c:layout>
            <c:manualLayout>
              <c:xMode val="edge"/>
              <c:yMode val="edge"/>
              <c:x val="1.3111888111888202E-2"/>
              <c:y val="0.35292782915851401"/>
            </c:manualLayout>
          </c:layout>
          <c:overlay val="0"/>
          <c:spPr>
            <a:noFill/>
            <a:ln>
              <a:noFill/>
            </a:ln>
            <a:effectLst/>
          </c:spPr>
        </c:title>
        <c:numFmt formatCode="General" sourceLinked="1"/>
        <c:majorTickMark val="none"/>
        <c:minorTickMark val="none"/>
        <c:tickLblPos val="nextTo"/>
        <c:spPr>
          <a:noFill/>
          <a:ln>
            <a:solidFill>
              <a:schemeClr val="bg2"/>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740231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2374851174098788"/>
          <c:y val="3.8472107721901842E-2"/>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20739096939439144"/>
          <c:y val="0.16048364935421819"/>
          <c:w val="0.73670051726381136"/>
          <c:h val="0.64175413769899392"/>
        </c:manualLayout>
      </c:layout>
      <c:barChart>
        <c:barDir val="col"/>
        <c:grouping val="clustered"/>
        <c:varyColors val="0"/>
        <c:ser>
          <c:idx val="0"/>
          <c:order val="0"/>
          <c:tx>
            <c:strRef>
              <c:f>TORTA!$T$4</c:f>
              <c:strCache>
                <c:ptCount val="1"/>
                <c:pt idx="0">
                  <c:v>7:30 - 8:30 AM</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TORTA!$S$5:$S$14</c:f>
              <c:strCache>
                <c:ptCount val="10"/>
                <c:pt idx="0">
                  <c:v>0-0.1</c:v>
                </c:pt>
                <c:pt idx="1">
                  <c:v>0.1-0.2</c:v>
                </c:pt>
                <c:pt idx="2">
                  <c:v>0.2-0.3</c:v>
                </c:pt>
                <c:pt idx="3">
                  <c:v>0.3-0.4</c:v>
                </c:pt>
                <c:pt idx="4">
                  <c:v>0.4-0.5</c:v>
                </c:pt>
                <c:pt idx="5">
                  <c:v>0.5-0.6</c:v>
                </c:pt>
                <c:pt idx="6">
                  <c:v>0.6-0.7</c:v>
                </c:pt>
                <c:pt idx="7">
                  <c:v>0.7-0.8</c:v>
                </c:pt>
                <c:pt idx="8">
                  <c:v>0.8-0.9</c:v>
                </c:pt>
                <c:pt idx="9">
                  <c:v>0.9-1.0</c:v>
                </c:pt>
              </c:strCache>
            </c:strRef>
          </c:cat>
          <c:val>
            <c:numRef>
              <c:f>TORTA!$T$5:$T$14</c:f>
              <c:numCache>
                <c:formatCode>0.00</c:formatCode>
                <c:ptCount val="10"/>
                <c:pt idx="0">
                  <c:v>0.26514334985988358</c:v>
                </c:pt>
                <c:pt idx="1">
                  <c:v>0.23496443198965294</c:v>
                </c:pt>
                <c:pt idx="2">
                  <c:v>0.20672558741107996</c:v>
                </c:pt>
                <c:pt idx="3">
                  <c:v>0.11058417762448804</c:v>
                </c:pt>
                <c:pt idx="4">
                  <c:v>6.6393619314507504E-2</c:v>
                </c:pt>
                <c:pt idx="5">
                  <c:v>4.4406122009053813E-2</c:v>
                </c:pt>
                <c:pt idx="6">
                  <c:v>3.6214701444276812E-2</c:v>
                </c:pt>
                <c:pt idx="7">
                  <c:v>1.4227204138823019E-2</c:v>
                </c:pt>
                <c:pt idx="8">
                  <c:v>8.8381116619960839E-3</c:v>
                </c:pt>
                <c:pt idx="9">
                  <c:v>1.2502694546238421E-2</c:v>
                </c:pt>
              </c:numCache>
            </c:numRef>
          </c:val>
          <c:extLst xmlns:c16r2="http://schemas.microsoft.com/office/drawing/2015/06/chart">
            <c:ext xmlns:c16="http://schemas.microsoft.com/office/drawing/2014/chart" uri="{C3380CC4-5D6E-409C-BE32-E72D297353CC}">
              <c16:uniqueId val="{00000000-A46A-4D76-9049-3648925C332A}"/>
            </c:ext>
          </c:extLst>
        </c:ser>
        <c:dLbls>
          <c:showLegendKey val="0"/>
          <c:showVal val="0"/>
          <c:showCatName val="0"/>
          <c:showSerName val="0"/>
          <c:showPercent val="0"/>
          <c:showBubbleSize val="0"/>
        </c:dLbls>
        <c:gapWidth val="36"/>
        <c:overlap val="-27"/>
        <c:axId val="374024304"/>
        <c:axId val="374024696"/>
      </c:barChart>
      <c:catAx>
        <c:axId val="374024304"/>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t-IT" sz="800"/>
                  <a:t>VOC RATIO</a:t>
                </a:r>
              </a:p>
            </c:rich>
          </c:tx>
          <c:layout>
            <c:manualLayout>
              <c:xMode val="edge"/>
              <c:yMode val="edge"/>
              <c:x val="0.41482636144433938"/>
              <c:y val="0.9219565814784281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74024696"/>
        <c:crosses val="autoZero"/>
        <c:auto val="1"/>
        <c:lblAlgn val="ctr"/>
        <c:lblOffset val="100"/>
        <c:noMultiLvlLbl val="0"/>
      </c:catAx>
      <c:valAx>
        <c:axId val="374024696"/>
        <c:scaling>
          <c:orientation val="minMax"/>
        </c:scaling>
        <c:delete val="0"/>
        <c:axPos val="l"/>
        <c:majorGridlines>
          <c:spPr>
            <a:ln w="317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t-IT" sz="800"/>
                  <a:t>% OF VEHICLES</a:t>
                </a:r>
              </a:p>
            </c:rich>
          </c:tx>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740243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6702</Words>
  <Characters>38205</Characters>
  <Application>Microsoft Office Word</Application>
  <DocSecurity>4</DocSecurity>
  <Lines>318</Lines>
  <Paragraphs>89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TU Delft</Company>
  <LinksUpToDate>false</LinksUpToDate>
  <CharactersWithSpaces>44818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Caterina Malandri</dc:creator>
  <cp:lastModifiedBy>Gibson, Lyn</cp:lastModifiedBy>
  <cp:revision>2</cp:revision>
  <dcterms:created xsi:type="dcterms:W3CDTF">2018-03-27T15:10:00Z</dcterms:created>
  <dcterms:modified xsi:type="dcterms:W3CDTF">2018-03-27T15:10:00Z</dcterms:modified>
</cp:coreProperties>
</file>