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04751" w14:textId="70099DE7" w:rsidR="00C63F67" w:rsidRPr="009E1D9E" w:rsidRDefault="00C63F67" w:rsidP="00C63F67">
      <w:pPr>
        <w:jc w:val="center"/>
        <w:outlineLvl w:val="0"/>
        <w:rPr>
          <w:rFonts w:ascii="Arial" w:hAnsi="Arial" w:cs="Arial"/>
          <w:b/>
          <w:bCs/>
          <w:u w:val="single"/>
        </w:rPr>
      </w:pPr>
      <w:bookmarkStart w:id="0" w:name="_GoBack"/>
      <w:bookmarkEnd w:id="0"/>
      <w:r w:rsidRPr="009E1D9E">
        <w:rPr>
          <w:rFonts w:ascii="Arial" w:hAnsi="Arial" w:cs="Arial"/>
          <w:b/>
          <w:bCs/>
          <w:u w:val="single"/>
        </w:rPr>
        <w:t>Title</w:t>
      </w:r>
    </w:p>
    <w:p w14:paraId="412CEA48" w14:textId="5B6D8A4A" w:rsidR="00C63F67" w:rsidRPr="009E1D9E" w:rsidRDefault="00521685" w:rsidP="00C63F67">
      <w:pPr>
        <w:widowControl w:val="0"/>
        <w:autoSpaceDE w:val="0"/>
        <w:autoSpaceDN w:val="0"/>
        <w:adjustRightInd w:val="0"/>
        <w:spacing w:after="240" w:line="240" w:lineRule="atLeast"/>
        <w:jc w:val="center"/>
        <w:outlineLvl w:val="0"/>
        <w:rPr>
          <w:rFonts w:ascii="Arial" w:hAnsi="Arial" w:cs="Arial"/>
        </w:rPr>
      </w:pPr>
      <w:r w:rsidRPr="009E1D9E">
        <w:rPr>
          <w:rFonts w:ascii="Arial" w:hAnsi="Arial" w:cs="Arial"/>
        </w:rPr>
        <w:t>Hyper and Hypo-activation Affective Dysregulation</w:t>
      </w:r>
      <w:r w:rsidR="00AA017B" w:rsidRPr="009E1D9E">
        <w:rPr>
          <w:rFonts w:ascii="Arial" w:hAnsi="Arial" w:cs="Arial"/>
        </w:rPr>
        <w:t xml:space="preserve"> Symptoms are Integral in</w:t>
      </w:r>
      <w:r w:rsidR="00C63F67" w:rsidRPr="009E1D9E">
        <w:rPr>
          <w:rFonts w:ascii="Arial" w:hAnsi="Arial" w:cs="Arial"/>
        </w:rPr>
        <w:t xml:space="preserve"> Com</w:t>
      </w:r>
      <w:r w:rsidR="00106150" w:rsidRPr="009E1D9E">
        <w:rPr>
          <w:rFonts w:ascii="Arial" w:hAnsi="Arial" w:cs="Arial"/>
        </w:rPr>
        <w:t>plex PTSD (CPTSD)</w:t>
      </w:r>
      <w:r w:rsidR="00AA017B" w:rsidRPr="009E1D9E">
        <w:rPr>
          <w:rFonts w:ascii="Arial" w:hAnsi="Arial" w:cs="Arial"/>
        </w:rPr>
        <w:t>: Results from</w:t>
      </w:r>
      <w:r w:rsidR="0058136C" w:rsidRPr="009E1D9E">
        <w:rPr>
          <w:rFonts w:ascii="Arial" w:hAnsi="Arial" w:cs="Arial"/>
        </w:rPr>
        <w:t xml:space="preserve"> </w:t>
      </w:r>
      <w:r w:rsidR="00106150" w:rsidRPr="009E1D9E">
        <w:rPr>
          <w:rFonts w:ascii="Arial" w:hAnsi="Arial" w:cs="Arial"/>
        </w:rPr>
        <w:t xml:space="preserve">a </w:t>
      </w:r>
      <w:r w:rsidR="0058136C" w:rsidRPr="009E1D9E">
        <w:rPr>
          <w:rFonts w:ascii="Arial" w:hAnsi="Arial" w:cs="Arial"/>
        </w:rPr>
        <w:t xml:space="preserve">Non-Clinical </w:t>
      </w:r>
      <w:r w:rsidR="00106150" w:rsidRPr="009E1D9E">
        <w:rPr>
          <w:rFonts w:ascii="Arial" w:hAnsi="Arial" w:cs="Arial"/>
        </w:rPr>
        <w:t xml:space="preserve">Israeli </w:t>
      </w:r>
      <w:r w:rsidR="0058136C" w:rsidRPr="009E1D9E">
        <w:rPr>
          <w:rFonts w:ascii="Arial" w:hAnsi="Arial" w:cs="Arial"/>
        </w:rPr>
        <w:t>Sample</w:t>
      </w:r>
      <w:r w:rsidR="00AA017B" w:rsidRPr="009E1D9E">
        <w:rPr>
          <w:rFonts w:ascii="Arial" w:hAnsi="Arial" w:cs="Arial"/>
        </w:rPr>
        <w:t xml:space="preserve"> </w:t>
      </w:r>
      <w:r w:rsidR="0058136C" w:rsidRPr="009E1D9E">
        <w:rPr>
          <w:rFonts w:ascii="Arial" w:hAnsi="Arial" w:cs="Arial"/>
        </w:rPr>
        <w:t xml:space="preserve"> </w:t>
      </w:r>
    </w:p>
    <w:p w14:paraId="7324AFBC" w14:textId="77777777" w:rsidR="00C63F67" w:rsidRPr="009E1D9E" w:rsidRDefault="00C63F67" w:rsidP="00C63F67">
      <w:pPr>
        <w:widowControl w:val="0"/>
        <w:autoSpaceDE w:val="0"/>
        <w:autoSpaceDN w:val="0"/>
        <w:adjustRightInd w:val="0"/>
        <w:spacing w:after="240" w:line="240" w:lineRule="atLeast"/>
        <w:jc w:val="center"/>
        <w:outlineLvl w:val="0"/>
        <w:rPr>
          <w:rFonts w:ascii="Times" w:hAnsi="Times" w:cs="Times"/>
        </w:rPr>
      </w:pPr>
    </w:p>
    <w:p w14:paraId="6176A87F" w14:textId="77777777" w:rsidR="00C63F67" w:rsidRPr="009E1D9E" w:rsidRDefault="00C63F67" w:rsidP="00C63F67">
      <w:pPr>
        <w:outlineLvl w:val="0"/>
        <w:rPr>
          <w:rFonts w:ascii="Arial" w:hAnsi="Arial" w:cs="Arial"/>
          <w:b/>
          <w:bCs/>
          <w:u w:val="single"/>
        </w:rPr>
      </w:pPr>
      <w:r w:rsidRPr="009E1D9E">
        <w:rPr>
          <w:rFonts w:ascii="Arial" w:hAnsi="Arial" w:cs="Arial"/>
          <w:b/>
          <w:bCs/>
          <w:u w:val="single"/>
        </w:rPr>
        <w:t>Running Head</w:t>
      </w:r>
    </w:p>
    <w:p w14:paraId="202AEAE1" w14:textId="78C96D1B" w:rsidR="00C63F67" w:rsidRPr="009E1D9E" w:rsidRDefault="00C63F67" w:rsidP="00C63F67">
      <w:pPr>
        <w:outlineLvl w:val="0"/>
        <w:rPr>
          <w:rFonts w:ascii="Arial" w:hAnsi="Arial" w:cs="Arial"/>
        </w:rPr>
      </w:pPr>
      <w:r w:rsidRPr="009E1D9E">
        <w:rPr>
          <w:rFonts w:ascii="Arial" w:hAnsi="Arial" w:cs="Arial"/>
        </w:rPr>
        <w:t xml:space="preserve">PTSD &amp; CPTSD in </w:t>
      </w:r>
      <w:r w:rsidR="00A36C6E" w:rsidRPr="009E1D9E">
        <w:rPr>
          <w:rFonts w:ascii="Arial" w:hAnsi="Arial" w:cs="Arial"/>
        </w:rPr>
        <w:t>Non-Clinical Sample</w:t>
      </w:r>
    </w:p>
    <w:p w14:paraId="29816BF1" w14:textId="77777777" w:rsidR="00C63F67" w:rsidRPr="009E1D9E" w:rsidRDefault="00C63F67" w:rsidP="00C63F67">
      <w:pPr>
        <w:jc w:val="center"/>
        <w:outlineLvl w:val="0"/>
        <w:rPr>
          <w:rFonts w:ascii="Arial" w:hAnsi="Arial" w:cs="Arial"/>
          <w:b/>
          <w:bCs/>
          <w:u w:val="single"/>
        </w:rPr>
      </w:pPr>
    </w:p>
    <w:p w14:paraId="6516CAD9" w14:textId="08E98B6B" w:rsidR="00C63F67" w:rsidRPr="009E1D9E" w:rsidRDefault="007D22FD" w:rsidP="00C63F67">
      <w:pPr>
        <w:jc w:val="center"/>
        <w:outlineLvl w:val="0"/>
        <w:rPr>
          <w:rFonts w:ascii="Arial" w:hAnsi="Arial" w:cs="Arial"/>
          <w:vertAlign w:val="superscript"/>
        </w:rPr>
      </w:pPr>
      <w:r w:rsidRPr="009E1D9E">
        <w:rPr>
          <w:rFonts w:ascii="Arial" w:hAnsi="Arial" w:cs="Arial"/>
        </w:rPr>
        <w:t>Thanos Karatzias</w:t>
      </w:r>
      <w:r w:rsidRPr="009E1D9E">
        <w:rPr>
          <w:rFonts w:ascii="Arial" w:hAnsi="Arial" w:cs="Arial"/>
          <w:vertAlign w:val="superscript"/>
        </w:rPr>
        <w:t xml:space="preserve"> a,b</w:t>
      </w:r>
      <w:r w:rsidR="00CA5AD3" w:rsidRPr="009E1D9E">
        <w:rPr>
          <w:rFonts w:ascii="Arial" w:hAnsi="Arial" w:cs="Arial"/>
          <w:vertAlign w:val="superscript"/>
        </w:rPr>
        <w:t>,1</w:t>
      </w:r>
      <w:r w:rsidRPr="009E1D9E">
        <w:rPr>
          <w:rFonts w:ascii="Arial" w:hAnsi="Arial" w:cs="Arial"/>
        </w:rPr>
        <w:t>, Philip Hyland</w:t>
      </w:r>
      <w:r w:rsidRPr="009E1D9E">
        <w:rPr>
          <w:rFonts w:ascii="Arial" w:hAnsi="Arial" w:cs="Arial"/>
          <w:vertAlign w:val="superscript"/>
        </w:rPr>
        <w:t xml:space="preserve"> c</w:t>
      </w:r>
      <w:r w:rsidR="00A36C6E" w:rsidRPr="009E1D9E">
        <w:rPr>
          <w:rFonts w:ascii="Arial" w:hAnsi="Arial" w:cs="Arial"/>
        </w:rPr>
        <w:t xml:space="preserve">, </w:t>
      </w:r>
      <w:r w:rsidR="00C63F67" w:rsidRPr="009E1D9E">
        <w:rPr>
          <w:rFonts w:ascii="Arial" w:hAnsi="Arial" w:cs="Arial"/>
        </w:rPr>
        <w:t xml:space="preserve">Menachem Ben-Ezra </w:t>
      </w:r>
      <w:r w:rsidRPr="009E1D9E">
        <w:rPr>
          <w:rFonts w:ascii="Arial" w:hAnsi="Arial" w:cs="Arial"/>
          <w:vertAlign w:val="superscript"/>
        </w:rPr>
        <w:t>d</w:t>
      </w:r>
      <w:r w:rsidR="00A36C6E" w:rsidRPr="009E1D9E">
        <w:rPr>
          <w:rFonts w:ascii="Arial" w:hAnsi="Arial" w:cs="Arial"/>
          <w:vertAlign w:val="superscript"/>
        </w:rPr>
        <w:t xml:space="preserve"> </w:t>
      </w:r>
      <w:r w:rsidR="00A36C6E" w:rsidRPr="009E1D9E">
        <w:rPr>
          <w:rFonts w:ascii="Arial" w:hAnsi="Arial" w:cs="Arial"/>
        </w:rPr>
        <w:t>, M</w:t>
      </w:r>
      <w:r w:rsidR="00C63F67" w:rsidRPr="009E1D9E">
        <w:rPr>
          <w:rFonts w:ascii="Arial" w:hAnsi="Arial" w:cs="Arial"/>
        </w:rPr>
        <w:t xml:space="preserve">ark Shevlin </w:t>
      </w:r>
      <w:r w:rsidRPr="009E1D9E">
        <w:rPr>
          <w:rFonts w:ascii="Arial" w:hAnsi="Arial" w:cs="Arial"/>
          <w:vertAlign w:val="superscript"/>
        </w:rPr>
        <w:t>e</w:t>
      </w:r>
    </w:p>
    <w:p w14:paraId="3670DFEB" w14:textId="77777777" w:rsidR="00C63F67" w:rsidRPr="009E1D9E" w:rsidRDefault="00C63F67" w:rsidP="00C63F67">
      <w:pPr>
        <w:outlineLvl w:val="0"/>
        <w:rPr>
          <w:rFonts w:ascii="Arial" w:hAnsi="Arial" w:cs="Arial"/>
        </w:rPr>
      </w:pPr>
    </w:p>
    <w:p w14:paraId="234B023B" w14:textId="5645D0DF" w:rsidR="00C63F67" w:rsidRPr="009E1D9E" w:rsidRDefault="00C63F67" w:rsidP="00C63F67">
      <w:pPr>
        <w:outlineLvl w:val="0"/>
        <w:rPr>
          <w:rFonts w:ascii="Arial" w:hAnsi="Arial" w:cs="Arial"/>
        </w:rPr>
      </w:pPr>
      <w:r w:rsidRPr="009E1D9E">
        <w:rPr>
          <w:rFonts w:ascii="Arial" w:hAnsi="Arial" w:cs="Arial"/>
        </w:rPr>
        <w:t xml:space="preserve">T.K., P.H., </w:t>
      </w:r>
      <w:r w:rsidR="00CA5AD3" w:rsidRPr="009E1D9E">
        <w:rPr>
          <w:rFonts w:ascii="Arial" w:hAnsi="Arial" w:cs="Arial"/>
        </w:rPr>
        <w:t xml:space="preserve">M.B., </w:t>
      </w:r>
      <w:r w:rsidRPr="009E1D9E">
        <w:rPr>
          <w:rFonts w:ascii="Arial" w:hAnsi="Arial" w:cs="Arial"/>
        </w:rPr>
        <w:t xml:space="preserve">&amp; M.S. contributed equally to this paper and share equal responsibility. </w:t>
      </w:r>
    </w:p>
    <w:p w14:paraId="0FA14C55" w14:textId="77777777" w:rsidR="00C63F67" w:rsidRPr="009E1D9E" w:rsidRDefault="00C63F67" w:rsidP="00C63F67">
      <w:pPr>
        <w:outlineLvl w:val="0"/>
        <w:rPr>
          <w:rFonts w:ascii="Arial" w:hAnsi="Arial" w:cs="Arial"/>
        </w:rPr>
      </w:pPr>
    </w:p>
    <w:p w14:paraId="39FA0384" w14:textId="77777777" w:rsidR="00C63F67" w:rsidRPr="009E1D9E" w:rsidRDefault="00C63F67" w:rsidP="00C63F67">
      <w:pPr>
        <w:outlineLvl w:val="0"/>
        <w:rPr>
          <w:rFonts w:ascii="Arial" w:hAnsi="Arial" w:cs="Arial"/>
          <w:b/>
          <w:bCs/>
          <w:u w:val="single"/>
        </w:rPr>
      </w:pPr>
      <w:r w:rsidRPr="009E1D9E">
        <w:rPr>
          <w:rFonts w:ascii="Arial" w:hAnsi="Arial" w:cs="Arial"/>
          <w:b/>
          <w:bCs/>
          <w:u w:val="single"/>
        </w:rPr>
        <w:t>Affiliations</w:t>
      </w:r>
    </w:p>
    <w:p w14:paraId="47659FFE" w14:textId="77777777" w:rsidR="00C63F67" w:rsidRPr="009E1D9E" w:rsidRDefault="00C63F67" w:rsidP="00C63F67">
      <w:pPr>
        <w:outlineLvl w:val="0"/>
        <w:rPr>
          <w:rFonts w:ascii="Arial" w:hAnsi="Arial" w:cs="Arial"/>
          <w:b/>
          <w:bCs/>
          <w:u w:val="single"/>
        </w:rPr>
      </w:pPr>
    </w:p>
    <w:p w14:paraId="08A3ED8F" w14:textId="733B257B" w:rsidR="007D22FD" w:rsidRPr="009E1D9E" w:rsidRDefault="007D22FD" w:rsidP="007D22FD">
      <w:pPr>
        <w:outlineLvl w:val="0"/>
        <w:rPr>
          <w:rFonts w:ascii="Arial" w:hAnsi="Arial" w:cs="Arial"/>
        </w:rPr>
      </w:pPr>
      <w:proofErr w:type="gramStart"/>
      <w:r w:rsidRPr="009E1D9E">
        <w:rPr>
          <w:rFonts w:ascii="Arial" w:hAnsi="Arial" w:cs="Arial"/>
          <w:vertAlign w:val="superscript"/>
        </w:rPr>
        <w:t>a</w:t>
      </w:r>
      <w:proofErr w:type="gramEnd"/>
      <w:r w:rsidRPr="009E1D9E">
        <w:rPr>
          <w:rFonts w:ascii="Arial" w:hAnsi="Arial" w:cs="Arial"/>
        </w:rPr>
        <w:t xml:space="preserve"> Edinburgh Napier University, School of Health and Social Care, Edinburgh, UK (T.Karatzias@napier.ac.uk)</w:t>
      </w:r>
    </w:p>
    <w:p w14:paraId="13DD33AF" w14:textId="3F19C80F" w:rsidR="007D22FD" w:rsidRPr="009E1D9E" w:rsidRDefault="007D22FD" w:rsidP="007D22FD">
      <w:pPr>
        <w:outlineLvl w:val="0"/>
        <w:rPr>
          <w:rFonts w:ascii="Arial" w:hAnsi="Arial" w:cs="Arial"/>
        </w:rPr>
      </w:pPr>
      <w:r w:rsidRPr="009E1D9E">
        <w:rPr>
          <w:rFonts w:ascii="Arial" w:hAnsi="Arial" w:cs="Arial"/>
          <w:vertAlign w:val="superscript"/>
        </w:rPr>
        <w:t>b</w:t>
      </w:r>
      <w:r w:rsidRPr="009E1D9E">
        <w:rPr>
          <w:rFonts w:ascii="Arial" w:hAnsi="Arial" w:cs="Arial"/>
        </w:rPr>
        <w:t xml:space="preserve"> NHS Lothian, Rivers Centre for Traumatic Stress, Edinburgh, UK </w:t>
      </w:r>
    </w:p>
    <w:p w14:paraId="1E6C3855" w14:textId="5B1CC256" w:rsidR="007D22FD" w:rsidRPr="009E1D9E" w:rsidRDefault="007D22FD" w:rsidP="007D22FD">
      <w:pPr>
        <w:outlineLvl w:val="0"/>
        <w:rPr>
          <w:rFonts w:ascii="Arial" w:hAnsi="Arial" w:cs="Arial"/>
        </w:rPr>
      </w:pPr>
      <w:r w:rsidRPr="009E1D9E">
        <w:rPr>
          <w:rFonts w:ascii="Arial" w:hAnsi="Arial" w:cs="Arial"/>
          <w:vertAlign w:val="superscript"/>
        </w:rPr>
        <w:t>c</w:t>
      </w:r>
      <w:r w:rsidRPr="009E1D9E">
        <w:rPr>
          <w:rFonts w:ascii="Arial" w:hAnsi="Arial" w:cs="Arial"/>
        </w:rPr>
        <w:t xml:space="preserve"> National College of Ireland, School of Business, Dublin, Ireland (Philip.Hyland@ncirl.ie)</w:t>
      </w:r>
    </w:p>
    <w:p w14:paraId="20B7A03A" w14:textId="1652F3E2" w:rsidR="00C63F67" w:rsidRPr="009E1D9E" w:rsidDel="00106150" w:rsidRDefault="007D22FD" w:rsidP="00C63F67">
      <w:pPr>
        <w:outlineLvl w:val="0"/>
        <w:rPr>
          <w:rFonts w:ascii="Arial" w:hAnsi="Arial" w:cs="Arial"/>
        </w:rPr>
      </w:pPr>
      <w:r w:rsidRPr="009E1D9E" w:rsidDel="00106150">
        <w:rPr>
          <w:rFonts w:ascii="Arial" w:hAnsi="Arial" w:cs="Arial"/>
          <w:vertAlign w:val="superscript"/>
        </w:rPr>
        <w:t>d</w:t>
      </w:r>
      <w:r w:rsidR="00C63F67" w:rsidRPr="009E1D9E" w:rsidDel="00106150">
        <w:rPr>
          <w:rFonts w:ascii="Arial" w:hAnsi="Arial" w:cs="Arial"/>
        </w:rPr>
        <w:t xml:space="preserve"> School of Social Work, Ariel University, Ariel, Israel (menbe@ariel.ac.il)</w:t>
      </w:r>
    </w:p>
    <w:p w14:paraId="4831FBE7" w14:textId="61C521AF" w:rsidR="00C63F67" w:rsidRPr="009E1D9E" w:rsidRDefault="007D22FD" w:rsidP="00C63F67">
      <w:pPr>
        <w:outlineLvl w:val="0"/>
        <w:rPr>
          <w:rFonts w:ascii="Arial" w:hAnsi="Arial" w:cs="Arial"/>
        </w:rPr>
      </w:pPr>
      <w:r w:rsidRPr="009E1D9E">
        <w:rPr>
          <w:rFonts w:ascii="Arial" w:hAnsi="Arial" w:cs="Arial"/>
          <w:vertAlign w:val="superscript"/>
        </w:rPr>
        <w:lastRenderedPageBreak/>
        <w:t>e</w:t>
      </w:r>
      <w:r w:rsidR="00C63F67" w:rsidRPr="009E1D9E">
        <w:rPr>
          <w:rFonts w:ascii="Arial" w:hAnsi="Arial" w:cs="Arial"/>
        </w:rPr>
        <w:t xml:space="preserve"> Ulster University, School of Psychology and Psychology Research Institute, Magee Campus, Derry, Northern Ireland, Ireland</w:t>
      </w:r>
      <w:r w:rsidR="0081264A" w:rsidRPr="009E1D9E">
        <w:rPr>
          <w:rFonts w:ascii="Arial" w:hAnsi="Arial" w:cs="Arial"/>
        </w:rPr>
        <w:t xml:space="preserve"> (m.shevlin@ulster.ac.uk)</w:t>
      </w:r>
    </w:p>
    <w:p w14:paraId="40999FA4" w14:textId="77777777" w:rsidR="00C63F67" w:rsidRPr="009E1D9E" w:rsidRDefault="00C63F67" w:rsidP="00C63F67">
      <w:pPr>
        <w:outlineLvl w:val="0"/>
        <w:rPr>
          <w:rFonts w:ascii="Arial" w:hAnsi="Arial" w:cs="Arial"/>
          <w:vertAlign w:val="superscript"/>
        </w:rPr>
      </w:pPr>
    </w:p>
    <w:p w14:paraId="608E1E6F" w14:textId="6D481B41" w:rsidR="00C63F67" w:rsidRPr="009E1D9E" w:rsidRDefault="00C63F67" w:rsidP="00C63F67">
      <w:pPr>
        <w:outlineLvl w:val="0"/>
        <w:rPr>
          <w:rFonts w:ascii="Arial" w:hAnsi="Arial" w:cs="Arial"/>
        </w:rPr>
      </w:pPr>
      <w:r w:rsidRPr="009E1D9E">
        <w:rPr>
          <w:rFonts w:ascii="Arial" w:hAnsi="Arial" w:cs="Arial"/>
          <w:vertAlign w:val="superscript"/>
        </w:rPr>
        <w:t>1</w:t>
      </w:r>
      <w:r w:rsidRPr="009E1D9E">
        <w:rPr>
          <w:rFonts w:ascii="Arial" w:hAnsi="Arial" w:cs="Arial"/>
          <w:b/>
          <w:bCs/>
          <w:u w:val="single"/>
        </w:rPr>
        <w:t>Address for Correspondence</w:t>
      </w:r>
      <w:r w:rsidRPr="009E1D9E">
        <w:rPr>
          <w:rFonts w:ascii="Arial" w:hAnsi="Arial" w:cs="Arial"/>
        </w:rPr>
        <w:t xml:space="preserve">: </w:t>
      </w:r>
      <w:r w:rsidR="0081264A" w:rsidRPr="009E1D9E">
        <w:rPr>
          <w:rFonts w:ascii="Arial" w:hAnsi="Arial" w:cs="Arial"/>
        </w:rPr>
        <w:t xml:space="preserve">T.Karatzias@napier.ac.uk </w:t>
      </w:r>
    </w:p>
    <w:p w14:paraId="47326995" w14:textId="77777777" w:rsidR="00C63F67" w:rsidRPr="009E1D9E" w:rsidRDefault="00C63F67" w:rsidP="00C63F67">
      <w:pPr>
        <w:jc w:val="right"/>
        <w:outlineLvl w:val="0"/>
        <w:rPr>
          <w:rFonts w:ascii="Arial" w:hAnsi="Arial" w:cs="Arial"/>
        </w:rPr>
      </w:pPr>
    </w:p>
    <w:p w14:paraId="74094A20" w14:textId="19FA3443" w:rsidR="00C63F67" w:rsidRPr="009E1D9E" w:rsidRDefault="00C63F67" w:rsidP="00BA06A7">
      <w:pPr>
        <w:widowControl w:val="0"/>
        <w:tabs>
          <w:tab w:val="right" w:pos="9026"/>
        </w:tabs>
        <w:autoSpaceDE w:val="0"/>
        <w:autoSpaceDN w:val="0"/>
        <w:adjustRightInd w:val="0"/>
        <w:spacing w:after="240" w:line="480" w:lineRule="auto"/>
        <w:rPr>
          <w:rFonts w:ascii="Arial" w:hAnsi="Arial" w:cs="Arial"/>
        </w:rPr>
      </w:pPr>
      <w:r w:rsidRPr="009E1D9E">
        <w:rPr>
          <w:rFonts w:ascii="Arial" w:hAnsi="Arial" w:cs="Arial"/>
        </w:rPr>
        <w:t>Keywords: ICD-11, PTSD, CPTSD, CFA</w:t>
      </w:r>
      <w:r w:rsidR="00BA06A7" w:rsidRPr="009E1D9E">
        <w:rPr>
          <w:rFonts w:ascii="Arial" w:hAnsi="Arial" w:cs="Arial"/>
        </w:rPr>
        <w:tab/>
      </w:r>
    </w:p>
    <w:p w14:paraId="479484D3" w14:textId="77777777" w:rsidR="00110CB8" w:rsidRPr="009E1D9E" w:rsidRDefault="00110CB8" w:rsidP="00D45337">
      <w:pPr>
        <w:spacing w:line="480" w:lineRule="auto"/>
        <w:rPr>
          <w:rFonts w:ascii="Arial" w:hAnsi="Arial" w:cs="Arial"/>
          <w:b/>
          <w:sz w:val="24"/>
          <w:szCs w:val="24"/>
        </w:rPr>
      </w:pPr>
    </w:p>
    <w:p w14:paraId="688316D1" w14:textId="77777777" w:rsidR="00110CB8" w:rsidRPr="009E1D9E" w:rsidRDefault="00110CB8" w:rsidP="00D45337">
      <w:pPr>
        <w:spacing w:line="480" w:lineRule="auto"/>
        <w:rPr>
          <w:rFonts w:ascii="Arial" w:hAnsi="Arial" w:cs="Arial"/>
          <w:b/>
          <w:sz w:val="24"/>
          <w:szCs w:val="24"/>
        </w:rPr>
      </w:pPr>
    </w:p>
    <w:p w14:paraId="4965EE81" w14:textId="77777777" w:rsidR="00110CB8" w:rsidRPr="009E1D9E" w:rsidRDefault="00110CB8" w:rsidP="00D45337">
      <w:pPr>
        <w:spacing w:line="480" w:lineRule="auto"/>
        <w:rPr>
          <w:rFonts w:ascii="Arial" w:hAnsi="Arial" w:cs="Arial"/>
          <w:b/>
          <w:sz w:val="24"/>
          <w:szCs w:val="24"/>
        </w:rPr>
      </w:pPr>
    </w:p>
    <w:p w14:paraId="7149C1CD" w14:textId="77777777" w:rsidR="004E2966" w:rsidRPr="009E1D9E" w:rsidRDefault="004E2966" w:rsidP="00D45337">
      <w:pPr>
        <w:spacing w:line="480" w:lineRule="auto"/>
        <w:rPr>
          <w:rFonts w:ascii="Arial" w:hAnsi="Arial" w:cs="Arial"/>
          <w:b/>
          <w:sz w:val="24"/>
          <w:szCs w:val="24"/>
        </w:rPr>
      </w:pPr>
    </w:p>
    <w:p w14:paraId="359CD7EC" w14:textId="77777777" w:rsidR="004E2966" w:rsidRPr="009E1D9E" w:rsidRDefault="004E2966" w:rsidP="00D45337">
      <w:pPr>
        <w:spacing w:line="480" w:lineRule="auto"/>
        <w:rPr>
          <w:rFonts w:ascii="Arial" w:hAnsi="Arial" w:cs="Arial"/>
          <w:b/>
          <w:sz w:val="24"/>
          <w:szCs w:val="24"/>
        </w:rPr>
      </w:pPr>
    </w:p>
    <w:p w14:paraId="68D17D3A" w14:textId="242AAFDB" w:rsidR="00D45337" w:rsidRPr="009E1D9E" w:rsidRDefault="00D45337" w:rsidP="00D45337">
      <w:pPr>
        <w:spacing w:line="480" w:lineRule="auto"/>
        <w:rPr>
          <w:rFonts w:ascii="Arial" w:hAnsi="Arial" w:cs="Arial"/>
          <w:b/>
          <w:sz w:val="24"/>
          <w:szCs w:val="24"/>
        </w:rPr>
      </w:pPr>
      <w:r w:rsidRPr="009E1D9E">
        <w:rPr>
          <w:rFonts w:ascii="Arial" w:hAnsi="Arial" w:cs="Arial"/>
          <w:b/>
          <w:sz w:val="24"/>
          <w:szCs w:val="24"/>
        </w:rPr>
        <w:t>Abstract</w:t>
      </w:r>
    </w:p>
    <w:p w14:paraId="47BDFCC0" w14:textId="1FF9FC3D" w:rsidR="00D45337" w:rsidRPr="009E1D9E" w:rsidRDefault="006D18B3" w:rsidP="00D45337">
      <w:pPr>
        <w:shd w:val="clear" w:color="auto" w:fill="FFFFFF"/>
        <w:spacing w:line="480" w:lineRule="auto"/>
        <w:ind w:firstLine="720"/>
        <w:rPr>
          <w:rFonts w:ascii="Arial" w:hAnsi="Arial" w:cs="Arial"/>
          <w:sz w:val="24"/>
          <w:szCs w:val="24"/>
        </w:rPr>
      </w:pPr>
      <w:r w:rsidRPr="009E1D9E">
        <w:rPr>
          <w:rFonts w:ascii="Arial" w:hAnsi="Arial" w:cs="Arial"/>
          <w:sz w:val="24"/>
          <w:szCs w:val="24"/>
        </w:rPr>
        <w:lastRenderedPageBreak/>
        <w:t>Objectives</w:t>
      </w:r>
      <w:r w:rsidR="00D45337" w:rsidRPr="009E1D9E">
        <w:rPr>
          <w:rFonts w:ascii="Arial" w:hAnsi="Arial" w:cs="Arial"/>
          <w:sz w:val="24"/>
          <w:szCs w:val="24"/>
        </w:rPr>
        <w:t xml:space="preserve">: The current study sought to </w:t>
      </w:r>
      <w:r w:rsidR="004B292E" w:rsidRPr="009E1D9E">
        <w:rPr>
          <w:rFonts w:ascii="Arial" w:hAnsi="Arial" w:cs="Arial"/>
          <w:sz w:val="24"/>
          <w:szCs w:val="24"/>
        </w:rPr>
        <w:t xml:space="preserve">further </w:t>
      </w:r>
      <w:r w:rsidR="00521685" w:rsidRPr="009E1D9E">
        <w:rPr>
          <w:rFonts w:ascii="Arial" w:hAnsi="Arial" w:cs="Arial"/>
          <w:sz w:val="24"/>
          <w:szCs w:val="24"/>
        </w:rPr>
        <w:t>assess</w:t>
      </w:r>
      <w:r w:rsidR="004B292E" w:rsidRPr="009E1D9E">
        <w:rPr>
          <w:rFonts w:ascii="Arial" w:hAnsi="Arial" w:cs="Arial"/>
          <w:sz w:val="24"/>
          <w:szCs w:val="24"/>
        </w:rPr>
        <w:t xml:space="preserve"> the</w:t>
      </w:r>
      <w:r w:rsidR="00521685" w:rsidRPr="009E1D9E">
        <w:rPr>
          <w:rFonts w:ascii="Arial" w:hAnsi="Arial" w:cs="Arial"/>
          <w:sz w:val="24"/>
          <w:szCs w:val="24"/>
        </w:rPr>
        <w:t xml:space="preserve"> nature of the</w:t>
      </w:r>
      <w:r w:rsidR="004B292E" w:rsidRPr="009E1D9E">
        <w:rPr>
          <w:rFonts w:ascii="Arial" w:hAnsi="Arial" w:cs="Arial"/>
          <w:sz w:val="24"/>
          <w:szCs w:val="24"/>
        </w:rPr>
        <w:t xml:space="preserve"> </w:t>
      </w:r>
      <w:r w:rsidR="008837B9" w:rsidRPr="009E1D9E">
        <w:rPr>
          <w:rFonts w:ascii="Arial" w:hAnsi="Arial" w:cs="Arial"/>
          <w:sz w:val="24"/>
          <w:szCs w:val="24"/>
        </w:rPr>
        <w:t xml:space="preserve">Affect </w:t>
      </w:r>
      <w:r w:rsidR="005C2AAD" w:rsidRPr="009E1D9E">
        <w:rPr>
          <w:rFonts w:ascii="Arial" w:hAnsi="Arial" w:cs="Arial"/>
          <w:sz w:val="24"/>
          <w:szCs w:val="24"/>
        </w:rPr>
        <w:t>Dysr</w:t>
      </w:r>
      <w:r w:rsidR="008837B9" w:rsidRPr="009E1D9E">
        <w:rPr>
          <w:rFonts w:ascii="Arial" w:hAnsi="Arial" w:cs="Arial"/>
          <w:sz w:val="24"/>
          <w:szCs w:val="24"/>
        </w:rPr>
        <w:t xml:space="preserve">egulation (AD) cluster </w:t>
      </w:r>
      <w:r w:rsidR="00D45337" w:rsidRPr="009E1D9E">
        <w:rPr>
          <w:rFonts w:ascii="Arial" w:hAnsi="Arial" w:cs="Arial"/>
          <w:sz w:val="24"/>
          <w:szCs w:val="24"/>
        </w:rPr>
        <w:t>of the ICD-11 proposal</w:t>
      </w:r>
      <w:r w:rsidR="008837B9" w:rsidRPr="009E1D9E">
        <w:rPr>
          <w:rFonts w:ascii="Arial" w:hAnsi="Arial" w:cs="Arial"/>
          <w:sz w:val="24"/>
          <w:szCs w:val="24"/>
        </w:rPr>
        <w:t xml:space="preserve"> for </w:t>
      </w:r>
      <w:r w:rsidR="00D45337" w:rsidRPr="009E1D9E">
        <w:rPr>
          <w:rFonts w:ascii="Arial" w:hAnsi="Arial" w:cs="Arial"/>
          <w:sz w:val="24"/>
          <w:szCs w:val="24"/>
        </w:rPr>
        <w:t>C</w:t>
      </w:r>
      <w:r w:rsidR="005C2AAD" w:rsidRPr="009E1D9E">
        <w:rPr>
          <w:rFonts w:ascii="Arial" w:hAnsi="Arial" w:cs="Arial"/>
          <w:sz w:val="24"/>
          <w:szCs w:val="24"/>
        </w:rPr>
        <w:t xml:space="preserve">omplex </w:t>
      </w:r>
      <w:r w:rsidR="00D45337" w:rsidRPr="009E1D9E">
        <w:rPr>
          <w:rFonts w:ascii="Arial" w:hAnsi="Arial" w:cs="Arial"/>
          <w:sz w:val="24"/>
          <w:szCs w:val="24"/>
        </w:rPr>
        <w:t>PTSD</w:t>
      </w:r>
      <w:r w:rsidR="005C2AAD" w:rsidRPr="009E1D9E">
        <w:rPr>
          <w:rFonts w:ascii="Arial" w:hAnsi="Arial" w:cs="Arial"/>
          <w:sz w:val="24"/>
          <w:szCs w:val="24"/>
        </w:rPr>
        <w:t xml:space="preserve"> (CPTSD)</w:t>
      </w:r>
      <w:r w:rsidR="00D45337" w:rsidRPr="009E1D9E">
        <w:rPr>
          <w:rFonts w:ascii="Arial" w:hAnsi="Arial" w:cs="Arial"/>
          <w:sz w:val="24"/>
          <w:szCs w:val="24"/>
        </w:rPr>
        <w:t xml:space="preserve"> in a </w:t>
      </w:r>
      <w:r w:rsidR="00AF7D5F" w:rsidRPr="009E1D9E">
        <w:rPr>
          <w:rFonts w:ascii="Arial" w:hAnsi="Arial" w:cs="Arial"/>
          <w:sz w:val="24"/>
          <w:szCs w:val="24"/>
        </w:rPr>
        <w:t>non-clinical sample</w:t>
      </w:r>
      <w:r w:rsidR="00D45337" w:rsidRPr="009E1D9E">
        <w:rPr>
          <w:rFonts w:ascii="Arial" w:hAnsi="Arial" w:cs="Arial"/>
          <w:sz w:val="24"/>
          <w:szCs w:val="24"/>
        </w:rPr>
        <w:t>.</w:t>
      </w:r>
    </w:p>
    <w:p w14:paraId="5E96340E" w14:textId="24E32972" w:rsidR="00D45337" w:rsidRPr="009E1D9E" w:rsidRDefault="00D45337" w:rsidP="00D45337">
      <w:pPr>
        <w:shd w:val="clear" w:color="auto" w:fill="FFFFFF"/>
        <w:spacing w:line="480" w:lineRule="auto"/>
        <w:ind w:firstLine="720"/>
        <w:rPr>
          <w:rFonts w:ascii="Arial" w:hAnsi="Arial" w:cs="Arial"/>
          <w:sz w:val="24"/>
          <w:szCs w:val="24"/>
        </w:rPr>
      </w:pPr>
      <w:r w:rsidRPr="009E1D9E">
        <w:rPr>
          <w:rFonts w:ascii="Arial" w:hAnsi="Arial" w:cs="Arial"/>
          <w:sz w:val="24"/>
          <w:szCs w:val="24"/>
        </w:rPr>
        <w:t>Methods: A</w:t>
      </w:r>
      <w:r w:rsidR="00AF7D5F" w:rsidRPr="009E1D9E">
        <w:rPr>
          <w:rFonts w:ascii="Arial" w:hAnsi="Arial" w:cs="Arial"/>
          <w:sz w:val="24"/>
          <w:szCs w:val="24"/>
        </w:rPr>
        <w:t xml:space="preserve">n online survey </w:t>
      </w:r>
      <w:r w:rsidRPr="009E1D9E">
        <w:rPr>
          <w:rFonts w:ascii="Arial" w:hAnsi="Arial" w:cs="Arial"/>
          <w:sz w:val="24"/>
          <w:szCs w:val="24"/>
        </w:rPr>
        <w:t xml:space="preserve">sample from Israel (n = </w:t>
      </w:r>
      <w:r w:rsidR="00AF7D5F" w:rsidRPr="009E1D9E">
        <w:rPr>
          <w:rFonts w:ascii="Arial" w:hAnsi="Arial" w:cs="Arial"/>
          <w:sz w:val="24"/>
          <w:szCs w:val="24"/>
        </w:rPr>
        <w:t>618</w:t>
      </w:r>
      <w:r w:rsidRPr="009E1D9E">
        <w:rPr>
          <w:rFonts w:ascii="Arial" w:hAnsi="Arial" w:cs="Arial"/>
          <w:sz w:val="24"/>
          <w:szCs w:val="24"/>
        </w:rPr>
        <w:t xml:space="preserve">) </w:t>
      </w:r>
      <w:r w:rsidR="00521685" w:rsidRPr="009E1D9E">
        <w:rPr>
          <w:rFonts w:ascii="Arial" w:hAnsi="Arial" w:cs="Arial"/>
          <w:sz w:val="24"/>
          <w:szCs w:val="24"/>
        </w:rPr>
        <w:t>completed</w:t>
      </w:r>
      <w:r w:rsidRPr="009E1D9E">
        <w:rPr>
          <w:rFonts w:ascii="Arial" w:hAnsi="Arial" w:cs="Arial"/>
          <w:sz w:val="24"/>
          <w:szCs w:val="24"/>
        </w:rPr>
        <w:t xml:space="preserve"> a disorder-specific measure (ITQ; International Trauma Questionnaire) </w:t>
      </w:r>
      <w:r w:rsidR="004E2966" w:rsidRPr="009E1D9E">
        <w:rPr>
          <w:rFonts w:ascii="Arial" w:hAnsi="Arial" w:cs="Arial"/>
          <w:sz w:val="24"/>
          <w:szCs w:val="24"/>
        </w:rPr>
        <w:t>of</w:t>
      </w:r>
      <w:r w:rsidRPr="009E1D9E">
        <w:rPr>
          <w:rFonts w:ascii="Arial" w:hAnsi="Arial" w:cs="Arial"/>
          <w:sz w:val="24"/>
          <w:szCs w:val="24"/>
        </w:rPr>
        <w:t xml:space="preserve"> PTSD and CPTSD </w:t>
      </w:r>
      <w:r w:rsidR="00521685" w:rsidRPr="009E1D9E">
        <w:rPr>
          <w:rFonts w:ascii="Arial" w:hAnsi="Arial" w:cs="Arial"/>
          <w:sz w:val="24"/>
          <w:szCs w:val="24"/>
        </w:rPr>
        <w:t>along</w:t>
      </w:r>
      <w:r w:rsidRPr="009E1D9E">
        <w:rPr>
          <w:rFonts w:ascii="Arial" w:hAnsi="Arial" w:cs="Arial"/>
          <w:sz w:val="24"/>
          <w:szCs w:val="24"/>
        </w:rPr>
        <w:t xml:space="preserve"> with the Life Events Checklist and the World Health Organization Well-Being Index.</w:t>
      </w:r>
    </w:p>
    <w:p w14:paraId="4357E2EA" w14:textId="7AE96D9E" w:rsidR="00D45337" w:rsidRPr="009E1D9E" w:rsidRDefault="00D45337" w:rsidP="00D45337">
      <w:pPr>
        <w:shd w:val="clear" w:color="auto" w:fill="FFFFFF"/>
        <w:spacing w:line="480" w:lineRule="auto"/>
        <w:ind w:firstLine="720"/>
        <w:rPr>
          <w:rFonts w:ascii="Arial" w:hAnsi="Arial" w:cs="Arial"/>
          <w:sz w:val="24"/>
          <w:szCs w:val="24"/>
        </w:rPr>
      </w:pPr>
      <w:r w:rsidRPr="009E1D9E">
        <w:rPr>
          <w:rFonts w:ascii="Arial" w:hAnsi="Arial" w:cs="Arial"/>
          <w:sz w:val="24"/>
          <w:szCs w:val="24"/>
        </w:rPr>
        <w:t xml:space="preserve">Results:  </w:t>
      </w:r>
      <w:r w:rsidR="00521685" w:rsidRPr="009E1D9E">
        <w:rPr>
          <w:rFonts w:ascii="Arial" w:hAnsi="Arial" w:cs="Arial"/>
          <w:sz w:val="24"/>
          <w:szCs w:val="24"/>
        </w:rPr>
        <w:t>Estimated prevalence rates of PTSD and CPTSD were 9.2% and 1.0%, respectively. Confirmatory factor analysis results indicated that AD symptoms are better conceived as two correlated dimensions of h</w:t>
      </w:r>
      <w:r w:rsidR="004E2966" w:rsidRPr="009E1D9E">
        <w:rPr>
          <w:rFonts w:ascii="Arial" w:hAnsi="Arial" w:cs="Arial"/>
          <w:sz w:val="24"/>
          <w:szCs w:val="24"/>
        </w:rPr>
        <w:t>yper</w:t>
      </w:r>
      <w:r w:rsidR="005C2AAD" w:rsidRPr="009E1D9E">
        <w:rPr>
          <w:rFonts w:ascii="Arial" w:hAnsi="Arial" w:cs="Arial"/>
          <w:sz w:val="24"/>
          <w:szCs w:val="24"/>
        </w:rPr>
        <w:t>-</w:t>
      </w:r>
      <w:r w:rsidR="00521685" w:rsidRPr="009E1D9E">
        <w:rPr>
          <w:rFonts w:ascii="Arial" w:hAnsi="Arial" w:cs="Arial"/>
          <w:sz w:val="24"/>
          <w:szCs w:val="24"/>
        </w:rPr>
        <w:t xml:space="preserve"> and h</w:t>
      </w:r>
      <w:r w:rsidR="004E2966" w:rsidRPr="009E1D9E">
        <w:rPr>
          <w:rFonts w:ascii="Arial" w:hAnsi="Arial" w:cs="Arial"/>
          <w:sz w:val="24"/>
          <w:szCs w:val="24"/>
        </w:rPr>
        <w:t>ypo</w:t>
      </w:r>
      <w:r w:rsidR="005C2AAD" w:rsidRPr="009E1D9E">
        <w:rPr>
          <w:rFonts w:ascii="Arial" w:hAnsi="Arial" w:cs="Arial"/>
          <w:sz w:val="24"/>
          <w:szCs w:val="24"/>
        </w:rPr>
        <w:t xml:space="preserve">-activation </w:t>
      </w:r>
      <w:r w:rsidR="004E2966" w:rsidRPr="009E1D9E">
        <w:rPr>
          <w:rFonts w:ascii="Arial" w:hAnsi="Arial" w:cs="Arial"/>
          <w:sz w:val="24"/>
          <w:szCs w:val="24"/>
        </w:rPr>
        <w:t>symptom</w:t>
      </w:r>
      <w:r w:rsidR="00521685" w:rsidRPr="009E1D9E">
        <w:rPr>
          <w:rFonts w:ascii="Arial" w:hAnsi="Arial" w:cs="Arial"/>
          <w:sz w:val="24"/>
          <w:szCs w:val="24"/>
        </w:rPr>
        <w:t>s. Latent class analysis results indicated that CPTSD was clearly distinguishable</w:t>
      </w:r>
      <w:r w:rsidR="00D36694" w:rsidRPr="009E1D9E">
        <w:rPr>
          <w:rFonts w:ascii="Arial" w:hAnsi="Arial" w:cs="Arial"/>
          <w:sz w:val="24"/>
          <w:szCs w:val="24"/>
        </w:rPr>
        <w:t xml:space="preserve"> from PTSD</w:t>
      </w:r>
      <w:r w:rsidRPr="009E1D9E">
        <w:rPr>
          <w:rFonts w:ascii="Arial" w:hAnsi="Arial" w:cs="Arial"/>
          <w:sz w:val="24"/>
          <w:szCs w:val="24"/>
        </w:rPr>
        <w:t>.</w:t>
      </w:r>
      <w:r w:rsidR="00521685" w:rsidRPr="009E1D9E">
        <w:rPr>
          <w:rFonts w:ascii="Arial" w:hAnsi="Arial" w:cs="Arial"/>
          <w:sz w:val="24"/>
          <w:szCs w:val="24"/>
        </w:rPr>
        <w:t xml:space="preserve"> CPTSD class membership was associated with higher levels of traumatization and poorer psychological wellbeing scores. </w:t>
      </w:r>
      <w:r w:rsidR="008837B9" w:rsidRPr="009E1D9E">
        <w:rPr>
          <w:rFonts w:ascii="Arial" w:hAnsi="Arial" w:cs="Arial"/>
          <w:sz w:val="24"/>
          <w:szCs w:val="24"/>
        </w:rPr>
        <w:t xml:space="preserve"> </w:t>
      </w:r>
    </w:p>
    <w:p w14:paraId="774E7475" w14:textId="57E0D602" w:rsidR="00D45337" w:rsidRPr="009E1D9E" w:rsidRDefault="00D45337" w:rsidP="004E2966">
      <w:pPr>
        <w:shd w:val="clear" w:color="auto" w:fill="FFFFFF"/>
        <w:spacing w:line="480" w:lineRule="auto"/>
        <w:ind w:firstLine="720"/>
        <w:rPr>
          <w:rFonts w:ascii="Arial" w:hAnsi="Arial" w:cs="Arial"/>
          <w:sz w:val="24"/>
          <w:szCs w:val="24"/>
        </w:rPr>
      </w:pPr>
      <w:r w:rsidRPr="009E1D9E">
        <w:rPr>
          <w:rFonts w:ascii="Arial" w:hAnsi="Arial" w:cs="Arial"/>
          <w:sz w:val="24"/>
          <w:szCs w:val="24"/>
        </w:rPr>
        <w:lastRenderedPageBreak/>
        <w:t xml:space="preserve">Conclusions: </w:t>
      </w:r>
      <w:r w:rsidR="0005744C" w:rsidRPr="009E1D9E">
        <w:rPr>
          <w:rFonts w:ascii="Arial" w:hAnsi="Arial" w:cs="Arial"/>
          <w:sz w:val="24"/>
          <w:szCs w:val="24"/>
        </w:rPr>
        <w:t>Findings</w:t>
      </w:r>
      <w:r w:rsidRPr="009E1D9E">
        <w:rPr>
          <w:rFonts w:ascii="Arial" w:hAnsi="Arial" w:cs="Arial"/>
          <w:sz w:val="24"/>
          <w:szCs w:val="24"/>
        </w:rPr>
        <w:t xml:space="preserve"> support the discriminant validity of the ICD-11 proposals for PTSD and CPTSD in a </w:t>
      </w:r>
      <w:r w:rsidR="003459EA" w:rsidRPr="009E1D9E">
        <w:rPr>
          <w:rFonts w:ascii="Arial" w:hAnsi="Arial" w:cs="Arial"/>
          <w:sz w:val="24"/>
          <w:szCs w:val="24"/>
        </w:rPr>
        <w:t xml:space="preserve">non-clinical </w:t>
      </w:r>
      <w:r w:rsidR="004A6891" w:rsidRPr="009E1D9E">
        <w:rPr>
          <w:rFonts w:ascii="Arial" w:hAnsi="Arial" w:cs="Arial"/>
          <w:sz w:val="24"/>
          <w:szCs w:val="24"/>
        </w:rPr>
        <w:t>sample using</w:t>
      </w:r>
      <w:r w:rsidRPr="009E1D9E">
        <w:rPr>
          <w:rFonts w:ascii="Arial" w:hAnsi="Arial" w:cs="Arial"/>
          <w:sz w:val="24"/>
          <w:szCs w:val="24"/>
        </w:rPr>
        <w:t xml:space="preserve"> a disorder-specific measure</w:t>
      </w:r>
      <w:r w:rsidR="00D36694" w:rsidRPr="009E1D9E">
        <w:rPr>
          <w:rFonts w:ascii="Arial" w:hAnsi="Arial" w:cs="Arial"/>
          <w:sz w:val="24"/>
          <w:szCs w:val="24"/>
        </w:rPr>
        <w:t>.</w:t>
      </w:r>
      <w:r w:rsidRPr="009E1D9E">
        <w:rPr>
          <w:rFonts w:ascii="Arial" w:hAnsi="Arial" w:cs="Arial"/>
          <w:sz w:val="24"/>
          <w:szCs w:val="24"/>
        </w:rPr>
        <w:t xml:space="preserve"> </w:t>
      </w:r>
      <w:r w:rsidR="0005744C" w:rsidRPr="009E1D9E">
        <w:rPr>
          <w:rFonts w:ascii="Arial" w:hAnsi="Arial" w:cs="Arial"/>
          <w:sz w:val="24"/>
          <w:szCs w:val="24"/>
        </w:rPr>
        <w:t>The results provide further evidence that the final symptom profile for CPTSD in ICD-11 should model the</w:t>
      </w:r>
      <w:r w:rsidR="008837B9" w:rsidRPr="009E1D9E">
        <w:rPr>
          <w:rFonts w:ascii="Arial" w:hAnsi="Arial" w:cs="Arial"/>
          <w:sz w:val="24"/>
          <w:szCs w:val="24"/>
        </w:rPr>
        <w:t xml:space="preserve"> AD cluster </w:t>
      </w:r>
      <w:r w:rsidR="0005744C" w:rsidRPr="009E1D9E">
        <w:rPr>
          <w:rFonts w:ascii="Arial" w:hAnsi="Arial" w:cs="Arial"/>
          <w:sz w:val="24"/>
          <w:szCs w:val="24"/>
        </w:rPr>
        <w:t>using</w:t>
      </w:r>
      <w:r w:rsidR="004E2966" w:rsidRPr="009E1D9E">
        <w:rPr>
          <w:rFonts w:ascii="Arial" w:hAnsi="Arial" w:cs="Arial"/>
          <w:sz w:val="24"/>
          <w:szCs w:val="24"/>
        </w:rPr>
        <w:t xml:space="preserve"> both </w:t>
      </w:r>
      <w:r w:rsidR="008837B9" w:rsidRPr="009E1D9E">
        <w:rPr>
          <w:rFonts w:ascii="Arial" w:hAnsi="Arial" w:cs="Arial"/>
          <w:sz w:val="24"/>
          <w:szCs w:val="24"/>
        </w:rPr>
        <w:t>hyper</w:t>
      </w:r>
      <w:r w:rsidR="005C2AAD" w:rsidRPr="009E1D9E">
        <w:rPr>
          <w:rFonts w:ascii="Arial" w:hAnsi="Arial" w:cs="Arial"/>
          <w:sz w:val="24"/>
          <w:szCs w:val="24"/>
        </w:rPr>
        <w:t>-</w:t>
      </w:r>
      <w:r w:rsidR="008837B9" w:rsidRPr="009E1D9E">
        <w:rPr>
          <w:rFonts w:ascii="Arial" w:hAnsi="Arial" w:cs="Arial"/>
          <w:sz w:val="24"/>
          <w:szCs w:val="24"/>
        </w:rPr>
        <w:t xml:space="preserve"> and hypo</w:t>
      </w:r>
      <w:r w:rsidR="00BA06A7" w:rsidRPr="009E1D9E">
        <w:rPr>
          <w:rFonts w:ascii="Arial" w:hAnsi="Arial" w:cs="Arial"/>
          <w:sz w:val="24"/>
          <w:szCs w:val="24"/>
        </w:rPr>
        <w:t>-activation</w:t>
      </w:r>
      <w:r w:rsidR="008837B9" w:rsidRPr="009E1D9E">
        <w:rPr>
          <w:rFonts w:ascii="Arial" w:hAnsi="Arial" w:cs="Arial"/>
          <w:sz w:val="24"/>
          <w:szCs w:val="24"/>
        </w:rPr>
        <w:t xml:space="preserve"> sympto</w:t>
      </w:r>
      <w:r w:rsidR="0005744C" w:rsidRPr="009E1D9E">
        <w:rPr>
          <w:rFonts w:ascii="Arial" w:hAnsi="Arial" w:cs="Arial"/>
          <w:sz w:val="24"/>
          <w:szCs w:val="24"/>
        </w:rPr>
        <w:t>ms.</w:t>
      </w:r>
    </w:p>
    <w:p w14:paraId="677EEA2F" w14:textId="7CAD6D0D" w:rsidR="0005744C" w:rsidRPr="009E1D9E" w:rsidRDefault="0005744C" w:rsidP="004E2966">
      <w:pPr>
        <w:shd w:val="clear" w:color="auto" w:fill="FFFFFF"/>
        <w:spacing w:line="480" w:lineRule="auto"/>
        <w:ind w:firstLine="720"/>
        <w:rPr>
          <w:rFonts w:ascii="Arial" w:hAnsi="Arial" w:cs="Arial"/>
          <w:sz w:val="24"/>
          <w:szCs w:val="24"/>
        </w:rPr>
      </w:pPr>
      <w:r w:rsidRPr="009E1D9E">
        <w:rPr>
          <w:rFonts w:ascii="Arial" w:hAnsi="Arial" w:cs="Arial"/>
          <w:sz w:val="24"/>
          <w:szCs w:val="24"/>
        </w:rPr>
        <w:t>Keywords: PTSD; Complex PTSD; CFA; LCA; psychological wellbeing.</w:t>
      </w:r>
    </w:p>
    <w:p w14:paraId="17D6B6AD" w14:textId="77777777" w:rsidR="00D45337" w:rsidRPr="009E1D9E" w:rsidRDefault="00D45337" w:rsidP="00D45337">
      <w:pPr>
        <w:spacing w:line="480" w:lineRule="auto"/>
        <w:rPr>
          <w:rFonts w:ascii="Arial" w:hAnsi="Arial" w:cs="Arial"/>
          <w:b/>
          <w:sz w:val="24"/>
          <w:szCs w:val="24"/>
        </w:rPr>
      </w:pPr>
    </w:p>
    <w:p w14:paraId="232ABC3A" w14:textId="7E079153" w:rsidR="00D45337" w:rsidRPr="009E1D9E" w:rsidRDefault="00D45337" w:rsidP="00D45337">
      <w:pPr>
        <w:spacing w:line="480" w:lineRule="auto"/>
        <w:rPr>
          <w:rFonts w:ascii="Arial" w:hAnsi="Arial" w:cs="Arial"/>
          <w:b/>
          <w:sz w:val="24"/>
          <w:szCs w:val="24"/>
        </w:rPr>
      </w:pPr>
    </w:p>
    <w:p w14:paraId="035F2573" w14:textId="742C6FD6" w:rsidR="00D36694" w:rsidRPr="009E1D9E" w:rsidRDefault="00D36694" w:rsidP="00D45337">
      <w:pPr>
        <w:spacing w:line="480" w:lineRule="auto"/>
        <w:rPr>
          <w:rFonts w:ascii="Arial" w:hAnsi="Arial" w:cs="Arial"/>
          <w:b/>
          <w:sz w:val="24"/>
          <w:szCs w:val="24"/>
        </w:rPr>
      </w:pPr>
    </w:p>
    <w:p w14:paraId="3983CB72" w14:textId="77777777" w:rsidR="00D45337" w:rsidRPr="009E1D9E" w:rsidRDefault="00D45337" w:rsidP="00110CB8">
      <w:pPr>
        <w:spacing w:after="0" w:line="480" w:lineRule="auto"/>
        <w:rPr>
          <w:rFonts w:ascii="Arial" w:hAnsi="Arial" w:cs="Arial"/>
          <w:b/>
          <w:sz w:val="24"/>
          <w:szCs w:val="24"/>
        </w:rPr>
      </w:pPr>
      <w:r w:rsidRPr="009E1D9E">
        <w:rPr>
          <w:rFonts w:ascii="Arial" w:hAnsi="Arial" w:cs="Arial"/>
          <w:b/>
          <w:sz w:val="24"/>
          <w:szCs w:val="24"/>
        </w:rPr>
        <w:t>Introduction</w:t>
      </w:r>
    </w:p>
    <w:p w14:paraId="63496181" w14:textId="3FBB0979" w:rsidR="001A1209" w:rsidRPr="009E1D9E" w:rsidRDefault="00D45337" w:rsidP="001A1209">
      <w:pPr>
        <w:spacing w:after="0" w:line="480" w:lineRule="auto"/>
        <w:ind w:firstLine="720"/>
        <w:rPr>
          <w:rFonts w:ascii="Arial" w:hAnsi="Arial" w:cs="Arial"/>
          <w:sz w:val="24"/>
          <w:szCs w:val="24"/>
        </w:rPr>
      </w:pPr>
      <w:r w:rsidRPr="009E1D9E">
        <w:rPr>
          <w:rFonts w:ascii="Arial" w:hAnsi="Arial" w:cs="Arial"/>
          <w:sz w:val="24"/>
          <w:szCs w:val="24"/>
        </w:rPr>
        <w:t>Two ‘sibling disorders’ have been proposed for the 11</w:t>
      </w:r>
      <w:r w:rsidRPr="009E1D9E">
        <w:rPr>
          <w:rFonts w:ascii="Arial" w:hAnsi="Arial" w:cs="Arial"/>
          <w:sz w:val="24"/>
          <w:szCs w:val="24"/>
          <w:vertAlign w:val="superscript"/>
        </w:rPr>
        <w:t>th</w:t>
      </w:r>
      <w:r w:rsidRPr="009E1D9E">
        <w:rPr>
          <w:rFonts w:ascii="Arial" w:hAnsi="Arial" w:cs="Arial"/>
          <w:sz w:val="24"/>
          <w:szCs w:val="24"/>
        </w:rPr>
        <w:t xml:space="preserve"> version of the </w:t>
      </w:r>
      <w:r w:rsidRPr="009E1D9E">
        <w:rPr>
          <w:rFonts w:ascii="Arial" w:hAnsi="Arial" w:cs="Arial"/>
          <w:i/>
          <w:sz w:val="24"/>
          <w:szCs w:val="24"/>
        </w:rPr>
        <w:t>International Classification of Diseases</w:t>
      </w:r>
      <w:r w:rsidRPr="009E1D9E">
        <w:rPr>
          <w:rFonts w:ascii="Arial" w:hAnsi="Arial" w:cs="Arial"/>
          <w:sz w:val="24"/>
          <w:szCs w:val="24"/>
        </w:rPr>
        <w:t xml:space="preserve"> (ICD-11): Posttrau</w:t>
      </w:r>
      <w:r w:rsidRPr="009E1D9E">
        <w:rPr>
          <w:rFonts w:ascii="Arial" w:hAnsi="Arial" w:cs="Arial"/>
          <w:sz w:val="24"/>
          <w:szCs w:val="24"/>
        </w:rPr>
        <w:lastRenderedPageBreak/>
        <w:t xml:space="preserve">matic Stress Disorder (PTSD) and Complex PTSD (CPTSD) (Karatzias et al., 2017). The ICD-11 model of PTSD includes six symptoms measuring three </w:t>
      </w:r>
      <w:r w:rsidR="00072253" w:rsidRPr="009E1D9E">
        <w:rPr>
          <w:rFonts w:ascii="Arial" w:hAnsi="Arial" w:cs="Arial"/>
          <w:sz w:val="24"/>
          <w:szCs w:val="24"/>
        </w:rPr>
        <w:t xml:space="preserve">core elements </w:t>
      </w:r>
      <w:r w:rsidRPr="009E1D9E">
        <w:rPr>
          <w:rFonts w:ascii="Arial" w:hAnsi="Arial" w:cs="Arial"/>
          <w:sz w:val="24"/>
          <w:szCs w:val="24"/>
        </w:rPr>
        <w:t xml:space="preserve">(each </w:t>
      </w:r>
      <w:r w:rsidR="00072253" w:rsidRPr="009E1D9E">
        <w:rPr>
          <w:rFonts w:ascii="Arial" w:hAnsi="Arial" w:cs="Arial"/>
          <w:sz w:val="24"/>
          <w:szCs w:val="24"/>
        </w:rPr>
        <w:t>element</w:t>
      </w:r>
      <w:r w:rsidRPr="009E1D9E">
        <w:rPr>
          <w:rFonts w:ascii="Arial" w:hAnsi="Arial" w:cs="Arial"/>
          <w:sz w:val="24"/>
          <w:szCs w:val="24"/>
        </w:rPr>
        <w:t xml:space="preserve"> is comprised of two symptoms): (1) Re-experiencing of the trauma in the present (Re), (2) avoidance of traumatic reminders (Av), and (3) a persistent sense of threat that is manifested by increased arousal and hypervigilance (Th). </w:t>
      </w:r>
      <w:r w:rsidR="00072253" w:rsidRPr="009E1D9E">
        <w:rPr>
          <w:rFonts w:ascii="Arial" w:hAnsi="Arial" w:cs="Arial"/>
          <w:sz w:val="24"/>
          <w:szCs w:val="24"/>
        </w:rPr>
        <w:t xml:space="preserve">The response is characterized by the three core elements. Feeling of fear can of course accompany the symptoms that are covered by the three core elements </w:t>
      </w:r>
      <w:r w:rsidRPr="009E1D9E">
        <w:rPr>
          <w:rFonts w:ascii="Arial" w:hAnsi="Arial" w:cs="Arial"/>
          <w:sz w:val="24"/>
          <w:szCs w:val="24"/>
        </w:rPr>
        <w:t>directly-related to a specific traumatic event or series of events</w:t>
      </w:r>
      <w:r w:rsidR="00072253" w:rsidRPr="009E1D9E">
        <w:rPr>
          <w:rFonts w:ascii="Arial" w:hAnsi="Arial" w:cs="Arial"/>
          <w:sz w:val="24"/>
          <w:szCs w:val="24"/>
        </w:rPr>
        <w:t xml:space="preserve"> (Maercker et al. 2013)</w:t>
      </w:r>
      <w:r w:rsidRPr="009E1D9E">
        <w:rPr>
          <w:rFonts w:ascii="Arial" w:hAnsi="Arial" w:cs="Arial"/>
          <w:sz w:val="24"/>
          <w:szCs w:val="24"/>
        </w:rPr>
        <w:t>.</w:t>
      </w:r>
      <w:r w:rsidR="00EE61D8" w:rsidRPr="009E1D9E">
        <w:rPr>
          <w:rFonts w:ascii="Arial" w:hAnsi="Arial" w:cs="Arial"/>
          <w:sz w:val="24"/>
          <w:szCs w:val="24"/>
        </w:rPr>
        <w:t xml:space="preserve"> </w:t>
      </w:r>
      <w:r w:rsidRPr="009E1D9E">
        <w:rPr>
          <w:rFonts w:ascii="Arial" w:hAnsi="Arial" w:cs="Arial"/>
          <w:sz w:val="24"/>
          <w:szCs w:val="24"/>
        </w:rPr>
        <w:t>CPTSD is conceptualised as a broader diagnosis recognising th</w:t>
      </w:r>
      <w:r w:rsidR="004E2966" w:rsidRPr="009E1D9E">
        <w:rPr>
          <w:rFonts w:ascii="Arial" w:hAnsi="Arial" w:cs="Arial"/>
          <w:sz w:val="24"/>
          <w:szCs w:val="24"/>
        </w:rPr>
        <w:t>at</w:t>
      </w:r>
      <w:r w:rsidRPr="009E1D9E">
        <w:rPr>
          <w:rFonts w:ascii="Arial" w:hAnsi="Arial" w:cs="Arial"/>
          <w:sz w:val="24"/>
          <w:szCs w:val="24"/>
        </w:rPr>
        <w:t xml:space="preserve"> pervasive psychological damage may result from sustained, repeated, and multiple forms of traumatic exposures (e.g., childhood abuse, domestic violence; political imprisonment) (Brewin et al., 2017). The ICD-11 model of CPTSD is comprised of six symptom clusters: three are </w:t>
      </w:r>
      <w:r w:rsidRPr="009E1D9E">
        <w:rPr>
          <w:rFonts w:ascii="Arial" w:hAnsi="Arial" w:cs="Arial"/>
          <w:sz w:val="24"/>
          <w:szCs w:val="24"/>
        </w:rPr>
        <w:lastRenderedPageBreak/>
        <w:t xml:space="preserve">shared with PTSD and three that are collectively referred to as ‘disturbances in self-organization’ (DSO): affective dysregulation </w:t>
      </w:r>
      <w:r w:rsidR="005C2AAD" w:rsidRPr="009E1D9E">
        <w:rPr>
          <w:rFonts w:ascii="Arial" w:hAnsi="Arial" w:cs="Arial"/>
          <w:sz w:val="24"/>
          <w:szCs w:val="24"/>
        </w:rPr>
        <w:t>(</w:t>
      </w:r>
      <w:r w:rsidRPr="009E1D9E">
        <w:rPr>
          <w:rFonts w:ascii="Arial" w:hAnsi="Arial" w:cs="Arial"/>
          <w:sz w:val="24"/>
          <w:szCs w:val="24"/>
        </w:rPr>
        <w:t>AD</w:t>
      </w:r>
      <w:r w:rsidR="005C2AAD" w:rsidRPr="009E1D9E">
        <w:rPr>
          <w:rFonts w:ascii="Arial" w:hAnsi="Arial" w:cs="Arial"/>
          <w:sz w:val="24"/>
          <w:szCs w:val="24"/>
        </w:rPr>
        <w:t>)</w:t>
      </w:r>
      <w:r w:rsidRPr="009E1D9E">
        <w:rPr>
          <w:rFonts w:ascii="Arial" w:hAnsi="Arial" w:cs="Arial"/>
          <w:sz w:val="24"/>
          <w:szCs w:val="24"/>
        </w:rPr>
        <w:t xml:space="preserve">, negative self-concept </w:t>
      </w:r>
      <w:r w:rsidR="005C2AAD" w:rsidRPr="009E1D9E">
        <w:rPr>
          <w:rFonts w:ascii="Arial" w:hAnsi="Arial" w:cs="Arial"/>
          <w:sz w:val="24"/>
          <w:szCs w:val="24"/>
        </w:rPr>
        <w:t>(</w:t>
      </w:r>
      <w:r w:rsidRPr="009E1D9E">
        <w:rPr>
          <w:rFonts w:ascii="Arial" w:hAnsi="Arial" w:cs="Arial"/>
          <w:sz w:val="24"/>
          <w:szCs w:val="24"/>
        </w:rPr>
        <w:t>NSC</w:t>
      </w:r>
      <w:r w:rsidR="005C2AAD" w:rsidRPr="009E1D9E">
        <w:rPr>
          <w:rFonts w:ascii="Arial" w:hAnsi="Arial" w:cs="Arial"/>
          <w:sz w:val="24"/>
          <w:szCs w:val="24"/>
        </w:rPr>
        <w:t>)</w:t>
      </w:r>
      <w:r w:rsidRPr="009E1D9E">
        <w:rPr>
          <w:rFonts w:ascii="Arial" w:hAnsi="Arial" w:cs="Arial"/>
          <w:sz w:val="24"/>
          <w:szCs w:val="24"/>
        </w:rPr>
        <w:t xml:space="preserve">, and disturbed relationships </w:t>
      </w:r>
      <w:r w:rsidR="005C2AAD" w:rsidRPr="009E1D9E">
        <w:rPr>
          <w:rFonts w:ascii="Arial" w:hAnsi="Arial" w:cs="Arial"/>
          <w:sz w:val="24"/>
          <w:szCs w:val="24"/>
        </w:rPr>
        <w:t>(</w:t>
      </w:r>
      <w:r w:rsidRPr="009E1D9E">
        <w:rPr>
          <w:rFonts w:ascii="Arial" w:hAnsi="Arial" w:cs="Arial"/>
          <w:sz w:val="24"/>
          <w:szCs w:val="24"/>
        </w:rPr>
        <w:t>DR</w:t>
      </w:r>
      <w:r w:rsidR="005C2AAD" w:rsidRPr="009E1D9E">
        <w:rPr>
          <w:rFonts w:ascii="Arial" w:hAnsi="Arial" w:cs="Arial"/>
          <w:sz w:val="24"/>
          <w:szCs w:val="24"/>
        </w:rPr>
        <w:t>)</w:t>
      </w:r>
      <w:r w:rsidRPr="009E1D9E">
        <w:rPr>
          <w:rFonts w:ascii="Arial" w:hAnsi="Arial" w:cs="Arial"/>
          <w:sz w:val="24"/>
          <w:szCs w:val="24"/>
        </w:rPr>
        <w:t xml:space="preserve">. </w:t>
      </w:r>
    </w:p>
    <w:p w14:paraId="05673DA7" w14:textId="00F9FF2D" w:rsidR="001A1209" w:rsidRPr="009E1D9E" w:rsidRDefault="0008354B" w:rsidP="001A1209">
      <w:pPr>
        <w:spacing w:after="0" w:line="480" w:lineRule="auto"/>
        <w:ind w:firstLine="720"/>
        <w:rPr>
          <w:rFonts w:ascii="Arial" w:hAnsi="Arial" w:cs="Arial"/>
          <w:sz w:val="24"/>
          <w:szCs w:val="24"/>
        </w:rPr>
      </w:pPr>
      <w:r w:rsidRPr="009E1D9E">
        <w:rPr>
          <w:rFonts w:ascii="Arial" w:hAnsi="Arial" w:cs="Arial"/>
          <w:sz w:val="24"/>
          <w:szCs w:val="24"/>
        </w:rPr>
        <w:t xml:space="preserve">One method used to distinguish between these two traumatic syndromes (PTSD vs. CPSD) was employed by latent class analysis. Recent study has showed the difference between the PTSD and CPTSD by looking at symptoms profiles and latent class analysis (Ben-Ezra et al., 2018). In this vein, another important issue has arose when looking at the AD cluster that include different symptoms who present opposite trajectories (Ben-Ezra et al., 2018).  </w:t>
      </w:r>
    </w:p>
    <w:p w14:paraId="0B63A9A4" w14:textId="77777777" w:rsidR="001A1209" w:rsidRPr="009E1D9E" w:rsidRDefault="001A1209" w:rsidP="001A1209">
      <w:pPr>
        <w:spacing w:after="0" w:line="480" w:lineRule="auto"/>
        <w:ind w:firstLine="720"/>
        <w:rPr>
          <w:rFonts w:ascii="Arial" w:hAnsi="Arial" w:cs="Arial"/>
          <w:sz w:val="24"/>
          <w:szCs w:val="24"/>
        </w:rPr>
      </w:pPr>
    </w:p>
    <w:p w14:paraId="62FAF576" w14:textId="4DDD6FD4" w:rsidR="00CB0B3E" w:rsidRPr="009E1D9E" w:rsidRDefault="00764474">
      <w:pPr>
        <w:spacing w:after="0" w:line="480" w:lineRule="auto"/>
        <w:ind w:firstLine="720"/>
        <w:rPr>
          <w:rFonts w:asciiTheme="minorBidi" w:hAnsiTheme="minorBidi"/>
          <w:sz w:val="24"/>
          <w:szCs w:val="24"/>
        </w:rPr>
      </w:pPr>
      <w:r w:rsidRPr="009E1D9E">
        <w:rPr>
          <w:rFonts w:ascii="Arial" w:hAnsi="Arial" w:cs="Arial"/>
          <w:sz w:val="24"/>
          <w:szCs w:val="24"/>
        </w:rPr>
        <w:t xml:space="preserve">The AD symptoms reflect difficulties with regulating emotions, manifesting in terms of hyper-activation (e.g., heightened emotional reactivity, anger outbursts) or hypo-activation (e.g., feeling emotionally numb or dissociated) of emotional states. </w:t>
      </w:r>
      <w:r w:rsidR="00501467" w:rsidRPr="009E1D9E">
        <w:rPr>
          <w:rFonts w:ascii="Arial" w:hAnsi="Arial" w:cs="Arial"/>
          <w:sz w:val="24"/>
          <w:szCs w:val="24"/>
        </w:rPr>
        <w:t xml:space="preserve">Problematic emotion </w:t>
      </w:r>
      <w:r w:rsidR="00501467" w:rsidRPr="009E1D9E">
        <w:rPr>
          <w:rFonts w:ascii="Arial" w:hAnsi="Arial" w:cs="Arial"/>
          <w:sz w:val="24"/>
          <w:szCs w:val="24"/>
        </w:rPr>
        <w:lastRenderedPageBreak/>
        <w:t>regulation strategies, both hyper- and hypo-activation, are commonly observed consequences of sustained traumatic exposure (Dvir et al., 2014).</w:t>
      </w:r>
      <w:r w:rsidR="00B1754C" w:rsidRPr="009E1D9E">
        <w:rPr>
          <w:rFonts w:ascii="Arial" w:hAnsi="Arial" w:cs="Arial"/>
          <w:sz w:val="24"/>
          <w:szCs w:val="24"/>
        </w:rPr>
        <w:t xml:space="preserve"> </w:t>
      </w:r>
      <w:r w:rsidR="005462FD" w:rsidRPr="009E1D9E">
        <w:rPr>
          <w:rFonts w:ascii="Arial" w:hAnsi="Arial" w:cs="Arial"/>
          <w:sz w:val="24"/>
          <w:szCs w:val="24"/>
        </w:rPr>
        <w:t xml:space="preserve">The unidimensional representation of the AD factor in prior studies </w:t>
      </w:r>
      <w:r w:rsidR="001B5555" w:rsidRPr="009E1D9E">
        <w:rPr>
          <w:rFonts w:ascii="Arial" w:hAnsi="Arial" w:cs="Arial"/>
          <w:sz w:val="24"/>
          <w:szCs w:val="24"/>
        </w:rPr>
        <w:t xml:space="preserve">was derived </w:t>
      </w:r>
      <w:r w:rsidR="005462FD" w:rsidRPr="009E1D9E">
        <w:rPr>
          <w:rFonts w:ascii="Arial" w:hAnsi="Arial" w:cs="Arial"/>
          <w:sz w:val="24"/>
          <w:szCs w:val="24"/>
        </w:rPr>
        <w:t>from guidelines set forth by the ICD-11 working-group (Maercker et al., 2013</w:t>
      </w:r>
      <w:r w:rsidR="00FC3A15" w:rsidRPr="009E1D9E">
        <w:rPr>
          <w:rFonts w:ascii="Arial" w:hAnsi="Arial" w:cs="Arial"/>
          <w:sz w:val="24"/>
          <w:szCs w:val="24"/>
        </w:rPr>
        <w:t>; Hyland et al., 2016</w:t>
      </w:r>
      <w:r w:rsidR="005462FD" w:rsidRPr="009E1D9E">
        <w:rPr>
          <w:rFonts w:ascii="Arial" w:hAnsi="Arial" w:cs="Arial"/>
          <w:sz w:val="24"/>
          <w:szCs w:val="24"/>
        </w:rPr>
        <w:t xml:space="preserve">), </w:t>
      </w:r>
      <w:r w:rsidR="005C2AAD" w:rsidRPr="009E1D9E">
        <w:rPr>
          <w:rFonts w:ascii="Arial" w:hAnsi="Arial" w:cs="Arial"/>
          <w:sz w:val="24"/>
          <w:szCs w:val="24"/>
        </w:rPr>
        <w:t xml:space="preserve">with </w:t>
      </w:r>
      <w:r w:rsidR="005462FD" w:rsidRPr="009E1D9E">
        <w:rPr>
          <w:rFonts w:ascii="Arial" w:hAnsi="Arial" w:cs="Arial"/>
          <w:sz w:val="24"/>
          <w:szCs w:val="24"/>
        </w:rPr>
        <w:t>the ultimate intention to represent the AD factor using one hyper-activation symptom and one hypo-activation symptom</w:t>
      </w:r>
      <w:r w:rsidR="005C2AAD" w:rsidRPr="009E1D9E">
        <w:rPr>
          <w:rFonts w:ascii="Arial" w:hAnsi="Arial" w:cs="Arial"/>
          <w:sz w:val="24"/>
          <w:szCs w:val="24"/>
        </w:rPr>
        <w:t xml:space="preserve"> (Ben-Ezra et al., </w:t>
      </w:r>
      <w:r w:rsidR="00BA06A7" w:rsidRPr="009E1D9E">
        <w:rPr>
          <w:rFonts w:ascii="Arial" w:hAnsi="Arial" w:cs="Arial"/>
          <w:sz w:val="24"/>
          <w:szCs w:val="24"/>
        </w:rPr>
        <w:t>2018</w:t>
      </w:r>
      <w:r w:rsidR="005C2AAD" w:rsidRPr="009E1D9E">
        <w:rPr>
          <w:rFonts w:ascii="Arial" w:hAnsi="Arial" w:cs="Arial"/>
          <w:sz w:val="24"/>
          <w:szCs w:val="24"/>
        </w:rPr>
        <w:t>)</w:t>
      </w:r>
      <w:r w:rsidR="001B5555" w:rsidRPr="009E1D9E">
        <w:rPr>
          <w:rFonts w:ascii="Arial" w:hAnsi="Arial" w:cs="Arial"/>
          <w:sz w:val="24"/>
          <w:szCs w:val="24"/>
        </w:rPr>
        <w:t>.</w:t>
      </w:r>
      <w:r w:rsidR="005462FD" w:rsidRPr="009E1D9E">
        <w:rPr>
          <w:rFonts w:ascii="Arial" w:hAnsi="Arial" w:cs="Arial"/>
          <w:sz w:val="24"/>
          <w:szCs w:val="24"/>
        </w:rPr>
        <w:t xml:space="preserve"> </w:t>
      </w:r>
      <w:r w:rsidR="002566E3" w:rsidRPr="009E1D9E">
        <w:rPr>
          <w:rFonts w:ascii="Arial" w:hAnsi="Arial" w:cs="Arial"/>
          <w:sz w:val="24"/>
          <w:szCs w:val="24"/>
        </w:rPr>
        <w:t>T</w:t>
      </w:r>
      <w:r w:rsidR="005462FD" w:rsidRPr="009E1D9E">
        <w:rPr>
          <w:rFonts w:ascii="Arial" w:hAnsi="Arial" w:cs="Arial"/>
          <w:sz w:val="24"/>
          <w:szCs w:val="24"/>
        </w:rPr>
        <w:t xml:space="preserve">here is a need to further test whether these dimensions </w:t>
      </w:r>
      <w:r w:rsidR="005C2AAD" w:rsidRPr="009E1D9E">
        <w:rPr>
          <w:rFonts w:ascii="Arial" w:hAnsi="Arial" w:cs="Arial"/>
          <w:sz w:val="24"/>
          <w:szCs w:val="24"/>
        </w:rPr>
        <w:t xml:space="preserve">of AD </w:t>
      </w:r>
      <w:r w:rsidR="005462FD" w:rsidRPr="009E1D9E">
        <w:rPr>
          <w:rFonts w:ascii="Arial" w:hAnsi="Arial" w:cs="Arial"/>
          <w:sz w:val="24"/>
          <w:szCs w:val="24"/>
        </w:rPr>
        <w:t xml:space="preserve">are </w:t>
      </w:r>
      <w:r w:rsidR="005C2AAD" w:rsidRPr="009E1D9E">
        <w:rPr>
          <w:rFonts w:ascii="Arial" w:hAnsi="Arial" w:cs="Arial"/>
          <w:sz w:val="24"/>
          <w:szCs w:val="24"/>
        </w:rPr>
        <w:t xml:space="preserve">meaningfully </w:t>
      </w:r>
      <w:r w:rsidR="005462FD" w:rsidRPr="009E1D9E">
        <w:rPr>
          <w:rFonts w:ascii="Arial" w:hAnsi="Arial" w:cs="Arial"/>
          <w:sz w:val="24"/>
          <w:szCs w:val="24"/>
        </w:rPr>
        <w:t xml:space="preserve">distinct (reflecting two correlated dimensions) </w:t>
      </w:r>
      <w:r w:rsidR="005C2AAD" w:rsidRPr="009E1D9E">
        <w:rPr>
          <w:rFonts w:ascii="Arial" w:hAnsi="Arial" w:cs="Arial"/>
          <w:sz w:val="24"/>
          <w:szCs w:val="24"/>
        </w:rPr>
        <w:t xml:space="preserve">so as to bring empirical evidence to bear on the ICD-11 Working Group’s decision to represent AD by hypo- and hyper-action </w:t>
      </w:r>
      <w:r w:rsidR="00BA06A7" w:rsidRPr="009E1D9E">
        <w:rPr>
          <w:rFonts w:ascii="Arial" w:hAnsi="Arial" w:cs="Arial"/>
          <w:sz w:val="24"/>
          <w:szCs w:val="24"/>
        </w:rPr>
        <w:t>symptoms</w:t>
      </w:r>
      <w:r w:rsidR="005462FD" w:rsidRPr="009E1D9E">
        <w:rPr>
          <w:rFonts w:ascii="Arial" w:hAnsi="Arial" w:cs="Arial"/>
          <w:sz w:val="24"/>
          <w:szCs w:val="24"/>
        </w:rPr>
        <w:t xml:space="preserve">. </w:t>
      </w:r>
      <w:r w:rsidR="002566E3" w:rsidRPr="009E1D9E">
        <w:rPr>
          <w:rFonts w:ascii="Arial" w:hAnsi="Arial" w:cs="Arial"/>
          <w:sz w:val="24"/>
          <w:szCs w:val="24"/>
        </w:rPr>
        <w:t xml:space="preserve">In </w:t>
      </w:r>
      <w:r w:rsidR="005C2AAD" w:rsidRPr="009E1D9E">
        <w:rPr>
          <w:rFonts w:ascii="Arial" w:hAnsi="Arial" w:cs="Arial"/>
          <w:sz w:val="24"/>
          <w:szCs w:val="24"/>
        </w:rPr>
        <w:t xml:space="preserve">most </w:t>
      </w:r>
      <w:r w:rsidR="00B1754C" w:rsidRPr="009E1D9E">
        <w:rPr>
          <w:rFonts w:ascii="Arial" w:hAnsi="Arial" w:cs="Arial"/>
          <w:sz w:val="24"/>
          <w:szCs w:val="24"/>
        </w:rPr>
        <w:t>studies</w:t>
      </w:r>
      <w:r w:rsidR="005C2AAD" w:rsidRPr="009E1D9E">
        <w:rPr>
          <w:rFonts w:ascii="Arial" w:hAnsi="Arial" w:cs="Arial"/>
          <w:sz w:val="24"/>
          <w:szCs w:val="24"/>
        </w:rPr>
        <w:t xml:space="preserve"> conducted to date</w:t>
      </w:r>
      <w:r w:rsidR="00347D69" w:rsidRPr="009E1D9E">
        <w:rPr>
          <w:rFonts w:ascii="Arial" w:hAnsi="Arial" w:cs="Arial"/>
          <w:sz w:val="24"/>
          <w:szCs w:val="24"/>
        </w:rPr>
        <w:t>,</w:t>
      </w:r>
      <w:r w:rsidR="005C2AAD" w:rsidRPr="009E1D9E">
        <w:rPr>
          <w:rFonts w:ascii="Arial" w:hAnsi="Arial" w:cs="Arial"/>
          <w:sz w:val="24"/>
          <w:szCs w:val="24"/>
        </w:rPr>
        <w:t xml:space="preserve"> which have modelled the latent structure of CPTSD</w:t>
      </w:r>
      <w:r w:rsidR="002566E3" w:rsidRPr="009E1D9E">
        <w:rPr>
          <w:rFonts w:ascii="Arial" w:hAnsi="Arial" w:cs="Arial"/>
          <w:sz w:val="24"/>
          <w:szCs w:val="24"/>
        </w:rPr>
        <w:t>,</w:t>
      </w:r>
      <w:r w:rsidR="00B1754C" w:rsidRPr="009E1D9E">
        <w:rPr>
          <w:rFonts w:ascii="Arial" w:hAnsi="Arial" w:cs="Arial"/>
          <w:sz w:val="24"/>
          <w:szCs w:val="24"/>
        </w:rPr>
        <w:t xml:space="preserve"> the AD component of DSO has been modelled as a unidimensional construct, despite the fact that </w:t>
      </w:r>
      <w:r w:rsidR="005C2AAD" w:rsidRPr="009E1D9E">
        <w:rPr>
          <w:rFonts w:ascii="Arial" w:hAnsi="Arial" w:cs="Arial"/>
          <w:sz w:val="24"/>
          <w:szCs w:val="24"/>
        </w:rPr>
        <w:t>this dimension has nor</w:t>
      </w:r>
      <w:r w:rsidR="005C2AAD" w:rsidRPr="009E1D9E">
        <w:rPr>
          <w:rFonts w:ascii="Arial" w:hAnsi="Arial" w:cs="Arial"/>
          <w:sz w:val="24"/>
          <w:szCs w:val="24"/>
        </w:rPr>
        <w:lastRenderedPageBreak/>
        <w:t>mally</w:t>
      </w:r>
      <w:r w:rsidR="00B1754C" w:rsidRPr="009E1D9E">
        <w:rPr>
          <w:rFonts w:ascii="Arial" w:hAnsi="Arial" w:cs="Arial"/>
          <w:sz w:val="24"/>
          <w:szCs w:val="24"/>
        </w:rPr>
        <w:t xml:space="preserve"> comprised </w:t>
      </w:r>
      <w:r w:rsidR="005C2AAD" w:rsidRPr="009E1D9E">
        <w:rPr>
          <w:rFonts w:ascii="Arial" w:hAnsi="Arial" w:cs="Arial"/>
          <w:sz w:val="24"/>
          <w:szCs w:val="24"/>
        </w:rPr>
        <w:t xml:space="preserve">symptoms reflecting </w:t>
      </w:r>
      <w:r w:rsidR="00B1754C" w:rsidRPr="009E1D9E">
        <w:rPr>
          <w:rFonts w:ascii="Arial" w:hAnsi="Arial" w:cs="Arial"/>
          <w:sz w:val="24"/>
          <w:szCs w:val="24"/>
        </w:rPr>
        <w:t>hyper-activation and hypo-activation</w:t>
      </w:r>
      <w:r w:rsidR="005C2AAD" w:rsidRPr="009E1D9E">
        <w:rPr>
          <w:rFonts w:ascii="Arial" w:hAnsi="Arial" w:cs="Arial"/>
          <w:sz w:val="24"/>
          <w:szCs w:val="24"/>
        </w:rPr>
        <w:t xml:space="preserve"> (e.g., Karatzias et al., 2016). </w:t>
      </w:r>
      <w:r w:rsidR="00925F6F" w:rsidRPr="009E1D9E">
        <w:rPr>
          <w:rFonts w:asciiTheme="minorBidi" w:hAnsiTheme="minorBidi"/>
          <w:sz w:val="24"/>
          <w:szCs w:val="24"/>
        </w:rPr>
        <w:t>Recent factor analytic work challenges the notion that AD symptoms</w:t>
      </w:r>
      <w:r w:rsidR="005C2AAD" w:rsidRPr="009E1D9E">
        <w:rPr>
          <w:rFonts w:asciiTheme="minorBidi" w:hAnsiTheme="minorBidi"/>
          <w:sz w:val="24"/>
          <w:szCs w:val="24"/>
        </w:rPr>
        <w:t>, as traditionally measured in CPTSD research,</w:t>
      </w:r>
      <w:r w:rsidR="00925F6F" w:rsidRPr="009E1D9E">
        <w:rPr>
          <w:rFonts w:asciiTheme="minorBidi" w:hAnsiTheme="minorBidi"/>
          <w:sz w:val="24"/>
          <w:szCs w:val="24"/>
        </w:rPr>
        <w:t xml:space="preserve"> should be regarded as</w:t>
      </w:r>
      <w:r w:rsidR="005C2AAD" w:rsidRPr="009E1D9E">
        <w:rPr>
          <w:rFonts w:asciiTheme="minorBidi" w:hAnsiTheme="minorBidi"/>
          <w:sz w:val="24"/>
          <w:szCs w:val="24"/>
        </w:rPr>
        <w:t xml:space="preserve"> a</w:t>
      </w:r>
      <w:r w:rsidR="00925F6F" w:rsidRPr="009E1D9E">
        <w:rPr>
          <w:rFonts w:asciiTheme="minorBidi" w:hAnsiTheme="minorBidi"/>
          <w:sz w:val="24"/>
          <w:szCs w:val="24"/>
        </w:rPr>
        <w:t xml:space="preserve"> </w:t>
      </w:r>
      <w:r w:rsidR="005C2AAD" w:rsidRPr="009E1D9E">
        <w:rPr>
          <w:rFonts w:asciiTheme="minorBidi" w:hAnsiTheme="minorBidi"/>
          <w:sz w:val="24"/>
          <w:szCs w:val="24"/>
        </w:rPr>
        <w:t xml:space="preserve">single latent </w:t>
      </w:r>
      <w:r w:rsidR="00925F6F" w:rsidRPr="009E1D9E">
        <w:rPr>
          <w:rFonts w:asciiTheme="minorBidi" w:hAnsiTheme="minorBidi"/>
          <w:sz w:val="24"/>
          <w:szCs w:val="24"/>
        </w:rPr>
        <w:t xml:space="preserve">construct but </w:t>
      </w:r>
      <w:r w:rsidR="005C2AAD" w:rsidRPr="009E1D9E">
        <w:rPr>
          <w:rFonts w:asciiTheme="minorBidi" w:hAnsiTheme="minorBidi"/>
          <w:sz w:val="24"/>
          <w:szCs w:val="24"/>
        </w:rPr>
        <w:t xml:space="preserve">instead </w:t>
      </w:r>
      <w:r w:rsidR="00925F6F" w:rsidRPr="009E1D9E">
        <w:rPr>
          <w:rFonts w:asciiTheme="minorBidi" w:hAnsiTheme="minorBidi"/>
          <w:sz w:val="24"/>
          <w:szCs w:val="24"/>
        </w:rPr>
        <w:t>suggest</w:t>
      </w:r>
      <w:r w:rsidR="00650C78" w:rsidRPr="009E1D9E">
        <w:rPr>
          <w:rFonts w:asciiTheme="minorBidi" w:hAnsiTheme="minorBidi"/>
          <w:sz w:val="24"/>
          <w:szCs w:val="24"/>
        </w:rPr>
        <w:t>s</w:t>
      </w:r>
      <w:r w:rsidR="00925F6F" w:rsidRPr="009E1D9E">
        <w:rPr>
          <w:rFonts w:asciiTheme="minorBidi" w:hAnsiTheme="minorBidi"/>
          <w:sz w:val="24"/>
          <w:szCs w:val="24"/>
        </w:rPr>
        <w:t xml:space="preserve"> that the AD cluster is better </w:t>
      </w:r>
      <w:r w:rsidR="005C2AAD" w:rsidRPr="009E1D9E">
        <w:rPr>
          <w:rFonts w:asciiTheme="minorBidi" w:hAnsiTheme="minorBidi"/>
          <w:sz w:val="24"/>
          <w:szCs w:val="24"/>
        </w:rPr>
        <w:t xml:space="preserve">represented </w:t>
      </w:r>
      <w:r w:rsidR="00BA06A7" w:rsidRPr="009E1D9E">
        <w:rPr>
          <w:rFonts w:asciiTheme="minorBidi" w:hAnsiTheme="minorBidi"/>
          <w:sz w:val="24"/>
          <w:szCs w:val="24"/>
        </w:rPr>
        <w:t xml:space="preserve">as two correlated factors of </w:t>
      </w:r>
      <w:r w:rsidR="00925F6F" w:rsidRPr="009E1D9E">
        <w:rPr>
          <w:rFonts w:asciiTheme="minorBidi" w:hAnsiTheme="minorBidi"/>
          <w:sz w:val="24"/>
          <w:szCs w:val="24"/>
        </w:rPr>
        <w:t>Hyper</w:t>
      </w:r>
      <w:r w:rsidR="00BA06A7" w:rsidRPr="009E1D9E">
        <w:rPr>
          <w:rFonts w:asciiTheme="minorBidi" w:hAnsiTheme="minorBidi"/>
          <w:sz w:val="24"/>
          <w:szCs w:val="24"/>
        </w:rPr>
        <w:t>-</w:t>
      </w:r>
      <w:r w:rsidR="00925F6F" w:rsidRPr="009E1D9E">
        <w:rPr>
          <w:rFonts w:asciiTheme="minorBidi" w:hAnsiTheme="minorBidi"/>
          <w:sz w:val="24"/>
          <w:szCs w:val="24"/>
        </w:rPr>
        <w:t xml:space="preserve"> and Hypo</w:t>
      </w:r>
      <w:r w:rsidR="00BA06A7" w:rsidRPr="009E1D9E">
        <w:rPr>
          <w:rFonts w:asciiTheme="minorBidi" w:hAnsiTheme="minorBidi"/>
          <w:sz w:val="24"/>
          <w:szCs w:val="24"/>
        </w:rPr>
        <w:t xml:space="preserve">-activation (r = .72) </w:t>
      </w:r>
      <w:r w:rsidR="00925F6F" w:rsidRPr="009E1D9E">
        <w:rPr>
          <w:rFonts w:asciiTheme="minorBidi" w:hAnsiTheme="minorBidi"/>
          <w:sz w:val="24"/>
          <w:szCs w:val="24"/>
        </w:rPr>
        <w:t>(</w:t>
      </w:r>
      <w:r w:rsidR="005C2AAD" w:rsidRPr="009E1D9E">
        <w:rPr>
          <w:rFonts w:asciiTheme="minorBidi" w:hAnsiTheme="minorBidi"/>
          <w:sz w:val="24"/>
          <w:szCs w:val="24"/>
        </w:rPr>
        <w:t xml:space="preserve">see </w:t>
      </w:r>
      <w:r w:rsidR="008462C1" w:rsidRPr="009E1D9E">
        <w:rPr>
          <w:rFonts w:asciiTheme="minorBidi" w:hAnsiTheme="minorBidi"/>
          <w:sz w:val="24"/>
          <w:szCs w:val="24"/>
        </w:rPr>
        <w:t xml:space="preserve">Figure 1 in </w:t>
      </w:r>
      <w:r w:rsidR="00925F6F" w:rsidRPr="009E1D9E">
        <w:rPr>
          <w:rFonts w:asciiTheme="minorBidi" w:hAnsiTheme="minorBidi"/>
          <w:sz w:val="24"/>
          <w:szCs w:val="24"/>
        </w:rPr>
        <w:t xml:space="preserve">Ben-Ezra et al., </w:t>
      </w:r>
      <w:r w:rsidR="00BA06A7" w:rsidRPr="009E1D9E">
        <w:rPr>
          <w:rFonts w:asciiTheme="minorBidi" w:hAnsiTheme="minorBidi"/>
          <w:sz w:val="24"/>
          <w:szCs w:val="24"/>
        </w:rPr>
        <w:t>2018</w:t>
      </w:r>
      <w:r w:rsidR="00925F6F" w:rsidRPr="009E1D9E">
        <w:rPr>
          <w:rFonts w:asciiTheme="minorBidi" w:hAnsiTheme="minorBidi"/>
          <w:sz w:val="24"/>
          <w:szCs w:val="24"/>
        </w:rPr>
        <w:t xml:space="preserve">). </w:t>
      </w:r>
    </w:p>
    <w:p w14:paraId="2BF67D5E" w14:textId="1C131290" w:rsidR="00D45337" w:rsidRPr="009E1D9E" w:rsidRDefault="00F351CF" w:rsidP="00862B6C">
      <w:pPr>
        <w:spacing w:after="0" w:line="480" w:lineRule="auto"/>
        <w:ind w:firstLine="720"/>
        <w:rPr>
          <w:rFonts w:ascii="Arial" w:hAnsi="Arial" w:cs="Arial"/>
          <w:sz w:val="24"/>
          <w:szCs w:val="24"/>
        </w:rPr>
      </w:pPr>
      <w:r w:rsidRPr="009E1D9E">
        <w:rPr>
          <w:rFonts w:asciiTheme="minorBidi" w:hAnsiTheme="minorBidi"/>
          <w:sz w:val="24"/>
          <w:szCs w:val="24"/>
        </w:rPr>
        <w:t>Refining and redefining the AD cluster</w:t>
      </w:r>
      <w:r w:rsidR="00990982" w:rsidRPr="009E1D9E">
        <w:rPr>
          <w:rFonts w:asciiTheme="minorBidi" w:hAnsiTheme="minorBidi"/>
          <w:sz w:val="24"/>
          <w:szCs w:val="24"/>
        </w:rPr>
        <w:t>,</w:t>
      </w:r>
      <w:r w:rsidRPr="009E1D9E">
        <w:rPr>
          <w:rFonts w:asciiTheme="minorBidi" w:hAnsiTheme="minorBidi"/>
          <w:sz w:val="24"/>
          <w:szCs w:val="24"/>
        </w:rPr>
        <w:t xml:space="preserve"> may be one of the keys to further calibrate the symptom indicators for the DSO</w:t>
      </w:r>
      <w:r w:rsidR="002E406F" w:rsidRPr="009E1D9E">
        <w:rPr>
          <w:rFonts w:asciiTheme="minorBidi" w:hAnsiTheme="minorBidi"/>
          <w:sz w:val="24"/>
          <w:szCs w:val="24"/>
        </w:rPr>
        <w:t xml:space="preserve"> </w:t>
      </w:r>
      <w:r w:rsidRPr="009E1D9E">
        <w:rPr>
          <w:rFonts w:asciiTheme="minorBidi" w:hAnsiTheme="minorBidi"/>
          <w:sz w:val="24"/>
          <w:szCs w:val="24"/>
        </w:rPr>
        <w:t>cluster</w:t>
      </w:r>
      <w:r w:rsidR="00990982" w:rsidRPr="009E1D9E">
        <w:rPr>
          <w:rFonts w:asciiTheme="minorBidi" w:hAnsiTheme="minorBidi"/>
          <w:sz w:val="24"/>
          <w:szCs w:val="24"/>
        </w:rPr>
        <w:t>,</w:t>
      </w:r>
      <w:r w:rsidRPr="009E1D9E">
        <w:rPr>
          <w:rFonts w:asciiTheme="minorBidi" w:hAnsiTheme="minorBidi"/>
          <w:sz w:val="24"/>
          <w:szCs w:val="24"/>
        </w:rPr>
        <w:t xml:space="preserve"> as it yet to be finalized </w:t>
      </w:r>
      <w:r w:rsidRPr="009E1D9E">
        <w:rPr>
          <w:rFonts w:ascii="Arial" w:hAnsi="Arial" w:cs="Arial"/>
          <w:sz w:val="24"/>
          <w:szCs w:val="24"/>
        </w:rPr>
        <w:t xml:space="preserve">(Karatzias et al., 2016; 2017). </w:t>
      </w:r>
      <w:r w:rsidR="003461AF" w:rsidRPr="009E1D9E">
        <w:rPr>
          <w:rFonts w:ascii="Arial" w:hAnsi="Arial" w:cs="Arial"/>
          <w:sz w:val="24"/>
          <w:szCs w:val="24"/>
        </w:rPr>
        <w:t>S</w:t>
      </w:r>
      <w:r w:rsidRPr="009E1D9E">
        <w:rPr>
          <w:rFonts w:ascii="Arial" w:hAnsi="Arial" w:cs="Arial"/>
          <w:sz w:val="24"/>
          <w:szCs w:val="24"/>
        </w:rPr>
        <w:t>plitting the AD cluster will breach the principal of Ockham's razor in terms of parsimony.</w:t>
      </w:r>
      <w:r w:rsidR="002E406F" w:rsidRPr="009E1D9E">
        <w:rPr>
          <w:rFonts w:ascii="Arial" w:hAnsi="Arial" w:cs="Arial"/>
          <w:sz w:val="24"/>
          <w:szCs w:val="24"/>
        </w:rPr>
        <w:t xml:space="preserve"> </w:t>
      </w:r>
      <w:r w:rsidR="003461AF" w:rsidRPr="009E1D9E">
        <w:rPr>
          <w:rFonts w:ascii="Arial" w:hAnsi="Arial" w:cs="Arial"/>
          <w:sz w:val="24"/>
          <w:szCs w:val="24"/>
        </w:rPr>
        <w:t xml:space="preserve">However, </w:t>
      </w:r>
      <w:r w:rsidR="00AF090C" w:rsidRPr="009E1D9E">
        <w:rPr>
          <w:rFonts w:ascii="Arial" w:hAnsi="Arial" w:cs="Arial"/>
          <w:sz w:val="24"/>
          <w:szCs w:val="24"/>
        </w:rPr>
        <w:t xml:space="preserve">the clinical and scientific </w:t>
      </w:r>
      <w:r w:rsidR="00884B3A" w:rsidRPr="009E1D9E">
        <w:rPr>
          <w:rFonts w:ascii="Arial" w:hAnsi="Arial" w:cs="Arial"/>
          <w:sz w:val="24"/>
          <w:szCs w:val="24"/>
        </w:rPr>
        <w:t>accuracy</w:t>
      </w:r>
      <w:r w:rsidR="00AF090C" w:rsidRPr="009E1D9E">
        <w:rPr>
          <w:rFonts w:ascii="Arial" w:hAnsi="Arial" w:cs="Arial"/>
          <w:sz w:val="24"/>
          <w:szCs w:val="24"/>
        </w:rPr>
        <w:t xml:space="preserve"> </w:t>
      </w:r>
      <w:r w:rsidR="002566E3" w:rsidRPr="009E1D9E">
        <w:rPr>
          <w:rFonts w:ascii="Arial" w:hAnsi="Arial" w:cs="Arial"/>
          <w:sz w:val="24"/>
          <w:szCs w:val="24"/>
        </w:rPr>
        <w:t xml:space="preserve">of constructs </w:t>
      </w:r>
      <w:r w:rsidR="00884B3A" w:rsidRPr="009E1D9E">
        <w:rPr>
          <w:rFonts w:ascii="Arial" w:hAnsi="Arial" w:cs="Arial"/>
          <w:sz w:val="24"/>
          <w:szCs w:val="24"/>
        </w:rPr>
        <w:t xml:space="preserve">precedes the number of constructs that </w:t>
      </w:r>
      <w:r w:rsidR="003461AF" w:rsidRPr="009E1D9E">
        <w:rPr>
          <w:rFonts w:ascii="Arial" w:hAnsi="Arial" w:cs="Arial"/>
          <w:sz w:val="24"/>
          <w:szCs w:val="24"/>
        </w:rPr>
        <w:t xml:space="preserve">will </w:t>
      </w:r>
      <w:r w:rsidR="00884B3A" w:rsidRPr="009E1D9E">
        <w:rPr>
          <w:rFonts w:ascii="Arial" w:hAnsi="Arial" w:cs="Arial"/>
          <w:sz w:val="24"/>
          <w:szCs w:val="24"/>
        </w:rPr>
        <w:t xml:space="preserve">compose the DSO. </w:t>
      </w:r>
      <w:r w:rsidR="00AF090C" w:rsidRPr="009E1D9E">
        <w:rPr>
          <w:rFonts w:ascii="Arial" w:hAnsi="Arial" w:cs="Arial"/>
          <w:sz w:val="24"/>
          <w:szCs w:val="24"/>
        </w:rPr>
        <w:t>Moreover, s</w:t>
      </w:r>
      <w:r w:rsidR="00884B3A" w:rsidRPr="009E1D9E">
        <w:rPr>
          <w:rFonts w:ascii="Arial" w:hAnsi="Arial" w:cs="Arial"/>
          <w:sz w:val="24"/>
          <w:szCs w:val="24"/>
        </w:rPr>
        <w:t>p</w:t>
      </w:r>
      <w:r w:rsidR="00AF090C" w:rsidRPr="009E1D9E">
        <w:rPr>
          <w:rFonts w:ascii="Arial" w:hAnsi="Arial" w:cs="Arial"/>
          <w:sz w:val="24"/>
          <w:szCs w:val="24"/>
        </w:rPr>
        <w:t xml:space="preserve">litting the AD cluster </w:t>
      </w:r>
      <w:r w:rsidR="00884B3A" w:rsidRPr="009E1D9E">
        <w:rPr>
          <w:rFonts w:ascii="Arial" w:hAnsi="Arial" w:cs="Arial"/>
          <w:sz w:val="24"/>
          <w:szCs w:val="24"/>
        </w:rPr>
        <w:t>in</w:t>
      </w:r>
      <w:r w:rsidR="00862B6C" w:rsidRPr="009E1D9E">
        <w:rPr>
          <w:rFonts w:ascii="Arial" w:hAnsi="Arial" w:cs="Arial"/>
          <w:sz w:val="24"/>
          <w:szCs w:val="24"/>
        </w:rPr>
        <w:t>to hyper and hypo symptom</w:t>
      </w:r>
      <w:r w:rsidR="00AF090C" w:rsidRPr="009E1D9E">
        <w:rPr>
          <w:rFonts w:ascii="Arial" w:hAnsi="Arial" w:cs="Arial"/>
          <w:sz w:val="24"/>
          <w:szCs w:val="24"/>
        </w:rPr>
        <w:t xml:space="preserve"> cluster</w:t>
      </w:r>
      <w:r w:rsidR="00884B3A" w:rsidRPr="009E1D9E">
        <w:rPr>
          <w:rFonts w:ascii="Arial" w:hAnsi="Arial" w:cs="Arial"/>
          <w:sz w:val="24"/>
          <w:szCs w:val="24"/>
        </w:rPr>
        <w:t>s</w:t>
      </w:r>
      <w:r w:rsidR="003461AF" w:rsidRPr="009E1D9E">
        <w:rPr>
          <w:rFonts w:ascii="Arial" w:hAnsi="Arial" w:cs="Arial"/>
          <w:sz w:val="24"/>
          <w:szCs w:val="24"/>
        </w:rPr>
        <w:t>,</w:t>
      </w:r>
      <w:r w:rsidR="00AF090C" w:rsidRPr="009E1D9E">
        <w:rPr>
          <w:rFonts w:ascii="Arial" w:hAnsi="Arial" w:cs="Arial"/>
          <w:sz w:val="24"/>
          <w:szCs w:val="24"/>
        </w:rPr>
        <w:t xml:space="preserve"> </w:t>
      </w:r>
      <w:r w:rsidR="00AF090C" w:rsidRPr="009E1D9E">
        <w:rPr>
          <w:rFonts w:ascii="Arial" w:hAnsi="Arial" w:cs="Arial"/>
          <w:sz w:val="24"/>
          <w:szCs w:val="24"/>
        </w:rPr>
        <w:lastRenderedPageBreak/>
        <w:t xml:space="preserve">will help to </w:t>
      </w:r>
      <w:r w:rsidR="008E4EA9" w:rsidRPr="009E1D9E">
        <w:rPr>
          <w:rFonts w:ascii="Arial" w:hAnsi="Arial" w:cs="Arial"/>
          <w:sz w:val="24"/>
          <w:szCs w:val="24"/>
        </w:rPr>
        <w:t xml:space="preserve">explore </w:t>
      </w:r>
      <w:r w:rsidR="00AF090C" w:rsidRPr="009E1D9E">
        <w:rPr>
          <w:rFonts w:ascii="Arial" w:hAnsi="Arial" w:cs="Arial"/>
          <w:sz w:val="24"/>
          <w:szCs w:val="24"/>
        </w:rPr>
        <w:t xml:space="preserve">if </w:t>
      </w:r>
      <w:r w:rsidR="002C535C" w:rsidRPr="009E1D9E">
        <w:rPr>
          <w:rFonts w:ascii="Arial" w:hAnsi="Arial" w:cs="Arial"/>
          <w:sz w:val="24"/>
          <w:szCs w:val="24"/>
        </w:rPr>
        <w:t>their relationship</w:t>
      </w:r>
      <w:r w:rsidR="00AF090C" w:rsidRPr="009E1D9E">
        <w:rPr>
          <w:rFonts w:ascii="Arial" w:hAnsi="Arial" w:cs="Arial"/>
          <w:sz w:val="24"/>
          <w:szCs w:val="24"/>
        </w:rPr>
        <w:t xml:space="preserve"> is </w:t>
      </w:r>
      <w:r w:rsidR="00884B3A" w:rsidRPr="009E1D9E">
        <w:rPr>
          <w:rFonts w:ascii="Arial" w:hAnsi="Arial" w:cs="Arial"/>
          <w:sz w:val="24"/>
          <w:szCs w:val="24"/>
        </w:rPr>
        <w:t>stable</w:t>
      </w:r>
      <w:r w:rsidR="00AF090C" w:rsidRPr="009E1D9E">
        <w:rPr>
          <w:rFonts w:ascii="Arial" w:hAnsi="Arial" w:cs="Arial"/>
          <w:sz w:val="24"/>
          <w:szCs w:val="24"/>
        </w:rPr>
        <w:t xml:space="preserve"> across different traumatic events</w:t>
      </w:r>
      <w:r w:rsidR="003461AF" w:rsidRPr="009E1D9E">
        <w:rPr>
          <w:rFonts w:ascii="Arial" w:hAnsi="Arial" w:cs="Arial"/>
          <w:sz w:val="24"/>
          <w:szCs w:val="24"/>
        </w:rPr>
        <w:t xml:space="preserve">. </w:t>
      </w:r>
      <w:r w:rsidR="00AF090C" w:rsidRPr="009E1D9E">
        <w:rPr>
          <w:rFonts w:asciiTheme="minorBidi" w:hAnsiTheme="minorBidi"/>
          <w:sz w:val="24"/>
          <w:szCs w:val="24"/>
        </w:rPr>
        <w:t xml:space="preserve">Furthermore, </w:t>
      </w:r>
      <w:r w:rsidR="00042297" w:rsidRPr="009E1D9E">
        <w:rPr>
          <w:rFonts w:asciiTheme="minorBidi" w:hAnsiTheme="minorBidi"/>
          <w:sz w:val="24"/>
          <w:szCs w:val="24"/>
        </w:rPr>
        <w:t xml:space="preserve">symptom reduction </w:t>
      </w:r>
      <w:r w:rsidR="008E4EA9" w:rsidRPr="009E1D9E">
        <w:rPr>
          <w:rFonts w:asciiTheme="minorBidi" w:hAnsiTheme="minorBidi"/>
          <w:sz w:val="24"/>
          <w:szCs w:val="24"/>
        </w:rPr>
        <w:t>in</w:t>
      </w:r>
      <w:r w:rsidR="00CB0B3E" w:rsidRPr="009E1D9E">
        <w:rPr>
          <w:rFonts w:asciiTheme="minorBidi" w:hAnsiTheme="minorBidi"/>
          <w:sz w:val="24"/>
          <w:szCs w:val="24"/>
        </w:rPr>
        <w:t xml:space="preserve"> </w:t>
      </w:r>
      <w:r w:rsidR="00042297" w:rsidRPr="009E1D9E">
        <w:rPr>
          <w:rFonts w:asciiTheme="minorBidi" w:hAnsiTheme="minorBidi"/>
          <w:sz w:val="24"/>
          <w:szCs w:val="24"/>
        </w:rPr>
        <w:t xml:space="preserve">the Hyper and Hypo clusters could be strived for without </w:t>
      </w:r>
      <w:r w:rsidR="00AF090C" w:rsidRPr="009E1D9E">
        <w:rPr>
          <w:rFonts w:asciiTheme="minorBidi" w:hAnsiTheme="minorBidi"/>
          <w:sz w:val="24"/>
          <w:szCs w:val="24"/>
        </w:rPr>
        <w:t>tak</w:t>
      </w:r>
      <w:r w:rsidR="00042297" w:rsidRPr="009E1D9E">
        <w:rPr>
          <w:rFonts w:asciiTheme="minorBidi" w:hAnsiTheme="minorBidi"/>
          <w:sz w:val="24"/>
          <w:szCs w:val="24"/>
        </w:rPr>
        <w:t xml:space="preserve">ing </w:t>
      </w:r>
      <w:r w:rsidR="00862B6C" w:rsidRPr="009E1D9E">
        <w:rPr>
          <w:rFonts w:asciiTheme="minorBidi" w:hAnsiTheme="minorBidi"/>
          <w:sz w:val="24"/>
          <w:szCs w:val="24"/>
        </w:rPr>
        <w:t>a</w:t>
      </w:r>
      <w:r w:rsidR="00042297" w:rsidRPr="009E1D9E">
        <w:rPr>
          <w:rFonts w:asciiTheme="minorBidi" w:hAnsiTheme="minorBidi"/>
          <w:sz w:val="24"/>
          <w:szCs w:val="24"/>
        </w:rPr>
        <w:t xml:space="preserve"> </w:t>
      </w:r>
      <w:r w:rsidR="00AF090C" w:rsidRPr="009E1D9E">
        <w:rPr>
          <w:rFonts w:asciiTheme="minorBidi" w:hAnsiTheme="minorBidi"/>
          <w:sz w:val="24"/>
          <w:szCs w:val="24"/>
        </w:rPr>
        <w:t>toll on clinical accuracy. This by itself will help to streamline the DSO indicators into a smaller number of ‘symptoms’</w:t>
      </w:r>
      <w:r w:rsidR="0094031E" w:rsidRPr="009E1D9E">
        <w:rPr>
          <w:rFonts w:asciiTheme="minorBidi" w:hAnsiTheme="minorBidi"/>
          <w:sz w:val="24"/>
          <w:szCs w:val="24"/>
        </w:rPr>
        <w:t xml:space="preserve"> (Ben-Ezra et al., </w:t>
      </w:r>
      <w:r w:rsidR="00862B6C" w:rsidRPr="009E1D9E">
        <w:rPr>
          <w:rFonts w:asciiTheme="minorBidi" w:hAnsiTheme="minorBidi"/>
          <w:sz w:val="24"/>
          <w:szCs w:val="24"/>
        </w:rPr>
        <w:t>2018</w:t>
      </w:r>
      <w:r w:rsidR="00EF6167" w:rsidRPr="009E1D9E">
        <w:rPr>
          <w:rFonts w:asciiTheme="minorBidi" w:hAnsiTheme="minorBidi"/>
          <w:sz w:val="24"/>
          <w:szCs w:val="24"/>
        </w:rPr>
        <w:t>; Shevlin et al., 2017</w:t>
      </w:r>
      <w:r w:rsidR="0094031E" w:rsidRPr="009E1D9E">
        <w:rPr>
          <w:rFonts w:asciiTheme="minorBidi" w:hAnsiTheme="minorBidi"/>
          <w:sz w:val="24"/>
          <w:szCs w:val="24"/>
        </w:rPr>
        <w:t>)</w:t>
      </w:r>
      <w:r w:rsidR="00AF090C" w:rsidRPr="009E1D9E">
        <w:rPr>
          <w:rFonts w:asciiTheme="minorBidi" w:hAnsiTheme="minorBidi"/>
          <w:sz w:val="24"/>
          <w:szCs w:val="24"/>
        </w:rPr>
        <w:t xml:space="preserve">. </w:t>
      </w:r>
      <w:r w:rsidR="00BB75A1" w:rsidRPr="009E1D9E">
        <w:rPr>
          <w:rFonts w:asciiTheme="minorBidi" w:hAnsiTheme="minorBidi"/>
          <w:sz w:val="24"/>
          <w:szCs w:val="24"/>
        </w:rPr>
        <w:t xml:space="preserve">Taking </w:t>
      </w:r>
      <w:r w:rsidR="004829E8" w:rsidRPr="009E1D9E">
        <w:rPr>
          <w:rFonts w:asciiTheme="minorBidi" w:hAnsiTheme="minorBidi"/>
          <w:sz w:val="24"/>
          <w:szCs w:val="24"/>
        </w:rPr>
        <w:t>a broader perspective, r</w:t>
      </w:r>
      <w:r w:rsidR="0094031E" w:rsidRPr="009E1D9E">
        <w:rPr>
          <w:rFonts w:asciiTheme="minorBidi" w:hAnsiTheme="minorBidi"/>
          <w:sz w:val="24"/>
          <w:szCs w:val="24"/>
        </w:rPr>
        <w:t xml:space="preserve">eplication </w:t>
      </w:r>
      <w:r w:rsidR="00CB0B3E" w:rsidRPr="009E1D9E">
        <w:rPr>
          <w:rFonts w:asciiTheme="minorBidi" w:hAnsiTheme="minorBidi"/>
          <w:sz w:val="24"/>
          <w:szCs w:val="24"/>
        </w:rPr>
        <w:t>of previous work</w:t>
      </w:r>
      <w:r w:rsidR="00862B6C" w:rsidRPr="009E1D9E">
        <w:rPr>
          <w:rFonts w:asciiTheme="minorBidi" w:hAnsiTheme="minorBidi"/>
          <w:sz w:val="24"/>
          <w:szCs w:val="24"/>
        </w:rPr>
        <w:t xml:space="preserve"> amongst a nationally-representative sample of Israeli adults</w:t>
      </w:r>
      <w:r w:rsidR="00CB0B3E" w:rsidRPr="009E1D9E">
        <w:rPr>
          <w:rFonts w:asciiTheme="minorBidi" w:hAnsiTheme="minorBidi"/>
          <w:sz w:val="24"/>
          <w:szCs w:val="24"/>
        </w:rPr>
        <w:t xml:space="preserve"> (Ben-Ezra et al., </w:t>
      </w:r>
      <w:r w:rsidR="00862B6C" w:rsidRPr="009E1D9E">
        <w:rPr>
          <w:rFonts w:asciiTheme="minorBidi" w:hAnsiTheme="minorBidi"/>
          <w:sz w:val="24"/>
          <w:szCs w:val="24"/>
        </w:rPr>
        <w:t>2018</w:t>
      </w:r>
      <w:r w:rsidR="00CB0B3E" w:rsidRPr="009E1D9E">
        <w:rPr>
          <w:rFonts w:asciiTheme="minorBidi" w:hAnsiTheme="minorBidi"/>
          <w:sz w:val="24"/>
          <w:szCs w:val="24"/>
        </w:rPr>
        <w:t>)</w:t>
      </w:r>
      <w:r w:rsidR="00065068" w:rsidRPr="009E1D9E">
        <w:rPr>
          <w:rFonts w:asciiTheme="minorBidi" w:hAnsiTheme="minorBidi"/>
          <w:sz w:val="24"/>
          <w:szCs w:val="24"/>
        </w:rPr>
        <w:t xml:space="preserve"> </w:t>
      </w:r>
      <w:r w:rsidR="00CB0B3E" w:rsidRPr="009E1D9E">
        <w:rPr>
          <w:rFonts w:asciiTheme="minorBidi" w:hAnsiTheme="minorBidi"/>
          <w:sz w:val="24"/>
          <w:szCs w:val="24"/>
        </w:rPr>
        <w:t>with a</w:t>
      </w:r>
      <w:r w:rsidR="0094031E" w:rsidRPr="009E1D9E">
        <w:rPr>
          <w:rFonts w:asciiTheme="minorBidi" w:hAnsiTheme="minorBidi"/>
          <w:sz w:val="24"/>
          <w:szCs w:val="24"/>
        </w:rPr>
        <w:t xml:space="preserve"> non-clinical sample will contribute to </w:t>
      </w:r>
      <w:r w:rsidR="00CA6AC7" w:rsidRPr="009E1D9E">
        <w:rPr>
          <w:rFonts w:asciiTheme="minorBidi" w:hAnsiTheme="minorBidi"/>
          <w:sz w:val="24"/>
          <w:szCs w:val="24"/>
        </w:rPr>
        <w:t xml:space="preserve">the </w:t>
      </w:r>
      <w:r w:rsidR="0094031E" w:rsidRPr="009E1D9E">
        <w:rPr>
          <w:rFonts w:asciiTheme="minorBidi" w:hAnsiTheme="minorBidi"/>
          <w:sz w:val="24"/>
          <w:szCs w:val="24"/>
        </w:rPr>
        <w:t>psychometric value of the CPTSD construct.</w:t>
      </w:r>
      <w:r w:rsidR="007D3F52" w:rsidRPr="009E1D9E">
        <w:rPr>
          <w:rFonts w:asciiTheme="minorBidi" w:hAnsiTheme="minorBidi"/>
          <w:sz w:val="24"/>
          <w:szCs w:val="24"/>
        </w:rPr>
        <w:t xml:space="preserve"> </w:t>
      </w:r>
      <w:r w:rsidR="00CB0B3E" w:rsidRPr="009E1D9E">
        <w:rPr>
          <w:rFonts w:asciiTheme="minorBidi" w:hAnsiTheme="minorBidi"/>
          <w:sz w:val="24"/>
          <w:szCs w:val="24"/>
        </w:rPr>
        <w:t xml:space="preserve">Early </w:t>
      </w:r>
      <w:r w:rsidR="00EA6685" w:rsidRPr="009E1D9E">
        <w:rPr>
          <w:rFonts w:asciiTheme="minorBidi" w:hAnsiTheme="minorBidi"/>
          <w:sz w:val="24"/>
          <w:szCs w:val="24"/>
        </w:rPr>
        <w:t xml:space="preserve">studies </w:t>
      </w:r>
      <w:r w:rsidR="00CB0B3E" w:rsidRPr="009E1D9E">
        <w:rPr>
          <w:rFonts w:asciiTheme="minorBidi" w:hAnsiTheme="minorBidi"/>
          <w:sz w:val="24"/>
          <w:szCs w:val="24"/>
        </w:rPr>
        <w:t xml:space="preserve">following the publication of the ICD-11 proposals for PTSD and CPTSD </w:t>
      </w:r>
      <w:r w:rsidR="00EA6685" w:rsidRPr="009E1D9E">
        <w:rPr>
          <w:rFonts w:asciiTheme="minorBidi" w:hAnsiTheme="minorBidi"/>
          <w:sz w:val="24"/>
          <w:szCs w:val="24"/>
        </w:rPr>
        <w:t xml:space="preserve">measured </w:t>
      </w:r>
      <w:r w:rsidR="00CB0B3E" w:rsidRPr="009E1D9E">
        <w:rPr>
          <w:rFonts w:asciiTheme="minorBidi" w:hAnsiTheme="minorBidi"/>
          <w:sz w:val="24"/>
          <w:szCs w:val="24"/>
        </w:rPr>
        <w:t>these symptoms</w:t>
      </w:r>
      <w:r w:rsidR="00EA6685" w:rsidRPr="009E1D9E">
        <w:rPr>
          <w:rFonts w:asciiTheme="minorBidi" w:hAnsiTheme="minorBidi"/>
          <w:sz w:val="24"/>
          <w:szCs w:val="24"/>
        </w:rPr>
        <w:t xml:space="preserve"> us</w:t>
      </w:r>
      <w:r w:rsidR="00CB0B3E" w:rsidRPr="009E1D9E">
        <w:rPr>
          <w:rFonts w:asciiTheme="minorBidi" w:hAnsiTheme="minorBidi"/>
          <w:sz w:val="24"/>
          <w:szCs w:val="24"/>
        </w:rPr>
        <w:t>ing</w:t>
      </w:r>
      <w:r w:rsidR="00EA6685" w:rsidRPr="009E1D9E">
        <w:rPr>
          <w:rFonts w:asciiTheme="minorBidi" w:hAnsiTheme="minorBidi"/>
          <w:sz w:val="24"/>
          <w:szCs w:val="24"/>
        </w:rPr>
        <w:t xml:space="preserve"> </w:t>
      </w:r>
      <w:r w:rsidR="00CB0B3E" w:rsidRPr="009E1D9E">
        <w:rPr>
          <w:rFonts w:asciiTheme="minorBidi" w:hAnsiTheme="minorBidi"/>
          <w:sz w:val="24"/>
          <w:szCs w:val="24"/>
        </w:rPr>
        <w:t xml:space="preserve">pre-existing </w:t>
      </w:r>
      <w:r w:rsidR="00EA6685" w:rsidRPr="009E1D9E">
        <w:rPr>
          <w:rFonts w:asciiTheme="minorBidi" w:hAnsiTheme="minorBidi"/>
          <w:sz w:val="24"/>
          <w:szCs w:val="24"/>
        </w:rPr>
        <w:t xml:space="preserve">scales and ad hoc items in order to capture </w:t>
      </w:r>
      <w:r w:rsidR="00EA6685" w:rsidRPr="009E1D9E">
        <w:rPr>
          <w:rFonts w:ascii="Arial" w:hAnsi="Arial" w:cs="Arial"/>
          <w:sz w:val="24"/>
          <w:szCs w:val="24"/>
        </w:rPr>
        <w:t>the ICD-11 symptoms (</w:t>
      </w:r>
      <w:r w:rsidR="00E9010F" w:rsidRPr="009E1D9E">
        <w:rPr>
          <w:rFonts w:ascii="Arial" w:hAnsi="Arial" w:cs="Arial"/>
          <w:sz w:val="24"/>
          <w:szCs w:val="24"/>
        </w:rPr>
        <w:t xml:space="preserve">e.g. </w:t>
      </w:r>
      <w:proofErr w:type="spellStart"/>
      <w:r w:rsidR="00E9010F" w:rsidRPr="009E1D9E">
        <w:rPr>
          <w:rFonts w:ascii="Arial" w:hAnsi="Arial" w:cs="Arial"/>
          <w:sz w:val="24"/>
          <w:szCs w:val="24"/>
        </w:rPr>
        <w:t>Elklit</w:t>
      </w:r>
      <w:proofErr w:type="spellEnd"/>
      <w:r w:rsidR="00E9010F" w:rsidRPr="009E1D9E">
        <w:rPr>
          <w:rFonts w:ascii="Arial" w:hAnsi="Arial" w:cs="Arial"/>
          <w:sz w:val="24"/>
          <w:szCs w:val="24"/>
        </w:rPr>
        <w:t xml:space="preserve"> et al., 2014; </w:t>
      </w:r>
      <w:r w:rsidR="00EA6685" w:rsidRPr="009E1D9E">
        <w:rPr>
          <w:rFonts w:ascii="Arial" w:hAnsi="Arial" w:cs="Arial"/>
          <w:sz w:val="24"/>
          <w:szCs w:val="24"/>
        </w:rPr>
        <w:t>Knefel &amp; Lueger-Schuster, 2013; Kn</w:t>
      </w:r>
      <w:r w:rsidR="00371A77" w:rsidRPr="009E1D9E">
        <w:rPr>
          <w:rFonts w:ascii="Arial" w:hAnsi="Arial" w:cs="Arial"/>
          <w:sz w:val="24"/>
          <w:szCs w:val="24"/>
        </w:rPr>
        <w:t>e</w:t>
      </w:r>
      <w:r w:rsidR="00EA6685" w:rsidRPr="009E1D9E">
        <w:rPr>
          <w:rFonts w:ascii="Arial" w:hAnsi="Arial" w:cs="Arial"/>
          <w:sz w:val="24"/>
          <w:szCs w:val="24"/>
        </w:rPr>
        <w:t xml:space="preserve">fel et al., 2015; </w:t>
      </w:r>
      <w:proofErr w:type="spellStart"/>
      <w:r w:rsidR="00E9010F" w:rsidRPr="009E1D9E">
        <w:rPr>
          <w:rFonts w:ascii="Arial" w:hAnsi="Arial" w:cs="Arial"/>
          <w:sz w:val="24"/>
          <w:szCs w:val="24"/>
        </w:rPr>
        <w:t>Perkonigg</w:t>
      </w:r>
      <w:proofErr w:type="spellEnd"/>
      <w:r w:rsidR="00E9010F" w:rsidRPr="009E1D9E">
        <w:rPr>
          <w:rFonts w:ascii="Arial" w:hAnsi="Arial" w:cs="Arial"/>
          <w:sz w:val="24"/>
          <w:szCs w:val="24"/>
        </w:rPr>
        <w:t xml:space="preserve"> et al., 2016). </w:t>
      </w:r>
      <w:r w:rsidR="007C4DD9" w:rsidRPr="009E1D9E">
        <w:rPr>
          <w:rFonts w:ascii="Arial" w:hAnsi="Arial" w:cs="Arial"/>
          <w:sz w:val="24"/>
          <w:szCs w:val="24"/>
        </w:rPr>
        <w:t>In order to standardize the</w:t>
      </w:r>
      <w:r w:rsidR="00CB0B3E" w:rsidRPr="009E1D9E">
        <w:rPr>
          <w:rFonts w:ascii="Arial" w:hAnsi="Arial" w:cs="Arial"/>
          <w:sz w:val="24"/>
          <w:szCs w:val="24"/>
        </w:rPr>
        <w:t xml:space="preserve"> measurement of</w:t>
      </w:r>
      <w:r w:rsidR="007C4DD9" w:rsidRPr="009E1D9E">
        <w:rPr>
          <w:rFonts w:ascii="Arial" w:hAnsi="Arial" w:cs="Arial"/>
          <w:sz w:val="24"/>
          <w:szCs w:val="24"/>
        </w:rPr>
        <w:t xml:space="preserve"> ICD-11 </w:t>
      </w:r>
      <w:r w:rsidR="00CB0B3E" w:rsidRPr="009E1D9E">
        <w:rPr>
          <w:rFonts w:ascii="Arial" w:hAnsi="Arial" w:cs="Arial"/>
          <w:sz w:val="24"/>
          <w:szCs w:val="24"/>
        </w:rPr>
        <w:t xml:space="preserve">PTSD/CPTSD </w:t>
      </w:r>
      <w:r w:rsidR="007C4DD9" w:rsidRPr="009E1D9E">
        <w:rPr>
          <w:rFonts w:ascii="Arial" w:hAnsi="Arial" w:cs="Arial"/>
          <w:sz w:val="24"/>
          <w:szCs w:val="24"/>
        </w:rPr>
        <w:t xml:space="preserve">symptoms, </w:t>
      </w:r>
      <w:r w:rsidR="00D45337" w:rsidRPr="009E1D9E">
        <w:rPr>
          <w:rFonts w:ascii="Arial" w:hAnsi="Arial" w:cs="Arial"/>
          <w:sz w:val="24"/>
          <w:szCs w:val="24"/>
        </w:rPr>
        <w:t xml:space="preserve">the </w:t>
      </w:r>
      <w:r w:rsidR="00D45337" w:rsidRPr="009E1D9E">
        <w:rPr>
          <w:rFonts w:ascii="Arial" w:hAnsi="Arial" w:cs="Arial"/>
          <w:i/>
          <w:sz w:val="24"/>
          <w:szCs w:val="24"/>
        </w:rPr>
        <w:t>International Trauma Questionnaire</w:t>
      </w:r>
      <w:r w:rsidR="00D45337" w:rsidRPr="009E1D9E">
        <w:rPr>
          <w:rFonts w:ascii="Arial" w:hAnsi="Arial" w:cs="Arial"/>
          <w:sz w:val="24"/>
          <w:szCs w:val="24"/>
        </w:rPr>
        <w:t xml:space="preserve"> (ITQ: </w:t>
      </w:r>
      <w:r w:rsidR="003E7BB9" w:rsidRPr="009E1D9E">
        <w:rPr>
          <w:rFonts w:ascii="Arial" w:hAnsi="Arial" w:cs="Arial"/>
          <w:sz w:val="24"/>
          <w:szCs w:val="24"/>
        </w:rPr>
        <w:t xml:space="preserve">Cloitre, </w:t>
      </w:r>
      <w:r w:rsidR="003E7BB9" w:rsidRPr="009E1D9E">
        <w:rPr>
          <w:rFonts w:ascii="Arial" w:hAnsi="Arial" w:cs="Arial"/>
          <w:sz w:val="24"/>
          <w:szCs w:val="24"/>
        </w:rPr>
        <w:lastRenderedPageBreak/>
        <w:t>Roberts, Bisson &amp; Brewin, 2015</w:t>
      </w:r>
      <w:r w:rsidR="00D45337" w:rsidRPr="009E1D9E">
        <w:rPr>
          <w:rFonts w:ascii="Arial" w:hAnsi="Arial" w:cs="Arial"/>
          <w:sz w:val="24"/>
          <w:szCs w:val="24"/>
        </w:rPr>
        <w:t>)</w:t>
      </w:r>
      <w:r w:rsidR="007C4DD9" w:rsidRPr="009E1D9E">
        <w:rPr>
          <w:rFonts w:ascii="Arial" w:hAnsi="Arial" w:cs="Arial"/>
          <w:sz w:val="24"/>
          <w:szCs w:val="24"/>
        </w:rPr>
        <w:t xml:space="preserve"> was developed. This </w:t>
      </w:r>
      <w:r w:rsidR="00D45337" w:rsidRPr="009E1D9E">
        <w:rPr>
          <w:rFonts w:ascii="Arial" w:hAnsi="Arial" w:cs="Arial"/>
          <w:sz w:val="24"/>
          <w:szCs w:val="24"/>
        </w:rPr>
        <w:t>self-report measure</w:t>
      </w:r>
      <w:r w:rsidR="00CB0B3E" w:rsidRPr="009E1D9E">
        <w:rPr>
          <w:rFonts w:ascii="Arial" w:hAnsi="Arial" w:cs="Arial"/>
          <w:sz w:val="24"/>
          <w:szCs w:val="24"/>
        </w:rPr>
        <w:t xml:space="preserve"> was</w:t>
      </w:r>
      <w:r w:rsidR="00D45337" w:rsidRPr="009E1D9E">
        <w:rPr>
          <w:rFonts w:ascii="Arial" w:hAnsi="Arial" w:cs="Arial"/>
          <w:sz w:val="24"/>
          <w:szCs w:val="24"/>
        </w:rPr>
        <w:t xml:space="preserve"> specifically designed to capture </w:t>
      </w:r>
      <w:r w:rsidR="00CB0B3E" w:rsidRPr="009E1D9E">
        <w:rPr>
          <w:rFonts w:ascii="Arial" w:hAnsi="Arial" w:cs="Arial"/>
          <w:sz w:val="24"/>
          <w:szCs w:val="24"/>
        </w:rPr>
        <w:t xml:space="preserve">the </w:t>
      </w:r>
      <w:r w:rsidR="00D45337" w:rsidRPr="009E1D9E">
        <w:rPr>
          <w:rFonts w:ascii="Arial" w:hAnsi="Arial" w:cs="Arial"/>
          <w:sz w:val="24"/>
          <w:szCs w:val="24"/>
        </w:rPr>
        <w:t>PTSD and DSO</w:t>
      </w:r>
      <w:r w:rsidR="00CB0B3E" w:rsidRPr="009E1D9E">
        <w:rPr>
          <w:rFonts w:ascii="Arial" w:hAnsi="Arial" w:cs="Arial"/>
          <w:sz w:val="24"/>
          <w:szCs w:val="24"/>
        </w:rPr>
        <w:t xml:space="preserve"> symptoms,</w:t>
      </w:r>
      <w:r w:rsidR="008E4EA9" w:rsidRPr="009E1D9E">
        <w:rPr>
          <w:rFonts w:ascii="Arial" w:hAnsi="Arial" w:cs="Arial"/>
          <w:sz w:val="24"/>
          <w:szCs w:val="24"/>
        </w:rPr>
        <w:t xml:space="preserve"> as per</w:t>
      </w:r>
      <w:r w:rsidR="00CB0B3E" w:rsidRPr="009E1D9E">
        <w:rPr>
          <w:rFonts w:ascii="Arial" w:hAnsi="Arial" w:cs="Arial"/>
          <w:sz w:val="24"/>
          <w:szCs w:val="24"/>
        </w:rPr>
        <w:t xml:space="preserve"> the</w:t>
      </w:r>
      <w:r w:rsidR="008E4EA9" w:rsidRPr="009E1D9E">
        <w:rPr>
          <w:rFonts w:ascii="Arial" w:hAnsi="Arial" w:cs="Arial"/>
          <w:sz w:val="24"/>
          <w:szCs w:val="24"/>
        </w:rPr>
        <w:t xml:space="preserve"> ICD-11 proposals</w:t>
      </w:r>
      <w:r w:rsidR="00D45337" w:rsidRPr="009E1D9E">
        <w:rPr>
          <w:rFonts w:ascii="Arial" w:hAnsi="Arial" w:cs="Arial"/>
          <w:sz w:val="24"/>
          <w:szCs w:val="24"/>
        </w:rPr>
        <w:t xml:space="preserve">. </w:t>
      </w:r>
    </w:p>
    <w:p w14:paraId="2A345C49" w14:textId="0D470AAB" w:rsidR="00D45337" w:rsidRPr="009E1D9E" w:rsidRDefault="00D45337" w:rsidP="00B54BC7">
      <w:pPr>
        <w:spacing w:after="0" w:line="480" w:lineRule="auto"/>
        <w:ind w:firstLine="720"/>
        <w:rPr>
          <w:rFonts w:ascii="Arial" w:hAnsi="Arial" w:cs="Arial"/>
          <w:sz w:val="24"/>
          <w:szCs w:val="24"/>
        </w:rPr>
      </w:pPr>
      <w:r w:rsidRPr="009E1D9E">
        <w:rPr>
          <w:rFonts w:ascii="Arial" w:hAnsi="Arial" w:cs="Arial"/>
          <w:sz w:val="24"/>
          <w:szCs w:val="24"/>
        </w:rPr>
        <w:t>Using a Hebrew version of the ITQ (</w:t>
      </w:r>
      <w:r w:rsidR="003E7BB9" w:rsidRPr="009E1D9E">
        <w:rPr>
          <w:rFonts w:ascii="Arial" w:hAnsi="Arial" w:cs="Arial"/>
          <w:sz w:val="24"/>
          <w:szCs w:val="24"/>
        </w:rPr>
        <w:t>Cloitre, Roberts, Bisson &amp; Brewin, 2015</w:t>
      </w:r>
      <w:r w:rsidRPr="009E1D9E">
        <w:rPr>
          <w:rFonts w:ascii="Arial" w:hAnsi="Arial" w:cs="Arial"/>
          <w:sz w:val="24"/>
          <w:szCs w:val="24"/>
        </w:rPr>
        <w:t>)</w:t>
      </w:r>
      <w:r w:rsidR="00862B6C" w:rsidRPr="009E1D9E">
        <w:rPr>
          <w:rFonts w:ascii="Arial" w:hAnsi="Arial" w:cs="Arial"/>
          <w:sz w:val="24"/>
          <w:szCs w:val="24"/>
        </w:rPr>
        <w:t xml:space="preserve"> amongst a non-clinical sample of trauma-exposed adults in Israel</w:t>
      </w:r>
      <w:r w:rsidRPr="009E1D9E">
        <w:rPr>
          <w:rFonts w:ascii="Arial" w:hAnsi="Arial" w:cs="Arial"/>
          <w:sz w:val="24"/>
          <w:szCs w:val="24"/>
        </w:rPr>
        <w:t xml:space="preserve">, the current study </w:t>
      </w:r>
      <w:r w:rsidR="00862B6C" w:rsidRPr="009E1D9E">
        <w:rPr>
          <w:rFonts w:ascii="Arial" w:hAnsi="Arial" w:cs="Arial"/>
          <w:sz w:val="24"/>
          <w:szCs w:val="24"/>
        </w:rPr>
        <w:t xml:space="preserve">had four primary aims. First, </w:t>
      </w:r>
      <w:r w:rsidR="00287A41" w:rsidRPr="009E1D9E">
        <w:rPr>
          <w:rFonts w:ascii="Arial" w:hAnsi="Arial" w:cs="Arial"/>
          <w:sz w:val="24"/>
          <w:szCs w:val="24"/>
        </w:rPr>
        <w:t xml:space="preserve">we estimated the prevalence of PTSD and CPTSD as per ICD-11 guidelines. Second, </w:t>
      </w:r>
      <w:r w:rsidR="00862B6C" w:rsidRPr="009E1D9E">
        <w:rPr>
          <w:rFonts w:ascii="Arial" w:hAnsi="Arial" w:cs="Arial"/>
          <w:sz w:val="24"/>
          <w:szCs w:val="24"/>
        </w:rPr>
        <w:t>using confirmatory</w:t>
      </w:r>
      <w:r w:rsidR="00287A41" w:rsidRPr="009E1D9E">
        <w:rPr>
          <w:rFonts w:ascii="Arial" w:hAnsi="Arial" w:cs="Arial"/>
          <w:sz w:val="24"/>
          <w:szCs w:val="24"/>
        </w:rPr>
        <w:t xml:space="preserve"> factor analysis (CFA)</w:t>
      </w:r>
      <w:r w:rsidR="00862B6C" w:rsidRPr="009E1D9E">
        <w:rPr>
          <w:rFonts w:ascii="Arial" w:hAnsi="Arial" w:cs="Arial"/>
          <w:sz w:val="24"/>
          <w:szCs w:val="24"/>
        </w:rPr>
        <w:t xml:space="preserve"> we examined </w:t>
      </w:r>
      <w:r w:rsidR="008E4EA9" w:rsidRPr="009E1D9E">
        <w:rPr>
          <w:rFonts w:ascii="Arial" w:hAnsi="Arial" w:cs="Arial"/>
          <w:sz w:val="24"/>
          <w:szCs w:val="24"/>
        </w:rPr>
        <w:t>whether hyper-</w:t>
      </w:r>
      <w:r w:rsidR="00CB0B3E" w:rsidRPr="009E1D9E">
        <w:rPr>
          <w:rFonts w:ascii="Arial" w:hAnsi="Arial" w:cs="Arial"/>
          <w:sz w:val="24"/>
          <w:szCs w:val="24"/>
        </w:rPr>
        <w:t>activation</w:t>
      </w:r>
      <w:r w:rsidR="008E4EA9" w:rsidRPr="009E1D9E">
        <w:rPr>
          <w:rFonts w:ascii="Arial" w:hAnsi="Arial" w:cs="Arial"/>
          <w:sz w:val="24"/>
          <w:szCs w:val="24"/>
        </w:rPr>
        <w:t xml:space="preserve"> and hypo-activation</w:t>
      </w:r>
      <w:r w:rsidR="00CB0B3E" w:rsidRPr="009E1D9E">
        <w:rPr>
          <w:rFonts w:ascii="Arial" w:hAnsi="Arial" w:cs="Arial"/>
          <w:sz w:val="24"/>
          <w:szCs w:val="24"/>
        </w:rPr>
        <w:t xml:space="preserve"> symptoms</w:t>
      </w:r>
      <w:r w:rsidR="008E4EA9" w:rsidRPr="009E1D9E">
        <w:rPr>
          <w:rFonts w:ascii="Arial" w:hAnsi="Arial" w:cs="Arial"/>
          <w:sz w:val="24"/>
          <w:szCs w:val="24"/>
        </w:rPr>
        <w:t xml:space="preserve"> are</w:t>
      </w:r>
      <w:r w:rsidR="003C4D6C" w:rsidRPr="009E1D9E">
        <w:rPr>
          <w:rFonts w:ascii="Arial" w:hAnsi="Arial" w:cs="Arial"/>
          <w:sz w:val="24"/>
          <w:szCs w:val="24"/>
        </w:rPr>
        <w:t xml:space="preserve"> better conceptualised as</w:t>
      </w:r>
      <w:r w:rsidR="008E4EA9" w:rsidRPr="009E1D9E">
        <w:rPr>
          <w:rFonts w:ascii="Arial" w:hAnsi="Arial" w:cs="Arial"/>
          <w:sz w:val="24"/>
          <w:szCs w:val="24"/>
        </w:rPr>
        <w:t xml:space="preserve"> distinct </w:t>
      </w:r>
      <w:r w:rsidR="003C4D6C" w:rsidRPr="009E1D9E">
        <w:rPr>
          <w:rFonts w:ascii="Arial" w:hAnsi="Arial" w:cs="Arial"/>
          <w:sz w:val="24"/>
          <w:szCs w:val="24"/>
        </w:rPr>
        <w:t xml:space="preserve">dimension of affective dysregulation </w:t>
      </w:r>
      <w:r w:rsidR="008E4EA9" w:rsidRPr="009E1D9E">
        <w:rPr>
          <w:rFonts w:ascii="Arial" w:hAnsi="Arial" w:cs="Arial"/>
          <w:sz w:val="24"/>
          <w:szCs w:val="24"/>
        </w:rPr>
        <w:t xml:space="preserve">or </w:t>
      </w:r>
      <w:r w:rsidR="00862B6C" w:rsidRPr="009E1D9E">
        <w:rPr>
          <w:rFonts w:ascii="Arial" w:hAnsi="Arial" w:cs="Arial"/>
          <w:sz w:val="24"/>
          <w:szCs w:val="24"/>
        </w:rPr>
        <w:t xml:space="preserve">if these symptoms are better conceptualized as indicators of </w:t>
      </w:r>
      <w:r w:rsidR="008E4EA9" w:rsidRPr="009E1D9E">
        <w:rPr>
          <w:rFonts w:ascii="Arial" w:hAnsi="Arial" w:cs="Arial"/>
          <w:sz w:val="24"/>
          <w:szCs w:val="24"/>
        </w:rPr>
        <w:t xml:space="preserve">a single underlying AD </w:t>
      </w:r>
      <w:r w:rsidR="003C4D6C" w:rsidRPr="009E1D9E">
        <w:rPr>
          <w:rFonts w:ascii="Arial" w:hAnsi="Arial" w:cs="Arial"/>
          <w:sz w:val="24"/>
          <w:szCs w:val="24"/>
        </w:rPr>
        <w:t>factor</w:t>
      </w:r>
      <w:r w:rsidR="00862B6C" w:rsidRPr="009E1D9E">
        <w:rPr>
          <w:rFonts w:ascii="Arial" w:hAnsi="Arial" w:cs="Arial"/>
          <w:sz w:val="24"/>
          <w:szCs w:val="24"/>
        </w:rPr>
        <w:t xml:space="preserve">. </w:t>
      </w:r>
      <w:r w:rsidR="00287A41" w:rsidRPr="009E1D9E">
        <w:rPr>
          <w:rFonts w:ascii="Arial" w:hAnsi="Arial" w:cs="Arial"/>
          <w:sz w:val="24"/>
          <w:szCs w:val="24"/>
        </w:rPr>
        <w:t>Third</w:t>
      </w:r>
      <w:r w:rsidR="00862B6C" w:rsidRPr="009E1D9E">
        <w:rPr>
          <w:rFonts w:ascii="Arial" w:hAnsi="Arial" w:cs="Arial"/>
          <w:sz w:val="24"/>
          <w:szCs w:val="24"/>
        </w:rPr>
        <w:t>, using</w:t>
      </w:r>
      <w:r w:rsidR="00B54BC7" w:rsidRPr="009E1D9E">
        <w:rPr>
          <w:rFonts w:ascii="Arial" w:hAnsi="Arial" w:cs="Arial"/>
          <w:sz w:val="24"/>
          <w:szCs w:val="24"/>
        </w:rPr>
        <w:t xml:space="preserve"> </w:t>
      </w:r>
      <w:r w:rsidR="00CB0B3E" w:rsidRPr="009E1D9E">
        <w:rPr>
          <w:rFonts w:ascii="Arial" w:hAnsi="Arial" w:cs="Arial"/>
          <w:sz w:val="24"/>
          <w:szCs w:val="24"/>
        </w:rPr>
        <w:t>latent class analysis (LCA)</w:t>
      </w:r>
      <w:r w:rsidR="00862B6C" w:rsidRPr="009E1D9E">
        <w:rPr>
          <w:rFonts w:ascii="Arial" w:hAnsi="Arial" w:cs="Arial"/>
          <w:sz w:val="24"/>
          <w:szCs w:val="24"/>
        </w:rPr>
        <w:t xml:space="preserve">, we </w:t>
      </w:r>
      <w:r w:rsidR="00B54BC7" w:rsidRPr="009E1D9E">
        <w:rPr>
          <w:rFonts w:ascii="Arial" w:hAnsi="Arial" w:cs="Arial"/>
          <w:sz w:val="24"/>
          <w:szCs w:val="24"/>
        </w:rPr>
        <w:t>test</w:t>
      </w:r>
      <w:r w:rsidR="00862B6C" w:rsidRPr="009E1D9E">
        <w:rPr>
          <w:rFonts w:ascii="Arial" w:hAnsi="Arial" w:cs="Arial"/>
          <w:sz w:val="24"/>
          <w:szCs w:val="24"/>
        </w:rPr>
        <w:t>ed</w:t>
      </w:r>
      <w:r w:rsidR="00B54BC7" w:rsidRPr="009E1D9E">
        <w:rPr>
          <w:rFonts w:ascii="Arial" w:hAnsi="Arial" w:cs="Arial"/>
          <w:sz w:val="24"/>
          <w:szCs w:val="24"/>
        </w:rPr>
        <w:t xml:space="preserve"> the discriminant validity of ICD-11 PTSD and CPTSD by determining if there are separate classes of individuals identifiable by </w:t>
      </w:r>
      <w:r w:rsidR="00B54BC7" w:rsidRPr="009E1D9E">
        <w:rPr>
          <w:rFonts w:ascii="Arial" w:hAnsi="Arial" w:cs="Arial"/>
          <w:sz w:val="24"/>
          <w:szCs w:val="24"/>
        </w:rPr>
        <w:lastRenderedPageBreak/>
        <w:t xml:space="preserve">symptom profiles consistent with </w:t>
      </w:r>
      <w:r w:rsidR="00CB0B3E" w:rsidRPr="009E1D9E">
        <w:rPr>
          <w:rFonts w:ascii="Arial" w:hAnsi="Arial" w:cs="Arial"/>
          <w:sz w:val="24"/>
          <w:szCs w:val="24"/>
        </w:rPr>
        <w:t>these</w:t>
      </w:r>
      <w:r w:rsidR="008E4EA9" w:rsidRPr="009E1D9E">
        <w:rPr>
          <w:rFonts w:ascii="Arial" w:hAnsi="Arial" w:cs="Arial"/>
          <w:sz w:val="24"/>
          <w:szCs w:val="24"/>
        </w:rPr>
        <w:t xml:space="preserve"> diagnoses</w:t>
      </w:r>
      <w:r w:rsidR="00862B6C" w:rsidRPr="009E1D9E">
        <w:rPr>
          <w:rFonts w:ascii="Arial" w:hAnsi="Arial" w:cs="Arial"/>
          <w:sz w:val="24"/>
          <w:szCs w:val="24"/>
        </w:rPr>
        <w:t xml:space="preserve">. Finally, </w:t>
      </w:r>
      <w:r w:rsidR="003C4D6C" w:rsidRPr="009E1D9E">
        <w:rPr>
          <w:rFonts w:ascii="Arial" w:hAnsi="Arial" w:cs="Arial"/>
          <w:sz w:val="24"/>
          <w:szCs w:val="24"/>
        </w:rPr>
        <w:t xml:space="preserve">we examined the relationship between </w:t>
      </w:r>
      <w:r w:rsidR="00CE05C0" w:rsidRPr="009E1D9E">
        <w:rPr>
          <w:rFonts w:ascii="Arial" w:hAnsi="Arial" w:cs="Arial"/>
          <w:sz w:val="24"/>
          <w:szCs w:val="24"/>
        </w:rPr>
        <w:t xml:space="preserve">class membership and number of </w:t>
      </w:r>
      <w:r w:rsidR="003C4D6C" w:rsidRPr="009E1D9E">
        <w:rPr>
          <w:rFonts w:ascii="Arial" w:hAnsi="Arial" w:cs="Arial"/>
          <w:sz w:val="24"/>
          <w:szCs w:val="24"/>
        </w:rPr>
        <w:t>traumatic exposure</w:t>
      </w:r>
      <w:r w:rsidR="00CE05C0" w:rsidRPr="009E1D9E">
        <w:rPr>
          <w:rFonts w:ascii="Arial" w:hAnsi="Arial" w:cs="Arial"/>
          <w:sz w:val="24"/>
          <w:szCs w:val="24"/>
        </w:rPr>
        <w:t>s and psychological wellbeing.</w:t>
      </w:r>
    </w:p>
    <w:p w14:paraId="0EE64BF8" w14:textId="1EE68634" w:rsidR="008118A1" w:rsidRPr="009E1D9E" w:rsidRDefault="008118A1" w:rsidP="00862B6C">
      <w:pPr>
        <w:pStyle w:val="NoSpacing"/>
        <w:spacing w:line="480" w:lineRule="auto"/>
        <w:jc w:val="center"/>
        <w:rPr>
          <w:rFonts w:ascii="Arial" w:hAnsi="Arial" w:cs="Arial"/>
          <w:b/>
          <w:bCs/>
          <w:sz w:val="24"/>
          <w:szCs w:val="24"/>
        </w:rPr>
      </w:pPr>
      <w:r w:rsidRPr="009E1D9E">
        <w:rPr>
          <w:rFonts w:ascii="Arial" w:hAnsi="Arial" w:cs="Arial"/>
          <w:b/>
          <w:bCs/>
          <w:sz w:val="24"/>
          <w:szCs w:val="24"/>
        </w:rPr>
        <w:t>Methods</w:t>
      </w:r>
    </w:p>
    <w:p w14:paraId="33FD160D" w14:textId="77777777" w:rsidR="008118A1" w:rsidRPr="009E1D9E" w:rsidRDefault="008118A1" w:rsidP="00110CB8">
      <w:pPr>
        <w:pStyle w:val="NoSpacing"/>
        <w:spacing w:line="480" w:lineRule="auto"/>
        <w:rPr>
          <w:rFonts w:ascii="Arial" w:hAnsi="Arial" w:cs="Arial"/>
          <w:i/>
          <w:sz w:val="24"/>
          <w:szCs w:val="24"/>
        </w:rPr>
      </w:pPr>
      <w:r w:rsidRPr="009E1D9E">
        <w:rPr>
          <w:rFonts w:ascii="Arial" w:hAnsi="Arial" w:cs="Arial"/>
          <w:i/>
          <w:sz w:val="24"/>
          <w:szCs w:val="24"/>
        </w:rPr>
        <w:t>Participants and procedures</w:t>
      </w:r>
    </w:p>
    <w:p w14:paraId="3073E822" w14:textId="06DABD6F" w:rsidR="00156DDD" w:rsidRPr="009E1D9E" w:rsidRDefault="00156DDD" w:rsidP="00BB09AD">
      <w:pPr>
        <w:pStyle w:val="NoSpacing"/>
        <w:spacing w:line="480" w:lineRule="auto"/>
        <w:ind w:firstLine="720"/>
        <w:rPr>
          <w:rFonts w:ascii="Arial" w:hAnsi="Arial" w:cs="Arial"/>
          <w:sz w:val="24"/>
          <w:szCs w:val="24"/>
          <w:shd w:val="clear" w:color="auto" w:fill="FFFFFF"/>
        </w:rPr>
      </w:pPr>
      <w:r w:rsidRPr="009E1D9E">
        <w:rPr>
          <w:rFonts w:ascii="Arial" w:hAnsi="Arial" w:cs="Arial"/>
          <w:sz w:val="24"/>
          <w:szCs w:val="24"/>
          <w:shd w:val="clear" w:color="auto" w:fill="FFFFFF"/>
        </w:rPr>
        <w:t xml:space="preserve">The study was conducted during January-February, 2017, and aimed at procuring a convenience sample of adult Jewish Israelis. </w:t>
      </w:r>
      <w:r w:rsidR="00CB0B3E" w:rsidRPr="009E1D9E">
        <w:rPr>
          <w:rFonts w:ascii="Arial" w:hAnsi="Arial" w:cs="Arial"/>
          <w:sz w:val="24"/>
          <w:szCs w:val="24"/>
          <w:shd w:val="clear" w:color="auto" w:fill="FFFFFF"/>
        </w:rPr>
        <w:t>An</w:t>
      </w:r>
      <w:r w:rsidRPr="009E1D9E">
        <w:rPr>
          <w:rFonts w:ascii="Arial" w:hAnsi="Arial" w:cs="Arial"/>
          <w:sz w:val="24"/>
          <w:szCs w:val="24"/>
          <w:shd w:val="clear" w:color="auto" w:fill="FFFFFF"/>
        </w:rPr>
        <w:t xml:space="preserve"> online survey</w:t>
      </w:r>
      <w:r w:rsidR="00CB0B3E" w:rsidRPr="009E1D9E">
        <w:rPr>
          <w:rFonts w:ascii="Arial" w:hAnsi="Arial" w:cs="Arial"/>
          <w:sz w:val="24"/>
          <w:szCs w:val="24"/>
          <w:shd w:val="clear" w:color="auto" w:fill="FFFFFF"/>
        </w:rPr>
        <w:t xml:space="preserve"> was used for data collection and</w:t>
      </w:r>
      <w:r w:rsidRPr="009E1D9E">
        <w:rPr>
          <w:rFonts w:ascii="Arial" w:hAnsi="Arial" w:cs="Arial"/>
          <w:sz w:val="24"/>
          <w:szCs w:val="24"/>
          <w:shd w:val="clear" w:color="auto" w:fill="FFFFFF"/>
        </w:rPr>
        <w:t xml:space="preserve"> was advertised through various means such as social media (mainly Facebook) and smartphone applications (e.g., </w:t>
      </w:r>
      <w:proofErr w:type="spellStart"/>
      <w:r w:rsidRPr="009E1D9E">
        <w:rPr>
          <w:rFonts w:ascii="Arial" w:hAnsi="Arial" w:cs="Arial"/>
          <w:sz w:val="24"/>
          <w:szCs w:val="24"/>
          <w:shd w:val="clear" w:color="auto" w:fill="FFFFFF"/>
        </w:rPr>
        <w:t>Whatsapp</w:t>
      </w:r>
      <w:proofErr w:type="spellEnd"/>
      <w:r w:rsidRPr="009E1D9E">
        <w:rPr>
          <w:rFonts w:ascii="Arial" w:hAnsi="Arial" w:cs="Arial"/>
          <w:sz w:val="24"/>
          <w:szCs w:val="24"/>
          <w:shd w:val="clear" w:color="auto" w:fill="FFFFFF"/>
        </w:rPr>
        <w:t>). The link led to a designated site where participants provided informed consent. The survey was anonymous and no personal information could be identiﬁed. The cohort consisted of 618 participants, ranging in age from 1</w:t>
      </w:r>
      <w:r w:rsidR="00DF21CD" w:rsidRPr="009E1D9E">
        <w:rPr>
          <w:rFonts w:ascii="Arial" w:hAnsi="Arial" w:cs="Arial"/>
          <w:sz w:val="24"/>
          <w:szCs w:val="24"/>
          <w:shd w:val="clear" w:color="auto" w:fill="FFFFFF"/>
        </w:rPr>
        <w:t>8</w:t>
      </w:r>
      <w:r w:rsidRPr="009E1D9E">
        <w:rPr>
          <w:rFonts w:ascii="Arial" w:hAnsi="Arial" w:cs="Arial"/>
          <w:sz w:val="24"/>
          <w:szCs w:val="24"/>
          <w:shd w:val="clear" w:color="auto" w:fill="FFFFFF"/>
        </w:rPr>
        <w:t xml:space="preserve"> to 80</w:t>
      </w:r>
      <w:r w:rsidR="00CB0B3E" w:rsidRPr="009E1D9E">
        <w:rPr>
          <w:rFonts w:ascii="Arial" w:hAnsi="Arial" w:cs="Arial"/>
          <w:sz w:val="24"/>
          <w:szCs w:val="24"/>
          <w:shd w:val="clear" w:color="auto" w:fill="FFFFFF"/>
        </w:rPr>
        <w:t xml:space="preserve"> years</w:t>
      </w:r>
      <w:r w:rsidRPr="009E1D9E">
        <w:rPr>
          <w:rFonts w:ascii="Arial" w:hAnsi="Arial" w:cs="Arial"/>
          <w:sz w:val="24"/>
          <w:szCs w:val="24"/>
          <w:shd w:val="clear" w:color="auto" w:fill="FFFFFF"/>
        </w:rPr>
        <w:t xml:space="preserve"> (M = 33.39</w:t>
      </w:r>
      <w:r w:rsidR="00CB0B3E" w:rsidRPr="009E1D9E">
        <w:rPr>
          <w:rFonts w:ascii="Arial" w:hAnsi="Arial" w:cs="Arial"/>
          <w:sz w:val="24"/>
          <w:szCs w:val="24"/>
          <w:shd w:val="clear" w:color="auto" w:fill="FFFFFF"/>
        </w:rPr>
        <w:t xml:space="preserve">, </w:t>
      </w:r>
      <w:r w:rsidRPr="009E1D9E">
        <w:rPr>
          <w:rFonts w:ascii="Arial" w:hAnsi="Arial" w:cs="Arial"/>
          <w:sz w:val="24"/>
          <w:szCs w:val="24"/>
          <w:shd w:val="clear" w:color="auto" w:fill="FFFFFF"/>
        </w:rPr>
        <w:t xml:space="preserve">SD = 11.95), and included 482 women (78.0%). </w:t>
      </w:r>
      <w:r w:rsidRPr="009E1D9E">
        <w:rPr>
          <w:rFonts w:ascii="Arial" w:hAnsi="Arial" w:cs="Arial"/>
          <w:sz w:val="24"/>
          <w:szCs w:val="24"/>
          <w:shd w:val="clear" w:color="auto" w:fill="FFFFFF"/>
        </w:rPr>
        <w:lastRenderedPageBreak/>
        <w:t>Most of the participants (n</w:t>
      </w:r>
      <w:r w:rsidR="00CB0B3E" w:rsidRPr="009E1D9E">
        <w:rPr>
          <w:rFonts w:ascii="Arial" w:hAnsi="Arial" w:cs="Arial"/>
          <w:sz w:val="24"/>
          <w:szCs w:val="24"/>
          <w:shd w:val="clear" w:color="auto" w:fill="FFFFFF"/>
        </w:rPr>
        <w:t xml:space="preserve"> </w:t>
      </w:r>
      <w:r w:rsidRPr="009E1D9E">
        <w:rPr>
          <w:rFonts w:ascii="Arial" w:hAnsi="Arial" w:cs="Arial"/>
          <w:sz w:val="24"/>
          <w:szCs w:val="24"/>
          <w:shd w:val="clear" w:color="auto" w:fill="FFFFFF"/>
        </w:rPr>
        <w:t xml:space="preserve">= 452; 73.1%) reported being in a relationship, 311 reported having a </w:t>
      </w:r>
      <w:r w:rsidR="00DD60B5" w:rsidRPr="009E1D9E">
        <w:rPr>
          <w:rFonts w:ascii="Arial" w:hAnsi="Arial" w:cs="Arial"/>
          <w:sz w:val="24"/>
          <w:szCs w:val="24"/>
          <w:shd w:val="clear" w:color="auto" w:fill="FFFFFF"/>
        </w:rPr>
        <w:t>full-time</w:t>
      </w:r>
      <w:r w:rsidRPr="009E1D9E">
        <w:rPr>
          <w:rFonts w:ascii="Arial" w:hAnsi="Arial" w:cs="Arial"/>
          <w:sz w:val="24"/>
          <w:szCs w:val="24"/>
          <w:shd w:val="clear" w:color="auto" w:fill="FFFFFF"/>
        </w:rPr>
        <w:t xml:space="preserve"> job (50.3%) and 214 (34.6%) </w:t>
      </w:r>
      <w:r w:rsidR="00CB0B3E" w:rsidRPr="009E1D9E">
        <w:rPr>
          <w:rFonts w:ascii="Arial" w:hAnsi="Arial" w:cs="Arial"/>
          <w:sz w:val="24"/>
          <w:szCs w:val="24"/>
          <w:shd w:val="clear" w:color="auto" w:fill="FFFFFF"/>
        </w:rPr>
        <w:t xml:space="preserve">reported </w:t>
      </w:r>
      <w:r w:rsidRPr="009E1D9E">
        <w:rPr>
          <w:rFonts w:ascii="Arial" w:hAnsi="Arial" w:cs="Arial"/>
          <w:sz w:val="24"/>
          <w:szCs w:val="24"/>
          <w:shd w:val="clear" w:color="auto" w:fill="FFFFFF"/>
        </w:rPr>
        <w:t>having a part-time job. Regarding education, 474 (76.7%) of the participants reported having a college/university degree or higher.</w:t>
      </w:r>
    </w:p>
    <w:p w14:paraId="719BA15B" w14:textId="4F8F5F6D" w:rsidR="00156DDD" w:rsidRPr="009E1D9E" w:rsidRDefault="008C2CBC" w:rsidP="00BB09AD">
      <w:pPr>
        <w:pStyle w:val="NoSpacing"/>
        <w:tabs>
          <w:tab w:val="left" w:pos="0"/>
        </w:tabs>
        <w:spacing w:line="480" w:lineRule="auto"/>
        <w:rPr>
          <w:rFonts w:ascii="Arial" w:hAnsi="Arial" w:cs="Arial"/>
          <w:i/>
          <w:sz w:val="24"/>
          <w:szCs w:val="24"/>
        </w:rPr>
      </w:pPr>
      <w:r w:rsidRPr="009E1D9E">
        <w:rPr>
          <w:rFonts w:ascii="Arial" w:hAnsi="Arial" w:cs="Arial"/>
          <w:i/>
          <w:sz w:val="24"/>
          <w:szCs w:val="24"/>
        </w:rPr>
        <w:t>Measur</w:t>
      </w:r>
      <w:r w:rsidR="002566E3" w:rsidRPr="009E1D9E">
        <w:rPr>
          <w:rFonts w:ascii="Arial" w:hAnsi="Arial" w:cs="Arial"/>
          <w:i/>
          <w:sz w:val="24"/>
          <w:szCs w:val="24"/>
        </w:rPr>
        <w:t>es</w:t>
      </w:r>
    </w:p>
    <w:p w14:paraId="7D772C8F" w14:textId="40F49D4C" w:rsidR="003B7200" w:rsidRPr="009E1D9E" w:rsidRDefault="003B7200" w:rsidP="003B7200">
      <w:pPr>
        <w:pStyle w:val="NoSpacing"/>
        <w:spacing w:line="480" w:lineRule="auto"/>
        <w:rPr>
          <w:rFonts w:ascii="Arial" w:eastAsia="Times New Roman" w:hAnsi="Arial" w:cs="Arial"/>
          <w:sz w:val="24"/>
          <w:szCs w:val="24"/>
        </w:rPr>
      </w:pPr>
      <w:r w:rsidRPr="009E1D9E">
        <w:rPr>
          <w:rFonts w:ascii="Arial" w:hAnsi="Arial" w:cs="Arial"/>
          <w:sz w:val="24"/>
          <w:szCs w:val="24"/>
        </w:rPr>
        <w:tab/>
        <w:t xml:space="preserve">Lifetime Traumatic Exposure: </w:t>
      </w:r>
      <w:r w:rsidRPr="009E1D9E">
        <w:rPr>
          <w:rFonts w:ascii="Arial" w:eastAsia="Times New Roman" w:hAnsi="Arial" w:cs="Arial"/>
          <w:sz w:val="24"/>
          <w:szCs w:val="24"/>
        </w:rPr>
        <w:t xml:space="preserve">The extended </w:t>
      </w:r>
      <w:r w:rsidRPr="009E1D9E">
        <w:rPr>
          <w:rFonts w:ascii="Arial" w:eastAsia="Times New Roman" w:hAnsi="Arial" w:cs="Arial"/>
          <w:i/>
          <w:sz w:val="24"/>
          <w:szCs w:val="24"/>
        </w:rPr>
        <w:t>Life Events Checklist for DSM-5</w:t>
      </w:r>
      <w:r w:rsidRPr="009E1D9E">
        <w:rPr>
          <w:rFonts w:ascii="Arial" w:eastAsia="Times New Roman" w:hAnsi="Arial" w:cs="Arial"/>
          <w:sz w:val="24"/>
          <w:szCs w:val="24"/>
        </w:rPr>
        <w:t xml:space="preserve"> (LEC-5: </w:t>
      </w:r>
      <w:r w:rsidRPr="009E1D9E">
        <w:rPr>
          <w:rFonts w:ascii="Arial" w:hAnsi="Arial" w:cs="Arial"/>
          <w:sz w:val="24"/>
        </w:rPr>
        <w:t>Weathers et al., 2013</w:t>
      </w:r>
      <w:hyperlink w:anchor="page8">
        <w:r w:rsidRPr="009E1D9E">
          <w:rPr>
            <w:rFonts w:ascii="Arial" w:eastAsia="Times New Roman" w:hAnsi="Arial" w:cs="Arial"/>
            <w:sz w:val="24"/>
            <w:szCs w:val="24"/>
          </w:rPr>
          <w:t>)</w:t>
        </w:r>
      </w:hyperlink>
      <w:r w:rsidRPr="009E1D9E">
        <w:rPr>
          <w:rFonts w:ascii="Arial" w:eastAsia="Times New Roman" w:hAnsi="Arial" w:cs="Arial"/>
          <w:sz w:val="24"/>
          <w:szCs w:val="24"/>
        </w:rPr>
        <w:t xml:space="preserve"> is a 19-item self-report measure designed to screen for potentially traumatic events in a respondent’s lifetime. The LEC-5 assesses life time exposure to 18 traumatic events (e.g., Natural disaster, Physical assault, Life threatening illness/injury) and the 19th item, “Any other very stressful event/experience”, can be used to describe exposure to a trauma that is not listed. For each item, respondents check whether the </w:t>
      </w:r>
      <w:r w:rsidRPr="009E1D9E">
        <w:rPr>
          <w:rFonts w:ascii="Arial" w:eastAsia="Times New Roman" w:hAnsi="Arial" w:cs="Arial"/>
          <w:sz w:val="24"/>
          <w:szCs w:val="24"/>
        </w:rPr>
        <w:lastRenderedPageBreak/>
        <w:t>event (1) ‘Happened to me’, (2) ‘Witnessed it happening to somebody else’, (3) ‘Learned about it happening to someone close to me’, (4) ‘Part of my job’, (5) ‘Not sure it applies’, (6) ‘Doesn’t apply to my experience’. Each item was recoded as (1) ‘Happened to me’ and (0) all other responses, except for the items relating to ‘Sudden violent death’ and ‘Sudden accidental death’ that were coded (1) ‘Witnessed it happening to somebody else’ and (0) all other responses. A summed total of all binary responses was calculated to represent the number of different life events that has been experienced and this produced a single ‘Total traumas’ variable with possible scores ranging from 0 to 19.</w:t>
      </w:r>
    </w:p>
    <w:p w14:paraId="03433286" w14:textId="739958D4" w:rsidR="001802A6" w:rsidRPr="009E1D9E" w:rsidRDefault="001802A6" w:rsidP="003B7200">
      <w:pPr>
        <w:pStyle w:val="NoSpacing"/>
        <w:spacing w:line="480" w:lineRule="auto"/>
        <w:rPr>
          <w:rFonts w:ascii="Arial" w:eastAsia="Times New Roman" w:hAnsi="Arial" w:cs="Arial"/>
          <w:sz w:val="24"/>
          <w:szCs w:val="24"/>
        </w:rPr>
      </w:pPr>
      <w:r w:rsidRPr="009E1D9E">
        <w:rPr>
          <w:rFonts w:ascii="Arial" w:eastAsia="Times New Roman" w:hAnsi="Arial" w:cs="Arial"/>
          <w:sz w:val="24"/>
          <w:szCs w:val="24"/>
        </w:rPr>
        <w:t>After measuring life-time trauma, the participants answered two questions asking what the most significant traumatic event for them was and when it occurred.</w:t>
      </w:r>
    </w:p>
    <w:p w14:paraId="67188856" w14:textId="2A93DF51" w:rsidR="00CB0B3E" w:rsidRPr="009E1D9E" w:rsidRDefault="008C2CBC" w:rsidP="00BB09AD">
      <w:pPr>
        <w:pStyle w:val="NoSpacing"/>
        <w:spacing w:line="480" w:lineRule="auto"/>
        <w:ind w:firstLine="720"/>
        <w:rPr>
          <w:rFonts w:ascii="Arial" w:hAnsi="Arial" w:cs="Arial"/>
          <w:sz w:val="24"/>
          <w:szCs w:val="24"/>
        </w:rPr>
      </w:pPr>
      <w:r w:rsidRPr="009E1D9E">
        <w:rPr>
          <w:rFonts w:ascii="Arial" w:hAnsi="Arial" w:cs="Arial"/>
          <w:sz w:val="24"/>
          <w:szCs w:val="24"/>
        </w:rPr>
        <w:lastRenderedPageBreak/>
        <w:t>ICD-11 PTSD and CPTSD</w:t>
      </w:r>
      <w:r w:rsidR="00BB09AD" w:rsidRPr="009E1D9E">
        <w:rPr>
          <w:rFonts w:ascii="Arial" w:hAnsi="Arial" w:cs="Arial"/>
          <w:sz w:val="24"/>
          <w:szCs w:val="24"/>
        </w:rPr>
        <w:t xml:space="preserve">: </w:t>
      </w:r>
      <w:r w:rsidRPr="009E1D9E">
        <w:rPr>
          <w:rFonts w:ascii="Arial" w:hAnsi="Arial" w:cs="Arial"/>
          <w:sz w:val="24"/>
          <w:szCs w:val="24"/>
        </w:rPr>
        <w:t xml:space="preserve">The </w:t>
      </w:r>
      <w:r w:rsidRPr="009E1D9E">
        <w:rPr>
          <w:rFonts w:ascii="Arial" w:hAnsi="Arial" w:cs="Arial"/>
          <w:i/>
          <w:sz w:val="24"/>
          <w:szCs w:val="24"/>
        </w:rPr>
        <w:t>International Trauma Questionnaire</w:t>
      </w:r>
      <w:r w:rsidRPr="009E1D9E">
        <w:rPr>
          <w:rFonts w:ascii="Arial" w:hAnsi="Arial" w:cs="Arial"/>
          <w:sz w:val="24"/>
          <w:szCs w:val="24"/>
        </w:rPr>
        <w:t xml:space="preserve"> (ITQ: Cloitre, Roberts, Bisson, &amp; Brewin, 2015) is </w:t>
      </w:r>
      <w:r w:rsidR="002566E3" w:rsidRPr="009E1D9E">
        <w:rPr>
          <w:rFonts w:ascii="Arial" w:hAnsi="Arial" w:cs="Arial"/>
          <w:sz w:val="24"/>
          <w:szCs w:val="24"/>
        </w:rPr>
        <w:t xml:space="preserve">a </w:t>
      </w:r>
      <w:r w:rsidR="00B54BC7" w:rsidRPr="009E1D9E">
        <w:rPr>
          <w:rFonts w:ascii="Arial" w:hAnsi="Arial" w:cs="Arial"/>
          <w:sz w:val="24"/>
          <w:szCs w:val="24"/>
        </w:rPr>
        <w:t>development</w:t>
      </w:r>
      <w:r w:rsidRPr="009E1D9E">
        <w:rPr>
          <w:rFonts w:ascii="Arial" w:hAnsi="Arial" w:cs="Arial"/>
          <w:sz w:val="24"/>
          <w:szCs w:val="24"/>
        </w:rPr>
        <w:t>-stage self-report measure of ICD-11 PTSD and CPTSD symptoms. As the symptom formulations for both disorders have yet to be finalised by the ICD-11 working group for disorder</w:t>
      </w:r>
      <w:r w:rsidR="008B5724" w:rsidRPr="009E1D9E">
        <w:rPr>
          <w:rFonts w:ascii="Arial" w:hAnsi="Arial" w:cs="Arial"/>
          <w:sz w:val="24"/>
          <w:szCs w:val="24"/>
        </w:rPr>
        <w:t>s</w:t>
      </w:r>
      <w:r w:rsidRPr="009E1D9E">
        <w:rPr>
          <w:rFonts w:ascii="Arial" w:hAnsi="Arial" w:cs="Arial"/>
          <w:sz w:val="24"/>
          <w:szCs w:val="24"/>
        </w:rPr>
        <w:t xml:space="preserve"> specifically associated with stress, the ITQ currently contains a larger set of symptom indicators than </w:t>
      </w:r>
      <w:r w:rsidR="008D3EA6" w:rsidRPr="009E1D9E">
        <w:rPr>
          <w:rFonts w:ascii="Arial" w:hAnsi="Arial" w:cs="Arial"/>
          <w:sz w:val="24"/>
          <w:szCs w:val="24"/>
        </w:rPr>
        <w:t xml:space="preserve">that to </w:t>
      </w:r>
      <w:r w:rsidRPr="009E1D9E">
        <w:rPr>
          <w:rFonts w:ascii="Arial" w:hAnsi="Arial" w:cs="Arial"/>
          <w:sz w:val="24"/>
          <w:szCs w:val="24"/>
        </w:rPr>
        <w:t xml:space="preserve">be included in the final diagnostic algorithms specified in the ICD-11. The ITQ </w:t>
      </w:r>
      <w:r w:rsidR="001802A6" w:rsidRPr="009E1D9E">
        <w:rPr>
          <w:rFonts w:ascii="Arial" w:hAnsi="Arial" w:cs="Arial"/>
          <w:sz w:val="24"/>
          <w:szCs w:val="24"/>
        </w:rPr>
        <w:t xml:space="preserve">address the most significant trauma from the LEC-5 list, followed by </w:t>
      </w:r>
      <w:r w:rsidRPr="009E1D9E">
        <w:rPr>
          <w:rFonts w:ascii="Arial" w:hAnsi="Arial" w:cs="Arial"/>
          <w:sz w:val="24"/>
          <w:szCs w:val="24"/>
        </w:rPr>
        <w:t xml:space="preserve">how long ago this trauma occurred, and </w:t>
      </w:r>
      <w:r w:rsidR="008B5724" w:rsidRPr="009E1D9E">
        <w:rPr>
          <w:rFonts w:ascii="Arial" w:hAnsi="Arial" w:cs="Arial"/>
          <w:sz w:val="24"/>
          <w:szCs w:val="24"/>
        </w:rPr>
        <w:t>whether</w:t>
      </w:r>
      <w:r w:rsidR="002566E3" w:rsidRPr="009E1D9E">
        <w:rPr>
          <w:rFonts w:ascii="Arial" w:hAnsi="Arial" w:cs="Arial"/>
          <w:sz w:val="24"/>
          <w:szCs w:val="24"/>
        </w:rPr>
        <w:t xml:space="preserve"> the</w:t>
      </w:r>
      <w:r w:rsidRPr="009E1D9E">
        <w:rPr>
          <w:rFonts w:ascii="Arial" w:hAnsi="Arial" w:cs="Arial"/>
          <w:sz w:val="24"/>
          <w:szCs w:val="24"/>
        </w:rPr>
        <w:t xml:space="preserve"> person possesses a clear memory of the index trauma. With this traumatic event in mind, respondents are instructed to indicate how much they have been bothered by each symptom in the past month, using a five-point Likert sc</w:t>
      </w:r>
      <w:r w:rsidR="008B5724" w:rsidRPr="009E1D9E">
        <w:rPr>
          <w:rFonts w:ascii="Arial" w:hAnsi="Arial" w:cs="Arial"/>
          <w:sz w:val="24"/>
          <w:szCs w:val="24"/>
        </w:rPr>
        <w:t>ale ranging from “Not at all” (0) to “Extremely” (</w:t>
      </w:r>
      <w:r w:rsidRPr="009E1D9E">
        <w:rPr>
          <w:rFonts w:ascii="Arial" w:hAnsi="Arial" w:cs="Arial"/>
          <w:sz w:val="24"/>
          <w:szCs w:val="24"/>
        </w:rPr>
        <w:t xml:space="preserve">4). </w:t>
      </w:r>
    </w:p>
    <w:p w14:paraId="389DA3CB" w14:textId="31375476" w:rsidR="00CB0B3E" w:rsidRPr="009E1D9E" w:rsidRDefault="008C2CBC" w:rsidP="00BB09AD">
      <w:pPr>
        <w:pStyle w:val="NoSpacing"/>
        <w:spacing w:line="480" w:lineRule="auto"/>
        <w:ind w:firstLine="720"/>
        <w:rPr>
          <w:rFonts w:ascii="Arial" w:hAnsi="Arial" w:cs="Arial"/>
          <w:sz w:val="24"/>
          <w:szCs w:val="24"/>
        </w:rPr>
      </w:pPr>
      <w:r w:rsidRPr="009E1D9E">
        <w:rPr>
          <w:rFonts w:ascii="Arial" w:hAnsi="Arial" w:cs="Arial"/>
          <w:sz w:val="24"/>
          <w:szCs w:val="24"/>
        </w:rPr>
        <w:lastRenderedPageBreak/>
        <w:t xml:space="preserve">There </w:t>
      </w:r>
      <w:r w:rsidR="00CB0B3E" w:rsidRPr="009E1D9E">
        <w:rPr>
          <w:rFonts w:ascii="Arial" w:hAnsi="Arial" w:cs="Arial"/>
          <w:sz w:val="24"/>
          <w:szCs w:val="24"/>
        </w:rPr>
        <w:t xml:space="preserve">are </w:t>
      </w:r>
      <w:r w:rsidRPr="009E1D9E">
        <w:rPr>
          <w:rFonts w:ascii="Arial" w:hAnsi="Arial" w:cs="Arial"/>
          <w:sz w:val="24"/>
          <w:szCs w:val="24"/>
        </w:rPr>
        <w:t>a total of 12 PTSD symptoms included in the ITQ. Eight symptoms reflect the Re-experiencing (Re) cluster, two of which are used for diagnostic purposes (Re1</w:t>
      </w:r>
      <w:r w:rsidRPr="009E1D9E">
        <w:rPr>
          <w:rFonts w:ascii="Arial" w:hAnsi="Arial" w:cs="Arial"/>
          <w:i/>
          <w:sz w:val="24"/>
          <w:szCs w:val="24"/>
        </w:rPr>
        <w:t xml:space="preserve"> Upsetting dreams</w:t>
      </w:r>
      <w:r w:rsidRPr="009E1D9E">
        <w:rPr>
          <w:rFonts w:ascii="Arial" w:hAnsi="Arial" w:cs="Arial"/>
          <w:sz w:val="24"/>
          <w:szCs w:val="24"/>
        </w:rPr>
        <w:t>, Re2</w:t>
      </w:r>
      <w:r w:rsidRPr="009E1D9E">
        <w:rPr>
          <w:rFonts w:ascii="Arial" w:hAnsi="Arial" w:cs="Arial"/>
          <w:i/>
          <w:sz w:val="24"/>
          <w:szCs w:val="24"/>
        </w:rPr>
        <w:t xml:space="preserve"> Feeling that the experiencing is happening again in the here and now</w:t>
      </w:r>
      <w:r w:rsidRPr="009E1D9E">
        <w:rPr>
          <w:rFonts w:ascii="Arial" w:hAnsi="Arial" w:cs="Arial"/>
          <w:sz w:val="24"/>
          <w:szCs w:val="24"/>
        </w:rPr>
        <w:t>) and six that are currently considered test items. Two symptoms reflect the Avoidance (Av) cluster (Av1</w:t>
      </w:r>
      <w:r w:rsidRPr="009E1D9E">
        <w:rPr>
          <w:rFonts w:ascii="Arial" w:hAnsi="Arial" w:cs="Arial"/>
          <w:i/>
          <w:sz w:val="24"/>
          <w:szCs w:val="24"/>
        </w:rPr>
        <w:t xml:space="preserve"> Internal reminders</w:t>
      </w:r>
      <w:r w:rsidRPr="009E1D9E">
        <w:rPr>
          <w:rFonts w:ascii="Arial" w:hAnsi="Arial" w:cs="Arial"/>
          <w:sz w:val="24"/>
          <w:szCs w:val="24"/>
        </w:rPr>
        <w:t>, Av2</w:t>
      </w:r>
      <w:r w:rsidRPr="009E1D9E">
        <w:rPr>
          <w:rFonts w:ascii="Arial" w:hAnsi="Arial" w:cs="Arial"/>
          <w:i/>
          <w:sz w:val="24"/>
          <w:szCs w:val="24"/>
        </w:rPr>
        <w:t xml:space="preserve"> External reminders</w:t>
      </w:r>
      <w:r w:rsidRPr="009E1D9E">
        <w:rPr>
          <w:rFonts w:ascii="Arial" w:hAnsi="Arial" w:cs="Arial"/>
          <w:sz w:val="24"/>
          <w:szCs w:val="24"/>
        </w:rPr>
        <w:t>) and two symptoms reflect the Sense of Threat (Th) cluster (Th1</w:t>
      </w:r>
      <w:r w:rsidRPr="009E1D9E">
        <w:rPr>
          <w:rFonts w:ascii="Arial" w:hAnsi="Arial" w:cs="Arial"/>
          <w:i/>
          <w:sz w:val="24"/>
          <w:szCs w:val="24"/>
        </w:rPr>
        <w:t xml:space="preserve"> Hypervigilance</w:t>
      </w:r>
      <w:r w:rsidRPr="009E1D9E">
        <w:rPr>
          <w:rFonts w:ascii="Arial" w:hAnsi="Arial" w:cs="Arial"/>
          <w:sz w:val="24"/>
          <w:szCs w:val="24"/>
        </w:rPr>
        <w:t>, Th2</w:t>
      </w:r>
      <w:r w:rsidRPr="009E1D9E">
        <w:rPr>
          <w:rFonts w:ascii="Arial" w:hAnsi="Arial" w:cs="Arial"/>
          <w:i/>
          <w:sz w:val="24"/>
          <w:szCs w:val="24"/>
        </w:rPr>
        <w:t xml:space="preserve"> Exaggerated startle response</w:t>
      </w:r>
      <w:r w:rsidRPr="009E1D9E">
        <w:rPr>
          <w:rFonts w:ascii="Arial" w:hAnsi="Arial" w:cs="Arial"/>
          <w:sz w:val="24"/>
          <w:szCs w:val="24"/>
        </w:rPr>
        <w:t>). There are also three items that screen for functional impairment associated with these symptoms (ratings of the degree of impairment in (1) relationships and social life, (2) work or ability to work, and (3) other important aspects of life such as parenting, school/college work or other important activities). The internal reliability (Cronbach’s al</w:t>
      </w:r>
      <w:r w:rsidRPr="009E1D9E">
        <w:rPr>
          <w:rFonts w:ascii="Arial" w:hAnsi="Arial" w:cs="Arial"/>
          <w:sz w:val="24"/>
          <w:szCs w:val="24"/>
        </w:rPr>
        <w:lastRenderedPageBreak/>
        <w:t>pha) of the six PTSD items used for diagnostic purposes was satisfactory (α</w:t>
      </w:r>
      <w:r w:rsidR="00156DDD" w:rsidRPr="009E1D9E">
        <w:rPr>
          <w:rFonts w:ascii="Arial" w:hAnsi="Arial" w:cs="Arial"/>
          <w:sz w:val="24"/>
          <w:szCs w:val="24"/>
        </w:rPr>
        <w:t xml:space="preserve"> = .85</w:t>
      </w:r>
      <w:r w:rsidRPr="009E1D9E">
        <w:rPr>
          <w:rFonts w:ascii="Arial" w:hAnsi="Arial" w:cs="Arial"/>
          <w:sz w:val="24"/>
          <w:szCs w:val="24"/>
        </w:rPr>
        <w:t>), as were the reliabilities for the Re (α</w:t>
      </w:r>
      <w:r w:rsidR="00156DDD" w:rsidRPr="009E1D9E">
        <w:rPr>
          <w:rFonts w:ascii="Arial" w:hAnsi="Arial" w:cs="Arial"/>
          <w:sz w:val="24"/>
          <w:szCs w:val="24"/>
        </w:rPr>
        <w:t xml:space="preserve"> = .74</w:t>
      </w:r>
      <w:r w:rsidRPr="009E1D9E">
        <w:rPr>
          <w:rFonts w:ascii="Arial" w:hAnsi="Arial" w:cs="Arial"/>
          <w:sz w:val="24"/>
          <w:szCs w:val="24"/>
        </w:rPr>
        <w:t>), Av (α = .8</w:t>
      </w:r>
      <w:r w:rsidR="00156DDD" w:rsidRPr="009E1D9E">
        <w:rPr>
          <w:rFonts w:ascii="Arial" w:hAnsi="Arial" w:cs="Arial"/>
          <w:sz w:val="24"/>
          <w:szCs w:val="24"/>
        </w:rPr>
        <w:t>4</w:t>
      </w:r>
      <w:r w:rsidRPr="009E1D9E">
        <w:rPr>
          <w:rFonts w:ascii="Arial" w:hAnsi="Arial" w:cs="Arial"/>
          <w:sz w:val="24"/>
          <w:szCs w:val="24"/>
        </w:rPr>
        <w:t>), and Th (α</w:t>
      </w:r>
      <w:r w:rsidR="00156DDD" w:rsidRPr="009E1D9E">
        <w:rPr>
          <w:rFonts w:ascii="Arial" w:hAnsi="Arial" w:cs="Arial"/>
          <w:sz w:val="24"/>
          <w:szCs w:val="24"/>
        </w:rPr>
        <w:t xml:space="preserve"> = .76</w:t>
      </w:r>
      <w:r w:rsidRPr="009E1D9E">
        <w:rPr>
          <w:rFonts w:ascii="Arial" w:hAnsi="Arial" w:cs="Arial"/>
          <w:sz w:val="24"/>
          <w:szCs w:val="24"/>
        </w:rPr>
        <w:t xml:space="preserve">) clusters. </w:t>
      </w:r>
    </w:p>
    <w:p w14:paraId="5A4570CA" w14:textId="39F26910" w:rsidR="00646AAB" w:rsidRPr="009E1D9E" w:rsidRDefault="008C2CBC" w:rsidP="00BB09AD">
      <w:pPr>
        <w:pStyle w:val="NoSpacing"/>
        <w:spacing w:line="480" w:lineRule="auto"/>
        <w:ind w:firstLine="720"/>
        <w:rPr>
          <w:rFonts w:ascii="Arial" w:hAnsi="Arial" w:cs="Arial"/>
          <w:sz w:val="24"/>
          <w:szCs w:val="24"/>
        </w:rPr>
      </w:pPr>
      <w:r w:rsidRPr="009E1D9E">
        <w:rPr>
          <w:rFonts w:ascii="Arial" w:hAnsi="Arial" w:cs="Arial"/>
          <w:sz w:val="24"/>
          <w:szCs w:val="24"/>
        </w:rPr>
        <w:t>To assess the DSO symptoms</w:t>
      </w:r>
      <w:r w:rsidR="002566E3" w:rsidRPr="009E1D9E">
        <w:rPr>
          <w:rFonts w:ascii="Arial" w:hAnsi="Arial" w:cs="Arial"/>
          <w:sz w:val="24"/>
          <w:szCs w:val="24"/>
        </w:rPr>
        <w:t>,</w:t>
      </w:r>
      <w:r w:rsidRPr="009E1D9E">
        <w:rPr>
          <w:rFonts w:ascii="Arial" w:hAnsi="Arial" w:cs="Arial"/>
          <w:sz w:val="24"/>
          <w:szCs w:val="24"/>
        </w:rPr>
        <w:t xml:space="preserve"> participants are asked to respond to a set of questions reflecting how they typically feel, think about themselves, and relate to others. The same five-point Likert scale is used for the DSO symptoms. Nine items capture the Affective Dysregulation (AD) cluster, five of which measure </w:t>
      </w:r>
      <w:proofErr w:type="spellStart"/>
      <w:r w:rsidRPr="009E1D9E">
        <w:rPr>
          <w:rFonts w:ascii="Arial" w:hAnsi="Arial" w:cs="Arial"/>
          <w:sz w:val="24"/>
          <w:szCs w:val="24"/>
        </w:rPr>
        <w:t>hyperactivation</w:t>
      </w:r>
      <w:proofErr w:type="spellEnd"/>
      <w:r w:rsidRPr="009E1D9E">
        <w:rPr>
          <w:rFonts w:ascii="Arial" w:hAnsi="Arial" w:cs="Arial"/>
          <w:sz w:val="24"/>
          <w:szCs w:val="24"/>
        </w:rPr>
        <w:t xml:space="preserve"> (</w:t>
      </w:r>
      <w:proofErr w:type="spellStart"/>
      <w:r w:rsidRPr="009E1D9E">
        <w:rPr>
          <w:rFonts w:ascii="Arial" w:hAnsi="Arial" w:cs="Arial"/>
          <w:sz w:val="24"/>
          <w:szCs w:val="24"/>
        </w:rPr>
        <w:t>AD</w:t>
      </w:r>
      <w:r w:rsidR="00156DDD" w:rsidRPr="009E1D9E">
        <w:rPr>
          <w:rFonts w:ascii="Arial" w:hAnsi="Arial" w:cs="Arial"/>
          <w:sz w:val="24"/>
          <w:szCs w:val="24"/>
        </w:rPr>
        <w:t>hy</w:t>
      </w:r>
      <w:proofErr w:type="spellEnd"/>
      <w:r w:rsidR="00156DDD" w:rsidRPr="009E1D9E">
        <w:rPr>
          <w:rFonts w:ascii="Arial" w:hAnsi="Arial" w:cs="Arial"/>
          <w:sz w:val="24"/>
          <w:szCs w:val="24"/>
        </w:rPr>
        <w:t xml:space="preserve"> </w:t>
      </w:r>
      <w:r w:rsidRPr="009E1D9E">
        <w:rPr>
          <w:rFonts w:ascii="Arial" w:hAnsi="Arial" w:cs="Arial"/>
          <w:sz w:val="24"/>
          <w:szCs w:val="24"/>
        </w:rPr>
        <w:t xml:space="preserve">1-5) (e.g. </w:t>
      </w:r>
      <w:r w:rsidRPr="009E1D9E">
        <w:rPr>
          <w:rFonts w:ascii="Arial" w:hAnsi="Arial" w:cs="Arial"/>
          <w:i/>
          <w:sz w:val="24"/>
          <w:szCs w:val="24"/>
        </w:rPr>
        <w:t>When I am upset, it takes me a long time to calm down</w:t>
      </w:r>
      <w:r w:rsidRPr="009E1D9E">
        <w:rPr>
          <w:rFonts w:ascii="Arial" w:hAnsi="Arial" w:cs="Arial"/>
          <w:sz w:val="24"/>
          <w:szCs w:val="24"/>
        </w:rPr>
        <w:t xml:space="preserve">) and four measure </w:t>
      </w:r>
      <w:proofErr w:type="spellStart"/>
      <w:r w:rsidRPr="009E1D9E">
        <w:rPr>
          <w:rFonts w:ascii="Arial" w:hAnsi="Arial" w:cs="Arial"/>
          <w:sz w:val="24"/>
          <w:szCs w:val="24"/>
        </w:rPr>
        <w:t>hypoactivation</w:t>
      </w:r>
      <w:proofErr w:type="spellEnd"/>
      <w:r w:rsidRPr="009E1D9E">
        <w:rPr>
          <w:rFonts w:ascii="Arial" w:hAnsi="Arial" w:cs="Arial"/>
          <w:sz w:val="24"/>
          <w:szCs w:val="24"/>
        </w:rPr>
        <w:t xml:space="preserve"> (</w:t>
      </w:r>
      <w:proofErr w:type="spellStart"/>
      <w:r w:rsidRPr="009E1D9E">
        <w:rPr>
          <w:rFonts w:ascii="Arial" w:hAnsi="Arial" w:cs="Arial"/>
          <w:sz w:val="24"/>
          <w:szCs w:val="24"/>
        </w:rPr>
        <w:t>AD</w:t>
      </w:r>
      <w:r w:rsidR="00156DDD" w:rsidRPr="009E1D9E">
        <w:rPr>
          <w:rFonts w:ascii="Arial" w:hAnsi="Arial" w:cs="Arial"/>
          <w:sz w:val="24"/>
          <w:szCs w:val="24"/>
        </w:rPr>
        <w:t>ho</w:t>
      </w:r>
      <w:proofErr w:type="spellEnd"/>
      <w:r w:rsidR="00156DDD" w:rsidRPr="009E1D9E">
        <w:rPr>
          <w:rFonts w:ascii="Arial" w:hAnsi="Arial" w:cs="Arial"/>
          <w:sz w:val="24"/>
          <w:szCs w:val="24"/>
        </w:rPr>
        <w:t xml:space="preserve"> </w:t>
      </w:r>
      <w:r w:rsidRPr="009E1D9E">
        <w:rPr>
          <w:rFonts w:ascii="Arial" w:hAnsi="Arial" w:cs="Arial"/>
          <w:sz w:val="24"/>
          <w:szCs w:val="24"/>
        </w:rPr>
        <w:t>6-</w:t>
      </w:r>
      <w:r w:rsidR="00156DDD" w:rsidRPr="009E1D9E">
        <w:rPr>
          <w:rFonts w:ascii="Arial" w:hAnsi="Arial" w:cs="Arial"/>
          <w:sz w:val="24"/>
          <w:szCs w:val="24"/>
        </w:rPr>
        <w:t>9</w:t>
      </w:r>
      <w:r w:rsidRPr="009E1D9E">
        <w:rPr>
          <w:rFonts w:ascii="Arial" w:hAnsi="Arial" w:cs="Arial"/>
          <w:sz w:val="24"/>
          <w:szCs w:val="24"/>
        </w:rPr>
        <w:t xml:space="preserve">) (e.g., </w:t>
      </w:r>
      <w:r w:rsidRPr="009E1D9E">
        <w:rPr>
          <w:rFonts w:ascii="Arial" w:hAnsi="Arial" w:cs="Arial"/>
          <w:i/>
          <w:sz w:val="24"/>
          <w:szCs w:val="24"/>
        </w:rPr>
        <w:t>I feel numb or emotionally shut down</w:t>
      </w:r>
      <w:r w:rsidRPr="009E1D9E">
        <w:rPr>
          <w:rFonts w:ascii="Arial" w:hAnsi="Arial" w:cs="Arial"/>
          <w:sz w:val="24"/>
          <w:szCs w:val="24"/>
        </w:rPr>
        <w:t xml:space="preserve">). Four questions capture the Negative Self-Concept (NSC) cluster (NSC1-NSC4) (e.g., </w:t>
      </w:r>
      <w:r w:rsidRPr="009E1D9E">
        <w:rPr>
          <w:rFonts w:ascii="Arial" w:hAnsi="Arial" w:cs="Arial"/>
          <w:i/>
          <w:sz w:val="24"/>
          <w:szCs w:val="24"/>
        </w:rPr>
        <w:t>I often feel ashamed of myself whether it makes sense or not</w:t>
      </w:r>
      <w:r w:rsidRPr="009E1D9E">
        <w:rPr>
          <w:rFonts w:ascii="Arial" w:hAnsi="Arial" w:cs="Arial"/>
          <w:sz w:val="24"/>
          <w:szCs w:val="24"/>
        </w:rPr>
        <w:t xml:space="preserve">), and three questions capture the Disturbed Relationships (DR) cluster (DR1-DR3) </w:t>
      </w:r>
      <w:r w:rsidRPr="009E1D9E">
        <w:rPr>
          <w:rFonts w:ascii="Arial" w:hAnsi="Arial" w:cs="Arial"/>
          <w:sz w:val="24"/>
          <w:szCs w:val="24"/>
        </w:rPr>
        <w:lastRenderedPageBreak/>
        <w:t xml:space="preserve">(e.g., </w:t>
      </w:r>
      <w:r w:rsidRPr="009E1D9E">
        <w:rPr>
          <w:rFonts w:ascii="Arial" w:hAnsi="Arial" w:cs="Arial"/>
          <w:i/>
          <w:sz w:val="24"/>
          <w:szCs w:val="24"/>
        </w:rPr>
        <w:t>I feel distant or cut off from people</w:t>
      </w:r>
      <w:r w:rsidRPr="009E1D9E">
        <w:rPr>
          <w:rFonts w:ascii="Arial" w:hAnsi="Arial" w:cs="Arial"/>
          <w:sz w:val="24"/>
          <w:szCs w:val="24"/>
        </w:rPr>
        <w:t>). As with the PTSD symptoms, there are three items that screen for functional impairment associated with these symptoms. The internal reliability of the 16 DSO items was satisfactory (α</w:t>
      </w:r>
      <w:r w:rsidR="00156DDD" w:rsidRPr="009E1D9E">
        <w:rPr>
          <w:rFonts w:ascii="Arial" w:hAnsi="Arial" w:cs="Arial"/>
          <w:sz w:val="24"/>
          <w:szCs w:val="24"/>
        </w:rPr>
        <w:t xml:space="preserve"> = .90</w:t>
      </w:r>
      <w:r w:rsidRPr="009E1D9E">
        <w:rPr>
          <w:rFonts w:ascii="Arial" w:hAnsi="Arial" w:cs="Arial"/>
          <w:sz w:val="24"/>
          <w:szCs w:val="24"/>
        </w:rPr>
        <w:t xml:space="preserve">), as were the reliability estimates for the </w:t>
      </w:r>
      <w:proofErr w:type="spellStart"/>
      <w:r w:rsidRPr="009E1D9E">
        <w:rPr>
          <w:rFonts w:ascii="Arial" w:hAnsi="Arial" w:cs="Arial"/>
          <w:sz w:val="24"/>
          <w:szCs w:val="24"/>
        </w:rPr>
        <w:t>AD</w:t>
      </w:r>
      <w:r w:rsidR="00156DDD" w:rsidRPr="009E1D9E">
        <w:rPr>
          <w:rFonts w:ascii="Arial" w:hAnsi="Arial" w:cs="Arial"/>
          <w:sz w:val="24"/>
          <w:szCs w:val="24"/>
        </w:rPr>
        <w:t>hy</w:t>
      </w:r>
      <w:proofErr w:type="spellEnd"/>
      <w:r w:rsidRPr="009E1D9E">
        <w:rPr>
          <w:rFonts w:ascii="Arial" w:hAnsi="Arial" w:cs="Arial"/>
          <w:sz w:val="24"/>
          <w:szCs w:val="24"/>
        </w:rPr>
        <w:t xml:space="preserve"> (α</w:t>
      </w:r>
      <w:r w:rsidR="00156DDD" w:rsidRPr="009E1D9E">
        <w:rPr>
          <w:rFonts w:ascii="Arial" w:hAnsi="Arial" w:cs="Arial"/>
          <w:sz w:val="24"/>
          <w:szCs w:val="24"/>
        </w:rPr>
        <w:t xml:space="preserve"> = .76</w:t>
      </w:r>
      <w:r w:rsidRPr="009E1D9E">
        <w:rPr>
          <w:rFonts w:ascii="Arial" w:hAnsi="Arial" w:cs="Arial"/>
          <w:sz w:val="24"/>
          <w:szCs w:val="24"/>
        </w:rPr>
        <w:t>),</w:t>
      </w:r>
      <w:r w:rsidR="00156DDD" w:rsidRPr="009E1D9E">
        <w:rPr>
          <w:rFonts w:ascii="Arial" w:hAnsi="Arial" w:cs="Arial"/>
          <w:sz w:val="24"/>
          <w:szCs w:val="24"/>
        </w:rPr>
        <w:t xml:space="preserve"> </w:t>
      </w:r>
      <w:proofErr w:type="spellStart"/>
      <w:r w:rsidR="00156DDD" w:rsidRPr="009E1D9E">
        <w:rPr>
          <w:rFonts w:ascii="Arial" w:hAnsi="Arial" w:cs="Arial"/>
          <w:sz w:val="24"/>
          <w:szCs w:val="24"/>
        </w:rPr>
        <w:t>ADho</w:t>
      </w:r>
      <w:proofErr w:type="spellEnd"/>
      <w:r w:rsidR="00156DDD" w:rsidRPr="009E1D9E">
        <w:rPr>
          <w:rFonts w:ascii="Arial" w:hAnsi="Arial" w:cs="Arial"/>
          <w:sz w:val="24"/>
          <w:szCs w:val="24"/>
        </w:rPr>
        <w:t xml:space="preserve"> (α = .75),</w:t>
      </w:r>
      <w:r w:rsidRPr="009E1D9E">
        <w:rPr>
          <w:rFonts w:ascii="Arial" w:hAnsi="Arial" w:cs="Arial"/>
          <w:sz w:val="24"/>
          <w:szCs w:val="24"/>
        </w:rPr>
        <w:t xml:space="preserve"> NSC (α</w:t>
      </w:r>
      <w:r w:rsidR="00156DDD" w:rsidRPr="009E1D9E">
        <w:rPr>
          <w:rFonts w:ascii="Arial" w:hAnsi="Arial" w:cs="Arial"/>
          <w:sz w:val="24"/>
          <w:szCs w:val="24"/>
        </w:rPr>
        <w:t xml:space="preserve"> = .87</w:t>
      </w:r>
      <w:r w:rsidRPr="009E1D9E">
        <w:rPr>
          <w:rFonts w:ascii="Arial" w:hAnsi="Arial" w:cs="Arial"/>
          <w:sz w:val="24"/>
          <w:szCs w:val="24"/>
        </w:rPr>
        <w:t>), and DR (α</w:t>
      </w:r>
      <w:r w:rsidR="00156DDD" w:rsidRPr="009E1D9E">
        <w:rPr>
          <w:rFonts w:ascii="Arial" w:hAnsi="Arial" w:cs="Arial"/>
          <w:sz w:val="24"/>
          <w:szCs w:val="24"/>
        </w:rPr>
        <w:t xml:space="preserve"> = .82</w:t>
      </w:r>
      <w:r w:rsidRPr="009E1D9E">
        <w:rPr>
          <w:rFonts w:ascii="Arial" w:hAnsi="Arial" w:cs="Arial"/>
          <w:sz w:val="24"/>
          <w:szCs w:val="24"/>
        </w:rPr>
        <w:t xml:space="preserve">) clusters. </w:t>
      </w:r>
    </w:p>
    <w:p w14:paraId="748B889E" w14:textId="643D5C29" w:rsidR="003B7200" w:rsidRPr="009E1D9E" w:rsidRDefault="008C2CBC" w:rsidP="003B7200">
      <w:pPr>
        <w:pStyle w:val="NoSpacing"/>
        <w:spacing w:line="480" w:lineRule="auto"/>
        <w:ind w:firstLine="720"/>
        <w:rPr>
          <w:rFonts w:ascii="Arial" w:hAnsi="Arial" w:cs="Arial"/>
          <w:sz w:val="24"/>
          <w:szCs w:val="24"/>
        </w:rPr>
      </w:pPr>
      <w:r w:rsidRPr="009E1D9E">
        <w:rPr>
          <w:rFonts w:ascii="Arial" w:hAnsi="Arial" w:cs="Arial"/>
          <w:sz w:val="24"/>
          <w:szCs w:val="24"/>
        </w:rPr>
        <w:t>A diagnosis of PTSD requires a score of ≥ 2 (“Moderately”) for at least one of two symptoms from the Re, Av, and Th clusters, and endorsement of at least one functional impairment indicator associated with these symptoms. CPTSD diagnosis requires that these PTSD criteria are met, and the following scores for each of the DSO clusters: A score of ≥ 10 for items AD</w:t>
      </w:r>
      <w:r w:rsidR="00646AAB" w:rsidRPr="009E1D9E">
        <w:rPr>
          <w:rFonts w:ascii="Arial" w:hAnsi="Arial" w:cs="Arial"/>
          <w:sz w:val="24"/>
          <w:szCs w:val="24"/>
        </w:rPr>
        <w:t>hy</w:t>
      </w:r>
      <w:r w:rsidRPr="009E1D9E">
        <w:rPr>
          <w:rFonts w:ascii="Arial" w:hAnsi="Arial" w:cs="Arial"/>
          <w:sz w:val="24"/>
          <w:szCs w:val="24"/>
        </w:rPr>
        <w:t>1-AD</w:t>
      </w:r>
      <w:r w:rsidR="00646AAB" w:rsidRPr="009E1D9E">
        <w:rPr>
          <w:rFonts w:ascii="Arial" w:hAnsi="Arial" w:cs="Arial"/>
          <w:sz w:val="24"/>
          <w:szCs w:val="24"/>
        </w:rPr>
        <w:t>hy</w:t>
      </w:r>
      <w:r w:rsidRPr="009E1D9E">
        <w:rPr>
          <w:rFonts w:ascii="Arial" w:hAnsi="Arial" w:cs="Arial"/>
          <w:sz w:val="24"/>
          <w:szCs w:val="24"/>
        </w:rPr>
        <w:t xml:space="preserve">5 </w:t>
      </w:r>
      <w:r w:rsidRPr="009E1D9E">
        <w:rPr>
          <w:rFonts w:ascii="Arial" w:hAnsi="Arial" w:cs="Arial"/>
          <w:i/>
          <w:sz w:val="24"/>
          <w:szCs w:val="24"/>
        </w:rPr>
        <w:t>or</w:t>
      </w:r>
      <w:r w:rsidRPr="009E1D9E">
        <w:rPr>
          <w:rFonts w:ascii="Arial" w:hAnsi="Arial" w:cs="Arial"/>
          <w:sz w:val="24"/>
          <w:szCs w:val="24"/>
        </w:rPr>
        <w:t xml:space="preserve"> a score of ≥ 8 for items AD</w:t>
      </w:r>
      <w:r w:rsidR="00646AAB" w:rsidRPr="009E1D9E">
        <w:rPr>
          <w:rFonts w:ascii="Arial" w:hAnsi="Arial" w:cs="Arial"/>
          <w:sz w:val="24"/>
          <w:szCs w:val="24"/>
        </w:rPr>
        <w:t>ho</w:t>
      </w:r>
      <w:r w:rsidRPr="009E1D9E">
        <w:rPr>
          <w:rFonts w:ascii="Arial" w:hAnsi="Arial" w:cs="Arial"/>
          <w:sz w:val="24"/>
          <w:szCs w:val="24"/>
        </w:rPr>
        <w:t>6-AD</w:t>
      </w:r>
      <w:r w:rsidR="00646AAB" w:rsidRPr="009E1D9E">
        <w:rPr>
          <w:rFonts w:ascii="Arial" w:hAnsi="Arial" w:cs="Arial"/>
          <w:sz w:val="24"/>
          <w:szCs w:val="24"/>
        </w:rPr>
        <w:t>ho</w:t>
      </w:r>
      <w:r w:rsidRPr="009E1D9E">
        <w:rPr>
          <w:rFonts w:ascii="Arial" w:hAnsi="Arial" w:cs="Arial"/>
          <w:sz w:val="24"/>
          <w:szCs w:val="24"/>
        </w:rPr>
        <w:t xml:space="preserve">9; a score ≥ 8 for NSC1-NSC4; and a score ≥ 6 for DR1-DR3. Endorsement of at least one indicator of functional impairment associated with these DSO symptoms is also required. The </w:t>
      </w:r>
      <w:r w:rsidRPr="009E1D9E">
        <w:rPr>
          <w:rFonts w:ascii="Arial" w:hAnsi="Arial" w:cs="Arial"/>
          <w:sz w:val="24"/>
          <w:szCs w:val="24"/>
        </w:rPr>
        <w:lastRenderedPageBreak/>
        <w:t xml:space="preserve">ICD-11’s taxonomic structure means that an individual can only be diagnosed with PTSD </w:t>
      </w:r>
      <w:r w:rsidRPr="009E1D9E">
        <w:rPr>
          <w:rFonts w:ascii="Arial" w:hAnsi="Arial" w:cs="Arial"/>
          <w:i/>
          <w:sz w:val="24"/>
          <w:szCs w:val="24"/>
        </w:rPr>
        <w:t>or</w:t>
      </w:r>
      <w:r w:rsidRPr="009E1D9E">
        <w:rPr>
          <w:rFonts w:ascii="Arial" w:hAnsi="Arial" w:cs="Arial"/>
          <w:sz w:val="24"/>
          <w:szCs w:val="24"/>
        </w:rPr>
        <w:t xml:space="preserve"> CPTSD, not both</w:t>
      </w:r>
      <w:r w:rsidR="00754FD5" w:rsidRPr="009E1D9E">
        <w:rPr>
          <w:rFonts w:ascii="Arial" w:hAnsi="Arial" w:cs="Arial"/>
          <w:sz w:val="24"/>
          <w:szCs w:val="24"/>
        </w:rPr>
        <w:t>; CPTSD requires that the criteria for PTSD are met, as well as the DSO criteria and DSO related functional impairment</w:t>
      </w:r>
      <w:r w:rsidRPr="009E1D9E">
        <w:rPr>
          <w:rFonts w:ascii="Arial" w:hAnsi="Arial" w:cs="Arial"/>
          <w:sz w:val="24"/>
          <w:szCs w:val="24"/>
        </w:rPr>
        <w:t xml:space="preserve">. </w:t>
      </w:r>
    </w:p>
    <w:p w14:paraId="21056AD0" w14:textId="67DF5FD6" w:rsidR="003B7200" w:rsidRPr="009E1D9E" w:rsidRDefault="003B7200" w:rsidP="003B7200">
      <w:pPr>
        <w:pStyle w:val="NoSpacing"/>
        <w:spacing w:line="480" w:lineRule="auto"/>
        <w:ind w:firstLine="720"/>
        <w:rPr>
          <w:rFonts w:ascii="Arial" w:hAnsi="Arial" w:cs="Arial"/>
          <w:sz w:val="24"/>
          <w:szCs w:val="24"/>
        </w:rPr>
      </w:pPr>
    </w:p>
    <w:p w14:paraId="4C4AE0A6" w14:textId="791A75A6" w:rsidR="00156DDD" w:rsidRPr="009E1D9E" w:rsidRDefault="003B7200" w:rsidP="003B7200">
      <w:pPr>
        <w:pStyle w:val="NoSpacing"/>
        <w:tabs>
          <w:tab w:val="left" w:pos="0"/>
        </w:tabs>
        <w:spacing w:line="480" w:lineRule="auto"/>
        <w:rPr>
          <w:rFonts w:ascii="Arial" w:hAnsi="Arial" w:cs="Arial"/>
          <w:sz w:val="24"/>
          <w:szCs w:val="24"/>
        </w:rPr>
      </w:pPr>
      <w:r w:rsidRPr="009E1D9E">
        <w:rPr>
          <w:rFonts w:ascii="Arial" w:hAnsi="Arial" w:cs="Arial"/>
          <w:sz w:val="24"/>
          <w:szCs w:val="24"/>
        </w:rPr>
        <w:tab/>
        <w:t>Psychological Wellbeing: Psychological wellbeing was assessed using the 5-</w:t>
      </w:r>
      <w:r w:rsidR="008C2CBC" w:rsidRPr="009E1D9E">
        <w:rPr>
          <w:rFonts w:ascii="Arial" w:hAnsi="Arial" w:cs="Arial"/>
          <w:sz w:val="24"/>
          <w:szCs w:val="24"/>
        </w:rPr>
        <w:t>item</w:t>
      </w:r>
      <w:r w:rsidR="008C2CBC" w:rsidRPr="009E1D9E">
        <w:rPr>
          <w:rFonts w:ascii="Arial" w:hAnsi="Arial" w:cs="Arial"/>
          <w:i/>
          <w:sz w:val="24"/>
          <w:szCs w:val="24"/>
        </w:rPr>
        <w:t xml:space="preserve"> World Health Organization Well-Being Index </w:t>
      </w:r>
      <w:r w:rsidR="008C2CBC" w:rsidRPr="009E1D9E">
        <w:rPr>
          <w:rFonts w:ascii="Arial" w:hAnsi="Arial" w:cs="Arial"/>
          <w:sz w:val="24"/>
          <w:szCs w:val="24"/>
        </w:rPr>
        <w:t>(WHO-5). The WHO-5 is a widely used, internationally-validated measure of positive mental health. A recent review of 213 international studies supported the reliability and validity of the scale scores (</w:t>
      </w:r>
      <w:r w:rsidR="00615539" w:rsidRPr="009E1D9E">
        <w:rPr>
          <w:rFonts w:ascii="Arial" w:hAnsi="Arial" w:cs="Arial"/>
          <w:sz w:val="24"/>
          <w:szCs w:val="24"/>
        </w:rPr>
        <w:t xml:space="preserve">WHO, 1998; </w:t>
      </w:r>
      <w:proofErr w:type="spellStart"/>
      <w:r w:rsidR="008C2CBC" w:rsidRPr="009E1D9E">
        <w:rPr>
          <w:rFonts w:ascii="Arial" w:hAnsi="Arial" w:cs="Arial"/>
          <w:sz w:val="24"/>
          <w:szCs w:val="24"/>
        </w:rPr>
        <w:t>Topp</w:t>
      </w:r>
      <w:proofErr w:type="spellEnd"/>
      <w:r w:rsidR="008C2CBC" w:rsidRPr="009E1D9E">
        <w:rPr>
          <w:rFonts w:ascii="Arial" w:hAnsi="Arial" w:cs="Arial"/>
          <w:sz w:val="24"/>
          <w:szCs w:val="24"/>
        </w:rPr>
        <w:t>, </w:t>
      </w:r>
      <w:proofErr w:type="spellStart"/>
      <w:r w:rsidR="008C2CBC" w:rsidRPr="009E1D9E">
        <w:rPr>
          <w:rFonts w:ascii="Arial" w:hAnsi="Arial" w:cs="Arial"/>
          <w:sz w:val="24"/>
          <w:szCs w:val="24"/>
        </w:rPr>
        <w:t>Østergaard</w:t>
      </w:r>
      <w:proofErr w:type="spellEnd"/>
      <w:r w:rsidR="008C2CBC" w:rsidRPr="009E1D9E">
        <w:rPr>
          <w:rFonts w:ascii="Arial" w:hAnsi="Arial" w:cs="Arial"/>
          <w:sz w:val="24"/>
          <w:szCs w:val="24"/>
        </w:rPr>
        <w:t xml:space="preserve">, </w:t>
      </w:r>
      <w:proofErr w:type="spellStart"/>
      <w:r w:rsidR="008C2CBC" w:rsidRPr="009E1D9E">
        <w:rPr>
          <w:rFonts w:ascii="Arial" w:hAnsi="Arial" w:cs="Arial"/>
          <w:sz w:val="24"/>
          <w:szCs w:val="24"/>
        </w:rPr>
        <w:t>Søndergaard</w:t>
      </w:r>
      <w:proofErr w:type="spellEnd"/>
      <w:r w:rsidR="008C2CBC" w:rsidRPr="009E1D9E">
        <w:rPr>
          <w:rFonts w:ascii="Arial" w:hAnsi="Arial" w:cs="Arial"/>
          <w:sz w:val="24"/>
          <w:szCs w:val="24"/>
        </w:rPr>
        <w:t xml:space="preserve">, &amp; </w:t>
      </w:r>
      <w:proofErr w:type="spellStart"/>
      <w:r w:rsidR="008C2CBC" w:rsidRPr="009E1D9E">
        <w:rPr>
          <w:rFonts w:ascii="Arial" w:hAnsi="Arial" w:cs="Arial"/>
          <w:sz w:val="24"/>
          <w:szCs w:val="24"/>
        </w:rPr>
        <w:t>Bech</w:t>
      </w:r>
      <w:proofErr w:type="spellEnd"/>
      <w:r w:rsidR="008C2CBC" w:rsidRPr="009E1D9E">
        <w:rPr>
          <w:rFonts w:ascii="Arial" w:hAnsi="Arial" w:cs="Arial"/>
          <w:sz w:val="24"/>
          <w:szCs w:val="24"/>
        </w:rPr>
        <w:t xml:space="preserve">, 2014). Respondents are asked to indicate how they have been feeling over the past two weeks to each positively-phrased statement along a six-point Likert scale ranging from “At no time” (0) to “All of the time” (5). Scores range from 0 to 25 with higher scores reflecting greater psychological </w:t>
      </w:r>
      <w:r w:rsidR="008C2CBC" w:rsidRPr="009E1D9E">
        <w:rPr>
          <w:rFonts w:ascii="Arial" w:hAnsi="Arial" w:cs="Arial"/>
          <w:sz w:val="24"/>
          <w:szCs w:val="24"/>
        </w:rPr>
        <w:lastRenderedPageBreak/>
        <w:t xml:space="preserve">wellbeing. Scores </w:t>
      </w:r>
      <w:r w:rsidR="008C2CBC" w:rsidRPr="009E1D9E">
        <w:rPr>
          <w:rFonts w:ascii="Arial" w:hAnsi="Arial" w:cs="Arial"/>
          <w:sz w:val="24"/>
          <w:szCs w:val="24"/>
          <w:shd w:val="clear" w:color="auto" w:fill="FFFFFF"/>
        </w:rPr>
        <w:t>≤</w:t>
      </w:r>
      <w:r w:rsidR="008C2CBC" w:rsidRPr="009E1D9E">
        <w:rPr>
          <w:rFonts w:ascii="Arial" w:hAnsi="Arial" w:cs="Arial"/>
          <w:sz w:val="24"/>
          <w:szCs w:val="24"/>
        </w:rPr>
        <w:t xml:space="preserve"> 13 are indicative of poor </w:t>
      </w:r>
      <w:r w:rsidR="008D3EA6" w:rsidRPr="009E1D9E">
        <w:rPr>
          <w:rFonts w:ascii="Arial" w:hAnsi="Arial" w:cs="Arial"/>
          <w:sz w:val="24"/>
          <w:szCs w:val="24"/>
        </w:rPr>
        <w:t xml:space="preserve">wellbeing </w:t>
      </w:r>
      <w:r w:rsidR="008C2CBC" w:rsidRPr="009E1D9E">
        <w:rPr>
          <w:rFonts w:ascii="Arial" w:hAnsi="Arial" w:cs="Arial"/>
          <w:sz w:val="24"/>
          <w:szCs w:val="24"/>
        </w:rPr>
        <w:t>and the possible presence of a psychiatric disorder (</w:t>
      </w:r>
      <w:proofErr w:type="spellStart"/>
      <w:r w:rsidR="008C2CBC" w:rsidRPr="009E1D9E">
        <w:rPr>
          <w:rFonts w:ascii="Arial" w:hAnsi="Arial" w:cs="Arial"/>
          <w:sz w:val="24"/>
          <w:szCs w:val="24"/>
        </w:rPr>
        <w:t>Awata</w:t>
      </w:r>
      <w:proofErr w:type="spellEnd"/>
      <w:r w:rsidR="008C2CBC" w:rsidRPr="009E1D9E">
        <w:rPr>
          <w:rFonts w:ascii="Arial" w:hAnsi="Arial" w:cs="Arial"/>
          <w:sz w:val="24"/>
          <w:szCs w:val="24"/>
        </w:rPr>
        <w:t xml:space="preserve"> et al., 2007). The reliability of the WHO-5 among the current sample was satisfactory (α</w:t>
      </w:r>
      <w:r w:rsidR="00156DDD" w:rsidRPr="009E1D9E">
        <w:rPr>
          <w:rFonts w:ascii="Arial" w:hAnsi="Arial" w:cs="Arial"/>
          <w:sz w:val="24"/>
          <w:szCs w:val="24"/>
        </w:rPr>
        <w:t xml:space="preserve"> = .91</w:t>
      </w:r>
      <w:r w:rsidR="008C2CBC" w:rsidRPr="009E1D9E">
        <w:rPr>
          <w:rFonts w:ascii="Arial" w:hAnsi="Arial" w:cs="Arial"/>
          <w:sz w:val="24"/>
          <w:szCs w:val="24"/>
        </w:rPr>
        <w:t xml:space="preserve">). </w:t>
      </w:r>
    </w:p>
    <w:p w14:paraId="6F990B9B" w14:textId="74ED76F8" w:rsidR="00156DDD" w:rsidRPr="009E1D9E" w:rsidRDefault="008118A1" w:rsidP="00110CB8">
      <w:pPr>
        <w:pStyle w:val="NoSpacing"/>
        <w:spacing w:line="480" w:lineRule="auto"/>
        <w:rPr>
          <w:rFonts w:ascii="Arial" w:hAnsi="Arial" w:cs="Arial"/>
          <w:i/>
          <w:sz w:val="24"/>
          <w:szCs w:val="24"/>
        </w:rPr>
      </w:pPr>
      <w:r w:rsidRPr="009E1D9E">
        <w:rPr>
          <w:rFonts w:ascii="Arial" w:hAnsi="Arial" w:cs="Arial"/>
          <w:i/>
          <w:sz w:val="24"/>
          <w:szCs w:val="24"/>
        </w:rPr>
        <w:t>Statistical Analysis</w:t>
      </w:r>
    </w:p>
    <w:p w14:paraId="2006DF36" w14:textId="0F284FD7" w:rsidR="00BB09AD" w:rsidRPr="009E1D9E" w:rsidRDefault="00C34641" w:rsidP="00CB27F4">
      <w:pPr>
        <w:pStyle w:val="NoSpacing"/>
        <w:spacing w:line="480" w:lineRule="auto"/>
        <w:ind w:firstLine="720"/>
        <w:rPr>
          <w:rFonts w:ascii="Arial" w:hAnsi="Arial" w:cs="Arial"/>
          <w:sz w:val="24"/>
          <w:szCs w:val="24"/>
        </w:rPr>
      </w:pPr>
      <w:r w:rsidRPr="009E1D9E">
        <w:rPr>
          <w:rFonts w:ascii="Arial" w:hAnsi="Arial" w:cs="Arial"/>
          <w:sz w:val="24"/>
          <w:szCs w:val="24"/>
        </w:rPr>
        <w:t xml:space="preserve">The analytical plan for the current study included </w:t>
      </w:r>
      <w:r w:rsidR="00BB09AD" w:rsidRPr="009E1D9E">
        <w:rPr>
          <w:rFonts w:ascii="Arial" w:hAnsi="Arial" w:cs="Arial"/>
          <w:sz w:val="24"/>
          <w:szCs w:val="24"/>
        </w:rPr>
        <w:t>several steps, and o</w:t>
      </w:r>
      <w:r w:rsidR="00156DDD" w:rsidRPr="009E1D9E">
        <w:rPr>
          <w:rFonts w:ascii="Arial" w:hAnsi="Arial" w:cs="Arial"/>
          <w:sz w:val="24"/>
          <w:szCs w:val="24"/>
        </w:rPr>
        <w:t>nly participants endorsing at least one LEC</w:t>
      </w:r>
      <w:r w:rsidR="00646AAB" w:rsidRPr="009E1D9E">
        <w:rPr>
          <w:rFonts w:ascii="Arial" w:hAnsi="Arial" w:cs="Arial"/>
          <w:sz w:val="24"/>
          <w:szCs w:val="24"/>
        </w:rPr>
        <w:t>-5</w:t>
      </w:r>
      <w:r w:rsidR="00156DDD" w:rsidRPr="009E1D9E">
        <w:rPr>
          <w:rFonts w:ascii="Arial" w:hAnsi="Arial" w:cs="Arial"/>
          <w:sz w:val="24"/>
          <w:szCs w:val="24"/>
        </w:rPr>
        <w:t xml:space="preserve"> item were included in the analyses</w:t>
      </w:r>
      <w:r w:rsidR="003C4D6C" w:rsidRPr="009E1D9E">
        <w:rPr>
          <w:rFonts w:ascii="Arial" w:hAnsi="Arial" w:cs="Arial"/>
          <w:sz w:val="24"/>
          <w:szCs w:val="24"/>
        </w:rPr>
        <w:t xml:space="preserve"> (n = 521; 84.3%)</w:t>
      </w:r>
      <w:r w:rsidR="00156DDD" w:rsidRPr="009E1D9E">
        <w:rPr>
          <w:rFonts w:ascii="Arial" w:hAnsi="Arial" w:cs="Arial"/>
          <w:sz w:val="24"/>
          <w:szCs w:val="24"/>
        </w:rPr>
        <w:t xml:space="preserve">. </w:t>
      </w:r>
      <w:r w:rsidR="00CB27F4" w:rsidRPr="009E1D9E">
        <w:rPr>
          <w:rFonts w:ascii="Arial" w:hAnsi="Arial" w:cs="Arial"/>
          <w:sz w:val="24"/>
          <w:szCs w:val="24"/>
        </w:rPr>
        <w:t xml:space="preserve">In step 1, CFA procedures were used to compare models of CPTSD that treated the AD symptoms as </w:t>
      </w:r>
      <w:proofErr w:type="spellStart"/>
      <w:r w:rsidR="00CB27F4" w:rsidRPr="009E1D9E">
        <w:rPr>
          <w:rFonts w:ascii="Arial" w:hAnsi="Arial" w:cs="Arial"/>
          <w:sz w:val="24"/>
          <w:szCs w:val="24"/>
        </w:rPr>
        <w:t>uni</w:t>
      </w:r>
      <w:proofErr w:type="spellEnd"/>
      <w:r w:rsidR="00CB27F4" w:rsidRPr="009E1D9E">
        <w:rPr>
          <w:rFonts w:ascii="Arial" w:hAnsi="Arial" w:cs="Arial"/>
          <w:sz w:val="24"/>
          <w:szCs w:val="24"/>
        </w:rPr>
        <w:t xml:space="preserve">- and bi-dimensional. Four models were tested: Model 1 was a correlated six-factor model (re-experiencing, avoidance, sense of threat, affective dysregulation, negative self-concept, and disturbed relationships). Model 2 was a higher-order variant of Model 1 in which a second-order PTSD factor explained the covariation between re-experiencing, avoidance, and sense of threat, and a second </w:t>
      </w:r>
      <w:r w:rsidR="00CB27F4" w:rsidRPr="009E1D9E">
        <w:rPr>
          <w:rFonts w:ascii="Arial" w:hAnsi="Arial" w:cs="Arial"/>
          <w:sz w:val="24"/>
          <w:szCs w:val="24"/>
        </w:rPr>
        <w:lastRenderedPageBreak/>
        <w:t xml:space="preserve">order DSO factor explained the covariation between affective dysregulation, negative self-concept, and disturbed relationships. Model 3 was similar to Model 1 but split the affective dysregulation factor into ‘hyperactivation’ and ‘hypoactivation’. Model 4 was similar to Model 2 in that that it was a second-order model but this model again included the dimensions of ‘hyperactivation’ and ‘hypoactivation’. These models were tested using weighted least squares mean- and variance-adjusted estimation, which provides accurate parameter estimates, standard errors, and test-statistics for ordinal indicators (Flora &amp; Curran, 2004). </w:t>
      </w:r>
    </w:p>
    <w:p w14:paraId="148D75B0" w14:textId="38FE1ACD" w:rsidR="00C34641" w:rsidRPr="009E1D9E" w:rsidRDefault="00CB27F4" w:rsidP="00BB09AD">
      <w:pPr>
        <w:pStyle w:val="NoSpacing"/>
        <w:spacing w:line="480" w:lineRule="auto"/>
        <w:ind w:firstLine="720"/>
        <w:rPr>
          <w:rFonts w:ascii="Arial" w:hAnsi="Arial" w:cs="Arial"/>
          <w:sz w:val="24"/>
          <w:szCs w:val="24"/>
        </w:rPr>
      </w:pPr>
      <w:r w:rsidRPr="009E1D9E">
        <w:rPr>
          <w:rFonts w:ascii="Arial" w:hAnsi="Arial" w:cs="Arial"/>
          <w:sz w:val="24"/>
          <w:szCs w:val="24"/>
        </w:rPr>
        <w:t>In Step 2</w:t>
      </w:r>
      <w:r w:rsidR="00B672AD" w:rsidRPr="009E1D9E">
        <w:rPr>
          <w:rFonts w:ascii="Arial" w:hAnsi="Arial" w:cs="Arial"/>
          <w:sz w:val="24"/>
          <w:szCs w:val="24"/>
        </w:rPr>
        <w:t xml:space="preserve">, </w:t>
      </w:r>
      <w:r w:rsidR="003C4D6C" w:rsidRPr="009E1D9E">
        <w:rPr>
          <w:rFonts w:ascii="Arial" w:hAnsi="Arial" w:cs="Arial"/>
          <w:sz w:val="24"/>
          <w:szCs w:val="24"/>
        </w:rPr>
        <w:t xml:space="preserve">an LCA </w:t>
      </w:r>
      <w:r w:rsidR="00C34641" w:rsidRPr="009E1D9E">
        <w:rPr>
          <w:rFonts w:ascii="Arial" w:hAnsi="Arial" w:cs="Arial"/>
          <w:sz w:val="24"/>
          <w:szCs w:val="24"/>
        </w:rPr>
        <w:t>was performed to determine the appropriate number of classes based on the</w:t>
      </w:r>
      <w:r w:rsidR="006A7379" w:rsidRPr="009E1D9E">
        <w:rPr>
          <w:rFonts w:ascii="Arial" w:hAnsi="Arial" w:cs="Arial"/>
          <w:sz w:val="24"/>
          <w:szCs w:val="24"/>
        </w:rPr>
        <w:t xml:space="preserve"> probability of meeting </w:t>
      </w:r>
      <w:r w:rsidRPr="009E1D9E">
        <w:rPr>
          <w:rFonts w:ascii="Arial" w:hAnsi="Arial" w:cs="Arial"/>
          <w:sz w:val="24"/>
          <w:szCs w:val="24"/>
        </w:rPr>
        <w:t xml:space="preserve">the diagnostic criteria for each of the </w:t>
      </w:r>
      <w:r w:rsidR="006A7379" w:rsidRPr="009E1D9E">
        <w:rPr>
          <w:rFonts w:ascii="Arial" w:hAnsi="Arial" w:cs="Arial"/>
          <w:sz w:val="24"/>
          <w:szCs w:val="24"/>
        </w:rPr>
        <w:t xml:space="preserve">PTSD </w:t>
      </w:r>
      <w:r w:rsidRPr="009E1D9E">
        <w:rPr>
          <w:rFonts w:ascii="Arial" w:hAnsi="Arial" w:cs="Arial"/>
          <w:sz w:val="24"/>
          <w:szCs w:val="24"/>
        </w:rPr>
        <w:t>and DSO symptom clusters</w:t>
      </w:r>
      <w:r w:rsidR="008C6743" w:rsidRPr="009E1D9E">
        <w:rPr>
          <w:rFonts w:ascii="Arial" w:hAnsi="Arial" w:cs="Arial"/>
          <w:sz w:val="24"/>
          <w:szCs w:val="24"/>
        </w:rPr>
        <w:t xml:space="preserve"> </w:t>
      </w:r>
      <w:r w:rsidRPr="009E1D9E">
        <w:rPr>
          <w:rFonts w:ascii="Arial" w:hAnsi="Arial" w:cs="Arial"/>
          <w:sz w:val="24"/>
          <w:szCs w:val="24"/>
        </w:rPr>
        <w:t xml:space="preserve">as indicated by the findings of the CFA in Step 1. </w:t>
      </w:r>
      <w:r w:rsidR="00C34641" w:rsidRPr="009E1D9E">
        <w:rPr>
          <w:rFonts w:ascii="Arial" w:hAnsi="Arial" w:cs="Arial"/>
          <w:sz w:val="24"/>
          <w:szCs w:val="24"/>
        </w:rPr>
        <w:t xml:space="preserve">Six latent class models </w:t>
      </w:r>
      <w:r w:rsidR="00C34641" w:rsidRPr="009E1D9E">
        <w:rPr>
          <w:rFonts w:ascii="Arial" w:hAnsi="Arial" w:cs="Arial"/>
          <w:sz w:val="24"/>
          <w:szCs w:val="24"/>
        </w:rPr>
        <w:lastRenderedPageBreak/>
        <w:t>were assessed (</w:t>
      </w:r>
      <w:r w:rsidR="006A7379" w:rsidRPr="009E1D9E">
        <w:rPr>
          <w:rFonts w:ascii="Arial" w:hAnsi="Arial" w:cs="Arial"/>
          <w:sz w:val="24"/>
          <w:szCs w:val="24"/>
        </w:rPr>
        <w:t>1 through</w:t>
      </w:r>
      <w:r w:rsidR="00C34641" w:rsidRPr="009E1D9E">
        <w:rPr>
          <w:rFonts w:ascii="Arial" w:hAnsi="Arial" w:cs="Arial"/>
          <w:sz w:val="24"/>
          <w:szCs w:val="24"/>
        </w:rPr>
        <w:t xml:space="preserve"> 6 classes) to determine optimal fit. The robust maximum likelihood</w:t>
      </w:r>
      <w:r w:rsidR="006A7379" w:rsidRPr="009E1D9E">
        <w:rPr>
          <w:rFonts w:ascii="Arial" w:hAnsi="Arial" w:cs="Arial"/>
          <w:sz w:val="24"/>
          <w:szCs w:val="24"/>
        </w:rPr>
        <w:t xml:space="preserve"> estimator</w:t>
      </w:r>
      <w:r w:rsidR="00C34641" w:rsidRPr="009E1D9E">
        <w:rPr>
          <w:rFonts w:ascii="Arial" w:hAnsi="Arial" w:cs="Arial"/>
          <w:sz w:val="24"/>
          <w:szCs w:val="24"/>
        </w:rPr>
        <w:t xml:space="preserve"> (Yuan &amp; </w:t>
      </w:r>
      <w:proofErr w:type="spellStart"/>
      <w:r w:rsidR="00C34641" w:rsidRPr="009E1D9E">
        <w:rPr>
          <w:rFonts w:ascii="Arial" w:hAnsi="Arial" w:cs="Arial"/>
          <w:sz w:val="24"/>
          <w:szCs w:val="24"/>
        </w:rPr>
        <w:t>Bentler</w:t>
      </w:r>
      <w:proofErr w:type="spellEnd"/>
      <w:r w:rsidR="00C34641" w:rsidRPr="009E1D9E">
        <w:rPr>
          <w:rFonts w:ascii="Arial" w:hAnsi="Arial" w:cs="Arial"/>
          <w:sz w:val="24"/>
          <w:szCs w:val="24"/>
        </w:rPr>
        <w:t>, 2000) was used, and model</w:t>
      </w:r>
      <w:r w:rsidR="006A7379" w:rsidRPr="009E1D9E">
        <w:rPr>
          <w:rFonts w:ascii="Arial" w:hAnsi="Arial" w:cs="Arial"/>
          <w:sz w:val="24"/>
          <w:szCs w:val="24"/>
        </w:rPr>
        <w:t>s</w:t>
      </w:r>
      <w:r w:rsidR="00C34641" w:rsidRPr="009E1D9E">
        <w:rPr>
          <w:rFonts w:ascii="Arial" w:hAnsi="Arial" w:cs="Arial"/>
          <w:sz w:val="24"/>
          <w:szCs w:val="24"/>
        </w:rPr>
        <w:t xml:space="preserve"> </w:t>
      </w:r>
      <w:r w:rsidR="006A7379" w:rsidRPr="009E1D9E">
        <w:rPr>
          <w:rFonts w:ascii="Arial" w:hAnsi="Arial" w:cs="Arial"/>
          <w:sz w:val="24"/>
          <w:szCs w:val="24"/>
        </w:rPr>
        <w:t>were</w:t>
      </w:r>
      <w:r w:rsidR="00C34641" w:rsidRPr="009E1D9E">
        <w:rPr>
          <w:rFonts w:ascii="Arial" w:hAnsi="Arial" w:cs="Arial"/>
          <w:sz w:val="24"/>
          <w:szCs w:val="24"/>
        </w:rPr>
        <w:t xml:space="preserve"> estimated using all available information. To avoid solutions based on local maxima, </w:t>
      </w:r>
      <w:r w:rsidR="00C8275A" w:rsidRPr="009E1D9E">
        <w:rPr>
          <w:rFonts w:ascii="Arial" w:hAnsi="Arial" w:cs="Arial"/>
          <w:sz w:val="24"/>
          <w:szCs w:val="24"/>
        </w:rPr>
        <w:t>500</w:t>
      </w:r>
      <w:r w:rsidR="00C34641" w:rsidRPr="009E1D9E">
        <w:rPr>
          <w:rFonts w:ascii="Arial" w:hAnsi="Arial" w:cs="Arial"/>
          <w:sz w:val="24"/>
          <w:szCs w:val="24"/>
        </w:rPr>
        <w:t xml:space="preserve"> random sets of starting values were used initially</w:t>
      </w:r>
      <w:r w:rsidR="00B672AD" w:rsidRPr="009E1D9E">
        <w:rPr>
          <w:rFonts w:ascii="Arial" w:hAnsi="Arial" w:cs="Arial"/>
          <w:sz w:val="24"/>
          <w:szCs w:val="24"/>
        </w:rPr>
        <w:t>,</w:t>
      </w:r>
      <w:r w:rsidR="00C34641" w:rsidRPr="009E1D9E">
        <w:rPr>
          <w:rFonts w:ascii="Arial" w:hAnsi="Arial" w:cs="Arial"/>
          <w:sz w:val="24"/>
          <w:szCs w:val="24"/>
        </w:rPr>
        <w:t xml:space="preserve"> </w:t>
      </w:r>
      <w:r w:rsidR="00EB7F0E" w:rsidRPr="009E1D9E">
        <w:rPr>
          <w:rFonts w:ascii="Arial" w:hAnsi="Arial" w:cs="Arial"/>
          <w:sz w:val="24"/>
          <w:szCs w:val="24"/>
        </w:rPr>
        <w:t>followed by</w:t>
      </w:r>
      <w:r w:rsidR="00C34641" w:rsidRPr="009E1D9E">
        <w:rPr>
          <w:rFonts w:ascii="Arial" w:hAnsi="Arial" w:cs="Arial"/>
          <w:sz w:val="24"/>
          <w:szCs w:val="24"/>
        </w:rPr>
        <w:t xml:space="preserve"> </w:t>
      </w:r>
      <w:r w:rsidR="00C8275A" w:rsidRPr="009E1D9E">
        <w:rPr>
          <w:rFonts w:ascii="Arial" w:hAnsi="Arial" w:cs="Arial"/>
          <w:sz w:val="24"/>
          <w:szCs w:val="24"/>
        </w:rPr>
        <w:t>50</w:t>
      </w:r>
      <w:r w:rsidR="00EB7F0E" w:rsidRPr="009E1D9E">
        <w:rPr>
          <w:rFonts w:ascii="Arial" w:hAnsi="Arial" w:cs="Arial"/>
          <w:sz w:val="24"/>
          <w:szCs w:val="24"/>
        </w:rPr>
        <w:t xml:space="preserve"> </w:t>
      </w:r>
      <w:r w:rsidR="00C34641" w:rsidRPr="009E1D9E">
        <w:rPr>
          <w:rFonts w:ascii="Arial" w:hAnsi="Arial" w:cs="Arial"/>
          <w:sz w:val="24"/>
          <w:szCs w:val="24"/>
        </w:rPr>
        <w:t>final stage optimizations. The relative</w:t>
      </w:r>
      <w:r w:rsidR="00EB7F0E" w:rsidRPr="009E1D9E">
        <w:rPr>
          <w:rFonts w:ascii="Arial" w:hAnsi="Arial" w:cs="Arial"/>
          <w:sz w:val="24"/>
          <w:szCs w:val="24"/>
        </w:rPr>
        <w:t xml:space="preserve"> fit of the models was compared </w:t>
      </w:r>
      <w:r w:rsidR="00C34641" w:rsidRPr="009E1D9E">
        <w:rPr>
          <w:rFonts w:ascii="Arial" w:hAnsi="Arial" w:cs="Arial"/>
          <w:sz w:val="24"/>
          <w:szCs w:val="24"/>
        </w:rPr>
        <w:t>by using three information theory b</w:t>
      </w:r>
      <w:r w:rsidR="00EB7F0E" w:rsidRPr="009E1D9E">
        <w:rPr>
          <w:rFonts w:ascii="Arial" w:hAnsi="Arial" w:cs="Arial"/>
          <w:sz w:val="24"/>
          <w:szCs w:val="24"/>
        </w:rPr>
        <w:t xml:space="preserve">ased fit statistics: The Akaike </w:t>
      </w:r>
      <w:r w:rsidR="00C34641" w:rsidRPr="009E1D9E">
        <w:rPr>
          <w:rFonts w:ascii="Arial" w:hAnsi="Arial" w:cs="Arial"/>
          <w:sz w:val="24"/>
          <w:szCs w:val="24"/>
        </w:rPr>
        <w:t>Information Criterion (A</w:t>
      </w:r>
      <w:r w:rsidR="00EB7F0E" w:rsidRPr="009E1D9E">
        <w:rPr>
          <w:rFonts w:ascii="Arial" w:hAnsi="Arial" w:cs="Arial"/>
          <w:sz w:val="24"/>
          <w:szCs w:val="24"/>
        </w:rPr>
        <w:t xml:space="preserve">IC; Akaike, 1987), the Bayesian Information </w:t>
      </w:r>
      <w:r w:rsidR="00C34641" w:rsidRPr="009E1D9E">
        <w:rPr>
          <w:rFonts w:ascii="Arial" w:hAnsi="Arial" w:cs="Arial"/>
          <w:sz w:val="24"/>
          <w:szCs w:val="24"/>
        </w:rPr>
        <w:t>Criterion (BIC; Schwarz, 1978) an</w:t>
      </w:r>
      <w:r w:rsidR="00EB7F0E" w:rsidRPr="009E1D9E">
        <w:rPr>
          <w:rFonts w:ascii="Arial" w:hAnsi="Arial" w:cs="Arial"/>
          <w:sz w:val="24"/>
          <w:szCs w:val="24"/>
        </w:rPr>
        <w:t xml:space="preserve">d </w:t>
      </w:r>
      <w:r w:rsidR="00B672AD" w:rsidRPr="009E1D9E">
        <w:rPr>
          <w:rFonts w:ascii="Arial" w:hAnsi="Arial" w:cs="Arial"/>
          <w:sz w:val="24"/>
          <w:szCs w:val="24"/>
        </w:rPr>
        <w:t xml:space="preserve">the </w:t>
      </w:r>
      <w:r w:rsidR="00EB7F0E" w:rsidRPr="009E1D9E">
        <w:rPr>
          <w:rFonts w:ascii="Arial" w:hAnsi="Arial" w:cs="Arial"/>
          <w:sz w:val="24"/>
          <w:szCs w:val="24"/>
        </w:rPr>
        <w:t xml:space="preserve">sample size adjusted Bayesian </w:t>
      </w:r>
      <w:r w:rsidR="00C34641" w:rsidRPr="009E1D9E">
        <w:rPr>
          <w:rFonts w:ascii="Arial" w:hAnsi="Arial" w:cs="Arial"/>
          <w:sz w:val="24"/>
          <w:szCs w:val="24"/>
        </w:rPr>
        <w:t>Information Criterion (</w:t>
      </w:r>
      <w:proofErr w:type="spellStart"/>
      <w:r w:rsidR="00C34641" w:rsidRPr="009E1D9E">
        <w:rPr>
          <w:rFonts w:ascii="Arial" w:hAnsi="Arial" w:cs="Arial"/>
          <w:sz w:val="24"/>
          <w:szCs w:val="24"/>
        </w:rPr>
        <w:t>ssaBIC</w:t>
      </w:r>
      <w:proofErr w:type="spellEnd"/>
      <w:r w:rsidR="00C34641" w:rsidRPr="009E1D9E">
        <w:rPr>
          <w:rFonts w:ascii="Arial" w:hAnsi="Arial" w:cs="Arial"/>
          <w:sz w:val="24"/>
          <w:szCs w:val="24"/>
        </w:rPr>
        <w:t xml:space="preserve">; </w:t>
      </w:r>
      <w:proofErr w:type="spellStart"/>
      <w:r w:rsidR="00C34641" w:rsidRPr="009E1D9E">
        <w:rPr>
          <w:rFonts w:ascii="Arial" w:hAnsi="Arial" w:cs="Arial"/>
          <w:sz w:val="24"/>
          <w:szCs w:val="24"/>
        </w:rPr>
        <w:t>Sclove</w:t>
      </w:r>
      <w:proofErr w:type="spellEnd"/>
      <w:r w:rsidR="00C34641" w:rsidRPr="009E1D9E">
        <w:rPr>
          <w:rFonts w:ascii="Arial" w:hAnsi="Arial" w:cs="Arial"/>
          <w:sz w:val="24"/>
          <w:szCs w:val="24"/>
        </w:rPr>
        <w:t>, 1987).</w:t>
      </w:r>
      <w:r w:rsidR="006A7379" w:rsidRPr="009E1D9E">
        <w:rPr>
          <w:rFonts w:ascii="Arial" w:hAnsi="Arial" w:cs="Arial"/>
          <w:sz w:val="24"/>
          <w:szCs w:val="24"/>
        </w:rPr>
        <w:t xml:space="preserve"> The class solution that possesses the lowest value </w:t>
      </w:r>
      <w:r w:rsidR="00B54BC7" w:rsidRPr="009E1D9E">
        <w:rPr>
          <w:rFonts w:ascii="Arial" w:hAnsi="Arial" w:cs="Arial"/>
          <w:sz w:val="24"/>
          <w:szCs w:val="24"/>
        </w:rPr>
        <w:t>c</w:t>
      </w:r>
      <w:r w:rsidR="006A7379" w:rsidRPr="009E1D9E">
        <w:rPr>
          <w:rFonts w:ascii="Arial" w:hAnsi="Arial" w:cs="Arial"/>
          <w:sz w:val="24"/>
          <w:szCs w:val="24"/>
        </w:rPr>
        <w:t xml:space="preserve">an be </w:t>
      </w:r>
      <w:r w:rsidR="00C34641" w:rsidRPr="009E1D9E">
        <w:rPr>
          <w:rFonts w:ascii="Arial" w:hAnsi="Arial" w:cs="Arial"/>
          <w:sz w:val="24"/>
          <w:szCs w:val="24"/>
        </w:rPr>
        <w:t>judge</w:t>
      </w:r>
      <w:r w:rsidR="00EB7F0E" w:rsidRPr="009E1D9E">
        <w:rPr>
          <w:rFonts w:ascii="Arial" w:hAnsi="Arial" w:cs="Arial"/>
          <w:sz w:val="24"/>
          <w:szCs w:val="24"/>
        </w:rPr>
        <w:t xml:space="preserve">d the best model. Evidence from </w:t>
      </w:r>
      <w:r w:rsidR="00C34641" w:rsidRPr="009E1D9E">
        <w:rPr>
          <w:rFonts w:ascii="Arial" w:hAnsi="Arial" w:cs="Arial"/>
          <w:sz w:val="24"/>
          <w:szCs w:val="24"/>
        </w:rPr>
        <w:t>simulation studies have indicated that t</w:t>
      </w:r>
      <w:r w:rsidR="00EB7F0E" w:rsidRPr="009E1D9E">
        <w:rPr>
          <w:rFonts w:ascii="Arial" w:hAnsi="Arial" w:cs="Arial"/>
          <w:sz w:val="24"/>
          <w:szCs w:val="24"/>
        </w:rPr>
        <w:t xml:space="preserve">he BIC was the best information </w:t>
      </w:r>
      <w:r w:rsidR="00C34641" w:rsidRPr="009E1D9E">
        <w:rPr>
          <w:rFonts w:ascii="Arial" w:hAnsi="Arial" w:cs="Arial"/>
          <w:sz w:val="24"/>
          <w:szCs w:val="24"/>
        </w:rPr>
        <w:t>criterion for identifying the correct nu</w:t>
      </w:r>
      <w:r w:rsidR="00EB7F0E" w:rsidRPr="009E1D9E">
        <w:rPr>
          <w:rFonts w:ascii="Arial" w:hAnsi="Arial" w:cs="Arial"/>
          <w:sz w:val="24"/>
          <w:szCs w:val="24"/>
        </w:rPr>
        <w:t>mber of classes (</w:t>
      </w:r>
      <w:proofErr w:type="spellStart"/>
      <w:r w:rsidR="00EB7F0E" w:rsidRPr="009E1D9E">
        <w:rPr>
          <w:rFonts w:ascii="Arial" w:hAnsi="Arial" w:cs="Arial"/>
          <w:sz w:val="24"/>
          <w:szCs w:val="24"/>
        </w:rPr>
        <w:t>Nylund</w:t>
      </w:r>
      <w:proofErr w:type="spellEnd"/>
      <w:r w:rsidR="00EB7F0E" w:rsidRPr="009E1D9E">
        <w:rPr>
          <w:rFonts w:ascii="Arial" w:hAnsi="Arial" w:cs="Arial"/>
          <w:sz w:val="24"/>
          <w:szCs w:val="24"/>
        </w:rPr>
        <w:t xml:space="preserve"> et al., </w:t>
      </w:r>
      <w:r w:rsidR="00C34641" w:rsidRPr="009E1D9E">
        <w:rPr>
          <w:rFonts w:ascii="Arial" w:hAnsi="Arial" w:cs="Arial"/>
          <w:sz w:val="24"/>
          <w:szCs w:val="24"/>
        </w:rPr>
        <w:t>2007). In addition, the Lo-</w:t>
      </w:r>
      <w:proofErr w:type="spellStart"/>
      <w:r w:rsidR="00C34641" w:rsidRPr="009E1D9E">
        <w:rPr>
          <w:rFonts w:ascii="Arial" w:hAnsi="Arial" w:cs="Arial"/>
          <w:sz w:val="24"/>
          <w:szCs w:val="24"/>
        </w:rPr>
        <w:t>Mendell</w:t>
      </w:r>
      <w:proofErr w:type="spellEnd"/>
      <w:r w:rsidR="00C34641" w:rsidRPr="009E1D9E">
        <w:rPr>
          <w:rFonts w:ascii="Arial" w:hAnsi="Arial" w:cs="Arial"/>
          <w:sz w:val="24"/>
          <w:szCs w:val="24"/>
        </w:rPr>
        <w:t>-Rubin</w:t>
      </w:r>
      <w:r w:rsidR="00EB7F0E" w:rsidRPr="009E1D9E">
        <w:rPr>
          <w:rFonts w:ascii="Arial" w:hAnsi="Arial" w:cs="Arial"/>
          <w:sz w:val="24"/>
          <w:szCs w:val="24"/>
        </w:rPr>
        <w:t xml:space="preserve"> adjusted likelihood ratio test </w:t>
      </w:r>
      <w:r w:rsidR="00C34641" w:rsidRPr="009E1D9E">
        <w:rPr>
          <w:rFonts w:ascii="Arial" w:hAnsi="Arial" w:cs="Arial"/>
          <w:sz w:val="24"/>
          <w:szCs w:val="24"/>
        </w:rPr>
        <w:t>(LMR-A; Lo et al., 2001) was used to</w:t>
      </w:r>
      <w:r w:rsidR="00EB7F0E" w:rsidRPr="009E1D9E">
        <w:rPr>
          <w:rFonts w:ascii="Arial" w:hAnsi="Arial" w:cs="Arial"/>
          <w:sz w:val="24"/>
          <w:szCs w:val="24"/>
        </w:rPr>
        <w:t xml:space="preserve"> compare models with increasing </w:t>
      </w:r>
      <w:r w:rsidR="00C34641" w:rsidRPr="009E1D9E">
        <w:rPr>
          <w:rFonts w:ascii="Arial" w:hAnsi="Arial" w:cs="Arial"/>
          <w:sz w:val="24"/>
          <w:szCs w:val="24"/>
        </w:rPr>
        <w:t xml:space="preserve">numbers </w:t>
      </w:r>
      <w:r w:rsidR="00C34641" w:rsidRPr="009E1D9E">
        <w:rPr>
          <w:rFonts w:ascii="Arial" w:hAnsi="Arial" w:cs="Arial"/>
          <w:sz w:val="24"/>
          <w:szCs w:val="24"/>
        </w:rPr>
        <w:lastRenderedPageBreak/>
        <w:t>of latent classes. W</w:t>
      </w:r>
      <w:r w:rsidR="001E124F" w:rsidRPr="009E1D9E">
        <w:rPr>
          <w:rFonts w:ascii="Arial" w:hAnsi="Arial" w:cs="Arial"/>
          <w:sz w:val="24"/>
          <w:szCs w:val="24"/>
        </w:rPr>
        <w:t>hen a non-significant value (p &gt;</w:t>
      </w:r>
      <w:r w:rsidR="00C34641" w:rsidRPr="009E1D9E">
        <w:rPr>
          <w:rFonts w:ascii="Arial" w:hAnsi="Arial" w:cs="Arial"/>
          <w:sz w:val="24"/>
          <w:szCs w:val="24"/>
        </w:rPr>
        <w:t xml:space="preserve"> .05)</w:t>
      </w:r>
      <w:r w:rsidR="00EB7F0E" w:rsidRPr="009E1D9E">
        <w:rPr>
          <w:rFonts w:ascii="Arial" w:hAnsi="Arial" w:cs="Arial"/>
          <w:sz w:val="24"/>
          <w:szCs w:val="24"/>
        </w:rPr>
        <w:t xml:space="preserve"> </w:t>
      </w:r>
      <w:r w:rsidR="00C34641" w:rsidRPr="009E1D9E">
        <w:rPr>
          <w:rFonts w:ascii="Arial" w:hAnsi="Arial" w:cs="Arial"/>
          <w:sz w:val="24"/>
          <w:szCs w:val="24"/>
        </w:rPr>
        <w:t>occurs</w:t>
      </w:r>
      <w:r w:rsidR="008D3EA6" w:rsidRPr="009E1D9E">
        <w:rPr>
          <w:rFonts w:ascii="Arial" w:hAnsi="Arial" w:cs="Arial"/>
          <w:sz w:val="24"/>
          <w:szCs w:val="24"/>
        </w:rPr>
        <w:t>,</w:t>
      </w:r>
      <w:r w:rsidR="00C34641" w:rsidRPr="009E1D9E">
        <w:rPr>
          <w:rFonts w:ascii="Arial" w:hAnsi="Arial" w:cs="Arial"/>
          <w:sz w:val="24"/>
          <w:szCs w:val="24"/>
        </w:rPr>
        <w:t xml:space="preserve"> this suggests that the model with one less class should be</w:t>
      </w:r>
      <w:r w:rsidR="00EB7F0E" w:rsidRPr="009E1D9E">
        <w:rPr>
          <w:rFonts w:ascii="Arial" w:hAnsi="Arial" w:cs="Arial"/>
          <w:sz w:val="24"/>
          <w:szCs w:val="24"/>
        </w:rPr>
        <w:t xml:space="preserve"> </w:t>
      </w:r>
      <w:r w:rsidR="00C34641" w:rsidRPr="009E1D9E">
        <w:rPr>
          <w:rFonts w:ascii="Arial" w:hAnsi="Arial" w:cs="Arial"/>
          <w:sz w:val="24"/>
          <w:szCs w:val="24"/>
        </w:rPr>
        <w:t xml:space="preserve">accepted. </w:t>
      </w:r>
      <w:r w:rsidR="00EB7F0E" w:rsidRPr="009E1D9E">
        <w:rPr>
          <w:rFonts w:ascii="Arial" w:hAnsi="Arial" w:cs="Arial"/>
          <w:sz w:val="24"/>
          <w:szCs w:val="24"/>
        </w:rPr>
        <w:t>These</w:t>
      </w:r>
      <w:r w:rsidR="00C34641" w:rsidRPr="009E1D9E">
        <w:rPr>
          <w:rFonts w:ascii="Arial" w:hAnsi="Arial" w:cs="Arial"/>
          <w:sz w:val="24"/>
          <w:szCs w:val="24"/>
        </w:rPr>
        <w:t xml:space="preserve"> analyses were conducted using </w:t>
      </w:r>
      <w:proofErr w:type="spellStart"/>
      <w:r w:rsidR="00C34641" w:rsidRPr="009E1D9E">
        <w:rPr>
          <w:rFonts w:ascii="Arial" w:hAnsi="Arial" w:cs="Arial"/>
          <w:sz w:val="24"/>
          <w:szCs w:val="24"/>
        </w:rPr>
        <w:t>Mplus</w:t>
      </w:r>
      <w:proofErr w:type="spellEnd"/>
      <w:r w:rsidR="00C34641" w:rsidRPr="009E1D9E">
        <w:rPr>
          <w:rFonts w:ascii="Arial" w:hAnsi="Arial" w:cs="Arial"/>
          <w:sz w:val="24"/>
          <w:szCs w:val="24"/>
        </w:rPr>
        <w:t xml:space="preserve"> 7.</w:t>
      </w:r>
      <w:r w:rsidR="00EB7F0E" w:rsidRPr="009E1D9E">
        <w:rPr>
          <w:rFonts w:ascii="Arial" w:hAnsi="Arial" w:cs="Arial"/>
          <w:sz w:val="24"/>
          <w:szCs w:val="24"/>
        </w:rPr>
        <w:t>11</w:t>
      </w:r>
      <w:r w:rsidR="00C34641" w:rsidRPr="009E1D9E">
        <w:rPr>
          <w:rFonts w:ascii="Arial" w:hAnsi="Arial" w:cs="Arial"/>
          <w:sz w:val="24"/>
          <w:szCs w:val="24"/>
        </w:rPr>
        <w:t xml:space="preserve"> (</w:t>
      </w:r>
      <w:proofErr w:type="spellStart"/>
      <w:r w:rsidR="00C34641" w:rsidRPr="009E1D9E">
        <w:rPr>
          <w:rFonts w:ascii="Arial" w:hAnsi="Arial" w:cs="Arial"/>
          <w:sz w:val="24"/>
          <w:szCs w:val="24"/>
        </w:rPr>
        <w:t>Muthén</w:t>
      </w:r>
      <w:proofErr w:type="spellEnd"/>
      <w:r w:rsidR="00C34641" w:rsidRPr="009E1D9E">
        <w:rPr>
          <w:rFonts w:ascii="Arial" w:hAnsi="Arial" w:cs="Arial"/>
          <w:sz w:val="24"/>
          <w:szCs w:val="24"/>
        </w:rPr>
        <w:t xml:space="preserve"> </w:t>
      </w:r>
      <w:r w:rsidR="00EB7F0E" w:rsidRPr="009E1D9E">
        <w:rPr>
          <w:rFonts w:ascii="Arial" w:hAnsi="Arial" w:cs="Arial"/>
          <w:sz w:val="24"/>
          <w:szCs w:val="24"/>
        </w:rPr>
        <w:t xml:space="preserve">&amp; </w:t>
      </w:r>
      <w:proofErr w:type="spellStart"/>
      <w:r w:rsidR="00EB7F0E" w:rsidRPr="009E1D9E">
        <w:rPr>
          <w:rFonts w:ascii="Arial" w:hAnsi="Arial" w:cs="Arial"/>
          <w:sz w:val="24"/>
          <w:szCs w:val="24"/>
        </w:rPr>
        <w:t>Muthén</w:t>
      </w:r>
      <w:proofErr w:type="spellEnd"/>
      <w:r w:rsidR="00EB7F0E" w:rsidRPr="009E1D9E">
        <w:rPr>
          <w:rFonts w:ascii="Arial" w:hAnsi="Arial" w:cs="Arial"/>
          <w:sz w:val="24"/>
          <w:szCs w:val="24"/>
        </w:rPr>
        <w:t>, 2013</w:t>
      </w:r>
      <w:r w:rsidR="00C34641" w:rsidRPr="009E1D9E">
        <w:rPr>
          <w:rFonts w:ascii="Arial" w:hAnsi="Arial" w:cs="Arial"/>
          <w:sz w:val="24"/>
          <w:szCs w:val="24"/>
        </w:rPr>
        <w:t>).</w:t>
      </w:r>
    </w:p>
    <w:p w14:paraId="43FC723A" w14:textId="44B00057" w:rsidR="00B82E99" w:rsidRPr="009E1D9E" w:rsidRDefault="00EB7F0E" w:rsidP="00110CB8">
      <w:pPr>
        <w:pStyle w:val="NoSpacing"/>
        <w:spacing w:line="480" w:lineRule="auto"/>
        <w:rPr>
          <w:rFonts w:ascii="Arial" w:hAnsi="Arial" w:cs="Arial"/>
          <w:sz w:val="24"/>
          <w:szCs w:val="24"/>
        </w:rPr>
      </w:pPr>
      <w:r w:rsidRPr="009E1D9E">
        <w:rPr>
          <w:rFonts w:ascii="Arial" w:hAnsi="Arial" w:cs="Arial"/>
          <w:sz w:val="24"/>
          <w:szCs w:val="24"/>
        </w:rPr>
        <w:tab/>
      </w:r>
      <w:r w:rsidR="003C4D6C" w:rsidRPr="009E1D9E">
        <w:rPr>
          <w:rFonts w:ascii="Arial" w:hAnsi="Arial" w:cs="Arial"/>
          <w:sz w:val="24"/>
          <w:szCs w:val="24"/>
        </w:rPr>
        <w:t>In step 3</w:t>
      </w:r>
      <w:r w:rsidR="001A08D3" w:rsidRPr="009E1D9E">
        <w:rPr>
          <w:rFonts w:ascii="Arial" w:hAnsi="Arial" w:cs="Arial"/>
          <w:sz w:val="24"/>
          <w:szCs w:val="24"/>
        </w:rPr>
        <w:t xml:space="preserve">, following the </w:t>
      </w:r>
      <w:r w:rsidRPr="009E1D9E">
        <w:rPr>
          <w:rFonts w:ascii="Arial" w:hAnsi="Arial" w:cs="Arial"/>
          <w:sz w:val="24"/>
          <w:szCs w:val="24"/>
        </w:rPr>
        <w:t>selection of the best fitting LCA model</w:t>
      </w:r>
      <w:r w:rsidR="008D3EA6" w:rsidRPr="009E1D9E">
        <w:rPr>
          <w:rFonts w:ascii="Arial" w:hAnsi="Arial" w:cs="Arial"/>
          <w:sz w:val="24"/>
          <w:szCs w:val="24"/>
        </w:rPr>
        <w:t>,</w:t>
      </w:r>
      <w:r w:rsidR="00156DDD" w:rsidRPr="009E1D9E">
        <w:rPr>
          <w:rFonts w:ascii="Arial" w:hAnsi="Arial" w:cs="Arial"/>
          <w:sz w:val="24"/>
          <w:szCs w:val="24"/>
        </w:rPr>
        <w:t xml:space="preserve"> a series of chi-square tests were conducted to assess the relationship between</w:t>
      </w:r>
      <w:r w:rsidR="003C4D6C" w:rsidRPr="009E1D9E">
        <w:rPr>
          <w:rFonts w:ascii="Arial" w:hAnsi="Arial" w:cs="Arial"/>
          <w:sz w:val="24"/>
          <w:szCs w:val="24"/>
        </w:rPr>
        <w:t xml:space="preserve"> class membership and each of</w:t>
      </w:r>
      <w:r w:rsidR="00646AAB" w:rsidRPr="009E1D9E">
        <w:rPr>
          <w:rFonts w:ascii="Arial" w:hAnsi="Arial" w:cs="Arial"/>
          <w:sz w:val="24"/>
          <w:szCs w:val="24"/>
        </w:rPr>
        <w:t xml:space="preserve"> the</w:t>
      </w:r>
      <w:r w:rsidR="00156DDD" w:rsidRPr="009E1D9E">
        <w:rPr>
          <w:rFonts w:ascii="Arial" w:hAnsi="Arial" w:cs="Arial"/>
          <w:sz w:val="24"/>
          <w:szCs w:val="24"/>
        </w:rPr>
        <w:t xml:space="preserve"> LEC</w:t>
      </w:r>
      <w:r w:rsidR="00646AAB" w:rsidRPr="009E1D9E">
        <w:rPr>
          <w:rFonts w:ascii="Arial" w:hAnsi="Arial" w:cs="Arial"/>
          <w:sz w:val="24"/>
          <w:szCs w:val="24"/>
        </w:rPr>
        <w:t>-5</w:t>
      </w:r>
      <w:r w:rsidR="003C4D6C" w:rsidRPr="009E1D9E">
        <w:rPr>
          <w:rFonts w:ascii="Arial" w:hAnsi="Arial" w:cs="Arial"/>
          <w:sz w:val="24"/>
          <w:szCs w:val="24"/>
        </w:rPr>
        <w:t xml:space="preserve"> traumatic life-events</w:t>
      </w:r>
      <w:r w:rsidR="00156DDD" w:rsidRPr="009E1D9E">
        <w:rPr>
          <w:rFonts w:ascii="Arial" w:hAnsi="Arial" w:cs="Arial"/>
          <w:sz w:val="24"/>
          <w:szCs w:val="24"/>
        </w:rPr>
        <w:t xml:space="preserve">. </w:t>
      </w:r>
      <w:r w:rsidR="003C4D6C" w:rsidRPr="009E1D9E">
        <w:rPr>
          <w:rFonts w:ascii="Arial" w:hAnsi="Arial" w:cs="Arial"/>
          <w:sz w:val="24"/>
          <w:szCs w:val="24"/>
        </w:rPr>
        <w:t>Additionally</w:t>
      </w:r>
      <w:r w:rsidR="001A08D3" w:rsidRPr="009E1D9E">
        <w:rPr>
          <w:rFonts w:ascii="Arial" w:hAnsi="Arial" w:cs="Arial"/>
          <w:sz w:val="24"/>
          <w:szCs w:val="24"/>
        </w:rPr>
        <w:t>,</w:t>
      </w:r>
      <w:r w:rsidR="00156DDD" w:rsidRPr="009E1D9E">
        <w:rPr>
          <w:rFonts w:ascii="Arial" w:hAnsi="Arial" w:cs="Arial"/>
          <w:sz w:val="24"/>
          <w:szCs w:val="24"/>
        </w:rPr>
        <w:t xml:space="preserve"> </w:t>
      </w:r>
      <w:r w:rsidRPr="009E1D9E">
        <w:rPr>
          <w:rFonts w:ascii="Arial" w:hAnsi="Arial" w:cs="Arial"/>
          <w:sz w:val="24"/>
          <w:szCs w:val="24"/>
        </w:rPr>
        <w:t>one-way between groups analysis of variance (ANOVA) tests</w:t>
      </w:r>
      <w:r w:rsidR="001E124F" w:rsidRPr="009E1D9E">
        <w:rPr>
          <w:rFonts w:ascii="Arial" w:hAnsi="Arial" w:cs="Arial"/>
          <w:sz w:val="24"/>
          <w:szCs w:val="24"/>
        </w:rPr>
        <w:t>,</w:t>
      </w:r>
      <w:r w:rsidR="00C8275A" w:rsidRPr="009E1D9E">
        <w:rPr>
          <w:rFonts w:ascii="Arial" w:hAnsi="Arial" w:cs="Arial"/>
          <w:sz w:val="24"/>
          <w:szCs w:val="24"/>
        </w:rPr>
        <w:t xml:space="preserve"> with p</w:t>
      </w:r>
      <w:r w:rsidRPr="009E1D9E">
        <w:rPr>
          <w:rFonts w:ascii="Arial" w:hAnsi="Arial" w:cs="Arial"/>
          <w:sz w:val="24"/>
          <w:szCs w:val="24"/>
        </w:rPr>
        <w:t>ost-hoc pairwise comparison</w:t>
      </w:r>
      <w:r w:rsidR="00C8275A" w:rsidRPr="009E1D9E">
        <w:rPr>
          <w:rFonts w:ascii="Arial" w:hAnsi="Arial" w:cs="Arial"/>
          <w:sz w:val="24"/>
          <w:szCs w:val="24"/>
        </w:rPr>
        <w:t>s</w:t>
      </w:r>
      <w:r w:rsidRPr="009E1D9E">
        <w:rPr>
          <w:rFonts w:ascii="Arial" w:hAnsi="Arial" w:cs="Arial"/>
          <w:sz w:val="24"/>
          <w:szCs w:val="24"/>
        </w:rPr>
        <w:t xml:space="preserve"> using a </w:t>
      </w:r>
      <w:proofErr w:type="spellStart"/>
      <w:r w:rsidR="00156DDD" w:rsidRPr="009E1D9E">
        <w:rPr>
          <w:rFonts w:ascii="Arial" w:hAnsi="Arial" w:cs="Arial"/>
          <w:sz w:val="24"/>
          <w:szCs w:val="24"/>
        </w:rPr>
        <w:t>Scheffe</w:t>
      </w:r>
      <w:proofErr w:type="spellEnd"/>
      <w:r w:rsidRPr="009E1D9E">
        <w:rPr>
          <w:rFonts w:ascii="Arial" w:hAnsi="Arial" w:cs="Arial"/>
          <w:sz w:val="24"/>
          <w:szCs w:val="24"/>
        </w:rPr>
        <w:t xml:space="preserve"> correction</w:t>
      </w:r>
      <w:r w:rsidR="001E124F" w:rsidRPr="009E1D9E">
        <w:rPr>
          <w:rFonts w:ascii="Arial" w:hAnsi="Arial" w:cs="Arial"/>
          <w:sz w:val="24"/>
          <w:szCs w:val="24"/>
        </w:rPr>
        <w:t>,</w:t>
      </w:r>
      <w:r w:rsidRPr="009E1D9E">
        <w:rPr>
          <w:rFonts w:ascii="Arial" w:hAnsi="Arial" w:cs="Arial"/>
          <w:sz w:val="24"/>
          <w:szCs w:val="24"/>
        </w:rPr>
        <w:t xml:space="preserve"> were carried out to examine differences between </w:t>
      </w:r>
      <w:r w:rsidR="003C4D6C" w:rsidRPr="009E1D9E">
        <w:rPr>
          <w:rFonts w:ascii="Arial" w:hAnsi="Arial" w:cs="Arial"/>
          <w:sz w:val="24"/>
          <w:szCs w:val="24"/>
        </w:rPr>
        <w:t>latent</w:t>
      </w:r>
      <w:r w:rsidRPr="009E1D9E">
        <w:rPr>
          <w:rFonts w:ascii="Arial" w:hAnsi="Arial" w:cs="Arial"/>
          <w:sz w:val="24"/>
          <w:szCs w:val="24"/>
        </w:rPr>
        <w:t xml:space="preserve"> classes </w:t>
      </w:r>
      <w:r w:rsidR="00156DDD" w:rsidRPr="009E1D9E">
        <w:rPr>
          <w:rFonts w:ascii="Arial" w:hAnsi="Arial" w:cs="Arial"/>
          <w:sz w:val="24"/>
          <w:szCs w:val="24"/>
        </w:rPr>
        <w:t xml:space="preserve">on total </w:t>
      </w:r>
      <w:r w:rsidR="003C4D6C" w:rsidRPr="009E1D9E">
        <w:rPr>
          <w:rFonts w:ascii="Arial" w:hAnsi="Arial" w:cs="Arial"/>
          <w:sz w:val="24"/>
          <w:szCs w:val="24"/>
        </w:rPr>
        <w:t>traumatic exposure and psychological wellbeing</w:t>
      </w:r>
      <w:r w:rsidRPr="009E1D9E">
        <w:rPr>
          <w:rFonts w:ascii="Arial" w:hAnsi="Arial" w:cs="Arial"/>
          <w:sz w:val="24"/>
          <w:szCs w:val="24"/>
        </w:rPr>
        <w:t xml:space="preserve">. </w:t>
      </w:r>
    </w:p>
    <w:p w14:paraId="22284875" w14:textId="57BC80B8" w:rsidR="00C8275A" w:rsidRPr="009E1D9E" w:rsidRDefault="007D04B5" w:rsidP="003C4D6C">
      <w:pPr>
        <w:pStyle w:val="NoSpacing"/>
        <w:spacing w:line="480" w:lineRule="auto"/>
        <w:jc w:val="center"/>
        <w:rPr>
          <w:rFonts w:ascii="Arial" w:hAnsi="Arial" w:cs="Arial"/>
          <w:b/>
          <w:bCs/>
          <w:sz w:val="24"/>
          <w:szCs w:val="24"/>
        </w:rPr>
      </w:pPr>
      <w:r w:rsidRPr="009E1D9E">
        <w:rPr>
          <w:rFonts w:ascii="Arial" w:hAnsi="Arial" w:cs="Arial"/>
          <w:b/>
          <w:bCs/>
          <w:sz w:val="24"/>
          <w:szCs w:val="24"/>
        </w:rPr>
        <w:t>Results</w:t>
      </w:r>
    </w:p>
    <w:p w14:paraId="7F8E1DCF" w14:textId="185445C9" w:rsidR="00CE05C0" w:rsidRPr="009E1D9E" w:rsidRDefault="00CE05C0" w:rsidP="00CE05C0">
      <w:pPr>
        <w:pStyle w:val="NoSpacing"/>
        <w:spacing w:line="480" w:lineRule="auto"/>
        <w:rPr>
          <w:rFonts w:ascii="Arial" w:hAnsi="Arial" w:cs="Arial"/>
          <w:i/>
          <w:sz w:val="24"/>
          <w:szCs w:val="24"/>
        </w:rPr>
      </w:pPr>
      <w:r w:rsidRPr="009E1D9E">
        <w:rPr>
          <w:rFonts w:ascii="Arial" w:hAnsi="Arial" w:cs="Arial"/>
          <w:i/>
          <w:sz w:val="24"/>
          <w:szCs w:val="24"/>
        </w:rPr>
        <w:t>Descriptive statistics</w:t>
      </w:r>
    </w:p>
    <w:p w14:paraId="6D9F429E" w14:textId="210CB525" w:rsidR="00156DDD" w:rsidRPr="009E1D9E" w:rsidRDefault="00156DDD" w:rsidP="003C4D6C">
      <w:pPr>
        <w:pStyle w:val="NoSpacing"/>
        <w:spacing w:line="480" w:lineRule="auto"/>
        <w:ind w:firstLine="720"/>
        <w:rPr>
          <w:rFonts w:ascii="Arial" w:hAnsi="Arial" w:cs="Arial"/>
          <w:sz w:val="24"/>
          <w:szCs w:val="24"/>
        </w:rPr>
      </w:pPr>
      <w:r w:rsidRPr="009E1D9E">
        <w:rPr>
          <w:rFonts w:ascii="Arial" w:hAnsi="Arial" w:cs="Arial"/>
          <w:sz w:val="24"/>
          <w:szCs w:val="24"/>
        </w:rPr>
        <w:lastRenderedPageBreak/>
        <w:t>Most participants (n</w:t>
      </w:r>
      <w:r w:rsidR="00646AAB" w:rsidRPr="009E1D9E">
        <w:rPr>
          <w:rFonts w:ascii="Arial" w:hAnsi="Arial" w:cs="Arial"/>
          <w:sz w:val="24"/>
          <w:szCs w:val="24"/>
        </w:rPr>
        <w:t xml:space="preserve"> </w:t>
      </w:r>
      <w:r w:rsidRPr="009E1D9E">
        <w:rPr>
          <w:rFonts w:ascii="Arial" w:hAnsi="Arial" w:cs="Arial"/>
          <w:sz w:val="24"/>
          <w:szCs w:val="24"/>
        </w:rPr>
        <w:t>=</w:t>
      </w:r>
      <w:r w:rsidR="00646AAB" w:rsidRPr="009E1D9E">
        <w:rPr>
          <w:rFonts w:ascii="Arial" w:hAnsi="Arial" w:cs="Arial"/>
          <w:sz w:val="24"/>
          <w:szCs w:val="24"/>
        </w:rPr>
        <w:t xml:space="preserve"> </w:t>
      </w:r>
      <w:r w:rsidRPr="009E1D9E">
        <w:rPr>
          <w:rFonts w:ascii="Arial" w:hAnsi="Arial" w:cs="Arial"/>
          <w:sz w:val="24"/>
          <w:szCs w:val="24"/>
        </w:rPr>
        <w:t>521; 84.3%) endorsed at least one item from the LEC</w:t>
      </w:r>
      <w:r w:rsidR="00646AAB" w:rsidRPr="009E1D9E">
        <w:rPr>
          <w:rFonts w:ascii="Arial" w:hAnsi="Arial" w:cs="Arial"/>
          <w:sz w:val="24"/>
          <w:szCs w:val="24"/>
        </w:rPr>
        <w:t>-5</w:t>
      </w:r>
      <w:r w:rsidRPr="009E1D9E">
        <w:rPr>
          <w:rFonts w:ascii="Arial" w:hAnsi="Arial" w:cs="Arial"/>
          <w:sz w:val="24"/>
          <w:szCs w:val="24"/>
        </w:rPr>
        <w:t xml:space="preserve"> and for this group the mean number of traumas endorsed was 3.02 (SD</w:t>
      </w:r>
      <w:r w:rsidR="00646AAB" w:rsidRPr="009E1D9E">
        <w:rPr>
          <w:rFonts w:ascii="Arial" w:hAnsi="Arial" w:cs="Arial"/>
          <w:sz w:val="24"/>
          <w:szCs w:val="24"/>
        </w:rPr>
        <w:t xml:space="preserve"> </w:t>
      </w:r>
      <w:r w:rsidRPr="009E1D9E">
        <w:rPr>
          <w:rFonts w:ascii="Arial" w:hAnsi="Arial" w:cs="Arial"/>
          <w:sz w:val="24"/>
          <w:szCs w:val="24"/>
        </w:rPr>
        <w:t>=</w:t>
      </w:r>
      <w:r w:rsidR="00646AAB" w:rsidRPr="009E1D9E">
        <w:rPr>
          <w:rFonts w:ascii="Arial" w:hAnsi="Arial" w:cs="Arial"/>
          <w:sz w:val="24"/>
          <w:szCs w:val="24"/>
        </w:rPr>
        <w:t xml:space="preserve"> </w:t>
      </w:r>
      <w:r w:rsidRPr="009E1D9E">
        <w:rPr>
          <w:rFonts w:ascii="Arial" w:hAnsi="Arial" w:cs="Arial"/>
          <w:sz w:val="24"/>
          <w:szCs w:val="24"/>
        </w:rPr>
        <w:t xml:space="preserve">1.88; </w:t>
      </w:r>
      <w:proofErr w:type="spellStart"/>
      <w:r w:rsidR="00646AAB" w:rsidRPr="009E1D9E">
        <w:rPr>
          <w:rFonts w:ascii="Arial" w:hAnsi="Arial" w:cs="Arial"/>
          <w:i/>
          <w:sz w:val="24"/>
          <w:szCs w:val="24"/>
        </w:rPr>
        <w:t>Mdn</w:t>
      </w:r>
      <w:proofErr w:type="spellEnd"/>
      <w:r w:rsidR="00646AAB" w:rsidRPr="009E1D9E">
        <w:rPr>
          <w:rFonts w:ascii="Arial" w:hAnsi="Arial" w:cs="Arial"/>
          <w:sz w:val="24"/>
          <w:szCs w:val="24"/>
        </w:rPr>
        <w:t xml:space="preserve"> </w:t>
      </w:r>
      <w:r w:rsidRPr="009E1D9E">
        <w:rPr>
          <w:rFonts w:ascii="Arial" w:hAnsi="Arial" w:cs="Arial"/>
          <w:sz w:val="24"/>
          <w:szCs w:val="24"/>
        </w:rPr>
        <w:t>= 3; Range 1-10). The most common ‘worst traumas’ were ‘Unexpected death someone close to you’ (n</w:t>
      </w:r>
      <w:r w:rsidR="00646AAB" w:rsidRPr="009E1D9E">
        <w:rPr>
          <w:rFonts w:ascii="Arial" w:hAnsi="Arial" w:cs="Arial"/>
          <w:sz w:val="24"/>
          <w:szCs w:val="24"/>
        </w:rPr>
        <w:t xml:space="preserve"> </w:t>
      </w:r>
      <w:r w:rsidRPr="009E1D9E">
        <w:rPr>
          <w:rFonts w:ascii="Arial" w:hAnsi="Arial" w:cs="Arial"/>
          <w:sz w:val="24"/>
          <w:szCs w:val="24"/>
        </w:rPr>
        <w:t>=</w:t>
      </w:r>
      <w:r w:rsidR="00646AAB" w:rsidRPr="009E1D9E">
        <w:rPr>
          <w:rFonts w:ascii="Arial" w:hAnsi="Arial" w:cs="Arial"/>
          <w:sz w:val="24"/>
          <w:szCs w:val="24"/>
        </w:rPr>
        <w:t xml:space="preserve"> </w:t>
      </w:r>
      <w:r w:rsidRPr="009E1D9E">
        <w:rPr>
          <w:rFonts w:ascii="Arial" w:hAnsi="Arial" w:cs="Arial"/>
          <w:sz w:val="24"/>
          <w:szCs w:val="24"/>
        </w:rPr>
        <w:t>90, 17.3%), ‘Transport accident’ (n</w:t>
      </w:r>
      <w:r w:rsidR="00646AAB" w:rsidRPr="009E1D9E">
        <w:rPr>
          <w:rFonts w:ascii="Arial" w:hAnsi="Arial" w:cs="Arial"/>
          <w:sz w:val="24"/>
          <w:szCs w:val="24"/>
        </w:rPr>
        <w:t xml:space="preserve"> </w:t>
      </w:r>
      <w:r w:rsidRPr="009E1D9E">
        <w:rPr>
          <w:rFonts w:ascii="Arial" w:hAnsi="Arial" w:cs="Arial"/>
          <w:sz w:val="24"/>
          <w:szCs w:val="24"/>
        </w:rPr>
        <w:t>=</w:t>
      </w:r>
      <w:r w:rsidR="00646AAB" w:rsidRPr="009E1D9E">
        <w:rPr>
          <w:rFonts w:ascii="Arial" w:hAnsi="Arial" w:cs="Arial"/>
          <w:sz w:val="24"/>
          <w:szCs w:val="24"/>
        </w:rPr>
        <w:t xml:space="preserve"> </w:t>
      </w:r>
      <w:r w:rsidRPr="009E1D9E">
        <w:rPr>
          <w:rFonts w:ascii="Arial" w:hAnsi="Arial" w:cs="Arial"/>
          <w:sz w:val="24"/>
          <w:szCs w:val="24"/>
        </w:rPr>
        <w:t>89, 17.1%), ‘Other’ (n</w:t>
      </w:r>
      <w:r w:rsidR="00646AAB" w:rsidRPr="009E1D9E">
        <w:rPr>
          <w:rFonts w:ascii="Arial" w:hAnsi="Arial" w:cs="Arial"/>
          <w:sz w:val="24"/>
          <w:szCs w:val="24"/>
        </w:rPr>
        <w:t xml:space="preserve"> </w:t>
      </w:r>
      <w:r w:rsidRPr="009E1D9E">
        <w:rPr>
          <w:rFonts w:ascii="Arial" w:hAnsi="Arial" w:cs="Arial"/>
          <w:sz w:val="24"/>
          <w:szCs w:val="24"/>
        </w:rPr>
        <w:t>=</w:t>
      </w:r>
      <w:r w:rsidR="00646AAB" w:rsidRPr="009E1D9E">
        <w:rPr>
          <w:rFonts w:ascii="Arial" w:hAnsi="Arial" w:cs="Arial"/>
          <w:sz w:val="24"/>
          <w:szCs w:val="24"/>
        </w:rPr>
        <w:t xml:space="preserve"> </w:t>
      </w:r>
      <w:r w:rsidRPr="009E1D9E">
        <w:rPr>
          <w:rFonts w:ascii="Arial" w:hAnsi="Arial" w:cs="Arial"/>
          <w:sz w:val="24"/>
          <w:szCs w:val="24"/>
        </w:rPr>
        <w:t>48, 9.2%), ‘Childhood sexual abuse or molestation’ (n</w:t>
      </w:r>
      <w:r w:rsidR="00646AAB" w:rsidRPr="009E1D9E">
        <w:rPr>
          <w:rFonts w:ascii="Arial" w:hAnsi="Arial" w:cs="Arial"/>
          <w:sz w:val="24"/>
          <w:szCs w:val="24"/>
        </w:rPr>
        <w:t xml:space="preserve"> </w:t>
      </w:r>
      <w:r w:rsidRPr="009E1D9E">
        <w:rPr>
          <w:rFonts w:ascii="Arial" w:hAnsi="Arial" w:cs="Arial"/>
          <w:sz w:val="24"/>
          <w:szCs w:val="24"/>
        </w:rPr>
        <w:t>=</w:t>
      </w:r>
      <w:r w:rsidR="00646AAB" w:rsidRPr="009E1D9E">
        <w:rPr>
          <w:rFonts w:ascii="Arial" w:hAnsi="Arial" w:cs="Arial"/>
          <w:sz w:val="24"/>
          <w:szCs w:val="24"/>
        </w:rPr>
        <w:t xml:space="preserve"> </w:t>
      </w:r>
      <w:r w:rsidRPr="009E1D9E">
        <w:rPr>
          <w:rFonts w:ascii="Arial" w:hAnsi="Arial" w:cs="Arial"/>
          <w:sz w:val="24"/>
          <w:szCs w:val="24"/>
        </w:rPr>
        <w:t>46, 8.8%), ‘Life-threatening illness’ (n</w:t>
      </w:r>
      <w:r w:rsidR="00646AAB" w:rsidRPr="009E1D9E">
        <w:rPr>
          <w:rFonts w:ascii="Arial" w:hAnsi="Arial" w:cs="Arial"/>
          <w:sz w:val="24"/>
          <w:szCs w:val="24"/>
        </w:rPr>
        <w:t xml:space="preserve"> </w:t>
      </w:r>
      <w:r w:rsidRPr="009E1D9E">
        <w:rPr>
          <w:rFonts w:ascii="Arial" w:hAnsi="Arial" w:cs="Arial"/>
          <w:sz w:val="24"/>
          <w:szCs w:val="24"/>
        </w:rPr>
        <w:t>=</w:t>
      </w:r>
      <w:r w:rsidR="00646AAB" w:rsidRPr="009E1D9E">
        <w:rPr>
          <w:rFonts w:ascii="Arial" w:hAnsi="Arial" w:cs="Arial"/>
          <w:sz w:val="24"/>
          <w:szCs w:val="24"/>
        </w:rPr>
        <w:t xml:space="preserve"> </w:t>
      </w:r>
      <w:r w:rsidRPr="009E1D9E">
        <w:rPr>
          <w:rFonts w:ascii="Arial" w:hAnsi="Arial" w:cs="Arial"/>
          <w:sz w:val="24"/>
          <w:szCs w:val="24"/>
        </w:rPr>
        <w:t>44, 8.4%), ‘Other unwanted or uncomfortable sexual experience’ (n</w:t>
      </w:r>
      <w:r w:rsidR="00646AAB" w:rsidRPr="009E1D9E">
        <w:rPr>
          <w:rFonts w:ascii="Arial" w:hAnsi="Arial" w:cs="Arial"/>
          <w:sz w:val="24"/>
          <w:szCs w:val="24"/>
        </w:rPr>
        <w:t xml:space="preserve"> </w:t>
      </w:r>
      <w:r w:rsidRPr="009E1D9E">
        <w:rPr>
          <w:rFonts w:ascii="Arial" w:hAnsi="Arial" w:cs="Arial"/>
          <w:sz w:val="24"/>
          <w:szCs w:val="24"/>
        </w:rPr>
        <w:t>=</w:t>
      </w:r>
      <w:r w:rsidR="00646AAB" w:rsidRPr="009E1D9E">
        <w:rPr>
          <w:rFonts w:ascii="Arial" w:hAnsi="Arial" w:cs="Arial"/>
          <w:sz w:val="24"/>
          <w:szCs w:val="24"/>
        </w:rPr>
        <w:t xml:space="preserve"> </w:t>
      </w:r>
      <w:r w:rsidRPr="009E1D9E">
        <w:rPr>
          <w:rFonts w:ascii="Arial" w:hAnsi="Arial" w:cs="Arial"/>
          <w:sz w:val="24"/>
          <w:szCs w:val="24"/>
        </w:rPr>
        <w:t>34, 6.5%), and ‘Combat or exposure to a war-zone in the military or as a civilian’ (n</w:t>
      </w:r>
      <w:r w:rsidR="00646AAB" w:rsidRPr="009E1D9E">
        <w:rPr>
          <w:rFonts w:ascii="Arial" w:hAnsi="Arial" w:cs="Arial"/>
          <w:sz w:val="24"/>
          <w:szCs w:val="24"/>
        </w:rPr>
        <w:t xml:space="preserve"> </w:t>
      </w:r>
      <w:r w:rsidRPr="009E1D9E">
        <w:rPr>
          <w:rFonts w:ascii="Arial" w:hAnsi="Arial" w:cs="Arial"/>
          <w:sz w:val="24"/>
          <w:szCs w:val="24"/>
        </w:rPr>
        <w:t>=</w:t>
      </w:r>
      <w:r w:rsidR="00646AAB" w:rsidRPr="009E1D9E">
        <w:rPr>
          <w:rFonts w:ascii="Arial" w:hAnsi="Arial" w:cs="Arial"/>
          <w:sz w:val="24"/>
          <w:szCs w:val="24"/>
        </w:rPr>
        <w:t xml:space="preserve"> </w:t>
      </w:r>
      <w:r w:rsidRPr="009E1D9E">
        <w:rPr>
          <w:rFonts w:ascii="Arial" w:hAnsi="Arial" w:cs="Arial"/>
          <w:sz w:val="24"/>
          <w:szCs w:val="24"/>
        </w:rPr>
        <w:t xml:space="preserve">33, 6.3%). All other traumas had a frequency </w:t>
      </w:r>
      <w:r w:rsidR="008D3EA6" w:rsidRPr="009E1D9E">
        <w:rPr>
          <w:rFonts w:ascii="Arial" w:hAnsi="Arial" w:cs="Arial"/>
          <w:sz w:val="24"/>
          <w:szCs w:val="24"/>
        </w:rPr>
        <w:t xml:space="preserve">of </w:t>
      </w:r>
      <w:r w:rsidRPr="009E1D9E">
        <w:rPr>
          <w:rFonts w:ascii="Arial" w:hAnsi="Arial" w:cs="Arial"/>
          <w:sz w:val="24"/>
          <w:szCs w:val="24"/>
        </w:rPr>
        <w:t>less than 4%.</w:t>
      </w:r>
    </w:p>
    <w:p w14:paraId="2DC83355" w14:textId="7405E8AA" w:rsidR="00156DDD" w:rsidRPr="009E1D9E" w:rsidRDefault="00646AAB" w:rsidP="00110CB8">
      <w:pPr>
        <w:pStyle w:val="NoSpacing"/>
        <w:spacing w:line="480" w:lineRule="auto"/>
        <w:rPr>
          <w:rFonts w:ascii="Arial" w:hAnsi="Arial" w:cs="Arial"/>
          <w:sz w:val="24"/>
          <w:szCs w:val="24"/>
        </w:rPr>
      </w:pPr>
      <w:r w:rsidRPr="009E1D9E">
        <w:rPr>
          <w:rFonts w:ascii="Arial" w:hAnsi="Arial" w:cs="Arial"/>
          <w:sz w:val="24"/>
          <w:szCs w:val="24"/>
        </w:rPr>
        <w:tab/>
      </w:r>
      <w:r w:rsidR="00156DDD" w:rsidRPr="009E1D9E">
        <w:rPr>
          <w:rFonts w:ascii="Arial" w:hAnsi="Arial" w:cs="Arial"/>
          <w:sz w:val="24"/>
          <w:szCs w:val="24"/>
        </w:rPr>
        <w:t>For the total sample</w:t>
      </w:r>
      <w:r w:rsidR="009A7C5A" w:rsidRPr="009E1D9E">
        <w:rPr>
          <w:rFonts w:ascii="Arial" w:hAnsi="Arial" w:cs="Arial"/>
          <w:sz w:val="24"/>
          <w:szCs w:val="24"/>
        </w:rPr>
        <w:t>,</w:t>
      </w:r>
      <w:r w:rsidR="00156DDD" w:rsidRPr="009E1D9E">
        <w:rPr>
          <w:rFonts w:ascii="Arial" w:hAnsi="Arial" w:cs="Arial"/>
          <w:sz w:val="24"/>
          <w:szCs w:val="24"/>
        </w:rPr>
        <w:t xml:space="preserve"> the prevalence of PTSD was 9.2% (n</w:t>
      </w:r>
      <w:r w:rsidRPr="009E1D9E">
        <w:rPr>
          <w:rFonts w:ascii="Arial" w:hAnsi="Arial" w:cs="Arial"/>
          <w:sz w:val="24"/>
          <w:szCs w:val="24"/>
        </w:rPr>
        <w:t xml:space="preserve"> </w:t>
      </w:r>
      <w:r w:rsidR="00156DDD" w:rsidRPr="009E1D9E">
        <w:rPr>
          <w:rFonts w:ascii="Arial" w:hAnsi="Arial" w:cs="Arial"/>
          <w:sz w:val="24"/>
          <w:szCs w:val="24"/>
        </w:rPr>
        <w:t>=</w:t>
      </w:r>
      <w:r w:rsidRPr="009E1D9E">
        <w:rPr>
          <w:rFonts w:ascii="Arial" w:hAnsi="Arial" w:cs="Arial"/>
          <w:sz w:val="24"/>
          <w:szCs w:val="24"/>
        </w:rPr>
        <w:t xml:space="preserve"> </w:t>
      </w:r>
      <w:r w:rsidR="00156DDD" w:rsidRPr="009E1D9E">
        <w:rPr>
          <w:rFonts w:ascii="Arial" w:hAnsi="Arial" w:cs="Arial"/>
          <w:sz w:val="24"/>
          <w:szCs w:val="24"/>
        </w:rPr>
        <w:t xml:space="preserve">57), and the rate was significantly higher for females (10.6%) than males (4.4%: </w:t>
      </w:r>
      <w:r w:rsidR="00156DDD" w:rsidRPr="009E1D9E">
        <w:rPr>
          <w:rFonts w:ascii="Arial" w:hAnsi="Arial" w:cs="Arial"/>
          <w:sz w:val="24"/>
          <w:szCs w:val="24"/>
        </w:rPr>
        <w:sym w:font="Symbol" w:char="F063"/>
      </w:r>
      <w:r w:rsidR="00156DDD" w:rsidRPr="009E1D9E">
        <w:rPr>
          <w:rFonts w:ascii="Arial" w:hAnsi="Arial" w:cs="Arial"/>
          <w:sz w:val="24"/>
          <w:szCs w:val="24"/>
          <w:vertAlign w:val="superscript"/>
        </w:rPr>
        <w:t>2</w:t>
      </w:r>
      <w:r w:rsidR="00CE05C0" w:rsidRPr="009E1D9E">
        <w:rPr>
          <w:rFonts w:ascii="Arial" w:hAnsi="Arial" w:cs="Arial"/>
          <w:sz w:val="24"/>
          <w:szCs w:val="24"/>
          <w:vertAlign w:val="superscript"/>
        </w:rPr>
        <w:t xml:space="preserve"> </w:t>
      </w:r>
      <w:r w:rsidR="00156DDD" w:rsidRPr="009E1D9E">
        <w:rPr>
          <w:rFonts w:ascii="Arial" w:hAnsi="Arial" w:cs="Arial"/>
          <w:sz w:val="24"/>
          <w:szCs w:val="24"/>
        </w:rPr>
        <w:t>(1)</w:t>
      </w:r>
      <w:r w:rsidRPr="009E1D9E">
        <w:rPr>
          <w:rFonts w:ascii="Arial" w:hAnsi="Arial" w:cs="Arial"/>
          <w:sz w:val="24"/>
          <w:szCs w:val="24"/>
        </w:rPr>
        <w:t xml:space="preserve"> </w:t>
      </w:r>
      <w:r w:rsidR="00156DDD" w:rsidRPr="009E1D9E">
        <w:rPr>
          <w:rFonts w:ascii="Arial" w:hAnsi="Arial" w:cs="Arial"/>
          <w:sz w:val="24"/>
          <w:szCs w:val="24"/>
        </w:rPr>
        <w:t>=</w:t>
      </w:r>
      <w:r w:rsidRPr="009E1D9E">
        <w:rPr>
          <w:rFonts w:ascii="Arial" w:hAnsi="Arial" w:cs="Arial"/>
          <w:sz w:val="24"/>
          <w:szCs w:val="24"/>
        </w:rPr>
        <w:t xml:space="preserve"> </w:t>
      </w:r>
      <w:r w:rsidR="00CE05C0" w:rsidRPr="009E1D9E">
        <w:rPr>
          <w:rFonts w:ascii="Arial" w:hAnsi="Arial" w:cs="Arial"/>
          <w:sz w:val="24"/>
          <w:szCs w:val="24"/>
        </w:rPr>
        <w:t xml:space="preserve">4.82, p = .028). </w:t>
      </w:r>
      <w:r w:rsidR="00156DDD" w:rsidRPr="009E1D9E">
        <w:rPr>
          <w:rFonts w:ascii="Arial" w:hAnsi="Arial" w:cs="Arial"/>
          <w:sz w:val="24"/>
          <w:szCs w:val="24"/>
        </w:rPr>
        <w:t xml:space="preserve">The prevalence of CPTSD was </w:t>
      </w:r>
      <w:r w:rsidR="00156DDD" w:rsidRPr="009E1D9E">
        <w:rPr>
          <w:rFonts w:ascii="Arial" w:hAnsi="Arial" w:cs="Arial"/>
          <w:sz w:val="24"/>
          <w:szCs w:val="24"/>
        </w:rPr>
        <w:lastRenderedPageBreak/>
        <w:t>1.0% (n</w:t>
      </w:r>
      <w:r w:rsidRPr="009E1D9E">
        <w:rPr>
          <w:rFonts w:ascii="Arial" w:hAnsi="Arial" w:cs="Arial"/>
          <w:sz w:val="24"/>
          <w:szCs w:val="24"/>
        </w:rPr>
        <w:t xml:space="preserve"> </w:t>
      </w:r>
      <w:r w:rsidR="00156DDD" w:rsidRPr="009E1D9E">
        <w:rPr>
          <w:rFonts w:ascii="Arial" w:hAnsi="Arial" w:cs="Arial"/>
          <w:sz w:val="24"/>
          <w:szCs w:val="24"/>
        </w:rPr>
        <w:t>=</w:t>
      </w:r>
      <w:r w:rsidRPr="009E1D9E">
        <w:rPr>
          <w:rFonts w:ascii="Arial" w:hAnsi="Arial" w:cs="Arial"/>
          <w:sz w:val="24"/>
          <w:szCs w:val="24"/>
        </w:rPr>
        <w:t xml:space="preserve"> </w:t>
      </w:r>
      <w:r w:rsidR="00156DDD" w:rsidRPr="009E1D9E">
        <w:rPr>
          <w:rFonts w:ascii="Arial" w:hAnsi="Arial" w:cs="Arial"/>
          <w:sz w:val="24"/>
          <w:szCs w:val="24"/>
        </w:rPr>
        <w:t>6) and all cases were female. The percentages of the sample meeting the PTSD</w:t>
      </w:r>
      <w:r w:rsidR="0087128C" w:rsidRPr="009E1D9E">
        <w:rPr>
          <w:rFonts w:ascii="Arial" w:hAnsi="Arial" w:cs="Arial"/>
          <w:sz w:val="24"/>
          <w:szCs w:val="24"/>
        </w:rPr>
        <w:t xml:space="preserve"> symptom cluster</w:t>
      </w:r>
      <w:r w:rsidR="00156DDD" w:rsidRPr="009E1D9E">
        <w:rPr>
          <w:rFonts w:ascii="Arial" w:hAnsi="Arial" w:cs="Arial"/>
          <w:sz w:val="24"/>
          <w:szCs w:val="24"/>
        </w:rPr>
        <w:t xml:space="preserve"> criteria (Re = 24.1%, Av = 33.2%, and Th = 42.4%) were higher than for the DSO </w:t>
      </w:r>
      <w:r w:rsidR="0087128C" w:rsidRPr="009E1D9E">
        <w:rPr>
          <w:rFonts w:ascii="Arial" w:hAnsi="Arial" w:cs="Arial"/>
          <w:sz w:val="24"/>
          <w:szCs w:val="24"/>
        </w:rPr>
        <w:t xml:space="preserve">symptom cluster </w:t>
      </w:r>
      <w:r w:rsidR="00156DDD" w:rsidRPr="009E1D9E">
        <w:rPr>
          <w:rFonts w:ascii="Arial" w:hAnsi="Arial" w:cs="Arial"/>
          <w:sz w:val="24"/>
          <w:szCs w:val="24"/>
        </w:rPr>
        <w:t>criteria (</w:t>
      </w:r>
      <w:proofErr w:type="spellStart"/>
      <w:r w:rsidR="00156DDD" w:rsidRPr="009E1D9E">
        <w:rPr>
          <w:rFonts w:ascii="Arial" w:hAnsi="Arial" w:cs="Arial"/>
          <w:sz w:val="24"/>
          <w:szCs w:val="24"/>
        </w:rPr>
        <w:t>ADhy</w:t>
      </w:r>
      <w:proofErr w:type="spellEnd"/>
      <w:r w:rsidR="00156DDD" w:rsidRPr="009E1D9E">
        <w:rPr>
          <w:rFonts w:ascii="Arial" w:hAnsi="Arial" w:cs="Arial"/>
          <w:sz w:val="24"/>
          <w:szCs w:val="24"/>
        </w:rPr>
        <w:t xml:space="preserve"> = 14.2%, </w:t>
      </w:r>
      <w:proofErr w:type="spellStart"/>
      <w:r w:rsidR="00156DDD" w:rsidRPr="009E1D9E">
        <w:rPr>
          <w:rFonts w:ascii="Arial" w:hAnsi="Arial" w:cs="Arial"/>
          <w:sz w:val="24"/>
          <w:szCs w:val="24"/>
        </w:rPr>
        <w:t>ADho</w:t>
      </w:r>
      <w:proofErr w:type="spellEnd"/>
      <w:r w:rsidR="00156DDD" w:rsidRPr="009E1D9E">
        <w:rPr>
          <w:rFonts w:ascii="Arial" w:hAnsi="Arial" w:cs="Arial"/>
          <w:sz w:val="24"/>
          <w:szCs w:val="24"/>
        </w:rPr>
        <w:t xml:space="preserve"> = 5.7</w:t>
      </w:r>
      <w:r w:rsidR="00CE05C0" w:rsidRPr="009E1D9E">
        <w:rPr>
          <w:rFonts w:ascii="Arial" w:hAnsi="Arial" w:cs="Arial"/>
          <w:sz w:val="24"/>
          <w:szCs w:val="24"/>
        </w:rPr>
        <w:t>%, NSC = 10.4%, and DR = 9.9%).</w:t>
      </w:r>
    </w:p>
    <w:p w14:paraId="21BBBEE4" w14:textId="0EA8E1A9" w:rsidR="00CE05C0" w:rsidRPr="009E1D9E" w:rsidRDefault="00CE05C0" w:rsidP="00110CB8">
      <w:pPr>
        <w:pStyle w:val="NoSpacing"/>
        <w:spacing w:line="480" w:lineRule="auto"/>
        <w:rPr>
          <w:rFonts w:ascii="Arial" w:hAnsi="Arial" w:cs="Arial"/>
          <w:i/>
          <w:sz w:val="24"/>
          <w:szCs w:val="24"/>
        </w:rPr>
      </w:pPr>
      <w:r w:rsidRPr="009E1D9E">
        <w:rPr>
          <w:rFonts w:ascii="Arial" w:hAnsi="Arial" w:cs="Arial"/>
          <w:i/>
          <w:sz w:val="24"/>
          <w:szCs w:val="24"/>
        </w:rPr>
        <w:t>CFA Results</w:t>
      </w:r>
    </w:p>
    <w:p w14:paraId="7FE5B9D4" w14:textId="53A4C6CF" w:rsidR="00CE05C0" w:rsidRPr="009E1D9E" w:rsidRDefault="00E65BF4" w:rsidP="00001B59">
      <w:pPr>
        <w:pStyle w:val="NoSpacing"/>
        <w:spacing w:line="480" w:lineRule="auto"/>
        <w:rPr>
          <w:rFonts w:ascii="Arial" w:hAnsi="Arial" w:cs="Arial"/>
          <w:sz w:val="24"/>
          <w:szCs w:val="24"/>
        </w:rPr>
      </w:pPr>
      <w:r w:rsidRPr="009E1D9E">
        <w:rPr>
          <w:rFonts w:ascii="Arial" w:hAnsi="Arial" w:cs="Arial"/>
          <w:sz w:val="24"/>
          <w:szCs w:val="24"/>
        </w:rPr>
        <w:tab/>
        <w:t xml:space="preserve">The CFA results for Models 1-4 are reported in table 1. All indices of model fit improved for Models 3 and 4, compared to Models 1 and 2. These findings indicate that the separation of the AD symptoms into two dimensions of Hyperactivation and Hypoactivation is superior to a single dimension of AD. Models 3 and 4 were equivalent indicating that first-order and second-order delineations between the PTSD and DSO symptomatology are equally representative of the sample data. Inspection of the model parameters for the correlated seven-factor model of CPTSD (Model 3) indicated that all items </w:t>
      </w:r>
      <w:r w:rsidRPr="009E1D9E">
        <w:rPr>
          <w:rFonts w:ascii="Arial" w:hAnsi="Arial" w:cs="Arial"/>
          <w:sz w:val="24"/>
          <w:szCs w:val="24"/>
        </w:rPr>
        <w:lastRenderedPageBreak/>
        <w:t xml:space="preserve">loaded onto their respective latent factors robustly and significantly (all p’s &lt; .001). </w:t>
      </w:r>
      <w:r w:rsidR="00001B59" w:rsidRPr="009E1D9E">
        <w:rPr>
          <w:rFonts w:ascii="Arial" w:hAnsi="Arial" w:cs="Arial"/>
          <w:sz w:val="24"/>
          <w:szCs w:val="24"/>
        </w:rPr>
        <w:t>Factor correlations ranged from .42 (Threat and Disturbed Relationships) to .82 (Re-experiencing and Avoidance). The correlation between the</w:t>
      </w:r>
      <w:r w:rsidRPr="009E1D9E">
        <w:rPr>
          <w:rFonts w:ascii="Arial" w:hAnsi="Arial" w:cs="Arial"/>
          <w:sz w:val="24"/>
          <w:szCs w:val="24"/>
        </w:rPr>
        <w:t xml:space="preserve"> </w:t>
      </w:r>
      <w:r w:rsidR="00001B59" w:rsidRPr="009E1D9E">
        <w:rPr>
          <w:rFonts w:ascii="Arial" w:hAnsi="Arial" w:cs="Arial"/>
          <w:sz w:val="24"/>
          <w:szCs w:val="24"/>
        </w:rPr>
        <w:t>Hyperactivation and Hypoactivation factors was .61.</w:t>
      </w:r>
    </w:p>
    <w:p w14:paraId="736BC9F7" w14:textId="61AAB6DD" w:rsidR="00001B59" w:rsidRPr="009E1D9E" w:rsidRDefault="00001B59" w:rsidP="00001B59">
      <w:pPr>
        <w:pStyle w:val="NoSpacing"/>
        <w:spacing w:line="480" w:lineRule="auto"/>
        <w:jc w:val="center"/>
        <w:rPr>
          <w:rFonts w:ascii="Arial" w:hAnsi="Arial" w:cs="Arial"/>
          <w:sz w:val="24"/>
          <w:szCs w:val="24"/>
        </w:rPr>
      </w:pPr>
      <w:r w:rsidRPr="009E1D9E">
        <w:rPr>
          <w:rFonts w:ascii="Arial" w:hAnsi="Arial" w:cs="Arial"/>
          <w:sz w:val="24"/>
          <w:szCs w:val="24"/>
        </w:rPr>
        <w:t>Table 1 here</w:t>
      </w:r>
    </w:p>
    <w:p w14:paraId="09AB60AF" w14:textId="5613E0D2" w:rsidR="00CE05C0" w:rsidRPr="009E1D9E" w:rsidRDefault="00001B59" w:rsidP="00110CB8">
      <w:pPr>
        <w:pStyle w:val="NoSpacing"/>
        <w:spacing w:line="480" w:lineRule="auto"/>
        <w:rPr>
          <w:rFonts w:ascii="Arial" w:hAnsi="Arial" w:cs="Arial"/>
          <w:i/>
          <w:sz w:val="24"/>
          <w:szCs w:val="24"/>
        </w:rPr>
      </w:pPr>
      <w:r w:rsidRPr="009E1D9E">
        <w:rPr>
          <w:rFonts w:ascii="Arial" w:hAnsi="Arial" w:cs="Arial"/>
          <w:i/>
          <w:sz w:val="24"/>
          <w:szCs w:val="24"/>
        </w:rPr>
        <w:t>LCA Results</w:t>
      </w:r>
    </w:p>
    <w:p w14:paraId="4F56B571" w14:textId="1B1573EB" w:rsidR="00156DDD" w:rsidRPr="009E1D9E" w:rsidRDefault="00C8275A" w:rsidP="00110CB8">
      <w:pPr>
        <w:pStyle w:val="NoSpacing"/>
        <w:spacing w:line="480" w:lineRule="auto"/>
        <w:rPr>
          <w:rFonts w:ascii="Arial" w:hAnsi="Arial" w:cs="Arial"/>
          <w:sz w:val="24"/>
          <w:szCs w:val="24"/>
        </w:rPr>
      </w:pPr>
      <w:r w:rsidRPr="009E1D9E">
        <w:rPr>
          <w:rFonts w:ascii="Arial" w:hAnsi="Arial" w:cs="Arial"/>
          <w:sz w:val="24"/>
          <w:szCs w:val="24"/>
        </w:rPr>
        <w:tab/>
        <w:t xml:space="preserve">The </w:t>
      </w:r>
      <w:r w:rsidR="005953D2" w:rsidRPr="009E1D9E">
        <w:rPr>
          <w:rFonts w:ascii="Arial" w:hAnsi="Arial" w:cs="Arial"/>
          <w:sz w:val="24"/>
          <w:szCs w:val="24"/>
        </w:rPr>
        <w:t xml:space="preserve">LCA </w:t>
      </w:r>
      <w:r w:rsidRPr="009E1D9E">
        <w:rPr>
          <w:rFonts w:ascii="Arial" w:hAnsi="Arial" w:cs="Arial"/>
          <w:sz w:val="24"/>
          <w:szCs w:val="24"/>
        </w:rPr>
        <w:t xml:space="preserve">results </w:t>
      </w:r>
      <w:r w:rsidR="00AF5563" w:rsidRPr="009E1D9E">
        <w:rPr>
          <w:rFonts w:ascii="Arial" w:hAnsi="Arial" w:cs="Arial"/>
          <w:sz w:val="24"/>
          <w:szCs w:val="24"/>
        </w:rPr>
        <w:t xml:space="preserve">support </w:t>
      </w:r>
      <w:r w:rsidR="0087128C" w:rsidRPr="009E1D9E">
        <w:rPr>
          <w:rFonts w:ascii="Arial" w:hAnsi="Arial" w:cs="Arial"/>
          <w:sz w:val="24"/>
          <w:szCs w:val="24"/>
        </w:rPr>
        <w:t>the ICD-11 proposals that there ar</w:t>
      </w:r>
      <w:r w:rsidR="00AF5563" w:rsidRPr="009E1D9E">
        <w:rPr>
          <w:rFonts w:ascii="Arial" w:hAnsi="Arial" w:cs="Arial"/>
          <w:sz w:val="24"/>
          <w:szCs w:val="24"/>
        </w:rPr>
        <w:t xml:space="preserve">e </w:t>
      </w:r>
      <w:r w:rsidR="001A08D3" w:rsidRPr="009E1D9E">
        <w:rPr>
          <w:rFonts w:ascii="Arial" w:hAnsi="Arial" w:cs="Arial"/>
          <w:sz w:val="24"/>
          <w:szCs w:val="24"/>
        </w:rPr>
        <w:t>separate</w:t>
      </w:r>
      <w:r w:rsidR="00AF5563" w:rsidRPr="009E1D9E">
        <w:rPr>
          <w:rFonts w:ascii="Arial" w:hAnsi="Arial" w:cs="Arial"/>
          <w:sz w:val="24"/>
          <w:szCs w:val="24"/>
        </w:rPr>
        <w:t xml:space="preserve"> classes reflecting the distinction between PTSD and CPTSD</w:t>
      </w:r>
      <w:r w:rsidRPr="009E1D9E">
        <w:rPr>
          <w:rFonts w:ascii="Arial" w:hAnsi="Arial" w:cs="Arial"/>
          <w:sz w:val="24"/>
          <w:szCs w:val="24"/>
        </w:rPr>
        <w:t xml:space="preserve"> </w:t>
      </w:r>
      <w:r w:rsidR="00AF5563" w:rsidRPr="009E1D9E">
        <w:rPr>
          <w:rFonts w:ascii="Arial" w:hAnsi="Arial" w:cs="Arial"/>
          <w:sz w:val="24"/>
          <w:szCs w:val="24"/>
        </w:rPr>
        <w:t xml:space="preserve">(see Figure 1). The </w:t>
      </w:r>
      <w:r w:rsidR="00156DDD" w:rsidRPr="009E1D9E">
        <w:rPr>
          <w:rFonts w:ascii="Arial" w:hAnsi="Arial" w:cs="Arial"/>
          <w:sz w:val="24"/>
          <w:szCs w:val="24"/>
        </w:rPr>
        <w:t>fit statistics indicated that a three</w:t>
      </w:r>
      <w:r w:rsidR="00AF5563" w:rsidRPr="009E1D9E">
        <w:rPr>
          <w:rFonts w:ascii="Arial" w:hAnsi="Arial" w:cs="Arial"/>
          <w:sz w:val="24"/>
          <w:szCs w:val="24"/>
        </w:rPr>
        <w:t>-</w:t>
      </w:r>
      <w:r w:rsidRPr="009E1D9E">
        <w:rPr>
          <w:rFonts w:ascii="Arial" w:hAnsi="Arial" w:cs="Arial"/>
          <w:sz w:val="24"/>
          <w:szCs w:val="24"/>
        </w:rPr>
        <w:t>class solution</w:t>
      </w:r>
      <w:r w:rsidR="00AF5563" w:rsidRPr="009E1D9E">
        <w:rPr>
          <w:rFonts w:ascii="Arial" w:hAnsi="Arial" w:cs="Arial"/>
          <w:sz w:val="24"/>
          <w:szCs w:val="24"/>
        </w:rPr>
        <w:t xml:space="preserve"> </w:t>
      </w:r>
      <w:r w:rsidR="001E124F" w:rsidRPr="009E1D9E">
        <w:rPr>
          <w:rFonts w:ascii="Arial" w:hAnsi="Arial" w:cs="Arial"/>
          <w:sz w:val="24"/>
          <w:szCs w:val="24"/>
        </w:rPr>
        <w:t>as the</w:t>
      </w:r>
      <w:r w:rsidRPr="009E1D9E">
        <w:rPr>
          <w:rFonts w:ascii="Arial" w:hAnsi="Arial" w:cs="Arial"/>
          <w:sz w:val="24"/>
          <w:szCs w:val="24"/>
        </w:rPr>
        <w:t xml:space="preserve"> BIC value</w:t>
      </w:r>
      <w:r w:rsidR="001E124F" w:rsidRPr="009E1D9E">
        <w:rPr>
          <w:rFonts w:ascii="Arial" w:hAnsi="Arial" w:cs="Arial"/>
          <w:sz w:val="24"/>
          <w:szCs w:val="24"/>
        </w:rPr>
        <w:t xml:space="preserve"> was lowest for this model</w:t>
      </w:r>
      <w:r w:rsidRPr="009E1D9E">
        <w:rPr>
          <w:rFonts w:ascii="Arial" w:hAnsi="Arial" w:cs="Arial"/>
          <w:sz w:val="24"/>
          <w:szCs w:val="24"/>
        </w:rPr>
        <w:t xml:space="preserve">, and the LRT became non-significant </w:t>
      </w:r>
      <w:r w:rsidR="00AF5563" w:rsidRPr="009E1D9E">
        <w:rPr>
          <w:rFonts w:ascii="Arial" w:hAnsi="Arial" w:cs="Arial"/>
          <w:sz w:val="24"/>
          <w:szCs w:val="24"/>
        </w:rPr>
        <w:t xml:space="preserve">for the </w:t>
      </w:r>
      <w:r w:rsidR="00156DDD" w:rsidRPr="009E1D9E">
        <w:rPr>
          <w:rFonts w:ascii="Arial" w:hAnsi="Arial" w:cs="Arial"/>
          <w:sz w:val="24"/>
          <w:szCs w:val="24"/>
        </w:rPr>
        <w:t>four</w:t>
      </w:r>
      <w:r w:rsidR="005953D2" w:rsidRPr="009E1D9E">
        <w:rPr>
          <w:rFonts w:ascii="Arial" w:hAnsi="Arial" w:cs="Arial"/>
          <w:sz w:val="24"/>
          <w:szCs w:val="24"/>
        </w:rPr>
        <w:t>-class</w:t>
      </w:r>
      <w:r w:rsidR="00AF5563" w:rsidRPr="009E1D9E">
        <w:rPr>
          <w:rFonts w:ascii="Arial" w:hAnsi="Arial" w:cs="Arial"/>
          <w:sz w:val="24"/>
          <w:szCs w:val="24"/>
        </w:rPr>
        <w:t xml:space="preserve"> solution</w:t>
      </w:r>
      <w:r w:rsidR="001E124F" w:rsidRPr="009E1D9E">
        <w:rPr>
          <w:rFonts w:ascii="Arial" w:hAnsi="Arial" w:cs="Arial"/>
          <w:sz w:val="24"/>
          <w:szCs w:val="24"/>
        </w:rPr>
        <w:t xml:space="preserve"> (see Table 2)</w:t>
      </w:r>
      <w:r w:rsidRPr="009E1D9E">
        <w:rPr>
          <w:rFonts w:ascii="Arial" w:hAnsi="Arial" w:cs="Arial"/>
          <w:sz w:val="24"/>
          <w:szCs w:val="24"/>
        </w:rPr>
        <w:t xml:space="preserve">. </w:t>
      </w:r>
    </w:p>
    <w:p w14:paraId="4808AD88" w14:textId="660952E3" w:rsidR="00156DDD" w:rsidRPr="009E1D9E" w:rsidRDefault="00001B59" w:rsidP="00110CB8">
      <w:pPr>
        <w:pStyle w:val="NoSpacing"/>
        <w:spacing w:line="480" w:lineRule="auto"/>
        <w:jc w:val="center"/>
        <w:rPr>
          <w:rFonts w:ascii="Arial" w:hAnsi="Arial" w:cs="Arial"/>
          <w:sz w:val="24"/>
          <w:szCs w:val="24"/>
        </w:rPr>
      </w:pPr>
      <w:r w:rsidRPr="009E1D9E">
        <w:rPr>
          <w:rFonts w:ascii="Arial" w:hAnsi="Arial" w:cs="Arial"/>
          <w:sz w:val="24"/>
          <w:szCs w:val="24"/>
        </w:rPr>
        <w:t>Table 2</w:t>
      </w:r>
      <w:r w:rsidR="00156DDD" w:rsidRPr="009E1D9E">
        <w:rPr>
          <w:rFonts w:ascii="Arial" w:hAnsi="Arial" w:cs="Arial"/>
          <w:sz w:val="24"/>
          <w:szCs w:val="24"/>
        </w:rPr>
        <w:t xml:space="preserve"> about here</w:t>
      </w:r>
    </w:p>
    <w:p w14:paraId="6B3B05C9" w14:textId="220D4F0A" w:rsidR="00C8275A" w:rsidRPr="009E1D9E" w:rsidRDefault="0087128C" w:rsidP="00110CB8">
      <w:pPr>
        <w:pStyle w:val="NoSpacing"/>
        <w:spacing w:line="480" w:lineRule="auto"/>
        <w:rPr>
          <w:rFonts w:ascii="Arial" w:hAnsi="Arial" w:cs="Arial"/>
          <w:sz w:val="24"/>
          <w:szCs w:val="24"/>
        </w:rPr>
      </w:pPr>
      <w:r w:rsidRPr="009E1D9E">
        <w:rPr>
          <w:rFonts w:ascii="Arial" w:hAnsi="Arial" w:cs="Arial"/>
          <w:sz w:val="24"/>
          <w:szCs w:val="24"/>
        </w:rPr>
        <w:tab/>
      </w:r>
      <w:r w:rsidR="00C8275A" w:rsidRPr="009E1D9E">
        <w:rPr>
          <w:rFonts w:ascii="Arial" w:hAnsi="Arial" w:cs="Arial"/>
          <w:sz w:val="24"/>
          <w:szCs w:val="24"/>
        </w:rPr>
        <w:t xml:space="preserve">Class 1 was the </w:t>
      </w:r>
      <w:r w:rsidR="00156DDD" w:rsidRPr="009E1D9E">
        <w:rPr>
          <w:rFonts w:ascii="Arial" w:hAnsi="Arial" w:cs="Arial"/>
          <w:sz w:val="24"/>
          <w:szCs w:val="24"/>
        </w:rPr>
        <w:t>smallest</w:t>
      </w:r>
      <w:r w:rsidR="00C8275A" w:rsidRPr="009E1D9E">
        <w:rPr>
          <w:rFonts w:ascii="Arial" w:hAnsi="Arial" w:cs="Arial"/>
          <w:sz w:val="24"/>
          <w:szCs w:val="24"/>
        </w:rPr>
        <w:t xml:space="preserve"> (</w:t>
      </w:r>
      <w:r w:rsidR="00156DDD" w:rsidRPr="009E1D9E">
        <w:rPr>
          <w:rFonts w:ascii="Arial" w:hAnsi="Arial" w:cs="Arial"/>
          <w:sz w:val="24"/>
          <w:szCs w:val="24"/>
        </w:rPr>
        <w:t>9.4</w:t>
      </w:r>
      <w:r w:rsidR="00C8275A" w:rsidRPr="009E1D9E">
        <w:rPr>
          <w:rFonts w:ascii="Arial" w:hAnsi="Arial" w:cs="Arial"/>
          <w:sz w:val="24"/>
          <w:szCs w:val="24"/>
        </w:rPr>
        <w:t xml:space="preserve">%, n = </w:t>
      </w:r>
      <w:r w:rsidR="00156DDD" w:rsidRPr="009E1D9E">
        <w:rPr>
          <w:rFonts w:ascii="Arial" w:hAnsi="Arial" w:cs="Arial"/>
          <w:sz w:val="24"/>
          <w:szCs w:val="24"/>
        </w:rPr>
        <w:t>49</w:t>
      </w:r>
      <w:r w:rsidR="00C8275A" w:rsidRPr="009E1D9E">
        <w:rPr>
          <w:rFonts w:ascii="Arial" w:hAnsi="Arial" w:cs="Arial"/>
          <w:sz w:val="24"/>
          <w:szCs w:val="24"/>
        </w:rPr>
        <w:t xml:space="preserve">) and was characterised by </w:t>
      </w:r>
      <w:r w:rsidR="00156DDD" w:rsidRPr="009E1D9E">
        <w:rPr>
          <w:rFonts w:ascii="Arial" w:hAnsi="Arial" w:cs="Arial"/>
          <w:sz w:val="24"/>
          <w:szCs w:val="24"/>
        </w:rPr>
        <w:t>high</w:t>
      </w:r>
      <w:r w:rsidR="00C8275A" w:rsidRPr="009E1D9E">
        <w:rPr>
          <w:rFonts w:ascii="Arial" w:hAnsi="Arial" w:cs="Arial"/>
          <w:sz w:val="24"/>
          <w:szCs w:val="24"/>
        </w:rPr>
        <w:t xml:space="preserve"> probabilities of meeting the diagnostic criteria for each of the </w:t>
      </w:r>
      <w:r w:rsidR="00C8275A" w:rsidRPr="009E1D9E">
        <w:rPr>
          <w:rFonts w:ascii="Arial" w:hAnsi="Arial" w:cs="Arial"/>
          <w:sz w:val="24"/>
          <w:szCs w:val="24"/>
        </w:rPr>
        <w:lastRenderedPageBreak/>
        <w:t xml:space="preserve">PTSD and DSO </w:t>
      </w:r>
      <w:r w:rsidR="001A08D3" w:rsidRPr="009E1D9E">
        <w:rPr>
          <w:rFonts w:ascii="Arial" w:hAnsi="Arial" w:cs="Arial"/>
          <w:sz w:val="24"/>
          <w:szCs w:val="24"/>
        </w:rPr>
        <w:t>symptom clusters:</w:t>
      </w:r>
      <w:r w:rsidR="001E124F" w:rsidRPr="009E1D9E">
        <w:rPr>
          <w:rFonts w:ascii="Arial" w:hAnsi="Arial" w:cs="Arial"/>
          <w:sz w:val="24"/>
          <w:szCs w:val="24"/>
        </w:rPr>
        <w:t xml:space="preserve"> </w:t>
      </w:r>
      <w:r w:rsidR="00AF5563" w:rsidRPr="009E1D9E">
        <w:rPr>
          <w:rFonts w:ascii="Arial" w:hAnsi="Arial" w:cs="Arial"/>
          <w:sz w:val="24"/>
          <w:szCs w:val="24"/>
        </w:rPr>
        <w:t xml:space="preserve">This class was </w:t>
      </w:r>
      <w:r w:rsidR="001A08D3" w:rsidRPr="009E1D9E">
        <w:rPr>
          <w:rFonts w:ascii="Arial" w:hAnsi="Arial" w:cs="Arial"/>
          <w:sz w:val="24"/>
          <w:szCs w:val="24"/>
        </w:rPr>
        <w:t>labelled</w:t>
      </w:r>
      <w:r w:rsidR="00AF5563" w:rsidRPr="009E1D9E">
        <w:rPr>
          <w:rFonts w:ascii="Arial" w:hAnsi="Arial" w:cs="Arial"/>
          <w:sz w:val="24"/>
          <w:szCs w:val="24"/>
        </w:rPr>
        <w:t xml:space="preserve"> the “</w:t>
      </w:r>
      <w:r w:rsidR="00156DDD" w:rsidRPr="009E1D9E">
        <w:rPr>
          <w:rFonts w:ascii="Arial" w:hAnsi="Arial" w:cs="Arial"/>
          <w:sz w:val="24"/>
          <w:szCs w:val="24"/>
        </w:rPr>
        <w:t>CPTSD class</w:t>
      </w:r>
      <w:r w:rsidR="00AF5563" w:rsidRPr="009E1D9E">
        <w:rPr>
          <w:rFonts w:ascii="Arial" w:hAnsi="Arial" w:cs="Arial"/>
          <w:sz w:val="24"/>
          <w:szCs w:val="24"/>
        </w:rPr>
        <w:t xml:space="preserve">”. </w:t>
      </w:r>
      <w:r w:rsidR="00C8275A" w:rsidRPr="009E1D9E">
        <w:rPr>
          <w:rFonts w:ascii="Arial" w:hAnsi="Arial" w:cs="Arial"/>
          <w:sz w:val="24"/>
          <w:szCs w:val="24"/>
        </w:rPr>
        <w:t xml:space="preserve"> </w:t>
      </w:r>
      <w:r w:rsidR="00AF5563" w:rsidRPr="009E1D9E">
        <w:rPr>
          <w:rFonts w:ascii="Arial" w:hAnsi="Arial" w:cs="Arial"/>
          <w:sz w:val="24"/>
          <w:szCs w:val="24"/>
        </w:rPr>
        <w:t>Class 2 (</w:t>
      </w:r>
      <w:r w:rsidR="00156DDD" w:rsidRPr="009E1D9E">
        <w:rPr>
          <w:rFonts w:ascii="Arial" w:hAnsi="Arial" w:cs="Arial"/>
          <w:sz w:val="24"/>
          <w:szCs w:val="24"/>
        </w:rPr>
        <w:t>29.6</w:t>
      </w:r>
      <w:r w:rsidR="00AF5563" w:rsidRPr="009E1D9E">
        <w:rPr>
          <w:rFonts w:ascii="Arial" w:hAnsi="Arial" w:cs="Arial"/>
          <w:sz w:val="24"/>
          <w:szCs w:val="24"/>
        </w:rPr>
        <w:t xml:space="preserve">%, n = </w:t>
      </w:r>
      <w:r w:rsidR="00156DDD" w:rsidRPr="009E1D9E">
        <w:rPr>
          <w:rFonts w:ascii="Arial" w:hAnsi="Arial" w:cs="Arial"/>
          <w:sz w:val="24"/>
          <w:szCs w:val="24"/>
        </w:rPr>
        <w:t>154</w:t>
      </w:r>
      <w:r w:rsidR="00AF5563" w:rsidRPr="009E1D9E">
        <w:rPr>
          <w:rFonts w:ascii="Arial" w:hAnsi="Arial" w:cs="Arial"/>
          <w:sz w:val="24"/>
          <w:szCs w:val="24"/>
        </w:rPr>
        <w:t xml:space="preserve">) was characterised by </w:t>
      </w:r>
      <w:r w:rsidR="00156DDD" w:rsidRPr="009E1D9E">
        <w:rPr>
          <w:rFonts w:ascii="Arial" w:hAnsi="Arial" w:cs="Arial"/>
          <w:sz w:val="24"/>
          <w:szCs w:val="24"/>
        </w:rPr>
        <w:t>high</w:t>
      </w:r>
      <w:r w:rsidR="00AF5563" w:rsidRPr="009E1D9E">
        <w:rPr>
          <w:rFonts w:ascii="Arial" w:hAnsi="Arial" w:cs="Arial"/>
          <w:sz w:val="24"/>
          <w:szCs w:val="24"/>
        </w:rPr>
        <w:t xml:space="preserve"> probabilities of meeting the diagnostic criteria for the three PTSD </w:t>
      </w:r>
      <w:r w:rsidR="001E124F" w:rsidRPr="009E1D9E">
        <w:rPr>
          <w:rFonts w:ascii="Arial" w:hAnsi="Arial" w:cs="Arial"/>
          <w:sz w:val="24"/>
          <w:szCs w:val="24"/>
        </w:rPr>
        <w:t>symptom clusters</w:t>
      </w:r>
      <w:r w:rsidR="00AF5563" w:rsidRPr="009E1D9E">
        <w:rPr>
          <w:rFonts w:ascii="Arial" w:hAnsi="Arial" w:cs="Arial"/>
          <w:sz w:val="24"/>
          <w:szCs w:val="24"/>
        </w:rPr>
        <w:t xml:space="preserve">, and low probabilities of meeting the diagnostic criteria for the </w:t>
      </w:r>
      <w:r w:rsidR="00156DDD" w:rsidRPr="009E1D9E">
        <w:rPr>
          <w:rFonts w:ascii="Arial" w:hAnsi="Arial" w:cs="Arial"/>
          <w:sz w:val="24"/>
          <w:szCs w:val="24"/>
        </w:rPr>
        <w:t>four</w:t>
      </w:r>
      <w:r w:rsidR="00AF5563" w:rsidRPr="009E1D9E">
        <w:rPr>
          <w:rFonts w:ascii="Arial" w:hAnsi="Arial" w:cs="Arial"/>
          <w:sz w:val="24"/>
          <w:szCs w:val="24"/>
        </w:rPr>
        <w:t xml:space="preserve"> DSO </w:t>
      </w:r>
      <w:r w:rsidR="00156DDD" w:rsidRPr="009E1D9E">
        <w:rPr>
          <w:rFonts w:ascii="Arial" w:hAnsi="Arial" w:cs="Arial"/>
          <w:sz w:val="24"/>
          <w:szCs w:val="24"/>
        </w:rPr>
        <w:t>symptom clusters.</w:t>
      </w:r>
      <w:r w:rsidR="00AF5563" w:rsidRPr="009E1D9E">
        <w:rPr>
          <w:rFonts w:ascii="Arial" w:hAnsi="Arial" w:cs="Arial"/>
          <w:sz w:val="24"/>
          <w:szCs w:val="24"/>
        </w:rPr>
        <w:t xml:space="preserve"> This class was </w:t>
      </w:r>
      <w:r w:rsidR="001A08D3" w:rsidRPr="009E1D9E">
        <w:rPr>
          <w:rFonts w:ascii="Arial" w:hAnsi="Arial" w:cs="Arial"/>
          <w:sz w:val="24"/>
          <w:szCs w:val="24"/>
        </w:rPr>
        <w:t xml:space="preserve">labelled </w:t>
      </w:r>
      <w:r w:rsidR="00AF5563" w:rsidRPr="009E1D9E">
        <w:rPr>
          <w:rFonts w:ascii="Arial" w:hAnsi="Arial" w:cs="Arial"/>
          <w:sz w:val="24"/>
          <w:szCs w:val="24"/>
        </w:rPr>
        <w:t>the “PTSD class”. Class 3 (</w:t>
      </w:r>
      <w:r w:rsidR="00156DDD" w:rsidRPr="009E1D9E">
        <w:rPr>
          <w:rFonts w:ascii="Arial" w:hAnsi="Arial" w:cs="Arial"/>
          <w:sz w:val="24"/>
          <w:szCs w:val="24"/>
        </w:rPr>
        <w:t>61.0</w:t>
      </w:r>
      <w:r w:rsidR="00AF5563" w:rsidRPr="009E1D9E">
        <w:rPr>
          <w:rFonts w:ascii="Arial" w:hAnsi="Arial" w:cs="Arial"/>
          <w:sz w:val="24"/>
          <w:szCs w:val="24"/>
        </w:rPr>
        <w:t xml:space="preserve">%, n = </w:t>
      </w:r>
      <w:r w:rsidR="00156DDD" w:rsidRPr="009E1D9E">
        <w:rPr>
          <w:rFonts w:ascii="Arial" w:hAnsi="Arial" w:cs="Arial"/>
          <w:sz w:val="24"/>
          <w:szCs w:val="24"/>
        </w:rPr>
        <w:t>318</w:t>
      </w:r>
      <w:r w:rsidR="00AF5563" w:rsidRPr="009E1D9E">
        <w:rPr>
          <w:rFonts w:ascii="Arial" w:hAnsi="Arial" w:cs="Arial"/>
          <w:sz w:val="24"/>
          <w:szCs w:val="24"/>
        </w:rPr>
        <w:t xml:space="preserve">) was characterised by </w:t>
      </w:r>
      <w:r w:rsidR="00156DDD" w:rsidRPr="009E1D9E">
        <w:rPr>
          <w:rFonts w:ascii="Arial" w:hAnsi="Arial" w:cs="Arial"/>
          <w:sz w:val="24"/>
          <w:szCs w:val="24"/>
        </w:rPr>
        <w:t>low</w:t>
      </w:r>
      <w:r w:rsidR="00AF5563" w:rsidRPr="009E1D9E">
        <w:rPr>
          <w:rFonts w:ascii="Arial" w:hAnsi="Arial" w:cs="Arial"/>
          <w:sz w:val="24"/>
          <w:szCs w:val="24"/>
        </w:rPr>
        <w:t xml:space="preserve"> probabilities of meeting the diagnostic criteria for </w:t>
      </w:r>
      <w:r w:rsidR="00156DDD" w:rsidRPr="009E1D9E">
        <w:rPr>
          <w:rFonts w:ascii="Arial" w:hAnsi="Arial" w:cs="Arial"/>
          <w:sz w:val="24"/>
          <w:szCs w:val="24"/>
        </w:rPr>
        <w:t>the</w:t>
      </w:r>
      <w:r w:rsidR="00AF5563" w:rsidRPr="009E1D9E">
        <w:rPr>
          <w:rFonts w:ascii="Arial" w:hAnsi="Arial" w:cs="Arial"/>
          <w:sz w:val="24"/>
          <w:szCs w:val="24"/>
        </w:rPr>
        <w:t xml:space="preserve"> PTSD</w:t>
      </w:r>
      <w:r w:rsidR="001A08D3" w:rsidRPr="009E1D9E">
        <w:rPr>
          <w:rFonts w:ascii="Arial" w:hAnsi="Arial" w:cs="Arial"/>
          <w:sz w:val="24"/>
          <w:szCs w:val="24"/>
        </w:rPr>
        <w:t xml:space="preserve"> and DSO</w:t>
      </w:r>
      <w:r w:rsidR="00B65B4C" w:rsidRPr="009E1D9E">
        <w:rPr>
          <w:rFonts w:ascii="Arial" w:hAnsi="Arial" w:cs="Arial"/>
          <w:sz w:val="24"/>
          <w:szCs w:val="24"/>
        </w:rPr>
        <w:t xml:space="preserve"> symptom cluster</w:t>
      </w:r>
      <w:r w:rsidR="00156DDD" w:rsidRPr="009E1D9E">
        <w:rPr>
          <w:rFonts w:ascii="Arial" w:hAnsi="Arial" w:cs="Arial"/>
          <w:sz w:val="24"/>
          <w:szCs w:val="24"/>
        </w:rPr>
        <w:t>s.</w:t>
      </w:r>
      <w:r w:rsidR="001E124F" w:rsidRPr="009E1D9E">
        <w:rPr>
          <w:rFonts w:ascii="Arial" w:hAnsi="Arial" w:cs="Arial"/>
          <w:sz w:val="24"/>
          <w:szCs w:val="24"/>
        </w:rPr>
        <w:t xml:space="preserve"> </w:t>
      </w:r>
      <w:r w:rsidR="00B65B4C" w:rsidRPr="009E1D9E">
        <w:rPr>
          <w:rFonts w:ascii="Arial" w:hAnsi="Arial" w:cs="Arial"/>
          <w:sz w:val="24"/>
          <w:szCs w:val="24"/>
        </w:rPr>
        <w:t>This class</w:t>
      </w:r>
      <w:r w:rsidR="00AF5563" w:rsidRPr="009E1D9E">
        <w:rPr>
          <w:rFonts w:ascii="Arial" w:hAnsi="Arial" w:cs="Arial"/>
          <w:sz w:val="24"/>
          <w:szCs w:val="24"/>
        </w:rPr>
        <w:t xml:space="preserve"> was </w:t>
      </w:r>
      <w:r w:rsidR="001A08D3" w:rsidRPr="009E1D9E">
        <w:rPr>
          <w:rFonts w:ascii="Arial" w:hAnsi="Arial" w:cs="Arial"/>
          <w:sz w:val="24"/>
          <w:szCs w:val="24"/>
        </w:rPr>
        <w:t xml:space="preserve">labelled </w:t>
      </w:r>
      <w:r w:rsidR="00AF5563" w:rsidRPr="009E1D9E">
        <w:rPr>
          <w:rFonts w:ascii="Arial" w:hAnsi="Arial" w:cs="Arial"/>
          <w:sz w:val="24"/>
          <w:szCs w:val="24"/>
        </w:rPr>
        <w:t>the “</w:t>
      </w:r>
      <w:r w:rsidR="00156DDD" w:rsidRPr="009E1D9E">
        <w:rPr>
          <w:rFonts w:ascii="Arial" w:hAnsi="Arial" w:cs="Arial"/>
          <w:sz w:val="24"/>
          <w:szCs w:val="24"/>
        </w:rPr>
        <w:t>baseline</w:t>
      </w:r>
      <w:r w:rsidR="00AF5563" w:rsidRPr="009E1D9E">
        <w:rPr>
          <w:rFonts w:ascii="Arial" w:hAnsi="Arial" w:cs="Arial"/>
          <w:sz w:val="24"/>
          <w:szCs w:val="24"/>
        </w:rPr>
        <w:t xml:space="preserve"> class”. </w:t>
      </w:r>
      <w:r w:rsidR="00156DDD" w:rsidRPr="009E1D9E">
        <w:rPr>
          <w:rFonts w:ascii="Arial" w:hAnsi="Arial" w:cs="Arial"/>
          <w:sz w:val="24"/>
          <w:szCs w:val="24"/>
        </w:rPr>
        <w:t>A profile plot of the three-class solution is shown in Figure 1.</w:t>
      </w:r>
    </w:p>
    <w:p w14:paraId="14D12969" w14:textId="739DE641" w:rsidR="00156DDD" w:rsidRPr="009E1D9E" w:rsidRDefault="00156DDD" w:rsidP="00110CB8">
      <w:pPr>
        <w:pStyle w:val="NoSpacing"/>
        <w:spacing w:line="480" w:lineRule="auto"/>
        <w:jc w:val="center"/>
        <w:rPr>
          <w:rFonts w:ascii="Arial" w:hAnsi="Arial" w:cs="Arial"/>
          <w:sz w:val="24"/>
          <w:szCs w:val="24"/>
        </w:rPr>
      </w:pPr>
      <w:r w:rsidRPr="009E1D9E">
        <w:rPr>
          <w:rFonts w:ascii="Arial" w:hAnsi="Arial" w:cs="Arial"/>
          <w:sz w:val="24"/>
          <w:szCs w:val="24"/>
        </w:rPr>
        <w:t>Figure 1 about here</w:t>
      </w:r>
    </w:p>
    <w:p w14:paraId="0B975197" w14:textId="1D3546F1" w:rsidR="00001B59" w:rsidRPr="009E1D9E" w:rsidRDefault="00001B59" w:rsidP="00001B59">
      <w:pPr>
        <w:pStyle w:val="NoSpacing"/>
        <w:spacing w:line="480" w:lineRule="auto"/>
        <w:rPr>
          <w:rFonts w:ascii="Arial" w:hAnsi="Arial" w:cs="Arial"/>
          <w:i/>
          <w:sz w:val="24"/>
          <w:szCs w:val="24"/>
        </w:rPr>
      </w:pPr>
      <w:r w:rsidRPr="009E1D9E">
        <w:rPr>
          <w:rFonts w:ascii="Arial" w:hAnsi="Arial" w:cs="Arial"/>
          <w:i/>
          <w:sz w:val="24"/>
          <w:szCs w:val="24"/>
        </w:rPr>
        <w:t>Trauma exposure, psychological wellbeing, and class membership</w:t>
      </w:r>
    </w:p>
    <w:p w14:paraId="3EDCFC57" w14:textId="4261934A" w:rsidR="00156DDD" w:rsidRPr="009E1D9E" w:rsidRDefault="00156DDD" w:rsidP="00001B59">
      <w:pPr>
        <w:pStyle w:val="NoSpacing"/>
        <w:spacing w:line="480" w:lineRule="auto"/>
        <w:ind w:firstLine="720"/>
        <w:rPr>
          <w:rFonts w:ascii="Arial" w:hAnsi="Arial" w:cs="Arial"/>
          <w:sz w:val="24"/>
          <w:szCs w:val="24"/>
        </w:rPr>
      </w:pPr>
      <w:r w:rsidRPr="009E1D9E">
        <w:rPr>
          <w:rFonts w:ascii="Arial" w:hAnsi="Arial" w:cs="Arial"/>
          <w:sz w:val="24"/>
          <w:szCs w:val="24"/>
        </w:rPr>
        <w:t>A series of chi-square tests were conducted between the LEC</w:t>
      </w:r>
      <w:r w:rsidR="0087128C" w:rsidRPr="009E1D9E">
        <w:rPr>
          <w:rFonts w:ascii="Arial" w:hAnsi="Arial" w:cs="Arial"/>
          <w:sz w:val="24"/>
          <w:szCs w:val="24"/>
        </w:rPr>
        <w:t>-5</w:t>
      </w:r>
      <w:r w:rsidRPr="009E1D9E">
        <w:rPr>
          <w:rFonts w:ascii="Arial" w:hAnsi="Arial" w:cs="Arial"/>
          <w:sz w:val="24"/>
          <w:szCs w:val="24"/>
        </w:rPr>
        <w:t xml:space="preserve"> </w:t>
      </w:r>
      <w:r w:rsidR="00001B59" w:rsidRPr="009E1D9E">
        <w:rPr>
          <w:rFonts w:ascii="Arial" w:hAnsi="Arial" w:cs="Arial"/>
          <w:sz w:val="24"/>
          <w:szCs w:val="24"/>
        </w:rPr>
        <w:t>trauma variables</w:t>
      </w:r>
      <w:r w:rsidRPr="009E1D9E">
        <w:rPr>
          <w:rFonts w:ascii="Arial" w:hAnsi="Arial" w:cs="Arial"/>
          <w:sz w:val="24"/>
          <w:szCs w:val="24"/>
        </w:rPr>
        <w:t xml:space="preserve"> and class membership</w:t>
      </w:r>
      <w:r w:rsidR="0087128C" w:rsidRPr="009E1D9E">
        <w:rPr>
          <w:rFonts w:ascii="Arial" w:hAnsi="Arial" w:cs="Arial"/>
          <w:sz w:val="24"/>
          <w:szCs w:val="24"/>
        </w:rPr>
        <w:t xml:space="preserve"> (see Tabl</w:t>
      </w:r>
      <w:r w:rsidR="00001B59" w:rsidRPr="009E1D9E">
        <w:rPr>
          <w:rFonts w:ascii="Arial" w:hAnsi="Arial" w:cs="Arial"/>
          <w:sz w:val="24"/>
          <w:szCs w:val="24"/>
        </w:rPr>
        <w:t>e 3</w:t>
      </w:r>
      <w:r w:rsidR="0087128C" w:rsidRPr="009E1D9E">
        <w:rPr>
          <w:rFonts w:ascii="Arial" w:hAnsi="Arial" w:cs="Arial"/>
          <w:sz w:val="24"/>
          <w:szCs w:val="24"/>
        </w:rPr>
        <w:t>)</w:t>
      </w:r>
      <w:r w:rsidRPr="009E1D9E">
        <w:rPr>
          <w:rFonts w:ascii="Arial" w:hAnsi="Arial" w:cs="Arial"/>
          <w:sz w:val="24"/>
          <w:szCs w:val="24"/>
        </w:rPr>
        <w:t xml:space="preserve">. There was a significant relationship </w:t>
      </w:r>
      <w:r w:rsidR="00B54BC7" w:rsidRPr="009E1D9E">
        <w:rPr>
          <w:rFonts w:ascii="Arial" w:hAnsi="Arial" w:cs="Arial"/>
          <w:sz w:val="24"/>
          <w:szCs w:val="24"/>
        </w:rPr>
        <w:t>between</w:t>
      </w:r>
      <w:r w:rsidR="00001B59" w:rsidRPr="009E1D9E">
        <w:rPr>
          <w:rFonts w:ascii="Arial" w:hAnsi="Arial" w:cs="Arial"/>
          <w:sz w:val="24"/>
          <w:szCs w:val="24"/>
        </w:rPr>
        <w:t xml:space="preserve"> c</w:t>
      </w:r>
      <w:r w:rsidR="00B54BC7" w:rsidRPr="009E1D9E">
        <w:rPr>
          <w:rFonts w:ascii="Arial" w:hAnsi="Arial" w:cs="Arial"/>
          <w:sz w:val="24"/>
          <w:szCs w:val="24"/>
        </w:rPr>
        <w:t>hildhood</w:t>
      </w:r>
      <w:r w:rsidRPr="009E1D9E">
        <w:rPr>
          <w:rFonts w:ascii="Arial" w:hAnsi="Arial" w:cs="Arial"/>
          <w:sz w:val="24"/>
          <w:szCs w:val="24"/>
        </w:rPr>
        <w:t xml:space="preserve"> physic</w:t>
      </w:r>
      <w:r w:rsidR="00001B59" w:rsidRPr="009E1D9E">
        <w:rPr>
          <w:rFonts w:ascii="Arial" w:hAnsi="Arial" w:cs="Arial"/>
          <w:sz w:val="24"/>
          <w:szCs w:val="24"/>
        </w:rPr>
        <w:t>al abuse, physical assault, c</w:t>
      </w:r>
      <w:r w:rsidRPr="009E1D9E">
        <w:rPr>
          <w:rFonts w:ascii="Arial" w:hAnsi="Arial" w:cs="Arial"/>
          <w:sz w:val="24"/>
          <w:szCs w:val="24"/>
        </w:rPr>
        <w:t>hildhoo</w:t>
      </w:r>
      <w:r w:rsidR="00001B59" w:rsidRPr="009E1D9E">
        <w:rPr>
          <w:rFonts w:ascii="Arial" w:hAnsi="Arial" w:cs="Arial"/>
          <w:sz w:val="24"/>
          <w:szCs w:val="24"/>
        </w:rPr>
        <w:t>d sexual abuse or molestation, s</w:t>
      </w:r>
      <w:r w:rsidRPr="009E1D9E">
        <w:rPr>
          <w:rFonts w:ascii="Arial" w:hAnsi="Arial" w:cs="Arial"/>
          <w:sz w:val="24"/>
          <w:szCs w:val="24"/>
        </w:rPr>
        <w:t xml:space="preserve">exual assault (rape, </w:t>
      </w:r>
      <w:r w:rsidRPr="009E1D9E">
        <w:rPr>
          <w:rFonts w:ascii="Arial" w:hAnsi="Arial" w:cs="Arial"/>
          <w:sz w:val="24"/>
          <w:szCs w:val="24"/>
        </w:rPr>
        <w:lastRenderedPageBreak/>
        <w:t>attempted rape, made to perform any type of sexual act thr</w:t>
      </w:r>
      <w:r w:rsidR="00001B59" w:rsidRPr="009E1D9E">
        <w:rPr>
          <w:rFonts w:ascii="Arial" w:hAnsi="Arial" w:cs="Arial"/>
          <w:sz w:val="24"/>
          <w:szCs w:val="24"/>
        </w:rPr>
        <w:t>ough force or threat of harm), o</w:t>
      </w:r>
      <w:r w:rsidRPr="009E1D9E">
        <w:rPr>
          <w:rFonts w:ascii="Arial" w:hAnsi="Arial" w:cs="Arial"/>
          <w:sz w:val="24"/>
          <w:szCs w:val="24"/>
        </w:rPr>
        <w:t>ther unwanted or un</w:t>
      </w:r>
      <w:r w:rsidR="00001B59" w:rsidRPr="009E1D9E">
        <w:rPr>
          <w:rFonts w:ascii="Arial" w:hAnsi="Arial" w:cs="Arial"/>
          <w:sz w:val="24"/>
          <w:szCs w:val="24"/>
        </w:rPr>
        <w:t>comfortable sexual experience, c</w:t>
      </w:r>
      <w:r w:rsidRPr="009E1D9E">
        <w:rPr>
          <w:rFonts w:ascii="Arial" w:hAnsi="Arial" w:cs="Arial"/>
          <w:sz w:val="24"/>
          <w:szCs w:val="24"/>
        </w:rPr>
        <w:t>ombat or exposure to a war</w:t>
      </w:r>
      <w:r w:rsidR="00001B59" w:rsidRPr="009E1D9E">
        <w:rPr>
          <w:rFonts w:ascii="Arial" w:hAnsi="Arial" w:cs="Arial"/>
          <w:sz w:val="24"/>
          <w:szCs w:val="24"/>
        </w:rPr>
        <w:t>-zone, s</w:t>
      </w:r>
      <w:r w:rsidRPr="009E1D9E">
        <w:rPr>
          <w:rFonts w:ascii="Arial" w:hAnsi="Arial" w:cs="Arial"/>
          <w:sz w:val="24"/>
          <w:szCs w:val="24"/>
        </w:rPr>
        <w:t>evere human suffering, and any other very stressful event or experience</w:t>
      </w:r>
      <w:r w:rsidR="009A7C5A" w:rsidRPr="009E1D9E">
        <w:rPr>
          <w:rFonts w:ascii="Arial" w:hAnsi="Arial" w:cs="Arial"/>
          <w:sz w:val="24"/>
          <w:szCs w:val="24"/>
        </w:rPr>
        <w:t xml:space="preserve"> </w:t>
      </w:r>
      <w:r w:rsidR="00B54BC7" w:rsidRPr="009E1D9E">
        <w:rPr>
          <w:rFonts w:ascii="Arial" w:hAnsi="Arial" w:cs="Arial"/>
          <w:sz w:val="24"/>
          <w:szCs w:val="24"/>
        </w:rPr>
        <w:t>with CP</w:t>
      </w:r>
      <w:r w:rsidR="00043BD1" w:rsidRPr="009E1D9E">
        <w:rPr>
          <w:rFonts w:ascii="Arial" w:hAnsi="Arial" w:cs="Arial"/>
          <w:sz w:val="24"/>
          <w:szCs w:val="24"/>
        </w:rPr>
        <w:t xml:space="preserve">TSD. </w:t>
      </w:r>
      <w:r w:rsidRPr="009E1D9E">
        <w:rPr>
          <w:rFonts w:ascii="Arial" w:hAnsi="Arial" w:cs="Arial"/>
          <w:sz w:val="24"/>
          <w:szCs w:val="24"/>
        </w:rPr>
        <w:t xml:space="preserve">For all analyses the CPTSD </w:t>
      </w:r>
      <w:r w:rsidR="0087128C" w:rsidRPr="009E1D9E">
        <w:rPr>
          <w:rFonts w:ascii="Arial" w:hAnsi="Arial" w:cs="Arial"/>
          <w:sz w:val="24"/>
          <w:szCs w:val="24"/>
        </w:rPr>
        <w:t xml:space="preserve">class </w:t>
      </w:r>
      <w:r w:rsidRPr="009E1D9E">
        <w:rPr>
          <w:rFonts w:ascii="Arial" w:hAnsi="Arial" w:cs="Arial"/>
          <w:sz w:val="24"/>
          <w:szCs w:val="24"/>
        </w:rPr>
        <w:t xml:space="preserve">had higher levels of trauma exposure than the PTSD and baseline classes. </w:t>
      </w:r>
    </w:p>
    <w:p w14:paraId="27F01E35" w14:textId="4632686C" w:rsidR="00156DDD" w:rsidRPr="009E1D9E" w:rsidRDefault="00001B59" w:rsidP="00001B59">
      <w:pPr>
        <w:pStyle w:val="NoSpacing"/>
        <w:spacing w:line="480" w:lineRule="auto"/>
        <w:jc w:val="center"/>
        <w:rPr>
          <w:rFonts w:ascii="Arial" w:hAnsi="Arial" w:cs="Arial"/>
          <w:sz w:val="24"/>
          <w:szCs w:val="24"/>
        </w:rPr>
      </w:pPr>
      <w:r w:rsidRPr="009E1D9E">
        <w:rPr>
          <w:rFonts w:ascii="Arial" w:hAnsi="Arial" w:cs="Arial"/>
          <w:sz w:val="24"/>
          <w:szCs w:val="24"/>
        </w:rPr>
        <w:t>Table 3 about here</w:t>
      </w:r>
    </w:p>
    <w:p w14:paraId="41C3ACBF" w14:textId="1BA78E85" w:rsidR="00156DDD" w:rsidRPr="009E1D9E" w:rsidRDefault="00156DDD" w:rsidP="00001B59">
      <w:pPr>
        <w:pStyle w:val="NoSpacing"/>
        <w:spacing w:line="480" w:lineRule="auto"/>
        <w:ind w:firstLine="720"/>
        <w:rPr>
          <w:rFonts w:ascii="Arial" w:hAnsi="Arial" w:cs="Arial"/>
          <w:sz w:val="24"/>
          <w:szCs w:val="24"/>
        </w:rPr>
      </w:pPr>
      <w:r w:rsidRPr="009E1D9E">
        <w:rPr>
          <w:rFonts w:ascii="Arial" w:hAnsi="Arial" w:cs="Arial"/>
          <w:sz w:val="24"/>
          <w:szCs w:val="24"/>
        </w:rPr>
        <w:t>A one</w:t>
      </w:r>
      <w:r w:rsidR="00104A5C" w:rsidRPr="009E1D9E">
        <w:rPr>
          <w:rFonts w:ascii="Arial" w:hAnsi="Arial" w:cs="Arial"/>
          <w:sz w:val="24"/>
          <w:szCs w:val="24"/>
        </w:rPr>
        <w:t>-</w:t>
      </w:r>
      <w:r w:rsidRPr="009E1D9E">
        <w:rPr>
          <w:rFonts w:ascii="Arial" w:hAnsi="Arial" w:cs="Arial"/>
          <w:sz w:val="24"/>
          <w:szCs w:val="24"/>
        </w:rPr>
        <w:t xml:space="preserve">way </w:t>
      </w:r>
      <w:r w:rsidR="00001B59" w:rsidRPr="009E1D9E">
        <w:rPr>
          <w:rFonts w:ascii="Arial" w:hAnsi="Arial" w:cs="Arial"/>
          <w:sz w:val="24"/>
          <w:szCs w:val="24"/>
        </w:rPr>
        <w:t xml:space="preserve">between groups </w:t>
      </w:r>
      <w:r w:rsidRPr="009E1D9E">
        <w:rPr>
          <w:rFonts w:ascii="Arial" w:hAnsi="Arial" w:cs="Arial"/>
          <w:sz w:val="24"/>
          <w:szCs w:val="24"/>
        </w:rPr>
        <w:t>ANOVA was conducted with class membership as the independent variable and the summed score of the LEC</w:t>
      </w:r>
      <w:r w:rsidR="0087128C" w:rsidRPr="009E1D9E">
        <w:rPr>
          <w:rFonts w:ascii="Arial" w:hAnsi="Arial" w:cs="Arial"/>
          <w:sz w:val="24"/>
          <w:szCs w:val="24"/>
        </w:rPr>
        <w:t>-5</w:t>
      </w:r>
      <w:r w:rsidRPr="009E1D9E">
        <w:rPr>
          <w:rFonts w:ascii="Arial" w:hAnsi="Arial" w:cs="Arial"/>
          <w:sz w:val="24"/>
          <w:szCs w:val="24"/>
        </w:rPr>
        <w:t xml:space="preserve"> as the dependent variable. There was a significant main effect (F</w:t>
      </w:r>
      <w:r w:rsidR="00001B59" w:rsidRPr="009E1D9E">
        <w:rPr>
          <w:rFonts w:ascii="Arial" w:hAnsi="Arial" w:cs="Arial"/>
          <w:sz w:val="24"/>
          <w:szCs w:val="24"/>
        </w:rPr>
        <w:t xml:space="preserve"> </w:t>
      </w:r>
      <w:r w:rsidRPr="009E1D9E">
        <w:rPr>
          <w:rFonts w:ascii="Arial" w:hAnsi="Arial" w:cs="Arial"/>
          <w:sz w:val="24"/>
          <w:szCs w:val="24"/>
        </w:rPr>
        <w:t xml:space="preserve">(2, 518) = 19.66, p &lt; .05) and all post-hoc comparisons using the </w:t>
      </w:r>
      <w:proofErr w:type="spellStart"/>
      <w:r w:rsidRPr="009E1D9E">
        <w:rPr>
          <w:rFonts w:ascii="Arial" w:hAnsi="Arial" w:cs="Arial"/>
          <w:sz w:val="24"/>
          <w:szCs w:val="24"/>
        </w:rPr>
        <w:t>Scheffe</w:t>
      </w:r>
      <w:proofErr w:type="spellEnd"/>
      <w:r w:rsidRPr="009E1D9E">
        <w:rPr>
          <w:rFonts w:ascii="Arial" w:hAnsi="Arial" w:cs="Arial"/>
          <w:sz w:val="24"/>
          <w:szCs w:val="24"/>
        </w:rPr>
        <w:t xml:space="preserve"> test were statistically significant (p &lt; .05). The mean</w:t>
      </w:r>
      <w:r w:rsidR="00885A65" w:rsidRPr="009E1D9E">
        <w:rPr>
          <w:rFonts w:ascii="Arial" w:hAnsi="Arial" w:cs="Arial"/>
          <w:sz w:val="24"/>
          <w:szCs w:val="24"/>
        </w:rPr>
        <w:t xml:space="preserve"> LEC</w:t>
      </w:r>
      <w:r w:rsidR="0087128C" w:rsidRPr="009E1D9E">
        <w:rPr>
          <w:rFonts w:ascii="Arial" w:hAnsi="Arial" w:cs="Arial"/>
          <w:sz w:val="24"/>
          <w:szCs w:val="24"/>
        </w:rPr>
        <w:t>-5</w:t>
      </w:r>
      <w:r w:rsidR="00885A65" w:rsidRPr="009E1D9E">
        <w:rPr>
          <w:rFonts w:ascii="Arial" w:hAnsi="Arial" w:cs="Arial"/>
          <w:sz w:val="24"/>
          <w:szCs w:val="24"/>
        </w:rPr>
        <w:t xml:space="preserve"> total score</w:t>
      </w:r>
      <w:r w:rsidRPr="009E1D9E">
        <w:rPr>
          <w:rFonts w:ascii="Arial" w:hAnsi="Arial" w:cs="Arial"/>
          <w:sz w:val="24"/>
          <w:szCs w:val="24"/>
        </w:rPr>
        <w:t xml:space="preserve"> for the CPTSD group (</w:t>
      </w:r>
      <w:r w:rsidR="00001B59" w:rsidRPr="009E1D9E">
        <w:rPr>
          <w:rFonts w:ascii="Arial" w:hAnsi="Arial" w:cs="Arial"/>
          <w:sz w:val="24"/>
          <w:szCs w:val="24"/>
        </w:rPr>
        <w:t>M</w:t>
      </w:r>
      <w:r w:rsidRPr="009E1D9E">
        <w:rPr>
          <w:rFonts w:ascii="Arial" w:hAnsi="Arial" w:cs="Arial"/>
          <w:sz w:val="24"/>
          <w:szCs w:val="24"/>
        </w:rPr>
        <w:t xml:space="preserve"> =</w:t>
      </w:r>
      <w:r w:rsidR="0087128C" w:rsidRPr="009E1D9E">
        <w:rPr>
          <w:rFonts w:ascii="Arial" w:hAnsi="Arial" w:cs="Arial"/>
          <w:sz w:val="24"/>
          <w:szCs w:val="24"/>
        </w:rPr>
        <w:t xml:space="preserve"> </w:t>
      </w:r>
      <w:r w:rsidRPr="009E1D9E">
        <w:rPr>
          <w:rFonts w:ascii="Arial" w:hAnsi="Arial" w:cs="Arial"/>
          <w:sz w:val="24"/>
          <w:szCs w:val="24"/>
        </w:rPr>
        <w:t>4.42, SD = 2.31) was higher than the PTSD group (</w:t>
      </w:r>
      <w:r w:rsidR="00001B59" w:rsidRPr="009E1D9E">
        <w:rPr>
          <w:rFonts w:ascii="Arial" w:hAnsi="Arial" w:cs="Arial"/>
          <w:sz w:val="24"/>
          <w:szCs w:val="24"/>
        </w:rPr>
        <w:t>M</w:t>
      </w:r>
      <w:r w:rsidRPr="009E1D9E">
        <w:rPr>
          <w:rFonts w:ascii="Arial" w:hAnsi="Arial" w:cs="Arial"/>
          <w:sz w:val="24"/>
          <w:szCs w:val="24"/>
        </w:rPr>
        <w:t xml:space="preserve"> =</w:t>
      </w:r>
      <w:r w:rsidR="0087128C" w:rsidRPr="009E1D9E">
        <w:rPr>
          <w:rFonts w:ascii="Arial" w:hAnsi="Arial" w:cs="Arial"/>
          <w:sz w:val="24"/>
          <w:szCs w:val="24"/>
        </w:rPr>
        <w:t xml:space="preserve"> </w:t>
      </w:r>
      <w:r w:rsidRPr="009E1D9E">
        <w:rPr>
          <w:rFonts w:ascii="Arial" w:hAnsi="Arial" w:cs="Arial"/>
          <w:sz w:val="24"/>
          <w:szCs w:val="24"/>
        </w:rPr>
        <w:t>3.20, SD = 1.74)</w:t>
      </w:r>
      <w:r w:rsidR="0050545C" w:rsidRPr="009E1D9E">
        <w:rPr>
          <w:rFonts w:ascii="Arial" w:hAnsi="Arial" w:cs="Arial"/>
          <w:sz w:val="24"/>
          <w:szCs w:val="24"/>
        </w:rPr>
        <w:t>,</w:t>
      </w:r>
      <w:r w:rsidRPr="009E1D9E">
        <w:rPr>
          <w:rFonts w:ascii="Arial" w:hAnsi="Arial" w:cs="Arial"/>
          <w:sz w:val="24"/>
          <w:szCs w:val="24"/>
        </w:rPr>
        <w:t xml:space="preserve"> which </w:t>
      </w:r>
      <w:r w:rsidR="0050545C" w:rsidRPr="009E1D9E">
        <w:rPr>
          <w:rFonts w:ascii="Arial" w:hAnsi="Arial" w:cs="Arial"/>
          <w:sz w:val="24"/>
          <w:szCs w:val="24"/>
        </w:rPr>
        <w:t xml:space="preserve">in turn </w:t>
      </w:r>
      <w:r w:rsidRPr="009E1D9E">
        <w:rPr>
          <w:rFonts w:ascii="Arial" w:hAnsi="Arial" w:cs="Arial"/>
          <w:sz w:val="24"/>
          <w:szCs w:val="24"/>
        </w:rPr>
        <w:t xml:space="preserve">was </w:t>
      </w:r>
      <w:r w:rsidRPr="009E1D9E">
        <w:rPr>
          <w:rFonts w:ascii="Arial" w:hAnsi="Arial" w:cs="Arial"/>
          <w:sz w:val="24"/>
          <w:szCs w:val="24"/>
        </w:rPr>
        <w:lastRenderedPageBreak/>
        <w:t>higher than the baseline group (</w:t>
      </w:r>
      <w:r w:rsidR="00001B59" w:rsidRPr="009E1D9E">
        <w:rPr>
          <w:rFonts w:ascii="Arial" w:hAnsi="Arial" w:cs="Arial"/>
          <w:sz w:val="24"/>
          <w:szCs w:val="24"/>
        </w:rPr>
        <w:t>M</w:t>
      </w:r>
      <w:r w:rsidRPr="009E1D9E">
        <w:rPr>
          <w:rFonts w:ascii="Arial" w:hAnsi="Arial" w:cs="Arial"/>
          <w:sz w:val="24"/>
          <w:szCs w:val="24"/>
        </w:rPr>
        <w:t xml:space="preserve"> = 2.72, SD = 1.77).</w:t>
      </w:r>
      <w:r w:rsidR="00885A65" w:rsidRPr="009E1D9E">
        <w:rPr>
          <w:rFonts w:ascii="Arial" w:hAnsi="Arial" w:cs="Arial"/>
          <w:sz w:val="24"/>
          <w:szCs w:val="24"/>
        </w:rPr>
        <w:t xml:space="preserve"> Results indicate that multiple traumatisation is </w:t>
      </w:r>
      <w:r w:rsidR="0087128C" w:rsidRPr="009E1D9E">
        <w:rPr>
          <w:rFonts w:ascii="Arial" w:hAnsi="Arial" w:cs="Arial"/>
          <w:sz w:val="24"/>
          <w:szCs w:val="24"/>
        </w:rPr>
        <w:t xml:space="preserve">more strongly </w:t>
      </w:r>
      <w:r w:rsidR="00885A65" w:rsidRPr="009E1D9E">
        <w:rPr>
          <w:rFonts w:ascii="Arial" w:hAnsi="Arial" w:cs="Arial"/>
          <w:sz w:val="24"/>
          <w:szCs w:val="24"/>
        </w:rPr>
        <w:t>associated with CPTSD</w:t>
      </w:r>
      <w:r w:rsidR="0087128C" w:rsidRPr="009E1D9E">
        <w:rPr>
          <w:rFonts w:ascii="Arial" w:hAnsi="Arial" w:cs="Arial"/>
          <w:sz w:val="24"/>
          <w:szCs w:val="24"/>
        </w:rPr>
        <w:t xml:space="preserve"> than PTSD</w:t>
      </w:r>
      <w:r w:rsidR="00885A65" w:rsidRPr="009E1D9E">
        <w:rPr>
          <w:rFonts w:ascii="Arial" w:hAnsi="Arial" w:cs="Arial"/>
          <w:sz w:val="24"/>
          <w:szCs w:val="24"/>
        </w:rPr>
        <w:t>.</w:t>
      </w:r>
    </w:p>
    <w:p w14:paraId="2D8F971A" w14:textId="5B32B730" w:rsidR="00110CB8" w:rsidRPr="009E1D9E" w:rsidRDefault="00156DDD" w:rsidP="00001B59">
      <w:pPr>
        <w:pStyle w:val="NoSpacing"/>
        <w:spacing w:line="480" w:lineRule="auto"/>
        <w:ind w:firstLine="720"/>
      </w:pPr>
      <w:r w:rsidRPr="009E1D9E">
        <w:rPr>
          <w:rFonts w:ascii="Arial" w:hAnsi="Arial" w:cs="Arial"/>
          <w:sz w:val="24"/>
          <w:szCs w:val="24"/>
        </w:rPr>
        <w:t xml:space="preserve">To test for differences in </w:t>
      </w:r>
      <w:r w:rsidR="0087128C" w:rsidRPr="009E1D9E">
        <w:rPr>
          <w:rFonts w:ascii="Arial" w:hAnsi="Arial" w:cs="Arial"/>
          <w:sz w:val="24"/>
          <w:szCs w:val="24"/>
        </w:rPr>
        <w:t>psychological wellbeing</w:t>
      </w:r>
      <w:r w:rsidRPr="009E1D9E">
        <w:rPr>
          <w:rFonts w:ascii="Arial" w:hAnsi="Arial" w:cs="Arial"/>
          <w:sz w:val="24"/>
          <w:szCs w:val="24"/>
        </w:rPr>
        <w:t xml:space="preserve"> </w:t>
      </w:r>
      <w:r w:rsidR="00043BD1" w:rsidRPr="009E1D9E">
        <w:rPr>
          <w:rFonts w:ascii="Arial" w:hAnsi="Arial" w:cs="Arial"/>
          <w:sz w:val="24"/>
          <w:szCs w:val="24"/>
        </w:rPr>
        <w:t xml:space="preserve">scores </w:t>
      </w:r>
      <w:r w:rsidR="0087128C" w:rsidRPr="009E1D9E">
        <w:rPr>
          <w:rFonts w:ascii="Arial" w:hAnsi="Arial" w:cs="Arial"/>
          <w:sz w:val="24"/>
          <w:szCs w:val="24"/>
        </w:rPr>
        <w:t>across the different</w:t>
      </w:r>
      <w:r w:rsidR="00885A65" w:rsidRPr="009E1D9E">
        <w:rPr>
          <w:rFonts w:ascii="Arial" w:hAnsi="Arial" w:cs="Arial"/>
          <w:sz w:val="24"/>
          <w:szCs w:val="24"/>
        </w:rPr>
        <w:t xml:space="preserve"> classes</w:t>
      </w:r>
      <w:r w:rsidR="0050545C" w:rsidRPr="009E1D9E">
        <w:rPr>
          <w:rFonts w:ascii="Arial" w:hAnsi="Arial" w:cs="Arial"/>
          <w:sz w:val="24"/>
          <w:szCs w:val="24"/>
        </w:rPr>
        <w:t>,</w:t>
      </w:r>
      <w:r w:rsidRPr="009E1D9E">
        <w:rPr>
          <w:rFonts w:ascii="Arial" w:hAnsi="Arial" w:cs="Arial"/>
          <w:sz w:val="24"/>
          <w:szCs w:val="24"/>
        </w:rPr>
        <w:t xml:space="preserve"> a one</w:t>
      </w:r>
      <w:r w:rsidR="00104A5C" w:rsidRPr="009E1D9E">
        <w:rPr>
          <w:rFonts w:ascii="Arial" w:hAnsi="Arial" w:cs="Arial"/>
          <w:sz w:val="24"/>
          <w:szCs w:val="24"/>
        </w:rPr>
        <w:t>-</w:t>
      </w:r>
      <w:r w:rsidRPr="009E1D9E">
        <w:rPr>
          <w:rFonts w:ascii="Arial" w:hAnsi="Arial" w:cs="Arial"/>
          <w:sz w:val="24"/>
          <w:szCs w:val="24"/>
        </w:rPr>
        <w:t>way</w:t>
      </w:r>
      <w:r w:rsidR="00001B59" w:rsidRPr="009E1D9E">
        <w:rPr>
          <w:rFonts w:ascii="Arial" w:hAnsi="Arial" w:cs="Arial"/>
          <w:sz w:val="24"/>
          <w:szCs w:val="24"/>
        </w:rPr>
        <w:t xml:space="preserve"> between groups</w:t>
      </w:r>
      <w:r w:rsidRPr="009E1D9E">
        <w:rPr>
          <w:rFonts w:ascii="Arial" w:hAnsi="Arial" w:cs="Arial"/>
          <w:sz w:val="24"/>
          <w:szCs w:val="24"/>
        </w:rPr>
        <w:t xml:space="preserve"> ANOVA was conducted with class membership as the independent variable and </w:t>
      </w:r>
      <w:r w:rsidR="0087128C" w:rsidRPr="009E1D9E">
        <w:rPr>
          <w:rFonts w:ascii="Arial" w:hAnsi="Arial" w:cs="Arial"/>
          <w:sz w:val="24"/>
          <w:szCs w:val="24"/>
        </w:rPr>
        <w:t>WHO-5</w:t>
      </w:r>
      <w:r w:rsidRPr="009E1D9E">
        <w:rPr>
          <w:rFonts w:ascii="Arial" w:hAnsi="Arial" w:cs="Arial"/>
          <w:sz w:val="24"/>
          <w:szCs w:val="24"/>
        </w:rPr>
        <w:t xml:space="preserve"> scores as the dependent variable. There was a significant main effect (F</w:t>
      </w:r>
      <w:r w:rsidR="00001B59" w:rsidRPr="009E1D9E">
        <w:rPr>
          <w:rFonts w:ascii="Arial" w:hAnsi="Arial" w:cs="Arial"/>
          <w:sz w:val="24"/>
          <w:szCs w:val="24"/>
        </w:rPr>
        <w:t xml:space="preserve"> </w:t>
      </w:r>
      <w:r w:rsidRPr="009E1D9E">
        <w:rPr>
          <w:rFonts w:ascii="Arial" w:hAnsi="Arial" w:cs="Arial"/>
          <w:sz w:val="24"/>
          <w:szCs w:val="24"/>
        </w:rPr>
        <w:t xml:space="preserve">(2, 518) = 35.67, p &lt; .05) and all post-hoc comparisons using the </w:t>
      </w:r>
      <w:proofErr w:type="spellStart"/>
      <w:r w:rsidRPr="009E1D9E">
        <w:rPr>
          <w:rFonts w:ascii="Arial" w:hAnsi="Arial" w:cs="Arial"/>
          <w:sz w:val="24"/>
          <w:szCs w:val="24"/>
        </w:rPr>
        <w:t>Scheffe</w:t>
      </w:r>
      <w:proofErr w:type="spellEnd"/>
      <w:r w:rsidRPr="009E1D9E">
        <w:rPr>
          <w:rFonts w:ascii="Arial" w:hAnsi="Arial" w:cs="Arial"/>
          <w:sz w:val="24"/>
          <w:szCs w:val="24"/>
        </w:rPr>
        <w:t xml:space="preserve"> test were statistically significant (p &lt; .05). The mean for the CPTSD group (</w:t>
      </w:r>
      <w:r w:rsidR="00001B59" w:rsidRPr="009E1D9E">
        <w:rPr>
          <w:rFonts w:ascii="Arial" w:hAnsi="Arial" w:cs="Arial"/>
          <w:sz w:val="24"/>
          <w:szCs w:val="24"/>
        </w:rPr>
        <w:t>M</w:t>
      </w:r>
      <w:r w:rsidRPr="009E1D9E">
        <w:rPr>
          <w:rFonts w:ascii="Arial" w:hAnsi="Arial" w:cs="Arial"/>
          <w:sz w:val="24"/>
          <w:szCs w:val="24"/>
        </w:rPr>
        <w:t xml:space="preserve"> =</w:t>
      </w:r>
      <w:r w:rsidR="0087128C" w:rsidRPr="009E1D9E">
        <w:rPr>
          <w:rFonts w:ascii="Arial" w:hAnsi="Arial" w:cs="Arial"/>
          <w:sz w:val="24"/>
          <w:szCs w:val="24"/>
        </w:rPr>
        <w:t xml:space="preserve"> </w:t>
      </w:r>
      <w:r w:rsidRPr="009E1D9E">
        <w:rPr>
          <w:rFonts w:ascii="Arial" w:hAnsi="Arial" w:cs="Arial"/>
          <w:sz w:val="24"/>
          <w:szCs w:val="24"/>
        </w:rPr>
        <w:t>9.61, SD = 4.68) was lowe</w:t>
      </w:r>
      <w:r w:rsidR="00600630" w:rsidRPr="009E1D9E">
        <w:rPr>
          <w:rFonts w:ascii="Arial" w:hAnsi="Arial" w:cs="Arial"/>
          <w:sz w:val="24"/>
          <w:szCs w:val="24"/>
        </w:rPr>
        <w:t>r</w:t>
      </w:r>
      <w:r w:rsidRPr="009E1D9E">
        <w:rPr>
          <w:rFonts w:ascii="Arial" w:hAnsi="Arial" w:cs="Arial"/>
          <w:sz w:val="24"/>
          <w:szCs w:val="24"/>
        </w:rPr>
        <w:t xml:space="preserve"> than the PTSD group (</w:t>
      </w:r>
      <w:r w:rsidR="00001B59" w:rsidRPr="009E1D9E">
        <w:rPr>
          <w:rFonts w:ascii="Arial" w:hAnsi="Arial" w:cs="Arial"/>
          <w:sz w:val="24"/>
          <w:szCs w:val="24"/>
        </w:rPr>
        <w:t>M</w:t>
      </w:r>
      <w:r w:rsidRPr="009E1D9E">
        <w:rPr>
          <w:rFonts w:ascii="Arial" w:hAnsi="Arial" w:cs="Arial"/>
          <w:sz w:val="24"/>
          <w:szCs w:val="24"/>
        </w:rPr>
        <w:t xml:space="preserve"> =</w:t>
      </w:r>
      <w:r w:rsidR="0087128C" w:rsidRPr="009E1D9E">
        <w:rPr>
          <w:rFonts w:ascii="Arial" w:hAnsi="Arial" w:cs="Arial"/>
          <w:sz w:val="24"/>
          <w:szCs w:val="24"/>
        </w:rPr>
        <w:t xml:space="preserve"> </w:t>
      </w:r>
      <w:r w:rsidRPr="009E1D9E">
        <w:rPr>
          <w:rFonts w:ascii="Arial" w:hAnsi="Arial" w:cs="Arial"/>
          <w:sz w:val="24"/>
          <w:szCs w:val="24"/>
        </w:rPr>
        <w:t xml:space="preserve">13.99, SD = 4.93) which </w:t>
      </w:r>
      <w:r w:rsidR="0050545C" w:rsidRPr="009E1D9E">
        <w:rPr>
          <w:rFonts w:ascii="Arial" w:hAnsi="Arial" w:cs="Arial"/>
          <w:sz w:val="24"/>
          <w:szCs w:val="24"/>
        </w:rPr>
        <w:t>in turn</w:t>
      </w:r>
      <w:r w:rsidR="0087128C" w:rsidRPr="009E1D9E">
        <w:rPr>
          <w:rFonts w:ascii="Arial" w:hAnsi="Arial" w:cs="Arial"/>
          <w:sz w:val="24"/>
          <w:szCs w:val="24"/>
        </w:rPr>
        <w:t xml:space="preserve"> was</w:t>
      </w:r>
      <w:r w:rsidRPr="009E1D9E">
        <w:rPr>
          <w:rFonts w:ascii="Arial" w:hAnsi="Arial" w:cs="Arial"/>
          <w:sz w:val="24"/>
          <w:szCs w:val="24"/>
        </w:rPr>
        <w:t xml:space="preserve"> lower than the baseline group (</w:t>
      </w:r>
      <w:r w:rsidR="00001B59" w:rsidRPr="009E1D9E">
        <w:rPr>
          <w:rFonts w:ascii="Arial" w:hAnsi="Arial" w:cs="Arial"/>
          <w:sz w:val="24"/>
          <w:szCs w:val="24"/>
        </w:rPr>
        <w:t>M</w:t>
      </w:r>
      <w:r w:rsidRPr="009E1D9E">
        <w:rPr>
          <w:rFonts w:ascii="Arial" w:hAnsi="Arial" w:cs="Arial"/>
          <w:sz w:val="24"/>
          <w:szCs w:val="24"/>
        </w:rPr>
        <w:t xml:space="preserve"> = 15.90, SD = 5.09).</w:t>
      </w:r>
      <w:r w:rsidR="00885A65" w:rsidRPr="009E1D9E">
        <w:rPr>
          <w:rFonts w:ascii="Arial" w:hAnsi="Arial" w:cs="Arial"/>
          <w:sz w:val="24"/>
          <w:szCs w:val="24"/>
        </w:rPr>
        <w:t xml:space="preserve"> Results indicate that CPTSD</w:t>
      </w:r>
      <w:r w:rsidR="0087128C" w:rsidRPr="009E1D9E">
        <w:rPr>
          <w:rFonts w:ascii="Arial" w:hAnsi="Arial" w:cs="Arial"/>
          <w:sz w:val="24"/>
          <w:szCs w:val="24"/>
        </w:rPr>
        <w:t xml:space="preserve"> class membership</w:t>
      </w:r>
      <w:r w:rsidR="00885A65" w:rsidRPr="009E1D9E">
        <w:rPr>
          <w:rFonts w:ascii="Arial" w:hAnsi="Arial" w:cs="Arial"/>
          <w:sz w:val="24"/>
          <w:szCs w:val="24"/>
        </w:rPr>
        <w:t xml:space="preserve"> is associated with poorer psychological wellbeing compared to PTSD</w:t>
      </w:r>
      <w:r w:rsidR="00001B59" w:rsidRPr="009E1D9E">
        <w:rPr>
          <w:rFonts w:ascii="Arial" w:hAnsi="Arial" w:cs="Arial"/>
          <w:sz w:val="24"/>
          <w:szCs w:val="24"/>
        </w:rPr>
        <w:t xml:space="preserve"> class membership</w:t>
      </w:r>
      <w:r w:rsidR="00885A65" w:rsidRPr="009E1D9E">
        <w:rPr>
          <w:rFonts w:ascii="Arial" w:hAnsi="Arial" w:cs="Arial"/>
          <w:sz w:val="24"/>
          <w:szCs w:val="24"/>
        </w:rPr>
        <w:t>.</w:t>
      </w:r>
      <w:r w:rsidR="0087128C" w:rsidRPr="009E1D9E">
        <w:rPr>
          <w:rFonts w:ascii="Arial" w:hAnsi="Arial" w:cs="Arial"/>
          <w:sz w:val="24"/>
          <w:szCs w:val="24"/>
        </w:rPr>
        <w:t xml:space="preserve"> </w:t>
      </w:r>
      <w:r w:rsidR="00001B59" w:rsidRPr="009E1D9E">
        <w:rPr>
          <w:rFonts w:ascii="Arial" w:hAnsi="Arial" w:cs="Arial"/>
          <w:sz w:val="24"/>
          <w:szCs w:val="24"/>
        </w:rPr>
        <w:t>Furthermore,</w:t>
      </w:r>
      <w:r w:rsidR="0087128C" w:rsidRPr="009E1D9E">
        <w:rPr>
          <w:rFonts w:ascii="Arial" w:hAnsi="Arial" w:cs="Arial"/>
          <w:sz w:val="24"/>
          <w:szCs w:val="24"/>
        </w:rPr>
        <w:t xml:space="preserve"> the mean score </w:t>
      </w:r>
      <w:r w:rsidR="0087128C" w:rsidRPr="009E1D9E">
        <w:rPr>
          <w:rFonts w:ascii="Arial" w:hAnsi="Arial" w:cs="Arial"/>
          <w:sz w:val="24"/>
          <w:szCs w:val="24"/>
        </w:rPr>
        <w:lastRenderedPageBreak/>
        <w:t xml:space="preserve">on the WHO-5 for the CPTSD </w:t>
      </w:r>
      <w:r w:rsidR="00001B59" w:rsidRPr="009E1D9E">
        <w:rPr>
          <w:rFonts w:ascii="Arial" w:hAnsi="Arial" w:cs="Arial"/>
          <w:sz w:val="24"/>
          <w:szCs w:val="24"/>
        </w:rPr>
        <w:t xml:space="preserve">class was indicative of psychiatric morbidity </w:t>
      </w:r>
      <w:r w:rsidR="0087128C" w:rsidRPr="009E1D9E">
        <w:rPr>
          <w:rFonts w:ascii="Arial" w:hAnsi="Arial" w:cs="Arial"/>
          <w:sz w:val="24"/>
          <w:szCs w:val="24"/>
        </w:rPr>
        <w:t>(</w:t>
      </w:r>
      <w:proofErr w:type="spellStart"/>
      <w:r w:rsidR="0087128C" w:rsidRPr="009E1D9E">
        <w:rPr>
          <w:rFonts w:ascii="Arial" w:hAnsi="Arial" w:cs="Arial"/>
          <w:sz w:val="24"/>
          <w:szCs w:val="24"/>
        </w:rPr>
        <w:t>Awata</w:t>
      </w:r>
      <w:proofErr w:type="spellEnd"/>
      <w:r w:rsidR="0087128C" w:rsidRPr="009E1D9E">
        <w:rPr>
          <w:rFonts w:ascii="Arial" w:hAnsi="Arial" w:cs="Arial"/>
          <w:sz w:val="24"/>
          <w:szCs w:val="24"/>
        </w:rPr>
        <w:t xml:space="preserve"> et al., 2007). </w:t>
      </w:r>
    </w:p>
    <w:p w14:paraId="27CECABD" w14:textId="77777777" w:rsidR="00010B27" w:rsidRPr="009E1D9E" w:rsidRDefault="00010B27" w:rsidP="00001B59">
      <w:pPr>
        <w:spacing w:after="0" w:line="480" w:lineRule="auto"/>
        <w:jc w:val="center"/>
        <w:rPr>
          <w:rFonts w:ascii="Arial" w:hAnsi="Arial" w:cs="Arial"/>
          <w:b/>
          <w:sz w:val="24"/>
          <w:szCs w:val="24"/>
        </w:rPr>
      </w:pPr>
    </w:p>
    <w:p w14:paraId="55FDAE0C" w14:textId="6AA71B4A" w:rsidR="00DF1326" w:rsidRPr="009E1D9E" w:rsidRDefault="00DF1326" w:rsidP="00001B59">
      <w:pPr>
        <w:spacing w:after="0" w:line="480" w:lineRule="auto"/>
        <w:jc w:val="center"/>
        <w:rPr>
          <w:rFonts w:ascii="Arial" w:hAnsi="Arial" w:cs="Arial"/>
          <w:b/>
          <w:sz w:val="24"/>
          <w:szCs w:val="24"/>
        </w:rPr>
      </w:pPr>
      <w:r w:rsidRPr="009E1D9E">
        <w:rPr>
          <w:rFonts w:ascii="Arial" w:hAnsi="Arial" w:cs="Arial"/>
          <w:b/>
          <w:sz w:val="24"/>
          <w:szCs w:val="24"/>
        </w:rPr>
        <w:t>Discussion</w:t>
      </w:r>
    </w:p>
    <w:p w14:paraId="70877C48" w14:textId="46FB4B56" w:rsidR="001A75A1" w:rsidRPr="009E1D9E" w:rsidRDefault="00DF1326" w:rsidP="001A75A1">
      <w:pPr>
        <w:spacing w:after="0" w:line="480" w:lineRule="auto"/>
        <w:ind w:firstLine="720"/>
        <w:rPr>
          <w:rFonts w:ascii="Arial" w:hAnsi="Arial" w:cs="Arial"/>
          <w:sz w:val="24"/>
          <w:szCs w:val="24"/>
        </w:rPr>
      </w:pPr>
      <w:r w:rsidRPr="009E1D9E">
        <w:rPr>
          <w:rFonts w:ascii="Arial" w:hAnsi="Arial" w:cs="Arial"/>
          <w:sz w:val="24"/>
          <w:szCs w:val="24"/>
        </w:rPr>
        <w:t>This study report</w:t>
      </w:r>
      <w:r w:rsidR="00885A65" w:rsidRPr="009E1D9E">
        <w:rPr>
          <w:rFonts w:ascii="Arial" w:hAnsi="Arial" w:cs="Arial"/>
          <w:sz w:val="24"/>
          <w:szCs w:val="24"/>
        </w:rPr>
        <w:t>s</w:t>
      </w:r>
      <w:r w:rsidRPr="009E1D9E">
        <w:rPr>
          <w:rFonts w:ascii="Arial" w:hAnsi="Arial" w:cs="Arial"/>
          <w:sz w:val="24"/>
          <w:szCs w:val="24"/>
        </w:rPr>
        <w:t xml:space="preserve"> on the prevalence of ICD-11 PTSD and CPTSD within a </w:t>
      </w:r>
      <w:r w:rsidR="00AC3F6D" w:rsidRPr="009E1D9E">
        <w:rPr>
          <w:rFonts w:ascii="Arial" w:hAnsi="Arial" w:cs="Arial"/>
          <w:sz w:val="24"/>
          <w:szCs w:val="24"/>
        </w:rPr>
        <w:t xml:space="preserve">non-clinical </w:t>
      </w:r>
      <w:r w:rsidRPr="009E1D9E">
        <w:rPr>
          <w:rFonts w:ascii="Arial" w:hAnsi="Arial" w:cs="Arial"/>
          <w:sz w:val="24"/>
          <w:szCs w:val="24"/>
        </w:rPr>
        <w:t>sample</w:t>
      </w:r>
      <w:r w:rsidR="0087128C" w:rsidRPr="009E1D9E">
        <w:rPr>
          <w:rFonts w:ascii="Arial" w:hAnsi="Arial" w:cs="Arial"/>
          <w:sz w:val="24"/>
          <w:szCs w:val="24"/>
        </w:rPr>
        <w:t xml:space="preserve"> of the Israeli adult population </w:t>
      </w:r>
      <w:r w:rsidRPr="009E1D9E">
        <w:rPr>
          <w:rFonts w:ascii="Arial" w:hAnsi="Arial" w:cs="Arial"/>
          <w:sz w:val="24"/>
          <w:szCs w:val="24"/>
        </w:rPr>
        <w:t>using a</w:t>
      </w:r>
      <w:r w:rsidR="0087128C" w:rsidRPr="009E1D9E">
        <w:rPr>
          <w:rFonts w:ascii="Arial" w:hAnsi="Arial" w:cs="Arial"/>
          <w:sz w:val="24"/>
          <w:szCs w:val="24"/>
        </w:rPr>
        <w:t xml:space="preserve"> Hebrew translation of the ITQ.</w:t>
      </w:r>
      <w:r w:rsidRPr="009E1D9E">
        <w:rPr>
          <w:rFonts w:ascii="Arial" w:hAnsi="Arial" w:cs="Arial"/>
          <w:sz w:val="24"/>
          <w:szCs w:val="24"/>
        </w:rPr>
        <w:t xml:space="preserve"> Additionally, the current study sought to advance the existing literature by providing </w:t>
      </w:r>
      <w:r w:rsidR="00885A65" w:rsidRPr="009E1D9E">
        <w:rPr>
          <w:rFonts w:ascii="Arial" w:hAnsi="Arial" w:cs="Arial"/>
          <w:sz w:val="24"/>
          <w:szCs w:val="24"/>
        </w:rPr>
        <w:t>evidence</w:t>
      </w:r>
      <w:r w:rsidRPr="009E1D9E">
        <w:rPr>
          <w:rFonts w:ascii="Arial" w:hAnsi="Arial" w:cs="Arial"/>
          <w:sz w:val="24"/>
          <w:szCs w:val="24"/>
        </w:rPr>
        <w:t xml:space="preserve"> of the discriminant validity of ICD-11 PTSD and CPTSD within a </w:t>
      </w:r>
      <w:r w:rsidR="00AC3F6D" w:rsidRPr="009E1D9E">
        <w:rPr>
          <w:rFonts w:ascii="Arial" w:hAnsi="Arial" w:cs="Arial"/>
          <w:sz w:val="24"/>
          <w:szCs w:val="24"/>
        </w:rPr>
        <w:t xml:space="preserve">non-clinical </w:t>
      </w:r>
      <w:r w:rsidR="0087128C" w:rsidRPr="009E1D9E">
        <w:rPr>
          <w:rFonts w:ascii="Arial" w:hAnsi="Arial" w:cs="Arial"/>
          <w:sz w:val="24"/>
          <w:szCs w:val="24"/>
        </w:rPr>
        <w:t xml:space="preserve">general population </w:t>
      </w:r>
      <w:r w:rsidRPr="009E1D9E">
        <w:rPr>
          <w:rFonts w:ascii="Arial" w:hAnsi="Arial" w:cs="Arial"/>
          <w:sz w:val="24"/>
          <w:szCs w:val="24"/>
        </w:rPr>
        <w:t xml:space="preserve">sample. </w:t>
      </w:r>
      <w:r w:rsidR="00001B59" w:rsidRPr="009E1D9E">
        <w:rPr>
          <w:rFonts w:ascii="Arial" w:hAnsi="Arial" w:cs="Arial"/>
          <w:sz w:val="24"/>
          <w:szCs w:val="24"/>
        </w:rPr>
        <w:t>Consistent with previous findings</w:t>
      </w:r>
      <w:r w:rsidR="00010B27" w:rsidRPr="009E1D9E">
        <w:rPr>
          <w:rFonts w:ascii="Arial" w:hAnsi="Arial" w:cs="Arial"/>
          <w:sz w:val="24"/>
          <w:szCs w:val="24"/>
        </w:rPr>
        <w:t xml:space="preserve"> in Israel</w:t>
      </w:r>
      <w:r w:rsidR="00001B59" w:rsidRPr="009E1D9E">
        <w:rPr>
          <w:rFonts w:ascii="Arial" w:hAnsi="Arial" w:cs="Arial"/>
          <w:sz w:val="24"/>
          <w:szCs w:val="24"/>
        </w:rPr>
        <w:t xml:space="preserve"> (Ben-Ezra et al., 2018), the CFA findings supported the distinct nature of</w:t>
      </w:r>
      <w:r w:rsidR="002D61E9" w:rsidRPr="009E1D9E">
        <w:rPr>
          <w:rFonts w:ascii="Arial" w:hAnsi="Arial" w:cs="Arial"/>
          <w:sz w:val="24"/>
          <w:szCs w:val="24"/>
        </w:rPr>
        <w:t xml:space="preserve"> hyper</w:t>
      </w:r>
      <w:r w:rsidR="00001B59" w:rsidRPr="009E1D9E">
        <w:rPr>
          <w:rFonts w:ascii="Arial" w:hAnsi="Arial" w:cs="Arial"/>
          <w:sz w:val="24"/>
          <w:szCs w:val="24"/>
        </w:rPr>
        <w:t>- and hypo-</w:t>
      </w:r>
      <w:r w:rsidR="002D61E9" w:rsidRPr="009E1D9E">
        <w:rPr>
          <w:rFonts w:ascii="Arial" w:hAnsi="Arial" w:cs="Arial"/>
          <w:sz w:val="24"/>
          <w:szCs w:val="24"/>
        </w:rPr>
        <w:t xml:space="preserve">activation </w:t>
      </w:r>
      <w:r w:rsidR="00001B59" w:rsidRPr="009E1D9E">
        <w:rPr>
          <w:rFonts w:ascii="Arial" w:hAnsi="Arial" w:cs="Arial"/>
          <w:sz w:val="24"/>
          <w:szCs w:val="24"/>
        </w:rPr>
        <w:t xml:space="preserve">symptoms. Furthermore, the LCA results indicated that hyper- and hypo-activation symptoms </w:t>
      </w:r>
      <w:r w:rsidR="002D61E9" w:rsidRPr="009E1D9E">
        <w:rPr>
          <w:rFonts w:ascii="Arial" w:hAnsi="Arial" w:cs="Arial"/>
          <w:sz w:val="24"/>
          <w:szCs w:val="24"/>
        </w:rPr>
        <w:t xml:space="preserve">along with NSC and DR symptoms </w:t>
      </w:r>
      <w:r w:rsidR="001A75A1" w:rsidRPr="009E1D9E">
        <w:rPr>
          <w:rFonts w:ascii="Arial" w:hAnsi="Arial" w:cs="Arial"/>
          <w:sz w:val="24"/>
          <w:szCs w:val="24"/>
        </w:rPr>
        <w:t xml:space="preserve">had </w:t>
      </w:r>
      <w:r w:rsidR="00457D45" w:rsidRPr="00457D45">
        <w:rPr>
          <w:rFonts w:ascii="Arial" w:hAnsi="Arial" w:cs="Arial"/>
          <w:sz w:val="24"/>
          <w:szCs w:val="24"/>
          <w:highlight w:val="yellow"/>
        </w:rPr>
        <w:t>a</w:t>
      </w:r>
      <w:r w:rsidR="00457D45">
        <w:rPr>
          <w:rFonts w:ascii="Arial" w:hAnsi="Arial" w:cs="Arial"/>
          <w:sz w:val="24"/>
          <w:szCs w:val="24"/>
        </w:rPr>
        <w:t xml:space="preserve"> </w:t>
      </w:r>
      <w:r w:rsidR="001A75A1" w:rsidRPr="009E1D9E">
        <w:rPr>
          <w:rFonts w:ascii="Arial" w:hAnsi="Arial" w:cs="Arial"/>
          <w:sz w:val="24"/>
          <w:szCs w:val="24"/>
        </w:rPr>
        <w:t xml:space="preserve">clearly higher probability of </w:t>
      </w:r>
      <w:r w:rsidR="00281778" w:rsidRPr="009E1D9E">
        <w:rPr>
          <w:rFonts w:ascii="Arial" w:hAnsi="Arial" w:cs="Arial"/>
          <w:sz w:val="24"/>
          <w:szCs w:val="24"/>
        </w:rPr>
        <w:t>distinguish</w:t>
      </w:r>
      <w:r w:rsidR="001A75A1" w:rsidRPr="009E1D9E">
        <w:rPr>
          <w:rFonts w:ascii="Arial" w:hAnsi="Arial" w:cs="Arial"/>
          <w:sz w:val="24"/>
          <w:szCs w:val="24"/>
        </w:rPr>
        <w:t>ing</w:t>
      </w:r>
      <w:r w:rsidR="00281778" w:rsidRPr="009E1D9E">
        <w:rPr>
          <w:rFonts w:ascii="Arial" w:hAnsi="Arial" w:cs="Arial"/>
          <w:sz w:val="24"/>
          <w:szCs w:val="24"/>
        </w:rPr>
        <w:t xml:space="preserve"> CPTSD from PTSD and baseline</w:t>
      </w:r>
      <w:r w:rsidR="0087128C" w:rsidRPr="009E1D9E">
        <w:rPr>
          <w:rFonts w:ascii="Arial" w:hAnsi="Arial" w:cs="Arial"/>
          <w:sz w:val="24"/>
          <w:szCs w:val="24"/>
        </w:rPr>
        <w:t xml:space="preserve"> classes</w:t>
      </w:r>
      <w:r w:rsidR="001A75A1" w:rsidRPr="009E1D9E">
        <w:rPr>
          <w:rFonts w:ascii="Arial" w:hAnsi="Arial" w:cs="Arial"/>
          <w:sz w:val="24"/>
          <w:szCs w:val="24"/>
        </w:rPr>
        <w:t>.</w:t>
      </w:r>
    </w:p>
    <w:p w14:paraId="000AF142" w14:textId="0DC598E7" w:rsidR="00DF1326" w:rsidRPr="009E1D9E" w:rsidRDefault="00001B59" w:rsidP="00281778">
      <w:pPr>
        <w:spacing w:after="0" w:line="480" w:lineRule="auto"/>
        <w:ind w:firstLine="720"/>
        <w:rPr>
          <w:rFonts w:ascii="Arial" w:hAnsi="Arial" w:cs="Arial"/>
          <w:sz w:val="24"/>
          <w:szCs w:val="24"/>
        </w:rPr>
      </w:pPr>
      <w:r w:rsidRPr="009E1D9E">
        <w:rPr>
          <w:rFonts w:ascii="Arial" w:hAnsi="Arial" w:cs="Arial"/>
          <w:sz w:val="24"/>
          <w:szCs w:val="24"/>
        </w:rPr>
        <w:lastRenderedPageBreak/>
        <w:t xml:space="preserve">These finding </w:t>
      </w:r>
      <w:r w:rsidR="00281778" w:rsidRPr="009E1D9E">
        <w:rPr>
          <w:rFonts w:ascii="Arial" w:hAnsi="Arial" w:cs="Arial"/>
          <w:sz w:val="24"/>
          <w:szCs w:val="24"/>
        </w:rPr>
        <w:t xml:space="preserve">support </w:t>
      </w:r>
      <w:r w:rsidRPr="009E1D9E">
        <w:rPr>
          <w:rFonts w:ascii="Arial" w:hAnsi="Arial" w:cs="Arial"/>
          <w:sz w:val="24"/>
          <w:szCs w:val="24"/>
        </w:rPr>
        <w:t>prior arguments that the ICD-11 working group should represent the</w:t>
      </w:r>
      <w:r w:rsidR="00281778" w:rsidRPr="009E1D9E">
        <w:rPr>
          <w:rFonts w:ascii="Arial" w:hAnsi="Arial" w:cs="Arial"/>
          <w:sz w:val="24"/>
          <w:szCs w:val="24"/>
        </w:rPr>
        <w:t xml:space="preserve"> AD cluster </w:t>
      </w:r>
      <w:r w:rsidRPr="009E1D9E">
        <w:rPr>
          <w:rFonts w:ascii="Arial" w:hAnsi="Arial" w:cs="Arial"/>
          <w:sz w:val="24"/>
          <w:szCs w:val="24"/>
        </w:rPr>
        <w:t>using items that reflect</w:t>
      </w:r>
      <w:r w:rsidR="00281778" w:rsidRPr="009E1D9E">
        <w:rPr>
          <w:rFonts w:ascii="Arial" w:hAnsi="Arial" w:cs="Arial"/>
          <w:sz w:val="24"/>
          <w:szCs w:val="24"/>
        </w:rPr>
        <w:t xml:space="preserve"> </w:t>
      </w:r>
      <w:r w:rsidR="0050545C" w:rsidRPr="009E1D9E">
        <w:rPr>
          <w:rFonts w:ascii="Arial" w:hAnsi="Arial" w:cs="Arial"/>
          <w:sz w:val="24"/>
          <w:szCs w:val="24"/>
        </w:rPr>
        <w:t>hyper-activation and hypo-activation symptoms</w:t>
      </w:r>
      <w:r w:rsidR="00281778" w:rsidRPr="009E1D9E">
        <w:rPr>
          <w:rFonts w:ascii="Arial" w:hAnsi="Arial" w:cs="Arial"/>
          <w:sz w:val="24"/>
          <w:szCs w:val="24"/>
        </w:rPr>
        <w:t xml:space="preserve"> (</w:t>
      </w:r>
      <w:r w:rsidRPr="009E1D9E">
        <w:rPr>
          <w:rFonts w:ascii="Arial" w:hAnsi="Arial" w:cs="Arial"/>
          <w:sz w:val="24"/>
          <w:szCs w:val="24"/>
        </w:rPr>
        <w:t>Shevlin et al., 2018</w:t>
      </w:r>
      <w:r w:rsidR="00281778" w:rsidRPr="009E1D9E">
        <w:rPr>
          <w:rFonts w:ascii="Arial" w:hAnsi="Arial" w:cs="Arial"/>
          <w:sz w:val="24"/>
          <w:szCs w:val="24"/>
        </w:rPr>
        <w:t xml:space="preserve">).  </w:t>
      </w:r>
    </w:p>
    <w:p w14:paraId="161A6566" w14:textId="1B3360F1" w:rsidR="00FB0CF7" w:rsidRPr="009E1D9E" w:rsidRDefault="00DF1326" w:rsidP="0008354B">
      <w:pPr>
        <w:spacing w:after="0" w:line="480" w:lineRule="auto"/>
        <w:ind w:firstLine="720"/>
        <w:rPr>
          <w:rFonts w:ascii="Arial" w:hAnsi="Arial" w:cs="Arial"/>
          <w:sz w:val="24"/>
          <w:szCs w:val="24"/>
        </w:rPr>
      </w:pPr>
      <w:r w:rsidRPr="009E1D9E">
        <w:rPr>
          <w:rFonts w:ascii="Arial" w:hAnsi="Arial" w:cs="Arial"/>
          <w:sz w:val="24"/>
          <w:szCs w:val="24"/>
        </w:rPr>
        <w:t xml:space="preserve">Estimated lifetime prevalence rates of PTSD and CPTSD among the </w:t>
      </w:r>
      <w:r w:rsidR="00C62B89" w:rsidRPr="009E1D9E">
        <w:rPr>
          <w:rFonts w:ascii="Arial" w:hAnsi="Arial" w:cs="Arial"/>
          <w:sz w:val="24"/>
          <w:szCs w:val="24"/>
        </w:rPr>
        <w:t>current sample</w:t>
      </w:r>
      <w:r w:rsidRPr="009E1D9E">
        <w:rPr>
          <w:rFonts w:ascii="Arial" w:hAnsi="Arial" w:cs="Arial"/>
          <w:sz w:val="24"/>
          <w:szCs w:val="24"/>
        </w:rPr>
        <w:t xml:space="preserve"> were 9.</w:t>
      </w:r>
      <w:r w:rsidR="00C10651" w:rsidRPr="009E1D9E">
        <w:rPr>
          <w:rFonts w:ascii="Arial" w:hAnsi="Arial" w:cs="Arial"/>
          <w:sz w:val="24"/>
          <w:szCs w:val="24"/>
        </w:rPr>
        <w:t>2</w:t>
      </w:r>
      <w:r w:rsidRPr="009E1D9E">
        <w:rPr>
          <w:rFonts w:ascii="Arial" w:hAnsi="Arial" w:cs="Arial"/>
          <w:sz w:val="24"/>
          <w:szCs w:val="24"/>
        </w:rPr>
        <w:t xml:space="preserve">% and </w:t>
      </w:r>
      <w:r w:rsidR="00C10651" w:rsidRPr="009E1D9E">
        <w:rPr>
          <w:rFonts w:ascii="Arial" w:hAnsi="Arial" w:cs="Arial"/>
          <w:sz w:val="24"/>
          <w:szCs w:val="24"/>
        </w:rPr>
        <w:t>1</w:t>
      </w:r>
      <w:r w:rsidRPr="009E1D9E">
        <w:rPr>
          <w:rFonts w:ascii="Arial" w:hAnsi="Arial" w:cs="Arial"/>
          <w:sz w:val="24"/>
          <w:szCs w:val="24"/>
        </w:rPr>
        <w:t>.</w:t>
      </w:r>
      <w:r w:rsidR="00C10651" w:rsidRPr="009E1D9E">
        <w:rPr>
          <w:rFonts w:ascii="Arial" w:hAnsi="Arial" w:cs="Arial"/>
          <w:sz w:val="24"/>
          <w:szCs w:val="24"/>
        </w:rPr>
        <w:t>0</w:t>
      </w:r>
      <w:r w:rsidRPr="009E1D9E">
        <w:rPr>
          <w:rFonts w:ascii="Arial" w:hAnsi="Arial" w:cs="Arial"/>
          <w:sz w:val="24"/>
          <w:szCs w:val="24"/>
        </w:rPr>
        <w:t>%, respectively. The combined prevalence rate of ICD-11 PTSD and CPTSD (1</w:t>
      </w:r>
      <w:r w:rsidR="00C10651" w:rsidRPr="009E1D9E">
        <w:rPr>
          <w:rFonts w:ascii="Arial" w:hAnsi="Arial" w:cs="Arial"/>
          <w:sz w:val="24"/>
          <w:szCs w:val="24"/>
        </w:rPr>
        <w:t>0</w:t>
      </w:r>
      <w:r w:rsidRPr="009E1D9E">
        <w:rPr>
          <w:rFonts w:ascii="Arial" w:hAnsi="Arial" w:cs="Arial"/>
          <w:sz w:val="24"/>
          <w:szCs w:val="24"/>
        </w:rPr>
        <w:t>.</w:t>
      </w:r>
      <w:r w:rsidR="00C10651" w:rsidRPr="009E1D9E">
        <w:rPr>
          <w:rFonts w:ascii="Arial" w:hAnsi="Arial" w:cs="Arial"/>
          <w:sz w:val="24"/>
          <w:szCs w:val="24"/>
        </w:rPr>
        <w:t>2</w:t>
      </w:r>
      <w:r w:rsidRPr="009E1D9E">
        <w:rPr>
          <w:rFonts w:ascii="Arial" w:hAnsi="Arial" w:cs="Arial"/>
          <w:sz w:val="24"/>
          <w:szCs w:val="24"/>
        </w:rPr>
        <w:t xml:space="preserve">%) in the current study is </w:t>
      </w:r>
      <w:r w:rsidR="00C10651" w:rsidRPr="009E1D9E">
        <w:rPr>
          <w:rFonts w:ascii="Arial" w:hAnsi="Arial" w:cs="Arial"/>
          <w:sz w:val="24"/>
          <w:szCs w:val="24"/>
        </w:rPr>
        <w:t xml:space="preserve">very close to </w:t>
      </w:r>
      <w:r w:rsidR="00C62B89" w:rsidRPr="009E1D9E">
        <w:rPr>
          <w:rFonts w:ascii="Arial" w:hAnsi="Arial" w:cs="Arial"/>
          <w:sz w:val="24"/>
          <w:szCs w:val="24"/>
        </w:rPr>
        <w:t xml:space="preserve">those identified in a </w:t>
      </w:r>
      <w:r w:rsidR="00C10651" w:rsidRPr="009E1D9E">
        <w:rPr>
          <w:rFonts w:ascii="Arial" w:hAnsi="Arial" w:cs="Arial"/>
          <w:sz w:val="24"/>
          <w:szCs w:val="24"/>
        </w:rPr>
        <w:t xml:space="preserve">previous study </w:t>
      </w:r>
      <w:r w:rsidR="00C62B89" w:rsidRPr="009E1D9E">
        <w:rPr>
          <w:rFonts w:ascii="Arial" w:hAnsi="Arial" w:cs="Arial"/>
          <w:sz w:val="24"/>
          <w:szCs w:val="24"/>
        </w:rPr>
        <w:t>using</w:t>
      </w:r>
      <w:r w:rsidR="00C10651" w:rsidRPr="009E1D9E">
        <w:rPr>
          <w:rFonts w:ascii="Arial" w:hAnsi="Arial" w:cs="Arial"/>
          <w:sz w:val="24"/>
          <w:szCs w:val="24"/>
        </w:rPr>
        <w:t xml:space="preserve"> a </w:t>
      </w:r>
      <w:r w:rsidRPr="009E1D9E">
        <w:rPr>
          <w:rFonts w:ascii="Arial" w:hAnsi="Arial" w:cs="Arial"/>
          <w:sz w:val="24"/>
          <w:szCs w:val="24"/>
        </w:rPr>
        <w:t>nationally representative s</w:t>
      </w:r>
      <w:r w:rsidR="00C10651" w:rsidRPr="009E1D9E">
        <w:rPr>
          <w:rFonts w:ascii="Arial" w:hAnsi="Arial" w:cs="Arial"/>
          <w:sz w:val="24"/>
          <w:szCs w:val="24"/>
        </w:rPr>
        <w:t xml:space="preserve">ample of </w:t>
      </w:r>
      <w:r w:rsidRPr="009E1D9E">
        <w:rPr>
          <w:rFonts w:ascii="Arial" w:hAnsi="Arial" w:cs="Arial"/>
          <w:sz w:val="24"/>
          <w:szCs w:val="24"/>
        </w:rPr>
        <w:t>the Israeli po</w:t>
      </w:r>
      <w:r w:rsidR="00C62B89" w:rsidRPr="009E1D9E">
        <w:rPr>
          <w:rFonts w:ascii="Arial" w:hAnsi="Arial" w:cs="Arial"/>
          <w:sz w:val="24"/>
          <w:szCs w:val="24"/>
        </w:rPr>
        <w:t xml:space="preserve">pulation: </w:t>
      </w:r>
      <w:r w:rsidR="00FB0CF7" w:rsidRPr="009E1D9E">
        <w:rPr>
          <w:rFonts w:ascii="Arial" w:hAnsi="Arial" w:cs="Arial"/>
          <w:sz w:val="24"/>
          <w:szCs w:val="24"/>
        </w:rPr>
        <w:t xml:space="preserve">9.0% for PTSD and 2.6% fort CPTSD </w:t>
      </w:r>
      <w:r w:rsidRPr="009E1D9E">
        <w:rPr>
          <w:rFonts w:ascii="Arial" w:hAnsi="Arial" w:cs="Arial"/>
          <w:sz w:val="24"/>
          <w:szCs w:val="24"/>
        </w:rPr>
        <w:t>(</w:t>
      </w:r>
      <w:r w:rsidR="00C10651" w:rsidRPr="009E1D9E">
        <w:rPr>
          <w:rFonts w:ascii="Arial" w:hAnsi="Arial" w:cs="Arial"/>
          <w:sz w:val="24"/>
          <w:szCs w:val="24"/>
        </w:rPr>
        <w:t xml:space="preserve">Ben-Ezra et al., </w:t>
      </w:r>
      <w:r w:rsidR="00C62B89" w:rsidRPr="009E1D9E">
        <w:rPr>
          <w:rFonts w:ascii="Arial" w:hAnsi="Arial" w:cs="Arial"/>
          <w:sz w:val="24"/>
          <w:szCs w:val="24"/>
        </w:rPr>
        <w:t>2018</w:t>
      </w:r>
      <w:r w:rsidR="00C10651" w:rsidRPr="009E1D9E">
        <w:rPr>
          <w:rFonts w:ascii="Arial" w:hAnsi="Arial" w:cs="Arial"/>
          <w:sz w:val="24"/>
          <w:szCs w:val="24"/>
        </w:rPr>
        <w:t>)</w:t>
      </w:r>
      <w:r w:rsidRPr="009E1D9E">
        <w:rPr>
          <w:rFonts w:ascii="Arial" w:hAnsi="Arial" w:cs="Arial"/>
          <w:sz w:val="24"/>
          <w:szCs w:val="24"/>
        </w:rPr>
        <w:t>.</w:t>
      </w:r>
      <w:r w:rsidR="0008354B" w:rsidRPr="009E1D9E">
        <w:rPr>
          <w:rFonts w:ascii="Arial" w:hAnsi="Arial" w:cs="Arial"/>
          <w:sz w:val="24"/>
          <w:szCs w:val="24"/>
        </w:rPr>
        <w:t xml:space="preserve"> However, this comparison of prevalence should be taken with caution as the two samples differed in sampling methods (representative vs. convenience). </w:t>
      </w:r>
      <w:r w:rsidR="00FB0CF7" w:rsidRPr="009E1D9E">
        <w:rPr>
          <w:rFonts w:ascii="Arial" w:hAnsi="Arial" w:cs="Arial"/>
          <w:sz w:val="24"/>
          <w:szCs w:val="24"/>
        </w:rPr>
        <w:t xml:space="preserve"> </w:t>
      </w:r>
      <w:r w:rsidRPr="009E1D9E">
        <w:rPr>
          <w:rFonts w:ascii="Arial" w:hAnsi="Arial" w:cs="Arial"/>
          <w:sz w:val="24"/>
          <w:szCs w:val="24"/>
        </w:rPr>
        <w:t xml:space="preserve">The current results indicate that ICD-11 PTSD is more common in the general population </w:t>
      </w:r>
      <w:r w:rsidR="00857219" w:rsidRPr="009E1D9E">
        <w:rPr>
          <w:rFonts w:ascii="Arial" w:hAnsi="Arial" w:cs="Arial"/>
          <w:sz w:val="24"/>
          <w:szCs w:val="24"/>
        </w:rPr>
        <w:t xml:space="preserve">of Israel, </w:t>
      </w:r>
      <w:r w:rsidRPr="009E1D9E">
        <w:rPr>
          <w:rFonts w:ascii="Arial" w:hAnsi="Arial" w:cs="Arial"/>
          <w:sz w:val="24"/>
          <w:szCs w:val="24"/>
        </w:rPr>
        <w:t>as compared to CPTSD.</w:t>
      </w:r>
      <w:r w:rsidR="00281778" w:rsidRPr="009E1D9E">
        <w:rPr>
          <w:rFonts w:ascii="Arial" w:hAnsi="Arial" w:cs="Arial"/>
          <w:sz w:val="24"/>
          <w:szCs w:val="24"/>
        </w:rPr>
        <w:t xml:space="preserve"> </w:t>
      </w:r>
      <w:r w:rsidRPr="009E1D9E">
        <w:rPr>
          <w:rFonts w:ascii="Arial" w:hAnsi="Arial" w:cs="Arial"/>
          <w:sz w:val="24"/>
          <w:szCs w:val="24"/>
        </w:rPr>
        <w:t xml:space="preserve">This is consistent with findings from </w:t>
      </w:r>
      <w:r w:rsidR="00C62B89" w:rsidRPr="009E1D9E">
        <w:rPr>
          <w:rFonts w:ascii="Arial" w:hAnsi="Arial" w:cs="Arial"/>
          <w:sz w:val="24"/>
          <w:szCs w:val="24"/>
        </w:rPr>
        <w:t xml:space="preserve">a nationally representative sample of young adults in </w:t>
      </w:r>
      <w:r w:rsidR="00857219" w:rsidRPr="009E1D9E">
        <w:rPr>
          <w:rFonts w:ascii="Arial" w:hAnsi="Arial" w:cs="Arial"/>
          <w:sz w:val="24"/>
          <w:szCs w:val="24"/>
        </w:rPr>
        <w:t>Denmark (</w:t>
      </w:r>
      <w:r w:rsidRPr="009E1D9E">
        <w:rPr>
          <w:rFonts w:ascii="Arial" w:hAnsi="Arial" w:cs="Arial"/>
          <w:sz w:val="24"/>
          <w:szCs w:val="24"/>
        </w:rPr>
        <w:t xml:space="preserve">Hyland et al., 2017b). The </w:t>
      </w:r>
      <w:r w:rsidRPr="009E1D9E">
        <w:rPr>
          <w:rFonts w:ascii="Arial" w:hAnsi="Arial" w:cs="Arial"/>
          <w:sz w:val="24"/>
          <w:szCs w:val="24"/>
        </w:rPr>
        <w:lastRenderedPageBreak/>
        <w:t>higher prevalence of PTSD, relative to CPTSD, among community samples is in contrast to what has been observed among clinical samples</w:t>
      </w:r>
      <w:r w:rsidR="00FB0CF7" w:rsidRPr="009E1D9E">
        <w:rPr>
          <w:rFonts w:ascii="Arial" w:hAnsi="Arial" w:cs="Arial"/>
          <w:sz w:val="24"/>
          <w:szCs w:val="24"/>
        </w:rPr>
        <w:t xml:space="preserve"> (see for example, Hyland et al., 2017a; Hyland et al., 2017c; Karatzias et al., 2016; Nickerson et al., 2016)</w:t>
      </w:r>
      <w:r w:rsidRPr="009E1D9E">
        <w:rPr>
          <w:rFonts w:ascii="Arial" w:hAnsi="Arial" w:cs="Arial"/>
          <w:sz w:val="24"/>
          <w:szCs w:val="24"/>
        </w:rPr>
        <w:t xml:space="preserve">. </w:t>
      </w:r>
    </w:p>
    <w:p w14:paraId="53387736" w14:textId="741ADB90" w:rsidR="00DF1326" w:rsidRPr="009E1D9E" w:rsidRDefault="00DF1326" w:rsidP="00110CB8">
      <w:pPr>
        <w:spacing w:after="0" w:line="480" w:lineRule="auto"/>
        <w:rPr>
          <w:rFonts w:ascii="Arial" w:hAnsi="Arial" w:cs="Arial"/>
          <w:sz w:val="24"/>
          <w:szCs w:val="24"/>
        </w:rPr>
      </w:pPr>
      <w:r w:rsidRPr="009E1D9E">
        <w:rPr>
          <w:rFonts w:ascii="Arial" w:hAnsi="Arial" w:cs="Arial"/>
          <w:sz w:val="24"/>
          <w:szCs w:val="24"/>
        </w:rPr>
        <w:tab/>
        <w:t>Females were significantly more likely than males to be diagnosed with PTSD and CPTSD</w:t>
      </w:r>
      <w:r w:rsidR="00C62B89" w:rsidRPr="009E1D9E">
        <w:rPr>
          <w:rFonts w:ascii="Arial" w:hAnsi="Arial" w:cs="Arial"/>
          <w:sz w:val="24"/>
          <w:szCs w:val="24"/>
        </w:rPr>
        <w:t xml:space="preserve"> than males</w:t>
      </w:r>
      <w:r w:rsidRPr="009E1D9E">
        <w:rPr>
          <w:rFonts w:ascii="Arial" w:hAnsi="Arial" w:cs="Arial"/>
          <w:sz w:val="24"/>
          <w:szCs w:val="24"/>
        </w:rPr>
        <w:t xml:space="preserve">. Previous studies with clinical (Karatzias et al., 2016; Karatzias et al., 2017) and community (Hyland et al., 2017b) samples have indicated that females are approximately twice as likely </w:t>
      </w:r>
      <w:r w:rsidR="00C62B89" w:rsidRPr="009E1D9E">
        <w:rPr>
          <w:rFonts w:ascii="Arial" w:hAnsi="Arial" w:cs="Arial"/>
          <w:sz w:val="24"/>
          <w:szCs w:val="24"/>
        </w:rPr>
        <w:t>as</w:t>
      </w:r>
      <w:r w:rsidR="0050545C" w:rsidRPr="009E1D9E">
        <w:rPr>
          <w:rFonts w:ascii="Arial" w:hAnsi="Arial" w:cs="Arial"/>
          <w:sz w:val="24"/>
          <w:szCs w:val="24"/>
        </w:rPr>
        <w:t xml:space="preserve"> </w:t>
      </w:r>
      <w:r w:rsidRPr="009E1D9E">
        <w:rPr>
          <w:rFonts w:ascii="Arial" w:hAnsi="Arial" w:cs="Arial"/>
          <w:sz w:val="24"/>
          <w:szCs w:val="24"/>
        </w:rPr>
        <w:t xml:space="preserve">males to meet diagnostic status for ICD-11 PTSD and CPTSD; findings </w:t>
      </w:r>
      <w:r w:rsidR="00857219" w:rsidRPr="009E1D9E">
        <w:rPr>
          <w:rFonts w:ascii="Arial" w:hAnsi="Arial" w:cs="Arial"/>
          <w:sz w:val="24"/>
          <w:szCs w:val="24"/>
        </w:rPr>
        <w:t xml:space="preserve">that are </w:t>
      </w:r>
      <w:r w:rsidRPr="009E1D9E">
        <w:rPr>
          <w:rFonts w:ascii="Arial" w:hAnsi="Arial" w:cs="Arial"/>
          <w:sz w:val="24"/>
          <w:szCs w:val="24"/>
        </w:rPr>
        <w:t xml:space="preserve">consistent with the wider trauma literature (Christiansen &amp; </w:t>
      </w:r>
      <w:proofErr w:type="spellStart"/>
      <w:r w:rsidRPr="009E1D9E">
        <w:rPr>
          <w:rFonts w:ascii="Arial" w:hAnsi="Arial" w:cs="Arial"/>
          <w:sz w:val="24"/>
          <w:szCs w:val="24"/>
        </w:rPr>
        <w:t>Elklit</w:t>
      </w:r>
      <w:proofErr w:type="spellEnd"/>
      <w:r w:rsidRPr="009E1D9E">
        <w:rPr>
          <w:rFonts w:ascii="Arial" w:hAnsi="Arial" w:cs="Arial"/>
          <w:sz w:val="24"/>
          <w:szCs w:val="24"/>
        </w:rPr>
        <w:t xml:space="preserve">, 2012; </w:t>
      </w:r>
      <w:proofErr w:type="spellStart"/>
      <w:r w:rsidRPr="009E1D9E">
        <w:rPr>
          <w:rFonts w:ascii="Arial" w:hAnsi="Arial" w:cs="Arial"/>
          <w:sz w:val="24"/>
          <w:szCs w:val="24"/>
        </w:rPr>
        <w:t>Palic</w:t>
      </w:r>
      <w:proofErr w:type="spellEnd"/>
      <w:r w:rsidRPr="009E1D9E">
        <w:rPr>
          <w:rFonts w:ascii="Arial" w:hAnsi="Arial" w:cs="Arial"/>
          <w:sz w:val="24"/>
          <w:szCs w:val="24"/>
        </w:rPr>
        <w:t xml:space="preserve"> et al., 2016). Current results indicate that, among the general adult Israeli population, a meaningful gender difference exists for PTSD </w:t>
      </w:r>
      <w:r w:rsidR="009868B3" w:rsidRPr="009E1D9E">
        <w:rPr>
          <w:rFonts w:ascii="Arial" w:hAnsi="Arial" w:cs="Arial"/>
          <w:sz w:val="24"/>
          <w:szCs w:val="24"/>
        </w:rPr>
        <w:t xml:space="preserve">and </w:t>
      </w:r>
      <w:r w:rsidRPr="009E1D9E">
        <w:rPr>
          <w:rFonts w:ascii="Arial" w:hAnsi="Arial" w:cs="Arial"/>
          <w:sz w:val="24"/>
          <w:szCs w:val="24"/>
        </w:rPr>
        <w:t>CPTSD</w:t>
      </w:r>
      <w:r w:rsidR="0050545C" w:rsidRPr="009E1D9E">
        <w:rPr>
          <w:rFonts w:ascii="Arial" w:hAnsi="Arial" w:cs="Arial"/>
          <w:sz w:val="24"/>
          <w:szCs w:val="24"/>
        </w:rPr>
        <w:t xml:space="preserve"> with females more likely to </w:t>
      </w:r>
      <w:r w:rsidR="00857219" w:rsidRPr="009E1D9E">
        <w:rPr>
          <w:rFonts w:ascii="Arial" w:hAnsi="Arial" w:cs="Arial"/>
          <w:sz w:val="24"/>
          <w:szCs w:val="24"/>
        </w:rPr>
        <w:t>meet diagnostic criteria</w:t>
      </w:r>
      <w:r w:rsidR="0050545C" w:rsidRPr="009E1D9E">
        <w:rPr>
          <w:rFonts w:ascii="Arial" w:hAnsi="Arial" w:cs="Arial"/>
          <w:sz w:val="24"/>
          <w:szCs w:val="24"/>
        </w:rPr>
        <w:t xml:space="preserve"> </w:t>
      </w:r>
      <w:r w:rsidR="00857219" w:rsidRPr="009E1D9E">
        <w:rPr>
          <w:rFonts w:ascii="Arial" w:hAnsi="Arial" w:cs="Arial"/>
          <w:sz w:val="24"/>
          <w:szCs w:val="24"/>
        </w:rPr>
        <w:t xml:space="preserve">for </w:t>
      </w:r>
      <w:r w:rsidR="0050545C" w:rsidRPr="009E1D9E">
        <w:rPr>
          <w:rFonts w:ascii="Arial" w:hAnsi="Arial" w:cs="Arial"/>
          <w:sz w:val="24"/>
          <w:szCs w:val="24"/>
        </w:rPr>
        <w:t>both</w:t>
      </w:r>
      <w:r w:rsidR="00857219" w:rsidRPr="009E1D9E">
        <w:rPr>
          <w:rFonts w:ascii="Arial" w:hAnsi="Arial" w:cs="Arial"/>
          <w:sz w:val="24"/>
          <w:szCs w:val="24"/>
        </w:rPr>
        <w:t xml:space="preserve"> disorders</w:t>
      </w:r>
      <w:r w:rsidRPr="009E1D9E">
        <w:rPr>
          <w:rFonts w:ascii="Arial" w:hAnsi="Arial" w:cs="Arial"/>
          <w:sz w:val="24"/>
          <w:szCs w:val="24"/>
        </w:rPr>
        <w:t xml:space="preserve">. </w:t>
      </w:r>
    </w:p>
    <w:p w14:paraId="3842287C" w14:textId="032A153A" w:rsidR="00DF1326" w:rsidRPr="009E1D9E" w:rsidRDefault="00600630" w:rsidP="00110CB8">
      <w:pPr>
        <w:shd w:val="clear" w:color="auto" w:fill="FFFFFF"/>
        <w:spacing w:after="0" w:line="480" w:lineRule="auto"/>
        <w:ind w:firstLine="720"/>
        <w:rPr>
          <w:rFonts w:ascii="Arial" w:hAnsi="Arial" w:cs="Arial"/>
          <w:sz w:val="24"/>
          <w:szCs w:val="24"/>
        </w:rPr>
      </w:pPr>
      <w:r w:rsidRPr="009E1D9E">
        <w:rPr>
          <w:rFonts w:ascii="Arial" w:hAnsi="Arial" w:cs="Arial"/>
          <w:sz w:val="24"/>
          <w:szCs w:val="24"/>
        </w:rPr>
        <w:lastRenderedPageBreak/>
        <w:t xml:space="preserve">In line with </w:t>
      </w:r>
      <w:r w:rsidR="0050545C" w:rsidRPr="009E1D9E">
        <w:rPr>
          <w:rFonts w:ascii="Arial" w:hAnsi="Arial" w:cs="Arial"/>
          <w:sz w:val="24"/>
          <w:szCs w:val="24"/>
        </w:rPr>
        <w:t xml:space="preserve">a </w:t>
      </w:r>
      <w:r w:rsidRPr="009E1D9E">
        <w:rPr>
          <w:rFonts w:ascii="Arial" w:hAnsi="Arial" w:cs="Arial"/>
          <w:sz w:val="24"/>
          <w:szCs w:val="24"/>
        </w:rPr>
        <w:t>previous study</w:t>
      </w:r>
      <w:r w:rsidR="0050545C" w:rsidRPr="009E1D9E">
        <w:rPr>
          <w:rFonts w:ascii="Arial" w:hAnsi="Arial" w:cs="Arial"/>
          <w:sz w:val="24"/>
          <w:szCs w:val="24"/>
        </w:rPr>
        <w:t xml:space="preserve"> in Israel</w:t>
      </w:r>
      <w:r w:rsidRPr="009E1D9E">
        <w:rPr>
          <w:rFonts w:ascii="Arial" w:hAnsi="Arial" w:cs="Arial"/>
          <w:sz w:val="24"/>
          <w:szCs w:val="24"/>
        </w:rPr>
        <w:t xml:space="preserve"> (Ben-Ezra et al., </w:t>
      </w:r>
      <w:r w:rsidR="00C62B89" w:rsidRPr="009E1D9E">
        <w:rPr>
          <w:rFonts w:ascii="Arial" w:hAnsi="Arial" w:cs="Arial"/>
          <w:sz w:val="24"/>
          <w:szCs w:val="24"/>
        </w:rPr>
        <w:t>2018</w:t>
      </w:r>
      <w:r w:rsidRPr="009E1D9E">
        <w:rPr>
          <w:rFonts w:ascii="Arial" w:hAnsi="Arial" w:cs="Arial"/>
          <w:sz w:val="24"/>
          <w:szCs w:val="24"/>
        </w:rPr>
        <w:t xml:space="preserve">), </w:t>
      </w:r>
      <w:r w:rsidR="0050545C" w:rsidRPr="009E1D9E">
        <w:rPr>
          <w:rFonts w:ascii="Arial" w:hAnsi="Arial" w:cs="Arial"/>
          <w:sz w:val="24"/>
          <w:szCs w:val="24"/>
        </w:rPr>
        <w:t xml:space="preserve">a </w:t>
      </w:r>
      <w:r w:rsidR="00DF1326" w:rsidRPr="009E1D9E">
        <w:rPr>
          <w:rFonts w:ascii="Arial" w:hAnsi="Arial" w:cs="Arial"/>
          <w:sz w:val="24"/>
          <w:szCs w:val="24"/>
        </w:rPr>
        <w:t xml:space="preserve">CPTSD diagnosis can be meaningfully distinguished from a PTSD diagnosis </w:t>
      </w:r>
      <w:r w:rsidRPr="009E1D9E">
        <w:rPr>
          <w:rFonts w:ascii="Arial" w:hAnsi="Arial" w:cs="Arial"/>
          <w:sz w:val="24"/>
          <w:szCs w:val="24"/>
        </w:rPr>
        <w:t xml:space="preserve">on </w:t>
      </w:r>
      <w:r w:rsidR="00857219" w:rsidRPr="009E1D9E">
        <w:rPr>
          <w:rFonts w:ascii="Arial" w:hAnsi="Arial" w:cs="Arial"/>
          <w:sz w:val="24"/>
          <w:szCs w:val="24"/>
        </w:rPr>
        <w:t xml:space="preserve">the basis of </w:t>
      </w:r>
      <w:proofErr w:type="spellStart"/>
      <w:r w:rsidR="00DF1326" w:rsidRPr="009E1D9E">
        <w:rPr>
          <w:rFonts w:ascii="Arial" w:hAnsi="Arial" w:cs="Arial"/>
          <w:sz w:val="24"/>
          <w:szCs w:val="24"/>
        </w:rPr>
        <w:t>polytraumatisation</w:t>
      </w:r>
      <w:proofErr w:type="spellEnd"/>
      <w:r w:rsidRPr="009E1D9E">
        <w:rPr>
          <w:rFonts w:ascii="Arial" w:hAnsi="Arial" w:cs="Arial"/>
          <w:sz w:val="24"/>
          <w:szCs w:val="24"/>
        </w:rPr>
        <w:t xml:space="preserve"> and </w:t>
      </w:r>
      <w:r w:rsidR="00DF1326" w:rsidRPr="009E1D9E">
        <w:rPr>
          <w:rFonts w:ascii="Arial" w:hAnsi="Arial" w:cs="Arial"/>
          <w:sz w:val="24"/>
          <w:szCs w:val="24"/>
        </w:rPr>
        <w:t>psychological wellbeing</w:t>
      </w:r>
      <w:r w:rsidRPr="009E1D9E">
        <w:rPr>
          <w:rFonts w:ascii="Arial" w:hAnsi="Arial" w:cs="Arial"/>
          <w:sz w:val="24"/>
          <w:szCs w:val="24"/>
        </w:rPr>
        <w:t xml:space="preserve">. </w:t>
      </w:r>
      <w:r w:rsidR="0050545C" w:rsidRPr="009E1D9E">
        <w:rPr>
          <w:rFonts w:ascii="Arial" w:hAnsi="Arial" w:cs="Arial"/>
          <w:sz w:val="24"/>
          <w:szCs w:val="24"/>
        </w:rPr>
        <w:t>However, f</w:t>
      </w:r>
      <w:r w:rsidR="00DF1326" w:rsidRPr="009E1D9E">
        <w:rPr>
          <w:rFonts w:ascii="Arial" w:hAnsi="Arial" w:cs="Arial"/>
          <w:sz w:val="24"/>
          <w:szCs w:val="24"/>
        </w:rPr>
        <w:t xml:space="preserve">urther work is required on the differential predictors of CPTSD in culturally distinct community samples. </w:t>
      </w:r>
      <w:r w:rsidR="0050545C" w:rsidRPr="009E1D9E">
        <w:rPr>
          <w:rFonts w:ascii="Arial" w:hAnsi="Arial" w:cs="Arial"/>
          <w:sz w:val="24"/>
          <w:szCs w:val="24"/>
        </w:rPr>
        <w:t xml:space="preserve">Assessing </w:t>
      </w:r>
      <w:r w:rsidR="00DF1326" w:rsidRPr="009E1D9E">
        <w:rPr>
          <w:rFonts w:ascii="Arial" w:hAnsi="Arial" w:cs="Arial"/>
          <w:sz w:val="24"/>
          <w:szCs w:val="24"/>
        </w:rPr>
        <w:t>cultural features in cross-cultural studies will</w:t>
      </w:r>
      <w:r w:rsidR="00857219" w:rsidRPr="009E1D9E">
        <w:rPr>
          <w:rFonts w:ascii="Arial" w:hAnsi="Arial" w:cs="Arial"/>
          <w:sz w:val="24"/>
          <w:szCs w:val="24"/>
        </w:rPr>
        <w:t xml:space="preserve"> provide</w:t>
      </w:r>
      <w:r w:rsidR="00DF1326" w:rsidRPr="009E1D9E">
        <w:rPr>
          <w:rFonts w:ascii="Arial" w:hAnsi="Arial" w:cs="Arial"/>
          <w:sz w:val="24"/>
          <w:szCs w:val="24"/>
        </w:rPr>
        <w:t xml:space="preserve"> </w:t>
      </w:r>
      <w:r w:rsidR="0050545C" w:rsidRPr="009E1D9E">
        <w:rPr>
          <w:rFonts w:ascii="Arial" w:hAnsi="Arial" w:cs="Arial"/>
          <w:sz w:val="24"/>
          <w:szCs w:val="24"/>
        </w:rPr>
        <w:t>further</w:t>
      </w:r>
      <w:r w:rsidR="00DF1326" w:rsidRPr="009E1D9E">
        <w:rPr>
          <w:rFonts w:ascii="Arial" w:hAnsi="Arial" w:cs="Arial"/>
          <w:sz w:val="24"/>
          <w:szCs w:val="24"/>
        </w:rPr>
        <w:t xml:space="preserve"> insight to the role of specific sociocultural factors in </w:t>
      </w:r>
      <w:r w:rsidR="00C62B89" w:rsidRPr="009E1D9E">
        <w:rPr>
          <w:rFonts w:ascii="Arial" w:hAnsi="Arial" w:cs="Arial"/>
          <w:sz w:val="24"/>
          <w:szCs w:val="24"/>
        </w:rPr>
        <w:t>the development of</w:t>
      </w:r>
      <w:r w:rsidR="00DF1326" w:rsidRPr="009E1D9E">
        <w:rPr>
          <w:rFonts w:ascii="Arial" w:hAnsi="Arial" w:cs="Arial"/>
          <w:sz w:val="24"/>
          <w:szCs w:val="24"/>
        </w:rPr>
        <w:t xml:space="preserve"> PTSD and CPTSD. Furthermore, prospective studies will enable researchers to </w:t>
      </w:r>
      <w:r w:rsidR="0050545C" w:rsidRPr="009E1D9E">
        <w:rPr>
          <w:rFonts w:ascii="Arial" w:hAnsi="Arial" w:cs="Arial"/>
          <w:sz w:val="24"/>
          <w:szCs w:val="24"/>
        </w:rPr>
        <w:t xml:space="preserve">identify </w:t>
      </w:r>
      <w:r w:rsidR="00C62B89" w:rsidRPr="009E1D9E">
        <w:rPr>
          <w:rFonts w:ascii="Arial" w:hAnsi="Arial" w:cs="Arial"/>
          <w:sz w:val="24"/>
          <w:szCs w:val="24"/>
        </w:rPr>
        <w:t>variables</w:t>
      </w:r>
      <w:r w:rsidR="00DF1326" w:rsidRPr="009E1D9E">
        <w:rPr>
          <w:rFonts w:ascii="Arial" w:hAnsi="Arial" w:cs="Arial"/>
          <w:sz w:val="24"/>
          <w:szCs w:val="24"/>
        </w:rPr>
        <w:t xml:space="preserve"> that </w:t>
      </w:r>
      <w:r w:rsidR="00857219" w:rsidRPr="009E1D9E">
        <w:rPr>
          <w:rFonts w:ascii="Arial" w:hAnsi="Arial" w:cs="Arial"/>
          <w:sz w:val="24"/>
          <w:szCs w:val="24"/>
        </w:rPr>
        <w:t>longitudinally predict the development of these disorders</w:t>
      </w:r>
      <w:r w:rsidR="00DF1326" w:rsidRPr="009E1D9E">
        <w:rPr>
          <w:rFonts w:ascii="Arial" w:hAnsi="Arial" w:cs="Arial"/>
          <w:sz w:val="24"/>
          <w:szCs w:val="24"/>
        </w:rPr>
        <w:t xml:space="preserve">. </w:t>
      </w:r>
      <w:r w:rsidR="0050545C" w:rsidRPr="009E1D9E">
        <w:rPr>
          <w:rFonts w:ascii="Arial" w:hAnsi="Arial" w:cs="Arial"/>
          <w:sz w:val="24"/>
          <w:szCs w:val="24"/>
        </w:rPr>
        <w:t>At present, it is u</w:t>
      </w:r>
      <w:r w:rsidR="00857219" w:rsidRPr="009E1D9E">
        <w:rPr>
          <w:rFonts w:ascii="Arial" w:hAnsi="Arial" w:cs="Arial"/>
          <w:sz w:val="24"/>
          <w:szCs w:val="24"/>
        </w:rPr>
        <w:t>n</w:t>
      </w:r>
      <w:r w:rsidR="0050545C" w:rsidRPr="009E1D9E">
        <w:rPr>
          <w:rFonts w:ascii="Arial" w:hAnsi="Arial" w:cs="Arial"/>
          <w:sz w:val="24"/>
          <w:szCs w:val="24"/>
        </w:rPr>
        <w:t xml:space="preserve">known whether any cultural differences exist in the </w:t>
      </w:r>
      <w:r w:rsidR="00C651B1" w:rsidRPr="009E1D9E">
        <w:rPr>
          <w:rFonts w:ascii="Arial" w:hAnsi="Arial" w:cs="Arial"/>
          <w:sz w:val="24"/>
          <w:szCs w:val="24"/>
        </w:rPr>
        <w:t>phenomenology and presentations</w:t>
      </w:r>
      <w:r w:rsidR="00CA5AD3" w:rsidRPr="009E1D9E">
        <w:rPr>
          <w:rFonts w:ascii="Arial" w:hAnsi="Arial" w:cs="Arial"/>
          <w:sz w:val="24"/>
          <w:szCs w:val="24"/>
        </w:rPr>
        <w:t xml:space="preserve"> </w:t>
      </w:r>
      <w:r w:rsidR="0050545C" w:rsidRPr="009E1D9E">
        <w:rPr>
          <w:rFonts w:ascii="Arial" w:hAnsi="Arial" w:cs="Arial"/>
          <w:sz w:val="24"/>
          <w:szCs w:val="24"/>
        </w:rPr>
        <w:t>of CPTSD</w:t>
      </w:r>
      <w:r w:rsidR="00857219" w:rsidRPr="009E1D9E">
        <w:rPr>
          <w:rFonts w:ascii="Arial" w:hAnsi="Arial" w:cs="Arial"/>
          <w:sz w:val="24"/>
          <w:szCs w:val="24"/>
        </w:rPr>
        <w:t>.</w:t>
      </w:r>
    </w:p>
    <w:p w14:paraId="7C52E987" w14:textId="6C6C8CD2" w:rsidR="00DF1326" w:rsidRPr="009E1D9E" w:rsidRDefault="00DF1326" w:rsidP="00110CB8">
      <w:pPr>
        <w:shd w:val="clear" w:color="auto" w:fill="FFFFFF"/>
        <w:spacing w:after="0" w:line="480" w:lineRule="auto"/>
        <w:ind w:firstLine="720"/>
        <w:rPr>
          <w:rFonts w:ascii="Arial" w:hAnsi="Arial" w:cs="Arial"/>
          <w:sz w:val="24"/>
          <w:szCs w:val="24"/>
        </w:rPr>
      </w:pPr>
      <w:r w:rsidRPr="009E1D9E">
        <w:rPr>
          <w:rFonts w:ascii="Arial" w:hAnsi="Arial" w:cs="Arial"/>
          <w:sz w:val="24"/>
          <w:szCs w:val="24"/>
        </w:rPr>
        <w:t xml:space="preserve">The results from the LCA indicated that a </w:t>
      </w:r>
      <w:r w:rsidR="00AE0720" w:rsidRPr="009E1D9E">
        <w:rPr>
          <w:rFonts w:ascii="Arial" w:hAnsi="Arial" w:cs="Arial"/>
          <w:sz w:val="24"/>
          <w:szCs w:val="24"/>
        </w:rPr>
        <w:t>three-class</w:t>
      </w:r>
      <w:r w:rsidRPr="009E1D9E">
        <w:rPr>
          <w:rFonts w:ascii="Arial" w:hAnsi="Arial" w:cs="Arial"/>
          <w:sz w:val="24"/>
          <w:szCs w:val="24"/>
        </w:rPr>
        <w:t xml:space="preserve"> solution representing </w:t>
      </w:r>
      <w:r w:rsidR="00857219" w:rsidRPr="009E1D9E">
        <w:rPr>
          <w:rFonts w:ascii="Arial" w:hAnsi="Arial" w:cs="Arial"/>
          <w:sz w:val="24"/>
          <w:szCs w:val="24"/>
        </w:rPr>
        <w:t>a baseline (non-symptomatic) class</w:t>
      </w:r>
      <w:r w:rsidR="00AE0720" w:rsidRPr="009E1D9E">
        <w:rPr>
          <w:rFonts w:ascii="Arial" w:hAnsi="Arial" w:cs="Arial"/>
          <w:sz w:val="24"/>
          <w:szCs w:val="24"/>
        </w:rPr>
        <w:t>,</w:t>
      </w:r>
      <w:r w:rsidR="00857219" w:rsidRPr="009E1D9E">
        <w:rPr>
          <w:rFonts w:ascii="Arial" w:hAnsi="Arial" w:cs="Arial"/>
          <w:sz w:val="24"/>
          <w:szCs w:val="24"/>
        </w:rPr>
        <w:t xml:space="preserve"> a</w:t>
      </w:r>
      <w:r w:rsidR="00AE0720" w:rsidRPr="009E1D9E">
        <w:rPr>
          <w:rFonts w:ascii="Arial" w:hAnsi="Arial" w:cs="Arial"/>
          <w:sz w:val="24"/>
          <w:szCs w:val="24"/>
        </w:rPr>
        <w:t xml:space="preserve"> </w:t>
      </w:r>
      <w:r w:rsidRPr="009E1D9E">
        <w:rPr>
          <w:rFonts w:ascii="Arial" w:hAnsi="Arial" w:cs="Arial"/>
          <w:sz w:val="24"/>
          <w:szCs w:val="24"/>
        </w:rPr>
        <w:t>PTSD</w:t>
      </w:r>
      <w:r w:rsidR="00857219" w:rsidRPr="009E1D9E">
        <w:rPr>
          <w:rFonts w:ascii="Arial" w:hAnsi="Arial" w:cs="Arial"/>
          <w:sz w:val="24"/>
          <w:szCs w:val="24"/>
        </w:rPr>
        <w:t xml:space="preserve"> class</w:t>
      </w:r>
      <w:r w:rsidRPr="009E1D9E">
        <w:rPr>
          <w:rFonts w:ascii="Arial" w:hAnsi="Arial" w:cs="Arial"/>
          <w:sz w:val="24"/>
          <w:szCs w:val="24"/>
        </w:rPr>
        <w:t>,</w:t>
      </w:r>
      <w:r w:rsidR="00857219" w:rsidRPr="009E1D9E">
        <w:rPr>
          <w:rFonts w:ascii="Arial" w:hAnsi="Arial" w:cs="Arial"/>
          <w:sz w:val="24"/>
          <w:szCs w:val="24"/>
        </w:rPr>
        <w:t xml:space="preserve"> and a</w:t>
      </w:r>
      <w:r w:rsidRPr="009E1D9E">
        <w:rPr>
          <w:rFonts w:ascii="Arial" w:hAnsi="Arial" w:cs="Arial"/>
          <w:sz w:val="24"/>
          <w:szCs w:val="24"/>
        </w:rPr>
        <w:t xml:space="preserve"> CPTSD</w:t>
      </w:r>
      <w:r w:rsidR="00AE0720" w:rsidRPr="009E1D9E">
        <w:rPr>
          <w:rFonts w:ascii="Arial" w:hAnsi="Arial" w:cs="Arial"/>
          <w:sz w:val="24"/>
          <w:szCs w:val="24"/>
        </w:rPr>
        <w:t xml:space="preserve"> </w:t>
      </w:r>
      <w:r w:rsidR="00857219" w:rsidRPr="009E1D9E">
        <w:rPr>
          <w:rFonts w:ascii="Arial" w:hAnsi="Arial" w:cs="Arial"/>
          <w:sz w:val="24"/>
          <w:szCs w:val="24"/>
        </w:rPr>
        <w:t xml:space="preserve">class </w:t>
      </w:r>
      <w:r w:rsidR="00AE0720" w:rsidRPr="009E1D9E">
        <w:rPr>
          <w:rFonts w:ascii="Arial" w:hAnsi="Arial" w:cs="Arial"/>
          <w:sz w:val="24"/>
          <w:szCs w:val="24"/>
        </w:rPr>
        <w:t>was the</w:t>
      </w:r>
      <w:r w:rsidRPr="009E1D9E">
        <w:rPr>
          <w:rFonts w:ascii="Arial" w:hAnsi="Arial" w:cs="Arial"/>
          <w:sz w:val="24"/>
          <w:szCs w:val="24"/>
        </w:rPr>
        <w:t xml:space="preserve"> best fitting model. </w:t>
      </w:r>
      <w:r w:rsidR="00AE0720" w:rsidRPr="009E1D9E">
        <w:rPr>
          <w:rFonts w:ascii="Arial" w:hAnsi="Arial" w:cs="Arial"/>
          <w:sz w:val="24"/>
          <w:szCs w:val="24"/>
        </w:rPr>
        <w:t xml:space="preserve">These results </w:t>
      </w:r>
      <w:r w:rsidR="00AA017B" w:rsidRPr="009E1D9E">
        <w:rPr>
          <w:rFonts w:ascii="Arial" w:hAnsi="Arial" w:cs="Arial"/>
          <w:sz w:val="24"/>
          <w:szCs w:val="24"/>
        </w:rPr>
        <w:t xml:space="preserve">are </w:t>
      </w:r>
      <w:r w:rsidR="00AE0720" w:rsidRPr="009E1D9E">
        <w:rPr>
          <w:rFonts w:ascii="Arial" w:hAnsi="Arial" w:cs="Arial"/>
          <w:sz w:val="24"/>
          <w:szCs w:val="24"/>
        </w:rPr>
        <w:t xml:space="preserve">similar to </w:t>
      </w:r>
      <w:r w:rsidR="00857219" w:rsidRPr="009E1D9E">
        <w:rPr>
          <w:rFonts w:ascii="Arial" w:hAnsi="Arial" w:cs="Arial"/>
          <w:sz w:val="24"/>
          <w:szCs w:val="24"/>
        </w:rPr>
        <w:t xml:space="preserve">multiple general population and clinical </w:t>
      </w:r>
      <w:r w:rsidR="00AE0720" w:rsidRPr="009E1D9E">
        <w:rPr>
          <w:rFonts w:ascii="Arial" w:hAnsi="Arial" w:cs="Arial"/>
          <w:sz w:val="24"/>
          <w:szCs w:val="24"/>
        </w:rPr>
        <w:t>stud</w:t>
      </w:r>
      <w:r w:rsidR="00857219" w:rsidRPr="009E1D9E">
        <w:rPr>
          <w:rFonts w:ascii="Arial" w:hAnsi="Arial" w:cs="Arial"/>
          <w:sz w:val="24"/>
          <w:szCs w:val="24"/>
        </w:rPr>
        <w:t>ies</w:t>
      </w:r>
      <w:r w:rsidR="00AE0720" w:rsidRPr="009E1D9E">
        <w:rPr>
          <w:rFonts w:ascii="Arial" w:hAnsi="Arial" w:cs="Arial"/>
          <w:sz w:val="24"/>
          <w:szCs w:val="24"/>
        </w:rPr>
        <w:t xml:space="preserve"> (</w:t>
      </w:r>
      <w:r w:rsidR="00C62B89" w:rsidRPr="009E1D9E">
        <w:rPr>
          <w:rFonts w:ascii="Arial" w:hAnsi="Arial" w:cs="Arial"/>
          <w:sz w:val="24"/>
          <w:szCs w:val="24"/>
        </w:rPr>
        <w:t xml:space="preserve">see </w:t>
      </w:r>
      <w:r w:rsidR="00857219" w:rsidRPr="009E1D9E">
        <w:rPr>
          <w:rFonts w:ascii="Arial" w:hAnsi="Arial" w:cs="Arial"/>
          <w:sz w:val="24"/>
          <w:szCs w:val="24"/>
        </w:rPr>
        <w:t xml:space="preserve">Brewin et al., </w:t>
      </w:r>
      <w:r w:rsidR="00857219" w:rsidRPr="009E1D9E">
        <w:rPr>
          <w:rFonts w:ascii="Arial" w:hAnsi="Arial" w:cs="Arial"/>
          <w:sz w:val="24"/>
          <w:szCs w:val="24"/>
        </w:rPr>
        <w:lastRenderedPageBreak/>
        <w:t>2017</w:t>
      </w:r>
      <w:r w:rsidR="00C62B89" w:rsidRPr="009E1D9E">
        <w:rPr>
          <w:rFonts w:ascii="Arial" w:hAnsi="Arial" w:cs="Arial"/>
          <w:sz w:val="24"/>
          <w:szCs w:val="24"/>
        </w:rPr>
        <w:t xml:space="preserve"> for a review</w:t>
      </w:r>
      <w:r w:rsidR="00AE0720" w:rsidRPr="009E1D9E">
        <w:rPr>
          <w:rFonts w:ascii="Arial" w:hAnsi="Arial" w:cs="Arial"/>
          <w:sz w:val="24"/>
          <w:szCs w:val="24"/>
        </w:rPr>
        <w:t>)</w:t>
      </w:r>
      <w:r w:rsidR="0050545C" w:rsidRPr="009E1D9E">
        <w:rPr>
          <w:rFonts w:ascii="Arial" w:hAnsi="Arial" w:cs="Arial"/>
          <w:sz w:val="24"/>
          <w:szCs w:val="24"/>
        </w:rPr>
        <w:t xml:space="preserve"> </w:t>
      </w:r>
      <w:r w:rsidRPr="009E1D9E">
        <w:rPr>
          <w:rFonts w:ascii="Arial" w:hAnsi="Arial" w:cs="Arial"/>
          <w:sz w:val="24"/>
          <w:szCs w:val="24"/>
        </w:rPr>
        <w:t xml:space="preserve">that have used latent class/profile analysis and have generally found a distinction between symptom endorsement profiles that are representative of PTSD and CPTSD. </w:t>
      </w:r>
    </w:p>
    <w:p w14:paraId="5FABC86C" w14:textId="007CFE6F" w:rsidR="009C2FFF" w:rsidRPr="009E1D9E" w:rsidRDefault="00C62B89" w:rsidP="001656ED">
      <w:pPr>
        <w:shd w:val="clear" w:color="auto" w:fill="FFFFFF"/>
        <w:spacing w:after="0" w:line="480" w:lineRule="auto"/>
        <w:ind w:firstLine="720"/>
        <w:rPr>
          <w:rFonts w:ascii="Arial" w:hAnsi="Arial" w:cs="Arial"/>
          <w:sz w:val="24"/>
          <w:szCs w:val="24"/>
        </w:rPr>
      </w:pPr>
      <w:r w:rsidRPr="009E1D9E">
        <w:rPr>
          <w:rFonts w:ascii="Arial" w:hAnsi="Arial" w:cs="Arial"/>
          <w:sz w:val="24"/>
          <w:szCs w:val="24"/>
        </w:rPr>
        <w:t>This study has</w:t>
      </w:r>
      <w:r w:rsidR="00436C2A" w:rsidRPr="009E1D9E">
        <w:rPr>
          <w:rFonts w:ascii="Arial" w:hAnsi="Arial" w:cs="Arial"/>
          <w:sz w:val="24"/>
          <w:szCs w:val="24"/>
        </w:rPr>
        <w:t xml:space="preserve"> replicated the </w:t>
      </w:r>
      <w:r w:rsidR="001610CD" w:rsidRPr="009E1D9E">
        <w:rPr>
          <w:rFonts w:ascii="Arial" w:hAnsi="Arial" w:cs="Arial"/>
          <w:sz w:val="24"/>
          <w:szCs w:val="24"/>
        </w:rPr>
        <w:t>finding</w:t>
      </w:r>
      <w:r w:rsidRPr="009E1D9E">
        <w:rPr>
          <w:rFonts w:ascii="Arial" w:hAnsi="Arial" w:cs="Arial"/>
          <w:sz w:val="24"/>
          <w:szCs w:val="24"/>
        </w:rPr>
        <w:t>s of Ben-Ezra et al. (2018)</w:t>
      </w:r>
      <w:r w:rsidR="001610CD" w:rsidRPr="009E1D9E">
        <w:rPr>
          <w:rFonts w:ascii="Arial" w:hAnsi="Arial" w:cs="Arial"/>
          <w:sz w:val="24"/>
          <w:szCs w:val="24"/>
        </w:rPr>
        <w:t xml:space="preserve"> that </w:t>
      </w:r>
      <w:r w:rsidRPr="009E1D9E">
        <w:rPr>
          <w:rFonts w:ascii="Arial" w:hAnsi="Arial" w:cs="Arial"/>
          <w:sz w:val="24"/>
          <w:szCs w:val="24"/>
        </w:rPr>
        <w:t>h</w:t>
      </w:r>
      <w:r w:rsidR="00436C2A" w:rsidRPr="009E1D9E">
        <w:rPr>
          <w:rFonts w:ascii="Arial" w:hAnsi="Arial" w:cs="Arial"/>
          <w:sz w:val="24"/>
          <w:szCs w:val="24"/>
        </w:rPr>
        <w:t>yper</w:t>
      </w:r>
      <w:r w:rsidRPr="009E1D9E">
        <w:rPr>
          <w:rFonts w:ascii="Arial" w:hAnsi="Arial" w:cs="Arial"/>
          <w:sz w:val="24"/>
          <w:szCs w:val="24"/>
        </w:rPr>
        <w:t>- and h</w:t>
      </w:r>
      <w:r w:rsidR="00436C2A" w:rsidRPr="009E1D9E">
        <w:rPr>
          <w:rFonts w:ascii="Arial" w:hAnsi="Arial" w:cs="Arial"/>
          <w:sz w:val="24"/>
          <w:szCs w:val="24"/>
        </w:rPr>
        <w:t>ypo</w:t>
      </w:r>
      <w:r w:rsidRPr="009E1D9E">
        <w:rPr>
          <w:rFonts w:ascii="Arial" w:hAnsi="Arial" w:cs="Arial"/>
          <w:sz w:val="24"/>
          <w:szCs w:val="24"/>
        </w:rPr>
        <w:t>-activation</w:t>
      </w:r>
      <w:r w:rsidR="00436C2A" w:rsidRPr="009E1D9E">
        <w:rPr>
          <w:rFonts w:ascii="Arial" w:hAnsi="Arial" w:cs="Arial"/>
          <w:sz w:val="24"/>
          <w:szCs w:val="24"/>
        </w:rPr>
        <w:t xml:space="preserve"> symptoms</w:t>
      </w:r>
      <w:r w:rsidR="001610CD" w:rsidRPr="009E1D9E">
        <w:rPr>
          <w:rFonts w:ascii="Arial" w:hAnsi="Arial" w:cs="Arial"/>
          <w:sz w:val="24"/>
          <w:szCs w:val="24"/>
        </w:rPr>
        <w:t xml:space="preserve"> are</w:t>
      </w:r>
      <w:r w:rsidRPr="009E1D9E">
        <w:rPr>
          <w:rFonts w:ascii="Arial" w:hAnsi="Arial" w:cs="Arial"/>
          <w:sz w:val="24"/>
          <w:szCs w:val="24"/>
        </w:rPr>
        <w:t xml:space="preserve"> relatively</w:t>
      </w:r>
      <w:r w:rsidR="001610CD" w:rsidRPr="009E1D9E">
        <w:rPr>
          <w:rFonts w:ascii="Arial" w:hAnsi="Arial" w:cs="Arial"/>
          <w:sz w:val="24"/>
          <w:szCs w:val="24"/>
        </w:rPr>
        <w:t xml:space="preserve"> independent</w:t>
      </w:r>
      <w:r w:rsidRPr="009E1D9E">
        <w:rPr>
          <w:rFonts w:ascii="Arial" w:hAnsi="Arial" w:cs="Arial"/>
          <w:sz w:val="24"/>
          <w:szCs w:val="24"/>
        </w:rPr>
        <w:t>; and the correlation between these symptom clusters was lower than many other factor correlations such as re-experiencing and avoidance</w:t>
      </w:r>
      <w:r w:rsidR="00436C2A" w:rsidRPr="009E1D9E">
        <w:rPr>
          <w:rFonts w:ascii="Arial" w:hAnsi="Arial" w:cs="Arial"/>
          <w:sz w:val="24"/>
          <w:szCs w:val="24"/>
        </w:rPr>
        <w:t xml:space="preserve">. </w:t>
      </w:r>
      <w:r w:rsidRPr="009E1D9E">
        <w:rPr>
          <w:rFonts w:ascii="Arial" w:hAnsi="Arial" w:cs="Arial"/>
          <w:sz w:val="24"/>
          <w:szCs w:val="24"/>
        </w:rPr>
        <w:t>This finding is important as it has implications for the selection of the final symptom list for CPTSD in ICD-11</w:t>
      </w:r>
      <w:r w:rsidR="00137431" w:rsidRPr="009E1D9E">
        <w:rPr>
          <w:rFonts w:ascii="Arial" w:hAnsi="Arial" w:cs="Arial"/>
          <w:sz w:val="24"/>
          <w:szCs w:val="24"/>
        </w:rPr>
        <w:t>.</w:t>
      </w:r>
      <w:r w:rsidRPr="009E1D9E">
        <w:rPr>
          <w:rFonts w:ascii="Arial" w:hAnsi="Arial" w:cs="Arial"/>
          <w:sz w:val="24"/>
          <w:szCs w:val="24"/>
        </w:rPr>
        <w:t xml:space="preserve"> The finalization of the symptom list is currently on-going and </w:t>
      </w:r>
      <w:r w:rsidR="00C651B1" w:rsidRPr="009E1D9E">
        <w:rPr>
          <w:rFonts w:ascii="Arial" w:hAnsi="Arial" w:cs="Arial"/>
          <w:sz w:val="24"/>
          <w:szCs w:val="24"/>
        </w:rPr>
        <w:t xml:space="preserve">recent </w:t>
      </w:r>
      <w:r w:rsidRPr="009E1D9E">
        <w:rPr>
          <w:rFonts w:ascii="Arial" w:hAnsi="Arial" w:cs="Arial"/>
          <w:sz w:val="24"/>
          <w:szCs w:val="24"/>
        </w:rPr>
        <w:t>findings indicate that the AD cluster is best represented using at least one symptom indicator from the hyperactivation cluster, and at least one symptom indicator from the hypoactivation cluster.</w:t>
      </w:r>
      <w:r w:rsidR="00137431" w:rsidRPr="009E1D9E">
        <w:rPr>
          <w:rFonts w:ascii="Arial" w:hAnsi="Arial" w:cs="Arial"/>
          <w:sz w:val="24"/>
          <w:szCs w:val="24"/>
        </w:rPr>
        <w:t xml:space="preserve"> </w:t>
      </w:r>
      <w:r w:rsidR="001610CD" w:rsidRPr="009E1D9E">
        <w:rPr>
          <w:rFonts w:ascii="Arial" w:hAnsi="Arial" w:cs="Arial"/>
          <w:sz w:val="24"/>
          <w:szCs w:val="24"/>
        </w:rPr>
        <w:t>Finally</w:t>
      </w:r>
      <w:r w:rsidR="009C2FFF" w:rsidRPr="009E1D9E">
        <w:rPr>
          <w:rFonts w:ascii="Arial" w:hAnsi="Arial" w:cs="Arial"/>
          <w:sz w:val="24"/>
          <w:szCs w:val="24"/>
        </w:rPr>
        <w:t>,</w:t>
      </w:r>
      <w:r w:rsidR="001656ED" w:rsidRPr="009E1D9E">
        <w:rPr>
          <w:rFonts w:ascii="Arial" w:hAnsi="Arial" w:cs="Arial"/>
          <w:sz w:val="24"/>
          <w:szCs w:val="24"/>
        </w:rPr>
        <w:t xml:space="preserve"> it is important to highlight that</w:t>
      </w:r>
      <w:r w:rsidR="009C2FFF" w:rsidRPr="009E1D9E">
        <w:rPr>
          <w:rFonts w:ascii="Arial" w:hAnsi="Arial" w:cs="Arial"/>
          <w:sz w:val="24"/>
          <w:szCs w:val="24"/>
        </w:rPr>
        <w:t xml:space="preserve"> the hyper</w:t>
      </w:r>
      <w:r w:rsidR="001610CD" w:rsidRPr="009E1D9E">
        <w:rPr>
          <w:rFonts w:ascii="Arial" w:hAnsi="Arial" w:cs="Arial"/>
          <w:sz w:val="24"/>
          <w:szCs w:val="24"/>
        </w:rPr>
        <w:t>-activation</w:t>
      </w:r>
      <w:r w:rsidRPr="009E1D9E">
        <w:rPr>
          <w:rFonts w:ascii="Arial" w:hAnsi="Arial" w:cs="Arial"/>
          <w:sz w:val="24"/>
          <w:szCs w:val="24"/>
        </w:rPr>
        <w:t xml:space="preserve"> </w:t>
      </w:r>
      <w:r w:rsidR="009C2FFF" w:rsidRPr="009E1D9E">
        <w:rPr>
          <w:rFonts w:ascii="Arial" w:hAnsi="Arial" w:cs="Arial"/>
          <w:sz w:val="24"/>
          <w:szCs w:val="24"/>
        </w:rPr>
        <w:t>and hypo</w:t>
      </w:r>
      <w:r w:rsidR="001610CD" w:rsidRPr="009E1D9E">
        <w:rPr>
          <w:rFonts w:ascii="Arial" w:hAnsi="Arial" w:cs="Arial"/>
          <w:sz w:val="24"/>
          <w:szCs w:val="24"/>
        </w:rPr>
        <w:t>-activation</w:t>
      </w:r>
      <w:r w:rsidRPr="009E1D9E">
        <w:rPr>
          <w:rFonts w:ascii="Arial" w:hAnsi="Arial" w:cs="Arial"/>
          <w:sz w:val="24"/>
          <w:szCs w:val="24"/>
        </w:rPr>
        <w:t xml:space="preserve"> symptoms were </w:t>
      </w:r>
      <w:r w:rsidRPr="009E1D9E">
        <w:rPr>
          <w:rFonts w:ascii="Arial" w:hAnsi="Arial" w:cs="Arial"/>
          <w:sz w:val="24"/>
          <w:szCs w:val="24"/>
        </w:rPr>
        <w:lastRenderedPageBreak/>
        <w:t>clearly distinguishable across the PTSD, CPTSD, and baseline classes.</w:t>
      </w:r>
      <w:r w:rsidR="009C2FFF" w:rsidRPr="009E1D9E">
        <w:rPr>
          <w:rFonts w:ascii="Arial" w:hAnsi="Arial" w:cs="Arial"/>
          <w:sz w:val="24"/>
          <w:szCs w:val="24"/>
        </w:rPr>
        <w:t xml:space="preserve"> </w:t>
      </w:r>
    </w:p>
    <w:p w14:paraId="23466441" w14:textId="3C6B56C6" w:rsidR="00521685" w:rsidRPr="009E1D9E" w:rsidRDefault="00DF1326" w:rsidP="00521685">
      <w:pPr>
        <w:shd w:val="clear" w:color="auto" w:fill="FFFFFF"/>
        <w:spacing w:after="0" w:line="480" w:lineRule="auto"/>
        <w:ind w:firstLine="720"/>
        <w:rPr>
          <w:rFonts w:ascii="Arial" w:hAnsi="Arial" w:cs="Arial"/>
          <w:sz w:val="24"/>
          <w:szCs w:val="24"/>
        </w:rPr>
      </w:pPr>
      <w:r w:rsidRPr="009E1D9E">
        <w:rPr>
          <w:rFonts w:ascii="Arial" w:hAnsi="Arial" w:cs="Arial"/>
          <w:sz w:val="24"/>
          <w:szCs w:val="24"/>
        </w:rPr>
        <w:t xml:space="preserve">Several limitations can be observed in the present study. </w:t>
      </w:r>
      <w:r w:rsidR="00C62B89" w:rsidRPr="009E1D9E">
        <w:rPr>
          <w:rFonts w:ascii="Arial" w:hAnsi="Arial" w:cs="Arial"/>
          <w:sz w:val="24"/>
          <w:szCs w:val="24"/>
        </w:rPr>
        <w:t>The</w:t>
      </w:r>
      <w:r w:rsidR="00AE0720" w:rsidRPr="009E1D9E">
        <w:rPr>
          <w:rFonts w:ascii="Arial" w:hAnsi="Arial" w:cs="Arial"/>
          <w:sz w:val="24"/>
          <w:szCs w:val="24"/>
        </w:rPr>
        <w:t xml:space="preserve"> non-</w:t>
      </w:r>
      <w:r w:rsidR="00857219" w:rsidRPr="009E1D9E">
        <w:rPr>
          <w:rFonts w:ascii="Arial" w:hAnsi="Arial" w:cs="Arial"/>
          <w:sz w:val="24"/>
          <w:szCs w:val="24"/>
        </w:rPr>
        <w:t xml:space="preserve">probability </w:t>
      </w:r>
      <w:r w:rsidR="00AE0720" w:rsidRPr="009E1D9E">
        <w:rPr>
          <w:rFonts w:ascii="Arial" w:hAnsi="Arial" w:cs="Arial"/>
          <w:sz w:val="24"/>
          <w:szCs w:val="24"/>
        </w:rPr>
        <w:t>sample</w:t>
      </w:r>
      <w:r w:rsidR="00857219" w:rsidRPr="009E1D9E">
        <w:rPr>
          <w:rFonts w:ascii="Arial" w:hAnsi="Arial" w:cs="Arial"/>
          <w:sz w:val="24"/>
          <w:szCs w:val="24"/>
        </w:rPr>
        <w:t xml:space="preserve"> of the Israeli general adult population</w:t>
      </w:r>
      <w:r w:rsidR="00C62B89" w:rsidRPr="009E1D9E">
        <w:rPr>
          <w:rFonts w:ascii="Arial" w:hAnsi="Arial" w:cs="Arial"/>
          <w:sz w:val="24"/>
          <w:szCs w:val="24"/>
        </w:rPr>
        <w:t xml:space="preserve"> means that</w:t>
      </w:r>
      <w:r w:rsidR="00AE0720" w:rsidRPr="009E1D9E">
        <w:rPr>
          <w:rFonts w:ascii="Arial" w:hAnsi="Arial" w:cs="Arial"/>
          <w:sz w:val="24"/>
          <w:szCs w:val="24"/>
        </w:rPr>
        <w:t xml:space="preserve"> </w:t>
      </w:r>
      <w:r w:rsidRPr="009E1D9E">
        <w:rPr>
          <w:rFonts w:ascii="Arial" w:hAnsi="Arial" w:cs="Arial"/>
          <w:sz w:val="24"/>
          <w:szCs w:val="24"/>
        </w:rPr>
        <w:t>the results may not be generalizable to other nations</w:t>
      </w:r>
      <w:r w:rsidR="00AE0720" w:rsidRPr="009E1D9E">
        <w:rPr>
          <w:rFonts w:ascii="Arial" w:hAnsi="Arial" w:cs="Arial"/>
          <w:sz w:val="24"/>
          <w:szCs w:val="24"/>
        </w:rPr>
        <w:t xml:space="preserve"> due to the </w:t>
      </w:r>
      <w:r w:rsidRPr="009E1D9E">
        <w:rPr>
          <w:rFonts w:ascii="Arial" w:hAnsi="Arial" w:cs="Arial"/>
          <w:sz w:val="24"/>
          <w:szCs w:val="24"/>
        </w:rPr>
        <w:t>unique cultural and political context of Israel</w:t>
      </w:r>
      <w:r w:rsidR="00AE0720" w:rsidRPr="009E1D9E">
        <w:rPr>
          <w:rFonts w:ascii="Arial" w:hAnsi="Arial" w:cs="Arial"/>
          <w:sz w:val="24"/>
          <w:szCs w:val="24"/>
        </w:rPr>
        <w:t>. We u</w:t>
      </w:r>
      <w:r w:rsidRPr="009E1D9E">
        <w:rPr>
          <w:rFonts w:ascii="Arial" w:hAnsi="Arial" w:cs="Arial"/>
          <w:sz w:val="24"/>
          <w:szCs w:val="24"/>
        </w:rPr>
        <w:t>sed internet sampling with higher likelihood to yield lower response rates than phone surveys. Additionally, the use of a self-report method of symptom endorsement, as opposed to a clinician-administered diagnostic interview may too have over-estimated diagnostic rates</w:t>
      </w:r>
      <w:r w:rsidR="001610CD" w:rsidRPr="009E1D9E">
        <w:rPr>
          <w:rFonts w:ascii="Arial" w:hAnsi="Arial" w:cs="Arial"/>
          <w:sz w:val="24"/>
          <w:szCs w:val="24"/>
        </w:rPr>
        <w:t>.</w:t>
      </w:r>
      <w:r w:rsidR="00857219" w:rsidRPr="009E1D9E">
        <w:rPr>
          <w:rFonts w:ascii="Arial" w:hAnsi="Arial" w:cs="Arial"/>
          <w:sz w:val="24"/>
          <w:szCs w:val="24"/>
        </w:rPr>
        <w:t xml:space="preserve"> </w:t>
      </w:r>
      <w:r w:rsidR="00DA3402" w:rsidRPr="009E1D9E">
        <w:rPr>
          <w:rFonts w:ascii="Arial" w:hAnsi="Arial" w:cs="Arial"/>
          <w:sz w:val="24"/>
          <w:szCs w:val="24"/>
        </w:rPr>
        <w:t>Moreover, one should take into account the low number of participants meeting the criteria for CPTSD (N=6) in which all were women.</w:t>
      </w:r>
    </w:p>
    <w:p w14:paraId="00EFD821" w14:textId="54F6B7E9" w:rsidR="009E3A77" w:rsidRPr="009E1D9E" w:rsidRDefault="002E5019" w:rsidP="009E3A77">
      <w:pPr>
        <w:shd w:val="clear" w:color="auto" w:fill="FFFFFF"/>
        <w:spacing w:after="0" w:line="480" w:lineRule="auto"/>
        <w:ind w:firstLine="720"/>
        <w:rPr>
          <w:rFonts w:asciiTheme="minorBidi" w:hAnsiTheme="minorBidi"/>
          <w:sz w:val="24"/>
          <w:szCs w:val="24"/>
        </w:rPr>
      </w:pPr>
      <w:r w:rsidRPr="009E1D9E">
        <w:rPr>
          <w:rFonts w:ascii="Arial" w:hAnsi="Arial" w:cs="Arial"/>
          <w:sz w:val="24"/>
          <w:szCs w:val="24"/>
        </w:rPr>
        <w:t xml:space="preserve">Overall, the aim of the study was to </w:t>
      </w:r>
      <w:r w:rsidR="00521685" w:rsidRPr="009E1D9E">
        <w:rPr>
          <w:rFonts w:ascii="Arial" w:hAnsi="Arial" w:cs="Arial"/>
          <w:sz w:val="24"/>
          <w:szCs w:val="24"/>
        </w:rPr>
        <w:t xml:space="preserve">determine the latent structure of </w:t>
      </w:r>
      <w:r w:rsidR="001A1209" w:rsidRPr="009E1D9E">
        <w:rPr>
          <w:rFonts w:ascii="Arial" w:hAnsi="Arial" w:cs="Arial"/>
          <w:sz w:val="24"/>
          <w:szCs w:val="24"/>
        </w:rPr>
        <w:t xml:space="preserve">PTSD and CPTSD and </w:t>
      </w:r>
      <w:r w:rsidR="00521685" w:rsidRPr="009E1D9E">
        <w:rPr>
          <w:rFonts w:ascii="Arial" w:hAnsi="Arial" w:cs="Arial"/>
          <w:sz w:val="24"/>
          <w:szCs w:val="24"/>
        </w:rPr>
        <w:t>the</w:t>
      </w:r>
      <w:r w:rsidRPr="009E1D9E">
        <w:rPr>
          <w:rFonts w:ascii="Arial" w:hAnsi="Arial" w:cs="Arial"/>
          <w:sz w:val="24"/>
          <w:szCs w:val="24"/>
        </w:rPr>
        <w:t xml:space="preserve"> AD cluster</w:t>
      </w:r>
      <w:r w:rsidR="00521685" w:rsidRPr="009E1D9E">
        <w:rPr>
          <w:rFonts w:ascii="Arial" w:hAnsi="Arial" w:cs="Arial"/>
          <w:sz w:val="24"/>
          <w:szCs w:val="24"/>
        </w:rPr>
        <w:t xml:space="preserve"> within the existing ICD-11 CPTSD symptom profile</w:t>
      </w:r>
      <w:r w:rsidRPr="009E1D9E">
        <w:rPr>
          <w:rFonts w:ascii="Arial" w:hAnsi="Arial" w:cs="Arial"/>
          <w:sz w:val="24"/>
          <w:szCs w:val="24"/>
        </w:rPr>
        <w:t xml:space="preserve"> </w:t>
      </w:r>
      <w:r w:rsidR="00521685" w:rsidRPr="009E1D9E">
        <w:rPr>
          <w:rFonts w:ascii="Arial" w:hAnsi="Arial" w:cs="Arial"/>
          <w:sz w:val="24"/>
          <w:szCs w:val="24"/>
        </w:rPr>
        <w:t>with fin</w:t>
      </w:r>
      <w:r w:rsidR="00C651B1" w:rsidRPr="009E1D9E">
        <w:rPr>
          <w:rFonts w:ascii="Arial" w:hAnsi="Arial" w:cs="Arial"/>
          <w:sz w:val="24"/>
          <w:szCs w:val="24"/>
        </w:rPr>
        <w:t>d</w:t>
      </w:r>
      <w:r w:rsidR="00521685" w:rsidRPr="009E1D9E">
        <w:rPr>
          <w:rFonts w:ascii="Arial" w:hAnsi="Arial" w:cs="Arial"/>
          <w:sz w:val="24"/>
          <w:szCs w:val="24"/>
        </w:rPr>
        <w:t>ings</w:t>
      </w:r>
      <w:r w:rsidRPr="009E1D9E">
        <w:rPr>
          <w:rFonts w:ascii="Arial" w:hAnsi="Arial" w:cs="Arial"/>
          <w:sz w:val="24"/>
          <w:szCs w:val="24"/>
        </w:rPr>
        <w:t xml:space="preserve"> support</w:t>
      </w:r>
      <w:r w:rsidR="00521685" w:rsidRPr="009E1D9E">
        <w:rPr>
          <w:rFonts w:ascii="Arial" w:hAnsi="Arial" w:cs="Arial"/>
          <w:sz w:val="24"/>
          <w:szCs w:val="24"/>
        </w:rPr>
        <w:t>ing</w:t>
      </w:r>
      <w:r w:rsidRPr="009E1D9E">
        <w:rPr>
          <w:rFonts w:ascii="Arial" w:hAnsi="Arial" w:cs="Arial"/>
          <w:sz w:val="24"/>
          <w:szCs w:val="24"/>
        </w:rPr>
        <w:t xml:space="preserve"> the argument </w:t>
      </w:r>
      <w:r w:rsidRPr="009E1D9E">
        <w:rPr>
          <w:rFonts w:ascii="Arial" w:hAnsi="Arial" w:cs="Arial"/>
          <w:sz w:val="24"/>
          <w:szCs w:val="24"/>
        </w:rPr>
        <w:lastRenderedPageBreak/>
        <w:t xml:space="preserve">that </w:t>
      </w:r>
      <w:r w:rsidR="00521685" w:rsidRPr="009E1D9E">
        <w:rPr>
          <w:rFonts w:ascii="Arial" w:hAnsi="Arial" w:cs="Arial"/>
          <w:sz w:val="24"/>
          <w:szCs w:val="24"/>
        </w:rPr>
        <w:t>the current list of AD symptoms, as represented in the development-stage version of the ITQ, is</w:t>
      </w:r>
      <w:r w:rsidRPr="009E1D9E">
        <w:rPr>
          <w:rFonts w:ascii="Arial" w:hAnsi="Arial" w:cs="Arial"/>
          <w:sz w:val="24"/>
          <w:szCs w:val="24"/>
        </w:rPr>
        <w:t xml:space="preserve"> better </w:t>
      </w:r>
      <w:r w:rsidR="00521685" w:rsidRPr="009E1D9E">
        <w:rPr>
          <w:rFonts w:ascii="Arial" w:hAnsi="Arial" w:cs="Arial"/>
          <w:sz w:val="24"/>
          <w:szCs w:val="24"/>
        </w:rPr>
        <w:t>represented</w:t>
      </w:r>
      <w:r w:rsidRPr="009E1D9E">
        <w:rPr>
          <w:rFonts w:ascii="Arial" w:hAnsi="Arial" w:cs="Arial"/>
          <w:sz w:val="24"/>
          <w:szCs w:val="24"/>
        </w:rPr>
        <w:t xml:space="preserve"> by the </w:t>
      </w:r>
      <w:r w:rsidR="001610CD" w:rsidRPr="009E1D9E">
        <w:rPr>
          <w:rFonts w:ascii="Arial" w:hAnsi="Arial" w:cs="Arial"/>
          <w:sz w:val="24"/>
          <w:szCs w:val="24"/>
        </w:rPr>
        <w:t xml:space="preserve">hyper-activation </w:t>
      </w:r>
      <w:r w:rsidRPr="009E1D9E">
        <w:rPr>
          <w:rFonts w:ascii="Arial" w:hAnsi="Arial" w:cs="Arial"/>
          <w:sz w:val="24"/>
          <w:szCs w:val="24"/>
        </w:rPr>
        <w:t xml:space="preserve">and </w:t>
      </w:r>
      <w:r w:rsidR="001610CD" w:rsidRPr="009E1D9E">
        <w:rPr>
          <w:rFonts w:ascii="Arial" w:hAnsi="Arial" w:cs="Arial"/>
          <w:sz w:val="24"/>
          <w:szCs w:val="24"/>
        </w:rPr>
        <w:t xml:space="preserve">hypo-activation </w:t>
      </w:r>
      <w:r w:rsidRPr="009E1D9E">
        <w:rPr>
          <w:rFonts w:ascii="Arial" w:hAnsi="Arial" w:cs="Arial"/>
          <w:sz w:val="24"/>
          <w:szCs w:val="24"/>
        </w:rPr>
        <w:t>symptoms</w:t>
      </w:r>
      <w:r w:rsidR="00521685" w:rsidRPr="009E1D9E">
        <w:rPr>
          <w:rFonts w:ascii="Arial" w:hAnsi="Arial" w:cs="Arial"/>
          <w:sz w:val="24"/>
          <w:szCs w:val="24"/>
        </w:rPr>
        <w:t xml:space="preserve"> as compared to a single dimension of AD</w:t>
      </w:r>
      <w:r w:rsidRPr="009E1D9E">
        <w:rPr>
          <w:rFonts w:ascii="Arial" w:hAnsi="Arial" w:cs="Arial"/>
          <w:sz w:val="24"/>
          <w:szCs w:val="24"/>
        </w:rPr>
        <w:t xml:space="preserve">. </w:t>
      </w:r>
      <w:r w:rsidR="001610CD" w:rsidRPr="009E1D9E">
        <w:rPr>
          <w:rFonts w:ascii="Arial" w:hAnsi="Arial" w:cs="Arial"/>
          <w:sz w:val="24"/>
          <w:szCs w:val="24"/>
        </w:rPr>
        <w:t>However, further research is required on</w:t>
      </w:r>
      <w:r w:rsidRPr="009E1D9E">
        <w:rPr>
          <w:rFonts w:asciiTheme="minorBidi" w:hAnsiTheme="minorBidi"/>
          <w:sz w:val="24"/>
          <w:szCs w:val="24"/>
        </w:rPr>
        <w:t xml:space="preserve"> the calibration of the AD cluster in clinical samples and other cultures is </w:t>
      </w:r>
      <w:r w:rsidR="001610CD" w:rsidRPr="009E1D9E">
        <w:rPr>
          <w:rFonts w:asciiTheme="minorBidi" w:hAnsiTheme="minorBidi"/>
          <w:sz w:val="24"/>
          <w:szCs w:val="24"/>
        </w:rPr>
        <w:t>order to</w:t>
      </w:r>
      <w:r w:rsidRPr="009E1D9E">
        <w:rPr>
          <w:rFonts w:asciiTheme="minorBidi" w:hAnsiTheme="minorBidi"/>
          <w:sz w:val="24"/>
          <w:szCs w:val="24"/>
        </w:rPr>
        <w:t xml:space="preserve"> establish the clinical validity of these findings. </w:t>
      </w:r>
    </w:p>
    <w:p w14:paraId="33919EDA" w14:textId="77777777" w:rsidR="009E3A77" w:rsidRPr="009E1D9E" w:rsidRDefault="009E3A77" w:rsidP="009E3A77">
      <w:pPr>
        <w:shd w:val="clear" w:color="auto" w:fill="FFFFFF"/>
        <w:spacing w:after="0" w:line="480" w:lineRule="auto"/>
        <w:ind w:firstLine="720"/>
        <w:rPr>
          <w:rFonts w:ascii="Arial" w:hAnsi="Arial" w:cs="Arial"/>
          <w:sz w:val="24"/>
          <w:szCs w:val="24"/>
        </w:rPr>
      </w:pPr>
    </w:p>
    <w:p w14:paraId="7AA20F26" w14:textId="5E8BC857" w:rsidR="00DF1326" w:rsidRPr="009E1D9E" w:rsidRDefault="009E3A77" w:rsidP="009E3A77">
      <w:pPr>
        <w:shd w:val="clear" w:color="auto" w:fill="FFFFFF"/>
        <w:spacing w:after="0" w:line="480" w:lineRule="auto"/>
        <w:ind w:firstLine="720"/>
        <w:rPr>
          <w:rFonts w:asciiTheme="minorBidi" w:hAnsiTheme="minorBidi"/>
          <w:sz w:val="24"/>
          <w:szCs w:val="24"/>
        </w:rPr>
      </w:pPr>
      <w:r w:rsidRPr="009E1D9E">
        <w:rPr>
          <w:rFonts w:ascii="Arial" w:hAnsi="Arial" w:cs="Arial"/>
          <w:sz w:val="24"/>
          <w:szCs w:val="24"/>
        </w:rPr>
        <w:t>Conflict of Interest: The Authors declare no conflict of interest or otherwise.</w:t>
      </w:r>
      <w:r w:rsidR="00DF1326" w:rsidRPr="009E1D9E">
        <w:rPr>
          <w:rFonts w:ascii="Arial" w:hAnsi="Arial" w:cs="Arial"/>
          <w:sz w:val="24"/>
          <w:szCs w:val="24"/>
        </w:rPr>
        <w:br w:type="page"/>
      </w:r>
      <w:r w:rsidR="00DF1326" w:rsidRPr="009E1D9E">
        <w:rPr>
          <w:rFonts w:asciiTheme="minorBidi" w:hAnsiTheme="minorBidi"/>
          <w:b/>
          <w:sz w:val="24"/>
          <w:szCs w:val="24"/>
        </w:rPr>
        <w:lastRenderedPageBreak/>
        <w:t>References</w:t>
      </w:r>
    </w:p>
    <w:p w14:paraId="26492431" w14:textId="57E5A2BD" w:rsidR="00521685" w:rsidRPr="009E1D9E" w:rsidRDefault="00DF1326" w:rsidP="00110CB8">
      <w:pPr>
        <w:spacing w:after="0" w:line="480" w:lineRule="auto"/>
        <w:rPr>
          <w:rFonts w:asciiTheme="minorBidi" w:hAnsiTheme="minorBidi"/>
          <w:sz w:val="24"/>
          <w:szCs w:val="24"/>
          <w:lang w:val="en-US"/>
        </w:rPr>
      </w:pPr>
      <w:r w:rsidRPr="009E1D9E">
        <w:rPr>
          <w:rFonts w:asciiTheme="minorBidi" w:hAnsiTheme="minorBidi"/>
          <w:sz w:val="24"/>
          <w:szCs w:val="24"/>
          <w:lang w:val="en-US"/>
        </w:rPr>
        <w:t xml:space="preserve">Akaike, H. (1987). Factor analysis and the AIC. </w:t>
      </w:r>
      <w:proofErr w:type="spellStart"/>
      <w:r w:rsidRPr="009E1D9E">
        <w:rPr>
          <w:rFonts w:asciiTheme="minorBidi" w:hAnsiTheme="minorBidi"/>
          <w:i/>
          <w:iCs/>
          <w:sz w:val="24"/>
          <w:szCs w:val="24"/>
          <w:lang w:val="en-US"/>
        </w:rPr>
        <w:t>Psychometrika</w:t>
      </w:r>
      <w:proofErr w:type="spellEnd"/>
      <w:r w:rsidRPr="009E1D9E">
        <w:rPr>
          <w:rFonts w:asciiTheme="minorBidi" w:hAnsiTheme="minorBidi"/>
          <w:i/>
          <w:iCs/>
          <w:sz w:val="24"/>
          <w:szCs w:val="24"/>
          <w:lang w:val="en-US"/>
        </w:rPr>
        <w:t>, 52</w:t>
      </w:r>
      <w:r w:rsidRPr="009E1D9E">
        <w:rPr>
          <w:rFonts w:asciiTheme="minorBidi" w:hAnsiTheme="minorBidi"/>
          <w:sz w:val="24"/>
          <w:szCs w:val="24"/>
          <w:lang w:val="en-US"/>
        </w:rPr>
        <w:t>, 317–332.</w:t>
      </w:r>
    </w:p>
    <w:p w14:paraId="404095F6" w14:textId="7F2CF20C" w:rsidR="00DF1326" w:rsidRPr="009E1D9E" w:rsidRDefault="00DF1326" w:rsidP="00110CB8">
      <w:pPr>
        <w:spacing w:after="0" w:line="480" w:lineRule="auto"/>
        <w:rPr>
          <w:rFonts w:asciiTheme="minorBidi" w:hAnsiTheme="minorBidi"/>
          <w:sz w:val="24"/>
          <w:szCs w:val="24"/>
          <w:lang w:val="en-US"/>
        </w:rPr>
      </w:pPr>
      <w:r w:rsidRPr="009E1D9E">
        <w:rPr>
          <w:rFonts w:asciiTheme="minorBidi" w:hAnsiTheme="minorBidi"/>
          <w:sz w:val="24"/>
          <w:szCs w:val="24"/>
          <w:lang w:val="en-US"/>
        </w:rPr>
        <w:t xml:space="preserve">American Psychiatric Association. (1994). Diagnostic and statistical manual of </w:t>
      </w:r>
      <w:r w:rsidR="00521685" w:rsidRPr="009E1D9E">
        <w:rPr>
          <w:rFonts w:asciiTheme="minorBidi" w:hAnsiTheme="minorBidi"/>
          <w:sz w:val="24"/>
          <w:szCs w:val="24"/>
          <w:lang w:val="en-US"/>
        </w:rPr>
        <w:tab/>
      </w:r>
      <w:r w:rsidRPr="009E1D9E">
        <w:rPr>
          <w:rFonts w:asciiTheme="minorBidi" w:hAnsiTheme="minorBidi"/>
          <w:sz w:val="24"/>
          <w:szCs w:val="24"/>
          <w:lang w:val="en-US"/>
        </w:rPr>
        <w:t xml:space="preserve">mental disorders fourth edition. American Psychiatric Association. </w:t>
      </w:r>
      <w:r w:rsidR="00521685" w:rsidRPr="009E1D9E">
        <w:rPr>
          <w:rFonts w:asciiTheme="minorBidi" w:hAnsiTheme="minorBidi"/>
          <w:sz w:val="24"/>
          <w:szCs w:val="24"/>
          <w:lang w:val="en-US"/>
        </w:rPr>
        <w:tab/>
      </w:r>
      <w:r w:rsidRPr="009E1D9E">
        <w:rPr>
          <w:rFonts w:asciiTheme="minorBidi" w:hAnsiTheme="minorBidi"/>
          <w:sz w:val="24"/>
          <w:szCs w:val="24"/>
          <w:lang w:val="en-US"/>
        </w:rPr>
        <w:t>Washington, DC.</w:t>
      </w:r>
    </w:p>
    <w:p w14:paraId="08C5D969" w14:textId="213E19C9" w:rsidR="00DF1326" w:rsidRPr="009E1D9E" w:rsidRDefault="00DF1326" w:rsidP="00110CB8">
      <w:pPr>
        <w:spacing w:after="0" w:line="480" w:lineRule="auto"/>
        <w:rPr>
          <w:rFonts w:asciiTheme="minorBidi" w:hAnsiTheme="minorBidi"/>
          <w:sz w:val="24"/>
          <w:szCs w:val="24"/>
        </w:rPr>
      </w:pPr>
      <w:proofErr w:type="spellStart"/>
      <w:r w:rsidRPr="009E1D9E">
        <w:rPr>
          <w:rFonts w:asciiTheme="minorBidi" w:hAnsiTheme="minorBidi"/>
          <w:sz w:val="24"/>
          <w:szCs w:val="24"/>
        </w:rPr>
        <w:t>Awata</w:t>
      </w:r>
      <w:proofErr w:type="spellEnd"/>
      <w:r w:rsidRPr="009E1D9E">
        <w:rPr>
          <w:rFonts w:asciiTheme="minorBidi" w:hAnsiTheme="minorBidi"/>
          <w:sz w:val="24"/>
          <w:szCs w:val="24"/>
        </w:rPr>
        <w:t xml:space="preserve">, S., </w:t>
      </w:r>
      <w:proofErr w:type="spellStart"/>
      <w:r w:rsidRPr="009E1D9E">
        <w:rPr>
          <w:rFonts w:asciiTheme="minorBidi" w:hAnsiTheme="minorBidi"/>
          <w:sz w:val="24"/>
          <w:szCs w:val="24"/>
        </w:rPr>
        <w:t>Bech</w:t>
      </w:r>
      <w:proofErr w:type="spellEnd"/>
      <w:r w:rsidRPr="009E1D9E">
        <w:rPr>
          <w:rFonts w:asciiTheme="minorBidi" w:hAnsiTheme="minorBidi"/>
          <w:sz w:val="24"/>
          <w:szCs w:val="24"/>
        </w:rPr>
        <w:t xml:space="preserve">, P., Koizumi, Y., Seki, T., </w:t>
      </w:r>
      <w:proofErr w:type="spellStart"/>
      <w:r w:rsidRPr="009E1D9E">
        <w:rPr>
          <w:rFonts w:asciiTheme="minorBidi" w:hAnsiTheme="minorBidi"/>
          <w:sz w:val="24"/>
          <w:szCs w:val="24"/>
        </w:rPr>
        <w:t>Kuriyama</w:t>
      </w:r>
      <w:proofErr w:type="spellEnd"/>
      <w:r w:rsidRPr="009E1D9E">
        <w:rPr>
          <w:rFonts w:asciiTheme="minorBidi" w:hAnsiTheme="minorBidi"/>
          <w:sz w:val="24"/>
          <w:szCs w:val="24"/>
        </w:rPr>
        <w:t xml:space="preserve">, S., </w:t>
      </w:r>
      <w:proofErr w:type="spellStart"/>
      <w:r w:rsidRPr="009E1D9E">
        <w:rPr>
          <w:rFonts w:asciiTheme="minorBidi" w:hAnsiTheme="minorBidi"/>
          <w:sz w:val="24"/>
          <w:szCs w:val="24"/>
        </w:rPr>
        <w:t>Hozawa</w:t>
      </w:r>
      <w:proofErr w:type="spellEnd"/>
      <w:r w:rsidRPr="009E1D9E">
        <w:rPr>
          <w:rFonts w:asciiTheme="minorBidi" w:hAnsiTheme="minorBidi"/>
          <w:sz w:val="24"/>
          <w:szCs w:val="24"/>
        </w:rPr>
        <w:t xml:space="preserve">, A., </w:t>
      </w:r>
      <w:proofErr w:type="spellStart"/>
      <w:r w:rsidRPr="009E1D9E">
        <w:rPr>
          <w:rFonts w:asciiTheme="minorBidi" w:hAnsiTheme="minorBidi"/>
          <w:sz w:val="24"/>
          <w:szCs w:val="24"/>
        </w:rPr>
        <w:t>Ohmori</w:t>
      </w:r>
      <w:proofErr w:type="spellEnd"/>
      <w:r w:rsidRPr="009E1D9E">
        <w:rPr>
          <w:rFonts w:asciiTheme="minorBidi" w:hAnsiTheme="minorBidi"/>
          <w:sz w:val="24"/>
          <w:szCs w:val="24"/>
        </w:rPr>
        <w:t>, K.,</w:t>
      </w:r>
      <w:r w:rsidR="00521685" w:rsidRPr="009E1D9E">
        <w:rPr>
          <w:rFonts w:asciiTheme="minorBidi" w:hAnsiTheme="minorBidi"/>
          <w:sz w:val="24"/>
          <w:szCs w:val="24"/>
        </w:rPr>
        <w:tab/>
      </w:r>
      <w:r w:rsidR="00521685" w:rsidRPr="009E1D9E">
        <w:rPr>
          <w:rFonts w:asciiTheme="minorBidi" w:hAnsiTheme="minorBidi"/>
          <w:sz w:val="24"/>
          <w:szCs w:val="24"/>
        </w:rPr>
        <w:tab/>
      </w:r>
      <w:r w:rsidRPr="009E1D9E">
        <w:rPr>
          <w:rFonts w:asciiTheme="minorBidi" w:hAnsiTheme="minorBidi"/>
          <w:sz w:val="24"/>
          <w:szCs w:val="24"/>
        </w:rPr>
        <w:t xml:space="preserve"> </w:t>
      </w:r>
      <w:proofErr w:type="spellStart"/>
      <w:r w:rsidRPr="009E1D9E">
        <w:rPr>
          <w:rFonts w:asciiTheme="minorBidi" w:hAnsiTheme="minorBidi"/>
          <w:sz w:val="24"/>
          <w:szCs w:val="24"/>
        </w:rPr>
        <w:t>Nakaya</w:t>
      </w:r>
      <w:proofErr w:type="spellEnd"/>
      <w:r w:rsidRPr="009E1D9E">
        <w:rPr>
          <w:rFonts w:asciiTheme="minorBidi" w:hAnsiTheme="minorBidi"/>
          <w:sz w:val="24"/>
          <w:szCs w:val="24"/>
        </w:rPr>
        <w:t xml:space="preserve">, N., Matsuoka, H., &amp; Tsuji, I. (2007). Validity and utility of the </w:t>
      </w:r>
      <w:r w:rsidR="00521685" w:rsidRPr="009E1D9E">
        <w:rPr>
          <w:rFonts w:asciiTheme="minorBidi" w:hAnsiTheme="minorBidi"/>
          <w:sz w:val="24"/>
          <w:szCs w:val="24"/>
        </w:rPr>
        <w:tab/>
      </w:r>
      <w:r w:rsidRPr="009E1D9E">
        <w:rPr>
          <w:rFonts w:asciiTheme="minorBidi" w:hAnsiTheme="minorBidi"/>
          <w:sz w:val="24"/>
          <w:szCs w:val="24"/>
        </w:rPr>
        <w:t xml:space="preserve">Japanese version of the WHO-Five Well-Being Index in the context of </w:t>
      </w:r>
      <w:r w:rsidR="00521685" w:rsidRPr="009E1D9E">
        <w:rPr>
          <w:rFonts w:asciiTheme="minorBidi" w:hAnsiTheme="minorBidi"/>
          <w:sz w:val="24"/>
          <w:szCs w:val="24"/>
        </w:rPr>
        <w:tab/>
      </w:r>
      <w:r w:rsidRPr="009E1D9E">
        <w:rPr>
          <w:rFonts w:asciiTheme="minorBidi" w:hAnsiTheme="minorBidi"/>
          <w:sz w:val="24"/>
          <w:szCs w:val="24"/>
        </w:rPr>
        <w:t xml:space="preserve">detecting suicidal ideation in elderly community residents. </w:t>
      </w:r>
      <w:r w:rsidRPr="009E1D9E">
        <w:rPr>
          <w:rFonts w:asciiTheme="minorBidi" w:hAnsiTheme="minorBidi"/>
          <w:i/>
          <w:sz w:val="24"/>
          <w:szCs w:val="24"/>
        </w:rPr>
        <w:t>International</w:t>
      </w:r>
      <w:r w:rsidR="00521685" w:rsidRPr="009E1D9E">
        <w:rPr>
          <w:rFonts w:asciiTheme="minorBidi" w:hAnsiTheme="minorBidi"/>
          <w:i/>
          <w:sz w:val="24"/>
          <w:szCs w:val="24"/>
        </w:rPr>
        <w:tab/>
      </w:r>
      <w:r w:rsidR="00521685" w:rsidRPr="009E1D9E">
        <w:rPr>
          <w:rFonts w:asciiTheme="minorBidi" w:hAnsiTheme="minorBidi"/>
          <w:i/>
          <w:sz w:val="24"/>
          <w:szCs w:val="24"/>
        </w:rPr>
        <w:tab/>
      </w:r>
      <w:r w:rsidRPr="009E1D9E">
        <w:rPr>
          <w:rFonts w:asciiTheme="minorBidi" w:hAnsiTheme="minorBidi"/>
          <w:i/>
          <w:sz w:val="24"/>
          <w:szCs w:val="24"/>
        </w:rPr>
        <w:t xml:space="preserve"> </w:t>
      </w:r>
      <w:proofErr w:type="spellStart"/>
      <w:r w:rsidRPr="009E1D9E">
        <w:rPr>
          <w:rFonts w:asciiTheme="minorBidi" w:hAnsiTheme="minorBidi"/>
          <w:i/>
          <w:sz w:val="24"/>
          <w:szCs w:val="24"/>
        </w:rPr>
        <w:t>Psychogeriatrics</w:t>
      </w:r>
      <w:proofErr w:type="spellEnd"/>
      <w:r w:rsidRPr="009E1D9E">
        <w:rPr>
          <w:rFonts w:asciiTheme="minorBidi" w:hAnsiTheme="minorBidi"/>
          <w:i/>
          <w:sz w:val="24"/>
          <w:szCs w:val="24"/>
        </w:rPr>
        <w:t>, 19</w:t>
      </w:r>
      <w:r w:rsidRPr="009E1D9E">
        <w:rPr>
          <w:rFonts w:asciiTheme="minorBidi" w:hAnsiTheme="minorBidi"/>
          <w:sz w:val="24"/>
          <w:szCs w:val="24"/>
        </w:rPr>
        <w:t xml:space="preserve">, 77-88. </w:t>
      </w:r>
      <w:proofErr w:type="spellStart"/>
      <w:r w:rsidRPr="009E1D9E">
        <w:rPr>
          <w:rFonts w:asciiTheme="minorBidi" w:hAnsiTheme="minorBidi"/>
          <w:sz w:val="24"/>
          <w:szCs w:val="24"/>
        </w:rPr>
        <w:t>doi</w:t>
      </w:r>
      <w:proofErr w:type="spellEnd"/>
      <w:r w:rsidRPr="009E1D9E">
        <w:rPr>
          <w:rFonts w:asciiTheme="minorBidi" w:hAnsiTheme="minorBidi"/>
          <w:sz w:val="24"/>
          <w:szCs w:val="24"/>
        </w:rPr>
        <w:t>: 10.1017/S1041610206004212</w:t>
      </w:r>
    </w:p>
    <w:p w14:paraId="58DADCE0" w14:textId="3A96209F" w:rsidR="001B5555" w:rsidRPr="009E1D9E" w:rsidRDefault="001B5555" w:rsidP="00110CB8">
      <w:pPr>
        <w:spacing w:after="0" w:line="480" w:lineRule="auto"/>
        <w:rPr>
          <w:rFonts w:asciiTheme="minorBidi" w:hAnsiTheme="minorBidi"/>
          <w:sz w:val="24"/>
          <w:szCs w:val="24"/>
        </w:rPr>
      </w:pPr>
      <w:r w:rsidRPr="009E1D9E">
        <w:rPr>
          <w:rFonts w:asciiTheme="minorBidi" w:hAnsiTheme="minorBidi"/>
          <w:sz w:val="24"/>
          <w:szCs w:val="24"/>
        </w:rPr>
        <w:t>Ben-Ezra, M., Karatzias, T., Hyland, P., Brewin, C.R., Cloitre, M., Bisson, J.I.,</w:t>
      </w:r>
      <w:r w:rsidR="00521685" w:rsidRPr="009E1D9E">
        <w:rPr>
          <w:rFonts w:asciiTheme="minorBidi" w:hAnsiTheme="minorBidi"/>
          <w:sz w:val="24"/>
          <w:szCs w:val="24"/>
        </w:rPr>
        <w:tab/>
      </w:r>
      <w:r w:rsidR="00521685" w:rsidRPr="009E1D9E">
        <w:rPr>
          <w:rFonts w:asciiTheme="minorBidi" w:hAnsiTheme="minorBidi"/>
          <w:sz w:val="24"/>
          <w:szCs w:val="24"/>
        </w:rPr>
        <w:tab/>
      </w:r>
      <w:r w:rsidRPr="009E1D9E">
        <w:rPr>
          <w:rFonts w:asciiTheme="minorBidi" w:hAnsiTheme="minorBidi"/>
          <w:sz w:val="24"/>
          <w:szCs w:val="24"/>
        </w:rPr>
        <w:t>Roberts, N.P., Lueger-Schuster, B., &amp; Shevlin, M. (</w:t>
      </w:r>
      <w:r w:rsidR="00521685" w:rsidRPr="009E1D9E">
        <w:rPr>
          <w:rFonts w:asciiTheme="minorBidi" w:hAnsiTheme="minorBidi"/>
          <w:sz w:val="24"/>
          <w:szCs w:val="24"/>
        </w:rPr>
        <w:t>2018</w:t>
      </w:r>
      <w:r w:rsidRPr="009E1D9E">
        <w:rPr>
          <w:rFonts w:asciiTheme="minorBidi" w:hAnsiTheme="minorBidi"/>
          <w:sz w:val="24"/>
          <w:szCs w:val="24"/>
        </w:rPr>
        <w:t>). Posttraumatic</w:t>
      </w:r>
      <w:r w:rsidR="00521685" w:rsidRPr="009E1D9E">
        <w:rPr>
          <w:rFonts w:asciiTheme="minorBidi" w:hAnsiTheme="minorBidi"/>
          <w:sz w:val="24"/>
          <w:szCs w:val="24"/>
        </w:rPr>
        <w:tab/>
      </w:r>
      <w:r w:rsidRPr="009E1D9E">
        <w:rPr>
          <w:rFonts w:asciiTheme="minorBidi" w:hAnsiTheme="minorBidi"/>
          <w:sz w:val="24"/>
          <w:szCs w:val="24"/>
        </w:rPr>
        <w:t xml:space="preserve">Stress Disorder (PTSD) and Complex PTSD </w:t>
      </w:r>
      <w:r w:rsidRPr="009E1D9E">
        <w:rPr>
          <w:rFonts w:asciiTheme="minorBidi" w:hAnsiTheme="minorBidi"/>
          <w:sz w:val="24"/>
          <w:szCs w:val="24"/>
        </w:rPr>
        <w:lastRenderedPageBreak/>
        <w:t xml:space="preserve">(CPTSD) as per ICD-11 </w:t>
      </w:r>
      <w:r w:rsidR="00521685" w:rsidRPr="009E1D9E">
        <w:rPr>
          <w:rFonts w:asciiTheme="minorBidi" w:hAnsiTheme="minorBidi"/>
          <w:sz w:val="24"/>
          <w:szCs w:val="24"/>
        </w:rPr>
        <w:tab/>
      </w:r>
      <w:r w:rsidR="00521685" w:rsidRPr="009E1D9E">
        <w:rPr>
          <w:rFonts w:asciiTheme="minorBidi" w:hAnsiTheme="minorBidi"/>
          <w:sz w:val="24"/>
          <w:szCs w:val="24"/>
        </w:rPr>
        <w:tab/>
      </w:r>
      <w:r w:rsidRPr="009E1D9E">
        <w:rPr>
          <w:rFonts w:asciiTheme="minorBidi" w:hAnsiTheme="minorBidi"/>
          <w:sz w:val="24"/>
          <w:szCs w:val="24"/>
        </w:rPr>
        <w:t xml:space="preserve">Proposals: A Population Study in Israel. </w:t>
      </w:r>
      <w:r w:rsidRPr="009E1D9E">
        <w:rPr>
          <w:rFonts w:asciiTheme="minorBidi" w:hAnsiTheme="minorBidi"/>
          <w:i/>
          <w:iCs/>
          <w:sz w:val="24"/>
          <w:szCs w:val="24"/>
        </w:rPr>
        <w:t>Depression and Anxiety</w:t>
      </w:r>
      <w:r w:rsidR="00521685" w:rsidRPr="009E1D9E">
        <w:rPr>
          <w:rFonts w:asciiTheme="minorBidi" w:hAnsiTheme="minorBidi"/>
          <w:sz w:val="24"/>
          <w:szCs w:val="24"/>
        </w:rPr>
        <w:t xml:space="preserve">, </w:t>
      </w:r>
      <w:r w:rsidR="00521685" w:rsidRPr="009E1D9E">
        <w:rPr>
          <w:rFonts w:asciiTheme="minorBidi" w:hAnsiTheme="minorBidi"/>
          <w:i/>
          <w:sz w:val="24"/>
          <w:szCs w:val="24"/>
        </w:rPr>
        <w:t>35</w:t>
      </w:r>
      <w:r w:rsidR="00521685" w:rsidRPr="009E1D9E">
        <w:rPr>
          <w:rFonts w:asciiTheme="minorBidi" w:hAnsiTheme="minorBidi"/>
          <w:sz w:val="24"/>
          <w:szCs w:val="24"/>
        </w:rPr>
        <w:t>, 264-274.</w:t>
      </w:r>
      <w:r w:rsidR="00521685" w:rsidRPr="009E1D9E">
        <w:rPr>
          <w:rFonts w:asciiTheme="minorBidi" w:hAnsiTheme="minorBidi"/>
          <w:sz w:val="24"/>
          <w:szCs w:val="24"/>
        </w:rPr>
        <w:tab/>
        <w:t>DOI: 10.1002/da.22723</w:t>
      </w:r>
      <w:r w:rsidRPr="009E1D9E">
        <w:rPr>
          <w:rFonts w:asciiTheme="minorBidi" w:hAnsiTheme="minorBidi"/>
          <w:sz w:val="24"/>
          <w:szCs w:val="24"/>
        </w:rPr>
        <w:t xml:space="preserve"> </w:t>
      </w:r>
    </w:p>
    <w:p w14:paraId="56A47D6A" w14:textId="48B9D45A" w:rsidR="00DF1326" w:rsidRPr="009E1D9E" w:rsidRDefault="00DF1326" w:rsidP="00110CB8">
      <w:pPr>
        <w:spacing w:after="0" w:line="480" w:lineRule="auto"/>
        <w:rPr>
          <w:rFonts w:ascii="Arial" w:hAnsi="Arial" w:cs="Arial"/>
          <w:sz w:val="24"/>
          <w:szCs w:val="24"/>
        </w:rPr>
      </w:pPr>
      <w:r w:rsidRPr="009E1D9E">
        <w:rPr>
          <w:rFonts w:ascii="Arial" w:hAnsi="Arial" w:cs="Arial"/>
          <w:sz w:val="24"/>
          <w:szCs w:val="24"/>
        </w:rPr>
        <w:t>Brewin, C.R., Cloitre, M., Hyland, P., Shevlin, M., Maercker, A., Bryant, R</w:t>
      </w:r>
      <w:proofErr w:type="gramStart"/>
      <w:r w:rsidRPr="009E1D9E">
        <w:rPr>
          <w:rFonts w:ascii="Arial" w:hAnsi="Arial" w:cs="Arial"/>
          <w:sz w:val="24"/>
          <w:szCs w:val="24"/>
        </w:rPr>
        <w:t>,…</w:t>
      </w:r>
      <w:proofErr w:type="gramEnd"/>
      <w:r w:rsidRPr="009E1D9E">
        <w:rPr>
          <w:rFonts w:ascii="Arial" w:hAnsi="Arial" w:cs="Arial"/>
          <w:sz w:val="24"/>
          <w:szCs w:val="24"/>
        </w:rPr>
        <w:t xml:space="preserve"> &amp; Reed, </w:t>
      </w:r>
      <w:r w:rsidR="00521685" w:rsidRPr="009E1D9E">
        <w:rPr>
          <w:rFonts w:ascii="Arial" w:hAnsi="Arial" w:cs="Arial"/>
          <w:sz w:val="24"/>
          <w:szCs w:val="24"/>
        </w:rPr>
        <w:tab/>
      </w:r>
      <w:r w:rsidRPr="009E1D9E">
        <w:rPr>
          <w:rFonts w:ascii="Arial" w:hAnsi="Arial" w:cs="Arial"/>
          <w:sz w:val="24"/>
          <w:szCs w:val="24"/>
        </w:rPr>
        <w:t xml:space="preserve">G.M. (2017). Evidence Regarding the ICD-11 Proposals for Diagnosing PTSD </w:t>
      </w:r>
      <w:r w:rsidR="00521685" w:rsidRPr="009E1D9E">
        <w:rPr>
          <w:rFonts w:ascii="Arial" w:hAnsi="Arial" w:cs="Arial"/>
          <w:sz w:val="24"/>
          <w:szCs w:val="24"/>
        </w:rPr>
        <w:tab/>
      </w:r>
      <w:r w:rsidRPr="009E1D9E">
        <w:rPr>
          <w:rFonts w:ascii="Arial" w:hAnsi="Arial" w:cs="Arial"/>
          <w:sz w:val="24"/>
          <w:szCs w:val="24"/>
        </w:rPr>
        <w:t xml:space="preserve">and Complex PTSD. </w:t>
      </w:r>
      <w:r w:rsidRPr="009E1D9E">
        <w:rPr>
          <w:rFonts w:ascii="Arial" w:hAnsi="Arial" w:cs="Arial"/>
          <w:i/>
          <w:sz w:val="24"/>
          <w:szCs w:val="24"/>
        </w:rPr>
        <w:t>Clinical Psychology Review, 58,</w:t>
      </w:r>
      <w:r w:rsidRPr="009E1D9E">
        <w:rPr>
          <w:rFonts w:ascii="Arial" w:hAnsi="Arial" w:cs="Arial"/>
          <w:sz w:val="24"/>
          <w:szCs w:val="24"/>
        </w:rPr>
        <w:t xml:space="preserve"> 1-15. </w:t>
      </w:r>
      <w:proofErr w:type="spellStart"/>
      <w:r w:rsidRPr="009E1D9E">
        <w:rPr>
          <w:rFonts w:ascii="Arial" w:hAnsi="Arial" w:cs="Arial"/>
          <w:sz w:val="24"/>
          <w:szCs w:val="24"/>
        </w:rPr>
        <w:t>doi</w:t>
      </w:r>
      <w:proofErr w:type="spellEnd"/>
      <w:r w:rsidRPr="009E1D9E">
        <w:rPr>
          <w:rFonts w:ascii="Arial" w:hAnsi="Arial" w:cs="Arial"/>
          <w:sz w:val="24"/>
          <w:szCs w:val="24"/>
        </w:rPr>
        <w:t xml:space="preserve">: </w:t>
      </w:r>
      <w:r w:rsidR="00521685" w:rsidRPr="009E1D9E">
        <w:rPr>
          <w:rFonts w:ascii="Arial" w:hAnsi="Arial" w:cs="Arial"/>
          <w:sz w:val="24"/>
          <w:szCs w:val="24"/>
        </w:rPr>
        <w:tab/>
      </w:r>
      <w:r w:rsidRPr="009E1D9E">
        <w:rPr>
          <w:rFonts w:ascii="Arial" w:hAnsi="Arial" w:cs="Arial"/>
          <w:sz w:val="24"/>
          <w:szCs w:val="24"/>
        </w:rPr>
        <w:t>10.1016/j.cpr.2017.09.001</w:t>
      </w:r>
    </w:p>
    <w:p w14:paraId="727CFD87" w14:textId="797103FB" w:rsidR="00DF1326" w:rsidRPr="009E1D9E" w:rsidRDefault="00DF1326" w:rsidP="00110CB8">
      <w:pPr>
        <w:spacing w:after="0" w:line="480" w:lineRule="auto"/>
        <w:rPr>
          <w:rFonts w:asciiTheme="minorBidi" w:hAnsiTheme="minorBidi"/>
          <w:sz w:val="24"/>
          <w:szCs w:val="24"/>
          <w:lang w:val="it-IT"/>
        </w:rPr>
      </w:pPr>
      <w:r w:rsidRPr="009E1D9E">
        <w:rPr>
          <w:rFonts w:asciiTheme="minorBidi" w:hAnsiTheme="minorBidi"/>
          <w:sz w:val="24"/>
          <w:szCs w:val="24"/>
          <w:lang w:val="en-US"/>
        </w:rPr>
        <w:t xml:space="preserve">Christiansen, D.M., &amp; </w:t>
      </w:r>
      <w:proofErr w:type="spellStart"/>
      <w:r w:rsidRPr="009E1D9E">
        <w:rPr>
          <w:rFonts w:asciiTheme="minorBidi" w:hAnsiTheme="minorBidi"/>
          <w:sz w:val="24"/>
          <w:szCs w:val="24"/>
          <w:lang w:val="en-US"/>
        </w:rPr>
        <w:t>Elklit</w:t>
      </w:r>
      <w:proofErr w:type="spellEnd"/>
      <w:r w:rsidRPr="009E1D9E">
        <w:rPr>
          <w:rFonts w:asciiTheme="minorBidi" w:hAnsiTheme="minorBidi"/>
          <w:sz w:val="24"/>
          <w:szCs w:val="24"/>
          <w:lang w:val="en-US"/>
        </w:rPr>
        <w:t xml:space="preserve">, A. (2012). Sex differences in PTSD. </w:t>
      </w:r>
      <w:r w:rsidRPr="009E1D9E">
        <w:rPr>
          <w:rFonts w:asciiTheme="minorBidi" w:hAnsiTheme="minorBidi"/>
          <w:sz w:val="24"/>
          <w:szCs w:val="24"/>
          <w:lang w:val="it-IT"/>
        </w:rPr>
        <w:t xml:space="preserve">In: Lazinica A, </w:t>
      </w:r>
      <w:r w:rsidR="00521685" w:rsidRPr="009E1D9E">
        <w:rPr>
          <w:rFonts w:asciiTheme="minorBidi" w:hAnsiTheme="minorBidi"/>
          <w:sz w:val="24"/>
          <w:szCs w:val="24"/>
          <w:lang w:val="it-IT"/>
        </w:rPr>
        <w:tab/>
      </w:r>
      <w:r w:rsidRPr="009E1D9E">
        <w:rPr>
          <w:rFonts w:asciiTheme="minorBidi" w:hAnsiTheme="minorBidi"/>
          <w:sz w:val="24"/>
          <w:szCs w:val="24"/>
          <w:lang w:val="it-IT"/>
        </w:rPr>
        <w:t xml:space="preserve">Ovuga E, editors. </w:t>
      </w:r>
      <w:r w:rsidRPr="009E1D9E">
        <w:rPr>
          <w:rFonts w:asciiTheme="minorBidi" w:hAnsiTheme="minorBidi"/>
          <w:i/>
          <w:iCs/>
          <w:sz w:val="24"/>
          <w:szCs w:val="24"/>
          <w:lang w:val="it-IT"/>
        </w:rPr>
        <w:t>Posttraumatic stress disorder in a global context</w:t>
      </w:r>
      <w:r w:rsidRPr="009E1D9E">
        <w:rPr>
          <w:rFonts w:asciiTheme="minorBidi" w:hAnsiTheme="minorBidi"/>
          <w:sz w:val="24"/>
          <w:szCs w:val="24"/>
          <w:lang w:val="it-IT"/>
        </w:rPr>
        <w:t xml:space="preserve"> (pp. 113-</w:t>
      </w:r>
      <w:r w:rsidR="00521685" w:rsidRPr="009E1D9E">
        <w:rPr>
          <w:rFonts w:asciiTheme="minorBidi" w:hAnsiTheme="minorBidi"/>
          <w:sz w:val="24"/>
          <w:szCs w:val="24"/>
          <w:lang w:val="it-IT"/>
        </w:rPr>
        <w:tab/>
      </w:r>
      <w:r w:rsidRPr="009E1D9E">
        <w:rPr>
          <w:rFonts w:asciiTheme="minorBidi" w:hAnsiTheme="minorBidi"/>
          <w:sz w:val="24"/>
          <w:szCs w:val="24"/>
          <w:lang w:val="it-IT"/>
        </w:rPr>
        <w:t xml:space="preserve">142). Rijeka, Croatia: InTech–Open Access Book. </w:t>
      </w:r>
    </w:p>
    <w:p w14:paraId="60917334" w14:textId="72E3F956" w:rsidR="00DF1326" w:rsidRPr="009E1D9E" w:rsidRDefault="00DF1326" w:rsidP="00110CB8">
      <w:pPr>
        <w:spacing w:after="0" w:line="480" w:lineRule="auto"/>
        <w:rPr>
          <w:rFonts w:asciiTheme="minorBidi" w:hAnsiTheme="minorBidi"/>
          <w:sz w:val="24"/>
          <w:szCs w:val="24"/>
        </w:rPr>
      </w:pPr>
      <w:r w:rsidRPr="009E1D9E">
        <w:rPr>
          <w:rFonts w:asciiTheme="minorBidi" w:hAnsiTheme="minorBidi"/>
          <w:sz w:val="24"/>
          <w:szCs w:val="24"/>
          <w:lang w:val="it-IT"/>
        </w:rPr>
        <w:t xml:space="preserve">Cloitre, M., Roberts, N.P., Bisson, J.I., &amp; Brewin, C.R. (2015). </w:t>
      </w:r>
      <w:r w:rsidRPr="009E1D9E">
        <w:rPr>
          <w:rFonts w:asciiTheme="minorBidi" w:hAnsiTheme="minorBidi"/>
          <w:sz w:val="24"/>
          <w:szCs w:val="24"/>
          <w:lang w:val="en-IE"/>
        </w:rPr>
        <w:t>The ICD-11 Trauma</w:t>
      </w:r>
      <w:r w:rsidR="00521685" w:rsidRPr="009E1D9E">
        <w:rPr>
          <w:rFonts w:asciiTheme="minorBidi" w:hAnsiTheme="minorBidi"/>
          <w:sz w:val="24"/>
          <w:szCs w:val="24"/>
          <w:lang w:val="en-IE"/>
        </w:rPr>
        <w:tab/>
      </w:r>
      <w:r w:rsidRPr="009E1D9E">
        <w:rPr>
          <w:rFonts w:asciiTheme="minorBidi" w:hAnsiTheme="minorBidi"/>
          <w:sz w:val="24"/>
          <w:szCs w:val="24"/>
          <w:lang w:val="en-IE"/>
        </w:rPr>
        <w:t xml:space="preserve"> Questionnaire. </w:t>
      </w:r>
      <w:r w:rsidRPr="009E1D9E">
        <w:rPr>
          <w:rFonts w:asciiTheme="minorBidi" w:hAnsiTheme="minorBidi"/>
          <w:i/>
          <w:iCs/>
          <w:sz w:val="24"/>
          <w:szCs w:val="24"/>
        </w:rPr>
        <w:t>Self-Report Community Version 1.0.</w:t>
      </w:r>
      <w:r w:rsidRPr="009E1D9E">
        <w:rPr>
          <w:rFonts w:asciiTheme="minorBidi" w:hAnsiTheme="minorBidi"/>
          <w:sz w:val="24"/>
          <w:szCs w:val="24"/>
        </w:rPr>
        <w:t xml:space="preserve"> Unpublished Manuscript.</w:t>
      </w:r>
    </w:p>
    <w:p w14:paraId="69DBF75D" w14:textId="77777777" w:rsidR="00521685" w:rsidRPr="009E1D9E" w:rsidRDefault="00DF1326" w:rsidP="00110CB8">
      <w:pPr>
        <w:tabs>
          <w:tab w:val="left" w:pos="4020"/>
        </w:tabs>
        <w:spacing w:after="0" w:line="480" w:lineRule="auto"/>
        <w:rPr>
          <w:rFonts w:asciiTheme="minorBidi" w:hAnsiTheme="minorBidi"/>
          <w:sz w:val="24"/>
          <w:szCs w:val="24"/>
        </w:rPr>
      </w:pPr>
      <w:r w:rsidRPr="009E1D9E">
        <w:rPr>
          <w:rFonts w:asciiTheme="minorBidi" w:hAnsiTheme="minorBidi"/>
          <w:sz w:val="24"/>
          <w:szCs w:val="24"/>
          <w:lang w:val="en-US"/>
        </w:rPr>
        <w:lastRenderedPageBreak/>
        <w:t xml:space="preserve">Dvir, Y., Ford, J.D., Hill, M., &amp; Frazier, J.A. (2014). </w:t>
      </w:r>
      <w:r w:rsidR="00521685" w:rsidRPr="009E1D9E">
        <w:rPr>
          <w:rFonts w:asciiTheme="minorBidi" w:hAnsiTheme="minorBidi"/>
          <w:sz w:val="24"/>
          <w:szCs w:val="24"/>
        </w:rPr>
        <w:t xml:space="preserve">Childhood maltreatment, </w:t>
      </w:r>
    </w:p>
    <w:p w14:paraId="050EE01B" w14:textId="49E7BC10" w:rsidR="00DF1326" w:rsidRPr="009E1D9E" w:rsidRDefault="00521685" w:rsidP="00521685">
      <w:pPr>
        <w:tabs>
          <w:tab w:val="left" w:pos="0"/>
        </w:tabs>
        <w:spacing w:after="0" w:line="480" w:lineRule="auto"/>
        <w:rPr>
          <w:rFonts w:asciiTheme="minorBidi" w:hAnsiTheme="minorBidi"/>
          <w:sz w:val="24"/>
          <w:szCs w:val="24"/>
        </w:rPr>
      </w:pPr>
      <w:r w:rsidRPr="009E1D9E">
        <w:rPr>
          <w:rFonts w:asciiTheme="minorBidi" w:hAnsiTheme="minorBidi"/>
          <w:sz w:val="24"/>
          <w:szCs w:val="24"/>
        </w:rPr>
        <w:tab/>
      </w:r>
      <w:r w:rsidR="00DF1326" w:rsidRPr="009E1D9E">
        <w:rPr>
          <w:rFonts w:asciiTheme="minorBidi" w:hAnsiTheme="minorBidi"/>
          <w:sz w:val="24"/>
          <w:szCs w:val="24"/>
        </w:rPr>
        <w:t xml:space="preserve">emotional dysregulation, and psychiatric comorbidities. </w:t>
      </w:r>
      <w:r w:rsidR="00DF1326" w:rsidRPr="009E1D9E">
        <w:rPr>
          <w:rFonts w:asciiTheme="minorBidi" w:hAnsiTheme="minorBidi"/>
          <w:i/>
          <w:sz w:val="24"/>
          <w:szCs w:val="24"/>
        </w:rPr>
        <w:t>Harvard Review of</w:t>
      </w:r>
      <w:r w:rsidRPr="009E1D9E">
        <w:rPr>
          <w:rFonts w:asciiTheme="minorBidi" w:hAnsiTheme="minorBidi"/>
          <w:i/>
          <w:sz w:val="24"/>
          <w:szCs w:val="24"/>
        </w:rPr>
        <w:tab/>
      </w:r>
      <w:r w:rsidRPr="009E1D9E">
        <w:rPr>
          <w:rFonts w:asciiTheme="minorBidi" w:hAnsiTheme="minorBidi"/>
          <w:i/>
          <w:sz w:val="24"/>
          <w:szCs w:val="24"/>
        </w:rPr>
        <w:tab/>
      </w:r>
      <w:r w:rsidR="00DF1326" w:rsidRPr="009E1D9E">
        <w:rPr>
          <w:rFonts w:asciiTheme="minorBidi" w:hAnsiTheme="minorBidi"/>
          <w:i/>
          <w:sz w:val="24"/>
          <w:szCs w:val="24"/>
        </w:rPr>
        <w:t>Psychiatry, 22</w:t>
      </w:r>
      <w:r w:rsidR="00DF1326" w:rsidRPr="009E1D9E">
        <w:rPr>
          <w:rFonts w:asciiTheme="minorBidi" w:hAnsiTheme="minorBidi"/>
          <w:sz w:val="24"/>
          <w:szCs w:val="24"/>
        </w:rPr>
        <w:t xml:space="preserve">, 149–161. </w:t>
      </w:r>
      <w:proofErr w:type="spellStart"/>
      <w:r w:rsidR="00DF1326" w:rsidRPr="009E1D9E">
        <w:rPr>
          <w:rFonts w:asciiTheme="minorBidi" w:hAnsiTheme="minorBidi"/>
          <w:sz w:val="24"/>
          <w:szCs w:val="24"/>
        </w:rPr>
        <w:t>doi</w:t>
      </w:r>
      <w:proofErr w:type="spellEnd"/>
      <w:r w:rsidR="00DF1326" w:rsidRPr="009E1D9E">
        <w:rPr>
          <w:rFonts w:asciiTheme="minorBidi" w:hAnsiTheme="minorBidi"/>
          <w:sz w:val="24"/>
          <w:szCs w:val="24"/>
        </w:rPr>
        <w:t>: 10.1097/HRP.0000000000000014</w:t>
      </w:r>
    </w:p>
    <w:p w14:paraId="0249F18A" w14:textId="67C8C295" w:rsidR="00DF1326" w:rsidRPr="009E1D9E" w:rsidRDefault="00DF1326" w:rsidP="00110CB8">
      <w:pPr>
        <w:spacing w:after="0" w:line="480" w:lineRule="auto"/>
        <w:rPr>
          <w:rFonts w:ascii="Arial" w:hAnsi="Arial" w:cs="Arial"/>
          <w:sz w:val="24"/>
          <w:szCs w:val="24"/>
          <w:shd w:val="clear" w:color="auto" w:fill="FFFFFF"/>
        </w:rPr>
      </w:pPr>
      <w:proofErr w:type="spellStart"/>
      <w:r w:rsidRPr="009E1D9E">
        <w:rPr>
          <w:rFonts w:ascii="Arial" w:hAnsi="Arial" w:cs="Arial"/>
          <w:sz w:val="24"/>
          <w:szCs w:val="24"/>
          <w:shd w:val="clear" w:color="auto" w:fill="FFFFFF"/>
        </w:rPr>
        <w:t>Elklit</w:t>
      </w:r>
      <w:proofErr w:type="spellEnd"/>
      <w:r w:rsidRPr="009E1D9E">
        <w:rPr>
          <w:rFonts w:ascii="Arial" w:hAnsi="Arial" w:cs="Arial"/>
          <w:sz w:val="24"/>
          <w:szCs w:val="24"/>
          <w:shd w:val="clear" w:color="auto" w:fill="FFFFFF"/>
        </w:rPr>
        <w:t>, A., Hyland, P., &amp; Shevlin, M. (2014). Evidence of symptom profiles consistent</w:t>
      </w:r>
      <w:r w:rsidR="00521685" w:rsidRPr="009E1D9E">
        <w:rPr>
          <w:rFonts w:ascii="Arial" w:hAnsi="Arial" w:cs="Arial"/>
          <w:sz w:val="24"/>
          <w:szCs w:val="24"/>
          <w:shd w:val="clear" w:color="auto" w:fill="FFFFFF"/>
        </w:rPr>
        <w:tab/>
      </w:r>
      <w:r w:rsidRPr="009E1D9E">
        <w:rPr>
          <w:rFonts w:ascii="Arial" w:hAnsi="Arial" w:cs="Arial"/>
          <w:sz w:val="24"/>
          <w:szCs w:val="24"/>
          <w:shd w:val="clear" w:color="auto" w:fill="FFFFFF"/>
        </w:rPr>
        <w:t xml:space="preserve"> with posttraumatic stress disorder and complex posttraumatic stress disorder</w:t>
      </w:r>
      <w:r w:rsidR="00521685" w:rsidRPr="009E1D9E">
        <w:rPr>
          <w:rFonts w:ascii="Arial" w:hAnsi="Arial" w:cs="Arial"/>
          <w:sz w:val="24"/>
          <w:szCs w:val="24"/>
          <w:shd w:val="clear" w:color="auto" w:fill="FFFFFF"/>
        </w:rPr>
        <w:tab/>
      </w:r>
      <w:r w:rsidRPr="009E1D9E">
        <w:rPr>
          <w:rFonts w:ascii="Arial" w:hAnsi="Arial" w:cs="Arial"/>
          <w:sz w:val="24"/>
          <w:szCs w:val="24"/>
          <w:shd w:val="clear" w:color="auto" w:fill="FFFFFF"/>
        </w:rPr>
        <w:t xml:space="preserve"> in different trauma samples. </w:t>
      </w:r>
      <w:r w:rsidRPr="009E1D9E">
        <w:rPr>
          <w:rFonts w:ascii="Arial" w:hAnsi="Arial" w:cs="Arial"/>
          <w:i/>
          <w:iCs/>
          <w:sz w:val="24"/>
          <w:szCs w:val="24"/>
          <w:shd w:val="clear" w:color="auto" w:fill="FFFFFF"/>
        </w:rPr>
        <w:t xml:space="preserve">European Journal of </w:t>
      </w:r>
      <w:proofErr w:type="spellStart"/>
      <w:r w:rsidRPr="009E1D9E">
        <w:rPr>
          <w:rFonts w:ascii="Arial" w:hAnsi="Arial" w:cs="Arial"/>
          <w:i/>
          <w:iCs/>
          <w:sz w:val="24"/>
          <w:szCs w:val="24"/>
          <w:shd w:val="clear" w:color="auto" w:fill="FFFFFF"/>
        </w:rPr>
        <w:t>Psychotraumatology</w:t>
      </w:r>
      <w:proofErr w:type="spellEnd"/>
      <w:r w:rsidRPr="009E1D9E">
        <w:rPr>
          <w:rFonts w:ascii="Arial" w:hAnsi="Arial" w:cs="Arial"/>
          <w:i/>
          <w:iCs/>
          <w:sz w:val="24"/>
          <w:szCs w:val="24"/>
          <w:shd w:val="clear" w:color="auto" w:fill="FFFFFF"/>
        </w:rPr>
        <w:t>, 5</w:t>
      </w:r>
      <w:r w:rsidRPr="009E1D9E">
        <w:rPr>
          <w:rFonts w:ascii="Arial" w:hAnsi="Arial" w:cs="Arial"/>
          <w:sz w:val="24"/>
          <w:szCs w:val="24"/>
          <w:shd w:val="clear" w:color="auto" w:fill="FFFFFF"/>
        </w:rPr>
        <w:t xml:space="preserve">, </w:t>
      </w:r>
      <w:r w:rsidR="00521685" w:rsidRPr="009E1D9E">
        <w:rPr>
          <w:rFonts w:ascii="Arial" w:hAnsi="Arial" w:cs="Arial"/>
          <w:sz w:val="24"/>
          <w:szCs w:val="24"/>
          <w:shd w:val="clear" w:color="auto" w:fill="FFFFFF"/>
        </w:rPr>
        <w:tab/>
      </w:r>
      <w:r w:rsidRPr="009E1D9E">
        <w:rPr>
          <w:rFonts w:ascii="Arial" w:hAnsi="Arial" w:cs="Arial"/>
          <w:sz w:val="24"/>
          <w:szCs w:val="24"/>
          <w:shd w:val="clear" w:color="auto" w:fill="FFFFFF"/>
        </w:rPr>
        <w:t>24221.</w:t>
      </w:r>
      <w:r w:rsidRPr="009E1D9E">
        <w:t xml:space="preserve"> </w:t>
      </w:r>
      <w:proofErr w:type="spellStart"/>
      <w:proofErr w:type="gramStart"/>
      <w:r w:rsidRPr="009E1D9E">
        <w:rPr>
          <w:rFonts w:ascii="Arial" w:hAnsi="Arial" w:cs="Arial"/>
          <w:sz w:val="24"/>
          <w:szCs w:val="24"/>
          <w:shd w:val="clear" w:color="auto" w:fill="FFFFFF"/>
        </w:rPr>
        <w:t>doi</w:t>
      </w:r>
      <w:proofErr w:type="spellEnd"/>
      <w:proofErr w:type="gramEnd"/>
      <w:r w:rsidRPr="009E1D9E">
        <w:rPr>
          <w:rFonts w:ascii="Arial" w:hAnsi="Arial" w:cs="Arial"/>
          <w:sz w:val="24"/>
          <w:szCs w:val="24"/>
          <w:shd w:val="clear" w:color="auto" w:fill="FFFFFF"/>
        </w:rPr>
        <w:t>: 10.3402/ejpt.v5.24221</w:t>
      </w:r>
    </w:p>
    <w:p w14:paraId="2B033EB2" w14:textId="235ED14D" w:rsidR="00CB27F4" w:rsidRPr="009E1D9E" w:rsidRDefault="00CB27F4" w:rsidP="00110CB8">
      <w:pPr>
        <w:spacing w:after="0" w:line="480" w:lineRule="auto"/>
        <w:rPr>
          <w:rFonts w:ascii="Arial" w:hAnsi="Arial" w:cs="Arial"/>
          <w:sz w:val="24"/>
          <w:szCs w:val="24"/>
          <w:shd w:val="clear" w:color="auto" w:fill="FFFFFF"/>
        </w:rPr>
      </w:pPr>
      <w:r w:rsidRPr="009E1D9E">
        <w:rPr>
          <w:rFonts w:ascii="Arial" w:hAnsi="Arial" w:cs="Arial"/>
          <w:sz w:val="24"/>
          <w:szCs w:val="24"/>
          <w:shd w:val="clear" w:color="auto" w:fill="FFFFFF"/>
          <w:lang w:val="fr-CA"/>
        </w:rPr>
        <w:t xml:space="preserve">Flora, D. B., &amp; Curran, P. J. (2004). </w:t>
      </w:r>
      <w:r w:rsidRPr="009E1D9E">
        <w:rPr>
          <w:rFonts w:ascii="Arial" w:hAnsi="Arial" w:cs="Arial"/>
          <w:sz w:val="24"/>
          <w:szCs w:val="24"/>
          <w:shd w:val="clear" w:color="auto" w:fill="FFFFFF"/>
          <w:lang w:val="en-IE"/>
        </w:rPr>
        <w:t>An empirical evaluation of alternative methods of</w:t>
      </w:r>
      <w:r w:rsidR="00521685" w:rsidRPr="009E1D9E">
        <w:rPr>
          <w:rFonts w:ascii="Arial" w:hAnsi="Arial" w:cs="Arial"/>
          <w:sz w:val="24"/>
          <w:szCs w:val="24"/>
          <w:shd w:val="clear" w:color="auto" w:fill="FFFFFF"/>
          <w:lang w:val="en-IE"/>
        </w:rPr>
        <w:tab/>
      </w:r>
      <w:r w:rsidRPr="009E1D9E">
        <w:rPr>
          <w:rFonts w:ascii="Arial" w:hAnsi="Arial" w:cs="Arial"/>
          <w:sz w:val="24"/>
          <w:szCs w:val="24"/>
          <w:shd w:val="clear" w:color="auto" w:fill="FFFFFF"/>
          <w:lang w:val="en-IE"/>
        </w:rPr>
        <w:t xml:space="preserve"> estimation for confirmatory factor analysis with ordinal data. </w:t>
      </w:r>
      <w:r w:rsidRPr="009E1D9E">
        <w:rPr>
          <w:rFonts w:ascii="Arial" w:hAnsi="Arial" w:cs="Arial"/>
          <w:i/>
          <w:sz w:val="24"/>
          <w:szCs w:val="24"/>
          <w:shd w:val="clear" w:color="auto" w:fill="FFFFFF"/>
          <w:lang w:val="en-IE"/>
        </w:rPr>
        <w:t xml:space="preserve">Psychological </w:t>
      </w:r>
      <w:r w:rsidR="00521685" w:rsidRPr="009E1D9E">
        <w:rPr>
          <w:rFonts w:ascii="Arial" w:hAnsi="Arial" w:cs="Arial"/>
          <w:i/>
          <w:sz w:val="24"/>
          <w:szCs w:val="24"/>
          <w:shd w:val="clear" w:color="auto" w:fill="FFFFFF"/>
          <w:lang w:val="en-IE"/>
        </w:rPr>
        <w:tab/>
      </w:r>
      <w:r w:rsidRPr="009E1D9E">
        <w:rPr>
          <w:rFonts w:ascii="Arial" w:hAnsi="Arial" w:cs="Arial"/>
          <w:i/>
          <w:sz w:val="24"/>
          <w:szCs w:val="24"/>
          <w:shd w:val="clear" w:color="auto" w:fill="FFFFFF"/>
          <w:lang w:val="en-IE"/>
        </w:rPr>
        <w:t>Methods</w:t>
      </w:r>
      <w:r w:rsidRPr="009E1D9E">
        <w:rPr>
          <w:rFonts w:ascii="Arial" w:hAnsi="Arial" w:cs="Arial"/>
          <w:sz w:val="24"/>
          <w:szCs w:val="24"/>
          <w:shd w:val="clear" w:color="auto" w:fill="FFFFFF"/>
          <w:lang w:val="en-IE"/>
        </w:rPr>
        <w:t xml:space="preserve">, </w:t>
      </w:r>
      <w:r w:rsidRPr="009E1D9E">
        <w:rPr>
          <w:rFonts w:ascii="Arial" w:hAnsi="Arial" w:cs="Arial"/>
          <w:i/>
          <w:sz w:val="24"/>
          <w:szCs w:val="24"/>
          <w:shd w:val="clear" w:color="auto" w:fill="FFFFFF"/>
          <w:lang w:val="en-IE"/>
        </w:rPr>
        <w:t>9</w:t>
      </w:r>
      <w:r w:rsidRPr="009E1D9E">
        <w:rPr>
          <w:rFonts w:ascii="Arial" w:hAnsi="Arial" w:cs="Arial"/>
          <w:b/>
          <w:sz w:val="24"/>
          <w:szCs w:val="24"/>
          <w:shd w:val="clear" w:color="auto" w:fill="FFFFFF"/>
          <w:lang w:val="en-IE"/>
        </w:rPr>
        <w:t>,</w:t>
      </w:r>
      <w:r w:rsidRPr="009E1D9E">
        <w:rPr>
          <w:rFonts w:ascii="Arial" w:hAnsi="Arial" w:cs="Arial"/>
          <w:sz w:val="24"/>
          <w:szCs w:val="24"/>
          <w:shd w:val="clear" w:color="auto" w:fill="FFFFFF"/>
          <w:lang w:val="en-IE"/>
        </w:rPr>
        <w:t xml:space="preserve"> 466–491.</w:t>
      </w:r>
    </w:p>
    <w:p w14:paraId="69C3E192" w14:textId="419F451A" w:rsidR="00DF1326" w:rsidRPr="009E1D9E" w:rsidRDefault="00DF1326" w:rsidP="00110CB8">
      <w:pPr>
        <w:spacing w:after="0" w:line="480" w:lineRule="auto"/>
        <w:rPr>
          <w:rFonts w:asciiTheme="minorBidi" w:hAnsiTheme="minorBidi"/>
          <w:sz w:val="24"/>
          <w:szCs w:val="24"/>
          <w:lang w:val="fr-FR"/>
        </w:rPr>
      </w:pPr>
      <w:proofErr w:type="spellStart"/>
      <w:r w:rsidRPr="009E1D9E">
        <w:rPr>
          <w:rFonts w:asciiTheme="minorBidi" w:hAnsiTheme="minorBidi"/>
          <w:sz w:val="24"/>
          <w:szCs w:val="24"/>
        </w:rPr>
        <w:lastRenderedPageBreak/>
        <w:t>Gray</w:t>
      </w:r>
      <w:proofErr w:type="spellEnd"/>
      <w:r w:rsidRPr="009E1D9E">
        <w:rPr>
          <w:rFonts w:asciiTheme="minorBidi" w:hAnsiTheme="minorBidi"/>
          <w:sz w:val="24"/>
          <w:szCs w:val="24"/>
        </w:rPr>
        <w:t xml:space="preserve">, M.J., </w:t>
      </w:r>
      <w:proofErr w:type="spellStart"/>
      <w:r w:rsidRPr="009E1D9E">
        <w:rPr>
          <w:rFonts w:asciiTheme="minorBidi" w:hAnsiTheme="minorBidi"/>
          <w:sz w:val="24"/>
          <w:szCs w:val="24"/>
        </w:rPr>
        <w:t>Litz</w:t>
      </w:r>
      <w:proofErr w:type="spellEnd"/>
      <w:r w:rsidRPr="009E1D9E">
        <w:rPr>
          <w:rFonts w:asciiTheme="minorBidi" w:hAnsiTheme="minorBidi"/>
          <w:sz w:val="24"/>
          <w:szCs w:val="24"/>
        </w:rPr>
        <w:t>, B.T., Hsu, J.L., &amp; Lombardo, T.W. (2004). Psychometric properties</w:t>
      </w:r>
      <w:r w:rsidR="00521685" w:rsidRPr="009E1D9E">
        <w:rPr>
          <w:rFonts w:asciiTheme="minorBidi" w:hAnsiTheme="minorBidi"/>
          <w:sz w:val="24"/>
          <w:szCs w:val="24"/>
        </w:rPr>
        <w:tab/>
      </w:r>
      <w:r w:rsidRPr="009E1D9E">
        <w:rPr>
          <w:rFonts w:asciiTheme="minorBidi" w:hAnsiTheme="minorBidi"/>
          <w:sz w:val="24"/>
          <w:szCs w:val="24"/>
        </w:rPr>
        <w:t xml:space="preserve"> of the life events checklist. </w:t>
      </w:r>
      <w:proofErr w:type="spellStart"/>
      <w:r w:rsidRPr="009E1D9E">
        <w:rPr>
          <w:rFonts w:asciiTheme="minorBidi" w:hAnsiTheme="minorBidi"/>
          <w:i/>
          <w:iCs/>
          <w:sz w:val="24"/>
          <w:szCs w:val="24"/>
          <w:lang w:val="fr-FR"/>
        </w:rPr>
        <w:t>Assessment</w:t>
      </w:r>
      <w:proofErr w:type="spellEnd"/>
      <w:r w:rsidRPr="009E1D9E">
        <w:rPr>
          <w:rFonts w:asciiTheme="minorBidi" w:hAnsiTheme="minorBidi"/>
          <w:i/>
          <w:iCs/>
          <w:sz w:val="24"/>
          <w:szCs w:val="24"/>
          <w:lang w:val="fr-FR"/>
        </w:rPr>
        <w:t>, 11</w:t>
      </w:r>
      <w:r w:rsidRPr="009E1D9E">
        <w:rPr>
          <w:rFonts w:asciiTheme="minorBidi" w:hAnsiTheme="minorBidi"/>
          <w:sz w:val="24"/>
          <w:szCs w:val="24"/>
          <w:lang w:val="fr-FR"/>
        </w:rPr>
        <w:t>, 330-341.</w:t>
      </w:r>
      <w:r w:rsidRPr="009E1D9E">
        <w:rPr>
          <w:lang w:val="fr-FR"/>
        </w:rPr>
        <w:t xml:space="preserve"> </w:t>
      </w:r>
      <w:proofErr w:type="spellStart"/>
      <w:proofErr w:type="gramStart"/>
      <w:r w:rsidRPr="009E1D9E">
        <w:rPr>
          <w:rFonts w:asciiTheme="minorBidi" w:hAnsiTheme="minorBidi"/>
          <w:sz w:val="24"/>
          <w:szCs w:val="24"/>
          <w:lang w:val="fr-FR"/>
        </w:rPr>
        <w:t>doi</w:t>
      </w:r>
      <w:proofErr w:type="spellEnd"/>
      <w:proofErr w:type="gramEnd"/>
      <w:r w:rsidRPr="009E1D9E">
        <w:rPr>
          <w:rFonts w:asciiTheme="minorBidi" w:hAnsiTheme="minorBidi"/>
          <w:sz w:val="24"/>
          <w:szCs w:val="24"/>
          <w:lang w:val="fr-FR"/>
        </w:rPr>
        <w:t xml:space="preserve">:    </w:t>
      </w:r>
      <w:r w:rsidR="00521685" w:rsidRPr="009E1D9E">
        <w:rPr>
          <w:rFonts w:asciiTheme="minorBidi" w:hAnsiTheme="minorBidi"/>
          <w:sz w:val="24"/>
          <w:szCs w:val="24"/>
          <w:lang w:val="fr-FR"/>
        </w:rPr>
        <w:tab/>
      </w:r>
      <w:r w:rsidRPr="009E1D9E">
        <w:rPr>
          <w:rFonts w:asciiTheme="minorBidi" w:hAnsiTheme="minorBidi"/>
          <w:sz w:val="24"/>
          <w:szCs w:val="24"/>
          <w:lang w:val="fr-FR"/>
        </w:rPr>
        <w:t>10.1177/1073191104269954</w:t>
      </w:r>
    </w:p>
    <w:p w14:paraId="3992B9AA" w14:textId="303E891B" w:rsidR="00DF1326" w:rsidRPr="009E1D9E" w:rsidRDefault="00DF1326" w:rsidP="00110CB8">
      <w:pPr>
        <w:spacing w:after="0" w:line="480" w:lineRule="auto"/>
        <w:rPr>
          <w:rFonts w:ascii="Arial" w:hAnsi="Arial" w:cs="Arial"/>
          <w:sz w:val="24"/>
          <w:szCs w:val="24"/>
          <w:shd w:val="clear" w:color="auto" w:fill="FFFFFF"/>
        </w:rPr>
      </w:pPr>
      <w:r w:rsidRPr="009E1D9E">
        <w:rPr>
          <w:rFonts w:ascii="Arial" w:hAnsi="Arial" w:cs="Arial"/>
          <w:sz w:val="24"/>
          <w:szCs w:val="24"/>
          <w:shd w:val="clear" w:color="auto" w:fill="FFFFFF"/>
          <w:lang w:val="fr-FR"/>
        </w:rPr>
        <w:t xml:space="preserve">Hyland, P., Shevlin, M., </w:t>
      </w:r>
      <w:proofErr w:type="spellStart"/>
      <w:r w:rsidRPr="009E1D9E">
        <w:rPr>
          <w:rFonts w:ascii="Arial" w:hAnsi="Arial" w:cs="Arial"/>
          <w:sz w:val="24"/>
          <w:szCs w:val="24"/>
          <w:shd w:val="clear" w:color="auto" w:fill="FFFFFF"/>
          <w:lang w:val="fr-FR"/>
        </w:rPr>
        <w:t>Elklit</w:t>
      </w:r>
      <w:proofErr w:type="spellEnd"/>
      <w:r w:rsidRPr="009E1D9E">
        <w:rPr>
          <w:rFonts w:ascii="Arial" w:hAnsi="Arial" w:cs="Arial"/>
          <w:sz w:val="24"/>
          <w:szCs w:val="24"/>
          <w:shd w:val="clear" w:color="auto" w:fill="FFFFFF"/>
          <w:lang w:val="fr-FR"/>
        </w:rPr>
        <w:t xml:space="preserve">, A., Murphy, J., Vallières, F., </w:t>
      </w:r>
      <w:proofErr w:type="spellStart"/>
      <w:r w:rsidRPr="009E1D9E">
        <w:rPr>
          <w:rFonts w:ascii="Arial" w:hAnsi="Arial" w:cs="Arial"/>
          <w:sz w:val="24"/>
          <w:szCs w:val="24"/>
          <w:shd w:val="clear" w:color="auto" w:fill="FFFFFF"/>
          <w:lang w:val="fr-FR"/>
        </w:rPr>
        <w:t>Garvert</w:t>
      </w:r>
      <w:proofErr w:type="spellEnd"/>
      <w:r w:rsidRPr="009E1D9E">
        <w:rPr>
          <w:rFonts w:ascii="Arial" w:hAnsi="Arial" w:cs="Arial"/>
          <w:sz w:val="24"/>
          <w:szCs w:val="24"/>
          <w:shd w:val="clear" w:color="auto" w:fill="FFFFFF"/>
          <w:lang w:val="fr-FR"/>
        </w:rPr>
        <w:t>, D.W., &amp; Cloitre,</w:t>
      </w:r>
      <w:r w:rsidR="00521685" w:rsidRPr="009E1D9E">
        <w:rPr>
          <w:rFonts w:ascii="Arial" w:hAnsi="Arial" w:cs="Arial"/>
          <w:sz w:val="24"/>
          <w:szCs w:val="24"/>
          <w:shd w:val="clear" w:color="auto" w:fill="FFFFFF"/>
          <w:lang w:val="fr-FR"/>
        </w:rPr>
        <w:tab/>
      </w:r>
      <w:r w:rsidRPr="009E1D9E">
        <w:rPr>
          <w:rFonts w:ascii="Arial" w:hAnsi="Arial" w:cs="Arial"/>
          <w:sz w:val="24"/>
          <w:szCs w:val="24"/>
          <w:shd w:val="clear" w:color="auto" w:fill="FFFFFF"/>
          <w:lang w:val="fr-FR"/>
        </w:rPr>
        <w:t xml:space="preserve"> M. (2017a). </w:t>
      </w:r>
      <w:r w:rsidRPr="009E1D9E">
        <w:rPr>
          <w:rFonts w:ascii="Arial" w:hAnsi="Arial" w:cs="Arial"/>
          <w:sz w:val="24"/>
          <w:szCs w:val="24"/>
          <w:shd w:val="clear" w:color="auto" w:fill="FFFFFF"/>
        </w:rPr>
        <w:t xml:space="preserve">An assessment of the construct validity of the ICD-11 proposal </w:t>
      </w:r>
      <w:r w:rsidR="00521685" w:rsidRPr="009E1D9E">
        <w:rPr>
          <w:rFonts w:ascii="Arial" w:hAnsi="Arial" w:cs="Arial"/>
          <w:sz w:val="24"/>
          <w:szCs w:val="24"/>
          <w:shd w:val="clear" w:color="auto" w:fill="FFFFFF"/>
        </w:rPr>
        <w:tab/>
      </w:r>
      <w:r w:rsidRPr="009E1D9E">
        <w:rPr>
          <w:rFonts w:ascii="Arial" w:hAnsi="Arial" w:cs="Arial"/>
          <w:sz w:val="24"/>
          <w:szCs w:val="24"/>
          <w:shd w:val="clear" w:color="auto" w:fill="FFFFFF"/>
        </w:rPr>
        <w:t xml:space="preserve">for complex posttraumatic stress disorder. </w:t>
      </w:r>
      <w:r w:rsidRPr="009E1D9E">
        <w:rPr>
          <w:rFonts w:ascii="Arial" w:hAnsi="Arial" w:cs="Arial"/>
          <w:i/>
          <w:iCs/>
          <w:sz w:val="24"/>
          <w:szCs w:val="24"/>
          <w:shd w:val="clear" w:color="auto" w:fill="FFFFFF"/>
        </w:rPr>
        <w:t>Psychological Trauma, 9</w:t>
      </w:r>
      <w:r w:rsidRPr="009E1D9E">
        <w:rPr>
          <w:rFonts w:ascii="Arial" w:hAnsi="Arial" w:cs="Arial"/>
          <w:sz w:val="24"/>
          <w:szCs w:val="24"/>
          <w:shd w:val="clear" w:color="auto" w:fill="FFFFFF"/>
        </w:rPr>
        <w:t>, 1-9.</w:t>
      </w:r>
      <w:r w:rsidRPr="009E1D9E">
        <w:t xml:space="preserve"> </w:t>
      </w:r>
      <w:proofErr w:type="spellStart"/>
      <w:r w:rsidRPr="009E1D9E">
        <w:rPr>
          <w:rFonts w:ascii="Arial" w:hAnsi="Arial" w:cs="Arial"/>
          <w:sz w:val="24"/>
          <w:szCs w:val="24"/>
          <w:shd w:val="clear" w:color="auto" w:fill="FFFFFF"/>
        </w:rPr>
        <w:t>doi</w:t>
      </w:r>
      <w:proofErr w:type="spellEnd"/>
      <w:r w:rsidRPr="009E1D9E">
        <w:rPr>
          <w:rFonts w:ascii="Arial" w:hAnsi="Arial" w:cs="Arial"/>
          <w:sz w:val="24"/>
          <w:szCs w:val="24"/>
          <w:shd w:val="clear" w:color="auto" w:fill="FFFFFF"/>
        </w:rPr>
        <w:t xml:space="preserve">: </w:t>
      </w:r>
      <w:r w:rsidR="00521685" w:rsidRPr="009E1D9E">
        <w:rPr>
          <w:rFonts w:ascii="Arial" w:hAnsi="Arial" w:cs="Arial"/>
          <w:sz w:val="24"/>
          <w:szCs w:val="24"/>
          <w:shd w:val="clear" w:color="auto" w:fill="FFFFFF"/>
        </w:rPr>
        <w:tab/>
      </w:r>
      <w:r w:rsidRPr="009E1D9E">
        <w:rPr>
          <w:rFonts w:ascii="Arial" w:hAnsi="Arial" w:cs="Arial"/>
          <w:sz w:val="24"/>
          <w:szCs w:val="24"/>
          <w:shd w:val="clear" w:color="auto" w:fill="FFFFFF"/>
        </w:rPr>
        <w:t>10.1037/tra0000114</w:t>
      </w:r>
    </w:p>
    <w:p w14:paraId="4CE97A49" w14:textId="1F894E94" w:rsidR="00DF1326" w:rsidRPr="009E1D9E" w:rsidRDefault="00DF1326" w:rsidP="00110CB8">
      <w:pPr>
        <w:spacing w:after="0" w:line="480" w:lineRule="auto"/>
        <w:rPr>
          <w:rFonts w:asciiTheme="minorBidi" w:hAnsiTheme="minorBidi"/>
          <w:sz w:val="24"/>
          <w:szCs w:val="24"/>
        </w:rPr>
      </w:pPr>
      <w:r w:rsidRPr="009E1D9E">
        <w:rPr>
          <w:rFonts w:asciiTheme="minorBidi" w:hAnsiTheme="minorBidi"/>
          <w:sz w:val="24"/>
          <w:szCs w:val="24"/>
        </w:rPr>
        <w:t xml:space="preserve">Hyland, P., Murphy, J., Shevlin, M., </w:t>
      </w:r>
      <w:proofErr w:type="spellStart"/>
      <w:r w:rsidRPr="009E1D9E">
        <w:rPr>
          <w:rFonts w:asciiTheme="minorBidi" w:hAnsiTheme="minorBidi"/>
          <w:sz w:val="24"/>
          <w:szCs w:val="24"/>
        </w:rPr>
        <w:t>Vallières</w:t>
      </w:r>
      <w:proofErr w:type="spellEnd"/>
      <w:r w:rsidRPr="009E1D9E">
        <w:rPr>
          <w:rFonts w:asciiTheme="minorBidi" w:hAnsiTheme="minorBidi"/>
          <w:sz w:val="24"/>
          <w:szCs w:val="24"/>
        </w:rPr>
        <w:t xml:space="preserve">, F., McElroy, E., </w:t>
      </w:r>
      <w:proofErr w:type="spellStart"/>
      <w:r w:rsidRPr="009E1D9E">
        <w:rPr>
          <w:rFonts w:asciiTheme="minorBidi" w:hAnsiTheme="minorBidi"/>
          <w:sz w:val="24"/>
          <w:szCs w:val="24"/>
        </w:rPr>
        <w:t>Elklit</w:t>
      </w:r>
      <w:proofErr w:type="spellEnd"/>
      <w:r w:rsidRPr="009E1D9E">
        <w:rPr>
          <w:rFonts w:asciiTheme="minorBidi" w:hAnsiTheme="minorBidi"/>
          <w:sz w:val="24"/>
          <w:szCs w:val="24"/>
        </w:rPr>
        <w:t xml:space="preserve">, A., </w:t>
      </w:r>
      <w:r w:rsidR="00521685" w:rsidRPr="009E1D9E">
        <w:rPr>
          <w:rFonts w:asciiTheme="minorBidi" w:hAnsiTheme="minorBidi"/>
          <w:sz w:val="24"/>
          <w:szCs w:val="24"/>
        </w:rPr>
        <w:tab/>
      </w:r>
      <w:proofErr w:type="spellStart"/>
      <w:r w:rsidRPr="009E1D9E">
        <w:rPr>
          <w:rFonts w:asciiTheme="minorBidi" w:hAnsiTheme="minorBidi"/>
          <w:sz w:val="24"/>
          <w:szCs w:val="24"/>
        </w:rPr>
        <w:t>Christoffersen</w:t>
      </w:r>
      <w:proofErr w:type="spellEnd"/>
      <w:r w:rsidRPr="009E1D9E">
        <w:rPr>
          <w:rFonts w:asciiTheme="minorBidi" w:hAnsiTheme="minorBidi"/>
          <w:sz w:val="24"/>
          <w:szCs w:val="24"/>
        </w:rPr>
        <w:t>, M., &amp; Cloitre, M. (2017b). Variation in post-traumatic response:</w:t>
      </w:r>
      <w:r w:rsidR="00521685" w:rsidRPr="009E1D9E">
        <w:rPr>
          <w:rFonts w:asciiTheme="minorBidi" w:hAnsiTheme="minorBidi"/>
          <w:sz w:val="24"/>
          <w:szCs w:val="24"/>
        </w:rPr>
        <w:tab/>
      </w:r>
      <w:r w:rsidRPr="009E1D9E">
        <w:rPr>
          <w:rFonts w:asciiTheme="minorBidi" w:hAnsiTheme="minorBidi"/>
          <w:sz w:val="24"/>
          <w:szCs w:val="24"/>
        </w:rPr>
        <w:t xml:space="preserve"> the role of trauma type in predicting ICD-11 PTSD and CPTSD symptoms. </w:t>
      </w:r>
      <w:r w:rsidR="00521685" w:rsidRPr="009E1D9E">
        <w:rPr>
          <w:rFonts w:asciiTheme="minorBidi" w:hAnsiTheme="minorBidi"/>
          <w:sz w:val="24"/>
          <w:szCs w:val="24"/>
        </w:rPr>
        <w:tab/>
      </w:r>
      <w:r w:rsidRPr="009E1D9E">
        <w:rPr>
          <w:rFonts w:asciiTheme="minorBidi" w:hAnsiTheme="minorBidi"/>
          <w:i/>
          <w:iCs/>
          <w:sz w:val="24"/>
          <w:szCs w:val="24"/>
        </w:rPr>
        <w:t>Social Psychiatry and Psychiatric Epidemiology, 52</w:t>
      </w:r>
      <w:r w:rsidRPr="009E1D9E">
        <w:rPr>
          <w:rFonts w:asciiTheme="minorBidi" w:hAnsiTheme="minorBidi"/>
          <w:sz w:val="24"/>
          <w:szCs w:val="24"/>
        </w:rPr>
        <w:t xml:space="preserve">, 727-736. </w:t>
      </w:r>
      <w:proofErr w:type="spellStart"/>
      <w:r w:rsidRPr="009E1D9E">
        <w:rPr>
          <w:rFonts w:asciiTheme="minorBidi" w:hAnsiTheme="minorBidi"/>
          <w:sz w:val="24"/>
          <w:szCs w:val="24"/>
        </w:rPr>
        <w:t>doi</w:t>
      </w:r>
      <w:proofErr w:type="spellEnd"/>
      <w:r w:rsidRPr="009E1D9E">
        <w:rPr>
          <w:rFonts w:asciiTheme="minorBidi" w:hAnsiTheme="minorBidi"/>
          <w:sz w:val="24"/>
          <w:szCs w:val="24"/>
        </w:rPr>
        <w:t xml:space="preserve">: </w:t>
      </w:r>
      <w:r w:rsidR="00521685" w:rsidRPr="009E1D9E">
        <w:rPr>
          <w:rFonts w:asciiTheme="minorBidi" w:hAnsiTheme="minorBidi"/>
          <w:sz w:val="24"/>
          <w:szCs w:val="24"/>
        </w:rPr>
        <w:tab/>
      </w:r>
      <w:r w:rsidRPr="009E1D9E">
        <w:rPr>
          <w:rFonts w:asciiTheme="minorBidi" w:hAnsiTheme="minorBidi"/>
          <w:sz w:val="24"/>
          <w:szCs w:val="24"/>
        </w:rPr>
        <w:t>10.1007/s00127-017-1350-8</w:t>
      </w:r>
    </w:p>
    <w:p w14:paraId="34051FF5" w14:textId="60C71EF6" w:rsidR="00DF1326" w:rsidRPr="009E1D9E" w:rsidRDefault="00DF1326" w:rsidP="00110CB8">
      <w:pPr>
        <w:spacing w:after="0" w:line="480" w:lineRule="auto"/>
        <w:rPr>
          <w:rFonts w:asciiTheme="minorBidi" w:hAnsiTheme="minorBidi"/>
          <w:sz w:val="24"/>
          <w:szCs w:val="24"/>
          <w:lang w:val="en-US"/>
        </w:rPr>
      </w:pPr>
      <w:r w:rsidRPr="009E1D9E">
        <w:rPr>
          <w:rFonts w:asciiTheme="minorBidi" w:hAnsiTheme="minorBidi"/>
          <w:sz w:val="24"/>
          <w:szCs w:val="24"/>
          <w:lang w:val="en-US"/>
        </w:rPr>
        <w:t xml:space="preserve">Hyland, P., Shevlin, M., Brewin, C.R., Cloitre, M., </w:t>
      </w:r>
      <w:proofErr w:type="spellStart"/>
      <w:r w:rsidRPr="009E1D9E">
        <w:rPr>
          <w:rFonts w:asciiTheme="minorBidi" w:hAnsiTheme="minorBidi"/>
          <w:sz w:val="24"/>
          <w:szCs w:val="24"/>
          <w:lang w:val="en-US"/>
        </w:rPr>
        <w:t>Downes</w:t>
      </w:r>
      <w:proofErr w:type="spellEnd"/>
      <w:r w:rsidRPr="009E1D9E">
        <w:rPr>
          <w:rFonts w:asciiTheme="minorBidi" w:hAnsiTheme="minorBidi"/>
          <w:sz w:val="24"/>
          <w:szCs w:val="24"/>
          <w:lang w:val="en-US"/>
        </w:rPr>
        <w:t xml:space="preserve">, A.J., </w:t>
      </w:r>
      <w:proofErr w:type="spellStart"/>
      <w:r w:rsidRPr="009E1D9E">
        <w:rPr>
          <w:rFonts w:asciiTheme="minorBidi" w:hAnsiTheme="minorBidi"/>
          <w:sz w:val="24"/>
          <w:szCs w:val="24"/>
          <w:lang w:val="en-US"/>
        </w:rPr>
        <w:t>Jumbe</w:t>
      </w:r>
      <w:proofErr w:type="spellEnd"/>
      <w:r w:rsidRPr="009E1D9E">
        <w:rPr>
          <w:rFonts w:asciiTheme="minorBidi" w:hAnsiTheme="minorBidi"/>
          <w:sz w:val="24"/>
          <w:szCs w:val="24"/>
          <w:lang w:val="en-US"/>
        </w:rPr>
        <w:t xml:space="preserve">, S., </w:t>
      </w:r>
      <w:r w:rsidR="00521685" w:rsidRPr="009E1D9E">
        <w:rPr>
          <w:rFonts w:asciiTheme="minorBidi" w:hAnsiTheme="minorBidi"/>
          <w:sz w:val="24"/>
          <w:szCs w:val="24"/>
          <w:lang w:val="en-US"/>
        </w:rPr>
        <w:tab/>
      </w:r>
      <w:r w:rsidRPr="009E1D9E">
        <w:rPr>
          <w:rFonts w:asciiTheme="minorBidi" w:hAnsiTheme="minorBidi"/>
          <w:sz w:val="24"/>
          <w:szCs w:val="24"/>
          <w:lang w:val="en-US"/>
        </w:rPr>
        <w:t xml:space="preserve">Karatzias, T., Bisson, J.I., &amp; Roberts, N.P. (2017c). Validation of </w:t>
      </w:r>
      <w:r w:rsidR="00521685" w:rsidRPr="009E1D9E">
        <w:rPr>
          <w:rFonts w:asciiTheme="minorBidi" w:hAnsiTheme="minorBidi"/>
          <w:sz w:val="24"/>
          <w:szCs w:val="24"/>
          <w:lang w:val="en-US"/>
        </w:rPr>
        <w:tab/>
      </w:r>
      <w:r w:rsidRPr="009E1D9E">
        <w:rPr>
          <w:rFonts w:asciiTheme="minorBidi" w:hAnsiTheme="minorBidi"/>
          <w:sz w:val="24"/>
          <w:szCs w:val="24"/>
          <w:lang w:val="en-US"/>
        </w:rPr>
        <w:t>Posttraumatic Stress Disorder (PTSD) and Complex-</w:t>
      </w:r>
      <w:r w:rsidRPr="009E1D9E">
        <w:rPr>
          <w:rFonts w:asciiTheme="minorBidi" w:hAnsiTheme="minorBidi"/>
          <w:sz w:val="24"/>
          <w:szCs w:val="24"/>
          <w:lang w:val="en-US"/>
        </w:rPr>
        <w:lastRenderedPageBreak/>
        <w:t xml:space="preserve">PTSD using the </w:t>
      </w:r>
      <w:r w:rsidR="00521685" w:rsidRPr="009E1D9E">
        <w:rPr>
          <w:rFonts w:asciiTheme="minorBidi" w:hAnsiTheme="minorBidi"/>
          <w:sz w:val="24"/>
          <w:szCs w:val="24"/>
          <w:lang w:val="en-US"/>
        </w:rPr>
        <w:tab/>
      </w:r>
      <w:r w:rsidRPr="009E1D9E">
        <w:rPr>
          <w:rFonts w:asciiTheme="minorBidi" w:hAnsiTheme="minorBidi"/>
          <w:sz w:val="24"/>
          <w:szCs w:val="24"/>
          <w:lang w:val="en-US"/>
        </w:rPr>
        <w:t>International Trauma Questionnaire.</w:t>
      </w:r>
      <w:r w:rsidRPr="009E1D9E">
        <w:t xml:space="preserve"> </w:t>
      </w:r>
      <w:proofErr w:type="spellStart"/>
      <w:r w:rsidRPr="009E1D9E">
        <w:rPr>
          <w:rFonts w:asciiTheme="minorBidi" w:hAnsiTheme="minorBidi"/>
          <w:i/>
          <w:iCs/>
          <w:sz w:val="24"/>
          <w:szCs w:val="24"/>
          <w:lang w:val="en-US"/>
        </w:rPr>
        <w:t>Acta</w:t>
      </w:r>
      <w:proofErr w:type="spellEnd"/>
      <w:r w:rsidRPr="009E1D9E">
        <w:rPr>
          <w:rFonts w:asciiTheme="minorBidi" w:hAnsiTheme="minorBidi"/>
          <w:i/>
          <w:iCs/>
          <w:sz w:val="24"/>
          <w:szCs w:val="24"/>
          <w:lang w:val="en-US"/>
        </w:rPr>
        <w:t xml:space="preserve"> </w:t>
      </w:r>
      <w:proofErr w:type="spellStart"/>
      <w:r w:rsidRPr="009E1D9E">
        <w:rPr>
          <w:rFonts w:asciiTheme="minorBidi" w:hAnsiTheme="minorBidi"/>
          <w:i/>
          <w:iCs/>
          <w:sz w:val="24"/>
          <w:szCs w:val="24"/>
          <w:lang w:val="en-US"/>
        </w:rPr>
        <w:t>Psychiatrica</w:t>
      </w:r>
      <w:proofErr w:type="spellEnd"/>
      <w:r w:rsidRPr="009E1D9E">
        <w:rPr>
          <w:rFonts w:asciiTheme="minorBidi" w:hAnsiTheme="minorBidi"/>
          <w:i/>
          <w:iCs/>
          <w:sz w:val="24"/>
          <w:szCs w:val="24"/>
          <w:lang w:val="en-US"/>
        </w:rPr>
        <w:t xml:space="preserve"> </w:t>
      </w:r>
      <w:proofErr w:type="spellStart"/>
      <w:r w:rsidRPr="009E1D9E">
        <w:rPr>
          <w:rFonts w:asciiTheme="minorBidi" w:hAnsiTheme="minorBidi"/>
          <w:i/>
          <w:iCs/>
          <w:sz w:val="24"/>
          <w:szCs w:val="24"/>
          <w:lang w:val="en-US"/>
        </w:rPr>
        <w:t>Scandinavica</w:t>
      </w:r>
      <w:proofErr w:type="spellEnd"/>
      <w:r w:rsidRPr="009E1D9E">
        <w:rPr>
          <w:rFonts w:asciiTheme="minorBidi" w:hAnsiTheme="minorBidi"/>
          <w:i/>
          <w:iCs/>
          <w:sz w:val="24"/>
          <w:szCs w:val="24"/>
          <w:lang w:val="en-US"/>
        </w:rPr>
        <w:t>, 136</w:t>
      </w:r>
      <w:r w:rsidRPr="009E1D9E">
        <w:rPr>
          <w:rFonts w:asciiTheme="minorBidi" w:hAnsiTheme="minorBidi"/>
          <w:sz w:val="24"/>
          <w:szCs w:val="24"/>
          <w:lang w:val="en-US"/>
        </w:rPr>
        <w:t xml:space="preserve">, </w:t>
      </w:r>
      <w:r w:rsidR="00521685" w:rsidRPr="009E1D9E">
        <w:rPr>
          <w:rFonts w:asciiTheme="minorBidi" w:hAnsiTheme="minorBidi"/>
          <w:sz w:val="24"/>
          <w:szCs w:val="24"/>
          <w:lang w:val="en-US"/>
        </w:rPr>
        <w:tab/>
      </w:r>
      <w:r w:rsidRPr="009E1D9E">
        <w:rPr>
          <w:rFonts w:asciiTheme="minorBidi" w:hAnsiTheme="minorBidi"/>
          <w:sz w:val="24"/>
          <w:szCs w:val="24"/>
          <w:lang w:val="en-US"/>
        </w:rPr>
        <w:t xml:space="preserve">313-322. </w:t>
      </w:r>
      <w:proofErr w:type="spellStart"/>
      <w:r w:rsidRPr="009E1D9E">
        <w:rPr>
          <w:rFonts w:asciiTheme="minorBidi" w:hAnsiTheme="minorBidi"/>
          <w:sz w:val="24"/>
          <w:szCs w:val="24"/>
          <w:lang w:val="en-US"/>
        </w:rPr>
        <w:t>doi</w:t>
      </w:r>
      <w:proofErr w:type="spellEnd"/>
      <w:r w:rsidRPr="009E1D9E">
        <w:rPr>
          <w:rFonts w:asciiTheme="minorBidi" w:hAnsiTheme="minorBidi"/>
          <w:sz w:val="24"/>
          <w:szCs w:val="24"/>
          <w:lang w:val="en-US"/>
        </w:rPr>
        <w:t>: 10.1111/acps.12771</w:t>
      </w:r>
    </w:p>
    <w:p w14:paraId="3E91DB85" w14:textId="7E179AFF" w:rsidR="00DF1326" w:rsidRPr="009E1D9E" w:rsidRDefault="00DF1326" w:rsidP="00110CB8">
      <w:pPr>
        <w:spacing w:after="0" w:line="480" w:lineRule="auto"/>
        <w:rPr>
          <w:rFonts w:asciiTheme="minorBidi" w:hAnsiTheme="minorBidi"/>
          <w:sz w:val="24"/>
          <w:szCs w:val="24"/>
        </w:rPr>
      </w:pPr>
      <w:r w:rsidRPr="009E1D9E">
        <w:rPr>
          <w:rFonts w:asciiTheme="minorBidi" w:hAnsiTheme="minorBidi"/>
          <w:sz w:val="24"/>
          <w:szCs w:val="24"/>
        </w:rPr>
        <w:t xml:space="preserve">Karatzias, T., Shevlin, M., </w:t>
      </w:r>
      <w:proofErr w:type="spellStart"/>
      <w:r w:rsidRPr="009E1D9E">
        <w:rPr>
          <w:rFonts w:asciiTheme="minorBidi" w:hAnsiTheme="minorBidi"/>
          <w:sz w:val="24"/>
          <w:szCs w:val="24"/>
        </w:rPr>
        <w:t>Fyvie</w:t>
      </w:r>
      <w:proofErr w:type="spellEnd"/>
      <w:r w:rsidRPr="009E1D9E">
        <w:rPr>
          <w:rFonts w:asciiTheme="minorBidi" w:hAnsiTheme="minorBidi"/>
          <w:sz w:val="24"/>
          <w:szCs w:val="24"/>
        </w:rPr>
        <w:t xml:space="preserve">, C., Hyland, P., </w:t>
      </w:r>
      <w:proofErr w:type="spellStart"/>
      <w:r w:rsidRPr="009E1D9E">
        <w:rPr>
          <w:rFonts w:asciiTheme="minorBidi" w:hAnsiTheme="minorBidi"/>
          <w:sz w:val="24"/>
          <w:szCs w:val="24"/>
        </w:rPr>
        <w:t>Efthymiadou</w:t>
      </w:r>
      <w:proofErr w:type="spellEnd"/>
      <w:r w:rsidRPr="009E1D9E">
        <w:rPr>
          <w:rFonts w:asciiTheme="minorBidi" w:hAnsiTheme="minorBidi"/>
          <w:sz w:val="24"/>
          <w:szCs w:val="24"/>
        </w:rPr>
        <w:t xml:space="preserve">, E., Wilson, D., </w:t>
      </w:r>
      <w:r w:rsidR="00521685" w:rsidRPr="009E1D9E">
        <w:rPr>
          <w:rFonts w:asciiTheme="minorBidi" w:hAnsiTheme="minorBidi"/>
          <w:sz w:val="24"/>
          <w:szCs w:val="24"/>
        </w:rPr>
        <w:tab/>
      </w:r>
      <w:r w:rsidRPr="009E1D9E">
        <w:rPr>
          <w:rFonts w:asciiTheme="minorBidi" w:hAnsiTheme="minorBidi"/>
          <w:sz w:val="24"/>
          <w:szCs w:val="24"/>
        </w:rPr>
        <w:t xml:space="preserve">Roberts, N., Bisson, J.I., Brewin, C.R., &amp; Cloitre, M. (2016). An initial </w:t>
      </w:r>
      <w:r w:rsidR="00521685" w:rsidRPr="009E1D9E">
        <w:rPr>
          <w:rFonts w:asciiTheme="minorBidi" w:hAnsiTheme="minorBidi"/>
          <w:sz w:val="24"/>
          <w:szCs w:val="24"/>
        </w:rPr>
        <w:tab/>
      </w:r>
      <w:r w:rsidRPr="009E1D9E">
        <w:rPr>
          <w:rFonts w:asciiTheme="minorBidi" w:hAnsiTheme="minorBidi"/>
          <w:sz w:val="24"/>
          <w:szCs w:val="24"/>
        </w:rPr>
        <w:t xml:space="preserve">psychometric Assessment of an ICD-11 based measure of PTSD and </w:t>
      </w:r>
      <w:r w:rsidR="00521685" w:rsidRPr="009E1D9E">
        <w:rPr>
          <w:rFonts w:asciiTheme="minorBidi" w:hAnsiTheme="minorBidi"/>
          <w:sz w:val="24"/>
          <w:szCs w:val="24"/>
        </w:rPr>
        <w:tab/>
      </w:r>
      <w:r w:rsidRPr="009E1D9E">
        <w:rPr>
          <w:rFonts w:asciiTheme="minorBidi" w:hAnsiTheme="minorBidi"/>
          <w:sz w:val="24"/>
          <w:szCs w:val="24"/>
        </w:rPr>
        <w:t xml:space="preserve">complex PTSD (ICD-TQ): Evidence of construct validity. </w:t>
      </w:r>
      <w:r w:rsidRPr="009E1D9E">
        <w:rPr>
          <w:rFonts w:asciiTheme="minorBidi" w:hAnsiTheme="minorBidi"/>
          <w:i/>
          <w:iCs/>
          <w:sz w:val="24"/>
          <w:szCs w:val="24"/>
        </w:rPr>
        <w:t xml:space="preserve">Journal of Anxiety </w:t>
      </w:r>
      <w:r w:rsidR="00521685" w:rsidRPr="009E1D9E">
        <w:rPr>
          <w:rFonts w:asciiTheme="minorBidi" w:hAnsiTheme="minorBidi"/>
          <w:i/>
          <w:iCs/>
          <w:sz w:val="24"/>
          <w:szCs w:val="24"/>
        </w:rPr>
        <w:tab/>
      </w:r>
      <w:r w:rsidRPr="009E1D9E">
        <w:rPr>
          <w:rFonts w:asciiTheme="minorBidi" w:hAnsiTheme="minorBidi"/>
          <w:i/>
          <w:iCs/>
          <w:sz w:val="24"/>
          <w:szCs w:val="24"/>
        </w:rPr>
        <w:t>Disorders, 44</w:t>
      </w:r>
      <w:r w:rsidRPr="009E1D9E">
        <w:rPr>
          <w:rFonts w:asciiTheme="minorBidi" w:hAnsiTheme="minorBidi"/>
          <w:sz w:val="24"/>
          <w:szCs w:val="24"/>
        </w:rPr>
        <w:t xml:space="preserve">, 73-79. </w:t>
      </w:r>
      <w:proofErr w:type="spellStart"/>
      <w:r w:rsidRPr="009E1D9E">
        <w:rPr>
          <w:rFonts w:asciiTheme="minorBidi" w:hAnsiTheme="minorBidi"/>
          <w:sz w:val="24"/>
          <w:szCs w:val="24"/>
        </w:rPr>
        <w:t>doi</w:t>
      </w:r>
      <w:proofErr w:type="spellEnd"/>
      <w:r w:rsidRPr="009E1D9E">
        <w:rPr>
          <w:rFonts w:asciiTheme="minorBidi" w:hAnsiTheme="minorBidi"/>
          <w:sz w:val="24"/>
          <w:szCs w:val="24"/>
        </w:rPr>
        <w:t>: 10.1016/j.janxdis.2016.10.009</w:t>
      </w:r>
    </w:p>
    <w:p w14:paraId="7C9F51AF" w14:textId="68516A92" w:rsidR="00DF1326" w:rsidRPr="009E1D9E" w:rsidRDefault="00DF1326" w:rsidP="00110CB8">
      <w:pPr>
        <w:spacing w:after="0" w:line="480" w:lineRule="auto"/>
        <w:rPr>
          <w:rFonts w:asciiTheme="minorBidi" w:hAnsiTheme="minorBidi"/>
          <w:sz w:val="24"/>
          <w:szCs w:val="24"/>
        </w:rPr>
      </w:pPr>
      <w:r w:rsidRPr="009E1D9E">
        <w:rPr>
          <w:rFonts w:asciiTheme="minorBidi" w:hAnsiTheme="minorBidi"/>
          <w:sz w:val="24"/>
          <w:szCs w:val="24"/>
        </w:rPr>
        <w:t xml:space="preserve">Karatzias, T., Shevlin, M., </w:t>
      </w:r>
      <w:proofErr w:type="spellStart"/>
      <w:r w:rsidRPr="009E1D9E">
        <w:rPr>
          <w:rFonts w:asciiTheme="minorBidi" w:hAnsiTheme="minorBidi"/>
          <w:sz w:val="24"/>
          <w:szCs w:val="24"/>
        </w:rPr>
        <w:t>Fyvie</w:t>
      </w:r>
      <w:proofErr w:type="spellEnd"/>
      <w:r w:rsidRPr="009E1D9E">
        <w:rPr>
          <w:rFonts w:asciiTheme="minorBidi" w:hAnsiTheme="minorBidi"/>
          <w:sz w:val="24"/>
          <w:szCs w:val="24"/>
        </w:rPr>
        <w:t xml:space="preserve">, C., Hyland, P., </w:t>
      </w:r>
      <w:proofErr w:type="spellStart"/>
      <w:r w:rsidRPr="009E1D9E">
        <w:rPr>
          <w:rFonts w:asciiTheme="minorBidi" w:hAnsiTheme="minorBidi"/>
          <w:sz w:val="24"/>
          <w:szCs w:val="24"/>
        </w:rPr>
        <w:t>Efthymiadou</w:t>
      </w:r>
      <w:proofErr w:type="spellEnd"/>
      <w:r w:rsidRPr="009E1D9E">
        <w:rPr>
          <w:rFonts w:asciiTheme="minorBidi" w:hAnsiTheme="minorBidi"/>
          <w:sz w:val="24"/>
          <w:szCs w:val="24"/>
        </w:rPr>
        <w:t xml:space="preserve">, E., Wilson, D., </w:t>
      </w:r>
      <w:r w:rsidR="00521685" w:rsidRPr="009E1D9E">
        <w:rPr>
          <w:rFonts w:asciiTheme="minorBidi" w:hAnsiTheme="minorBidi"/>
          <w:sz w:val="24"/>
          <w:szCs w:val="24"/>
        </w:rPr>
        <w:tab/>
      </w:r>
      <w:r w:rsidRPr="009E1D9E">
        <w:rPr>
          <w:rFonts w:asciiTheme="minorBidi" w:hAnsiTheme="minorBidi"/>
          <w:sz w:val="24"/>
          <w:szCs w:val="24"/>
        </w:rPr>
        <w:t xml:space="preserve">Roberts, N., Bisson, J.I., Brewin, C.R., &amp; Cloitre, M. (2017). Evidence of </w:t>
      </w:r>
      <w:r w:rsidR="00521685" w:rsidRPr="009E1D9E">
        <w:rPr>
          <w:rFonts w:asciiTheme="minorBidi" w:hAnsiTheme="minorBidi"/>
          <w:sz w:val="24"/>
          <w:szCs w:val="24"/>
        </w:rPr>
        <w:tab/>
      </w:r>
      <w:r w:rsidR="00521685" w:rsidRPr="009E1D9E">
        <w:rPr>
          <w:rFonts w:asciiTheme="minorBidi" w:hAnsiTheme="minorBidi"/>
          <w:sz w:val="24"/>
          <w:szCs w:val="24"/>
        </w:rPr>
        <w:tab/>
      </w:r>
      <w:r w:rsidRPr="009E1D9E">
        <w:rPr>
          <w:rFonts w:asciiTheme="minorBidi" w:hAnsiTheme="minorBidi"/>
          <w:sz w:val="24"/>
          <w:szCs w:val="24"/>
        </w:rPr>
        <w:t>distinct proﬁles of Posttraumatic Stress Disorder (PTSD) and Complex</w:t>
      </w:r>
      <w:r w:rsidR="00521685" w:rsidRPr="009E1D9E">
        <w:rPr>
          <w:rFonts w:asciiTheme="minorBidi" w:hAnsiTheme="minorBidi"/>
          <w:sz w:val="24"/>
          <w:szCs w:val="24"/>
        </w:rPr>
        <w:tab/>
      </w:r>
      <w:r w:rsidR="00521685" w:rsidRPr="009E1D9E">
        <w:rPr>
          <w:rFonts w:asciiTheme="minorBidi" w:hAnsiTheme="minorBidi"/>
          <w:sz w:val="24"/>
          <w:szCs w:val="24"/>
        </w:rPr>
        <w:tab/>
      </w:r>
      <w:r w:rsidRPr="009E1D9E">
        <w:rPr>
          <w:rFonts w:asciiTheme="minorBidi" w:hAnsiTheme="minorBidi"/>
          <w:sz w:val="24"/>
          <w:szCs w:val="24"/>
        </w:rPr>
        <w:t xml:space="preserve">Posttraumatic Stress Disorder (CPTSD) based on the new ICD-11 Trauma </w:t>
      </w:r>
      <w:r w:rsidR="00521685" w:rsidRPr="009E1D9E">
        <w:rPr>
          <w:rFonts w:asciiTheme="minorBidi" w:hAnsiTheme="minorBidi"/>
          <w:sz w:val="24"/>
          <w:szCs w:val="24"/>
        </w:rPr>
        <w:tab/>
      </w:r>
      <w:r w:rsidRPr="009E1D9E">
        <w:rPr>
          <w:rFonts w:asciiTheme="minorBidi" w:hAnsiTheme="minorBidi"/>
          <w:sz w:val="24"/>
          <w:szCs w:val="24"/>
        </w:rPr>
        <w:t xml:space="preserve">Questionnaire (ICD-TQ). </w:t>
      </w:r>
      <w:r w:rsidRPr="009E1D9E">
        <w:rPr>
          <w:rFonts w:asciiTheme="minorBidi" w:hAnsiTheme="minorBidi"/>
          <w:i/>
          <w:iCs/>
          <w:sz w:val="24"/>
          <w:szCs w:val="24"/>
        </w:rPr>
        <w:t>Journal of Affective Disorder, 207</w:t>
      </w:r>
      <w:r w:rsidRPr="009E1D9E">
        <w:rPr>
          <w:rFonts w:asciiTheme="minorBidi" w:hAnsiTheme="minorBidi"/>
          <w:sz w:val="24"/>
          <w:szCs w:val="24"/>
        </w:rPr>
        <w:t xml:space="preserve">, 181-187. </w:t>
      </w:r>
      <w:proofErr w:type="spellStart"/>
      <w:r w:rsidRPr="009E1D9E">
        <w:rPr>
          <w:rFonts w:ascii="Arial" w:hAnsi="Arial" w:cs="Arial"/>
          <w:sz w:val="24"/>
          <w:szCs w:val="24"/>
        </w:rPr>
        <w:t>doi</w:t>
      </w:r>
      <w:proofErr w:type="spellEnd"/>
      <w:r w:rsidRPr="009E1D9E">
        <w:rPr>
          <w:rFonts w:ascii="Arial" w:hAnsi="Arial" w:cs="Arial"/>
          <w:sz w:val="24"/>
          <w:szCs w:val="24"/>
        </w:rPr>
        <w:t xml:space="preserve">: </w:t>
      </w:r>
      <w:r w:rsidR="00521685" w:rsidRPr="009E1D9E">
        <w:rPr>
          <w:rFonts w:ascii="Arial" w:hAnsi="Arial" w:cs="Arial"/>
          <w:sz w:val="24"/>
          <w:szCs w:val="24"/>
        </w:rPr>
        <w:tab/>
      </w:r>
      <w:r w:rsidRPr="009E1D9E">
        <w:rPr>
          <w:rFonts w:ascii="Arial" w:hAnsi="Arial" w:cs="Arial"/>
          <w:sz w:val="24"/>
          <w:szCs w:val="24"/>
        </w:rPr>
        <w:t>10.1016/j.jad.2016.09.032</w:t>
      </w:r>
      <w:r w:rsidRPr="009E1D9E">
        <w:rPr>
          <w:rFonts w:asciiTheme="minorBidi" w:hAnsiTheme="minorBidi"/>
          <w:sz w:val="24"/>
          <w:szCs w:val="24"/>
        </w:rPr>
        <w:t xml:space="preserve"> </w:t>
      </w:r>
    </w:p>
    <w:p w14:paraId="070D94A6" w14:textId="7CE6FA4E" w:rsidR="00DF1326" w:rsidRPr="009E1D9E" w:rsidRDefault="00DF1326" w:rsidP="00110CB8">
      <w:pPr>
        <w:spacing w:after="0" w:line="480" w:lineRule="auto"/>
        <w:rPr>
          <w:rFonts w:ascii="Arial" w:hAnsi="Arial" w:cs="Arial"/>
          <w:sz w:val="24"/>
          <w:szCs w:val="24"/>
          <w:shd w:val="clear" w:color="auto" w:fill="FFFFFF"/>
        </w:rPr>
      </w:pPr>
      <w:r w:rsidRPr="009E1D9E">
        <w:rPr>
          <w:rFonts w:ascii="Arial" w:hAnsi="Arial" w:cs="Arial"/>
          <w:sz w:val="24"/>
          <w:szCs w:val="24"/>
          <w:shd w:val="clear" w:color="auto" w:fill="FFFFFF"/>
        </w:rPr>
        <w:lastRenderedPageBreak/>
        <w:t>Knefel, M., &amp; Lueger-Schuster, B. (2013). An evaluation of ICD-11 PTSD and</w:t>
      </w:r>
      <w:r w:rsidR="00521685" w:rsidRPr="009E1D9E">
        <w:rPr>
          <w:rFonts w:ascii="Arial" w:hAnsi="Arial" w:cs="Arial"/>
          <w:sz w:val="24"/>
          <w:szCs w:val="24"/>
          <w:shd w:val="clear" w:color="auto" w:fill="FFFFFF"/>
        </w:rPr>
        <w:tab/>
      </w:r>
      <w:r w:rsidR="00521685" w:rsidRPr="009E1D9E">
        <w:rPr>
          <w:rFonts w:ascii="Arial" w:hAnsi="Arial" w:cs="Arial"/>
          <w:sz w:val="24"/>
          <w:szCs w:val="24"/>
          <w:shd w:val="clear" w:color="auto" w:fill="FFFFFF"/>
        </w:rPr>
        <w:tab/>
      </w:r>
      <w:r w:rsidRPr="009E1D9E">
        <w:rPr>
          <w:rFonts w:ascii="Arial" w:hAnsi="Arial" w:cs="Arial"/>
          <w:sz w:val="24"/>
          <w:szCs w:val="24"/>
          <w:shd w:val="clear" w:color="auto" w:fill="FFFFFF"/>
        </w:rPr>
        <w:t xml:space="preserve"> complex PTSD criteria in a sample of adult survivors of childhood institutional</w:t>
      </w:r>
      <w:r w:rsidR="00521685" w:rsidRPr="009E1D9E">
        <w:rPr>
          <w:rFonts w:ascii="Arial" w:hAnsi="Arial" w:cs="Arial"/>
          <w:sz w:val="24"/>
          <w:szCs w:val="24"/>
          <w:shd w:val="clear" w:color="auto" w:fill="FFFFFF"/>
        </w:rPr>
        <w:tab/>
      </w:r>
      <w:r w:rsidRPr="009E1D9E">
        <w:rPr>
          <w:rFonts w:ascii="Arial" w:hAnsi="Arial" w:cs="Arial"/>
          <w:sz w:val="24"/>
          <w:szCs w:val="24"/>
          <w:shd w:val="clear" w:color="auto" w:fill="FFFFFF"/>
        </w:rPr>
        <w:t xml:space="preserve"> abuse.</w:t>
      </w:r>
      <w:r w:rsidRPr="009E1D9E">
        <w:rPr>
          <w:rStyle w:val="apple-converted-space"/>
          <w:rFonts w:ascii="Arial" w:hAnsi="Arial" w:cs="Arial"/>
          <w:sz w:val="24"/>
          <w:szCs w:val="24"/>
          <w:shd w:val="clear" w:color="auto" w:fill="FFFFFF"/>
        </w:rPr>
        <w:t> </w:t>
      </w:r>
      <w:r w:rsidRPr="009E1D9E">
        <w:rPr>
          <w:rFonts w:asciiTheme="minorBidi" w:hAnsiTheme="minorBidi"/>
          <w:i/>
          <w:iCs/>
          <w:sz w:val="24"/>
          <w:szCs w:val="24"/>
        </w:rPr>
        <w:t xml:space="preserve">European Journal of </w:t>
      </w:r>
      <w:proofErr w:type="spellStart"/>
      <w:r w:rsidRPr="009E1D9E">
        <w:rPr>
          <w:rFonts w:asciiTheme="minorBidi" w:hAnsiTheme="minorBidi"/>
          <w:i/>
          <w:iCs/>
          <w:sz w:val="24"/>
          <w:szCs w:val="24"/>
        </w:rPr>
        <w:t>Psychotraumatology</w:t>
      </w:r>
      <w:proofErr w:type="spellEnd"/>
      <w:r w:rsidRPr="009E1D9E">
        <w:rPr>
          <w:rFonts w:asciiTheme="minorBidi" w:hAnsiTheme="minorBidi"/>
          <w:i/>
          <w:iCs/>
          <w:sz w:val="24"/>
          <w:szCs w:val="24"/>
        </w:rPr>
        <w:t>, 4</w:t>
      </w:r>
      <w:r w:rsidRPr="009E1D9E">
        <w:rPr>
          <w:rFonts w:asciiTheme="minorBidi" w:hAnsiTheme="minorBidi"/>
          <w:sz w:val="24"/>
          <w:szCs w:val="24"/>
        </w:rPr>
        <w:t xml:space="preserve">, </w:t>
      </w:r>
      <w:r w:rsidRPr="009E1D9E">
        <w:rPr>
          <w:rFonts w:ascii="Arial" w:hAnsi="Arial" w:cs="Arial"/>
          <w:sz w:val="24"/>
          <w:szCs w:val="24"/>
          <w:shd w:val="clear" w:color="auto" w:fill="FFFFFF"/>
        </w:rPr>
        <w:t xml:space="preserve">22608. </w:t>
      </w:r>
      <w:proofErr w:type="spellStart"/>
      <w:proofErr w:type="gramStart"/>
      <w:r w:rsidRPr="009E1D9E">
        <w:rPr>
          <w:rFonts w:ascii="Arial" w:hAnsi="Arial" w:cs="Arial"/>
          <w:sz w:val="24"/>
          <w:szCs w:val="24"/>
          <w:shd w:val="clear" w:color="auto" w:fill="FFFFFF"/>
        </w:rPr>
        <w:t>doi</w:t>
      </w:r>
      <w:proofErr w:type="spellEnd"/>
      <w:proofErr w:type="gramEnd"/>
      <w:r w:rsidRPr="009E1D9E">
        <w:rPr>
          <w:rFonts w:ascii="Arial" w:hAnsi="Arial" w:cs="Arial"/>
          <w:sz w:val="24"/>
          <w:szCs w:val="24"/>
          <w:shd w:val="clear" w:color="auto" w:fill="FFFFFF"/>
        </w:rPr>
        <w:t xml:space="preserve">: </w:t>
      </w:r>
      <w:r w:rsidR="00521685" w:rsidRPr="009E1D9E">
        <w:rPr>
          <w:rFonts w:ascii="Arial" w:hAnsi="Arial" w:cs="Arial"/>
          <w:sz w:val="24"/>
          <w:szCs w:val="24"/>
          <w:shd w:val="clear" w:color="auto" w:fill="FFFFFF"/>
        </w:rPr>
        <w:tab/>
      </w:r>
      <w:r w:rsidRPr="009E1D9E">
        <w:rPr>
          <w:rFonts w:ascii="Arial" w:hAnsi="Arial" w:cs="Arial"/>
          <w:sz w:val="24"/>
          <w:szCs w:val="24"/>
          <w:shd w:val="clear" w:color="auto" w:fill="FFFFFF"/>
        </w:rPr>
        <w:t>10.3402/ejpt.v4i0.22608</w:t>
      </w:r>
    </w:p>
    <w:p w14:paraId="2F0C5157" w14:textId="2AF1CC3D" w:rsidR="00DF1326" w:rsidRPr="009E1D9E" w:rsidRDefault="00DF1326" w:rsidP="00110CB8">
      <w:pPr>
        <w:spacing w:after="0" w:line="480" w:lineRule="auto"/>
        <w:rPr>
          <w:rFonts w:ascii="Arial" w:hAnsi="Arial" w:cs="Arial"/>
          <w:sz w:val="24"/>
          <w:szCs w:val="24"/>
          <w:shd w:val="clear" w:color="auto" w:fill="FFFFFF"/>
        </w:rPr>
      </w:pPr>
      <w:r w:rsidRPr="009E1D9E">
        <w:rPr>
          <w:rFonts w:ascii="Arial" w:hAnsi="Arial" w:cs="Arial"/>
          <w:sz w:val="24"/>
          <w:szCs w:val="24"/>
          <w:shd w:val="clear" w:color="auto" w:fill="FFFFFF"/>
        </w:rPr>
        <w:t xml:space="preserve">Knefel, M., </w:t>
      </w:r>
      <w:proofErr w:type="spellStart"/>
      <w:r w:rsidRPr="009E1D9E">
        <w:rPr>
          <w:rFonts w:ascii="Arial" w:hAnsi="Arial" w:cs="Arial"/>
          <w:sz w:val="24"/>
          <w:szCs w:val="24"/>
          <w:shd w:val="clear" w:color="auto" w:fill="FFFFFF"/>
        </w:rPr>
        <w:t>Garvert</w:t>
      </w:r>
      <w:proofErr w:type="spellEnd"/>
      <w:r w:rsidRPr="009E1D9E">
        <w:rPr>
          <w:rFonts w:ascii="Arial" w:hAnsi="Arial" w:cs="Arial"/>
          <w:sz w:val="24"/>
          <w:szCs w:val="24"/>
          <w:shd w:val="clear" w:color="auto" w:fill="FFFFFF"/>
        </w:rPr>
        <w:t xml:space="preserve">, D.W., </w:t>
      </w:r>
      <w:proofErr w:type="spellStart"/>
      <w:r w:rsidRPr="009E1D9E">
        <w:rPr>
          <w:rFonts w:ascii="Arial" w:hAnsi="Arial" w:cs="Arial"/>
          <w:sz w:val="24"/>
          <w:szCs w:val="24"/>
          <w:shd w:val="clear" w:color="auto" w:fill="FFFFFF"/>
        </w:rPr>
        <w:t>Cloitre</w:t>
      </w:r>
      <w:proofErr w:type="spellEnd"/>
      <w:r w:rsidRPr="009E1D9E">
        <w:rPr>
          <w:rFonts w:ascii="Arial" w:hAnsi="Arial" w:cs="Arial"/>
          <w:sz w:val="24"/>
          <w:szCs w:val="24"/>
          <w:shd w:val="clear" w:color="auto" w:fill="FFFFFF"/>
        </w:rPr>
        <w:t>, M., &amp; Lueger-Schuster, B. (2015). Update to an</w:t>
      </w:r>
      <w:r w:rsidR="00521685" w:rsidRPr="009E1D9E">
        <w:rPr>
          <w:rFonts w:ascii="Arial" w:hAnsi="Arial" w:cs="Arial"/>
          <w:sz w:val="24"/>
          <w:szCs w:val="24"/>
          <w:shd w:val="clear" w:color="auto" w:fill="FFFFFF"/>
        </w:rPr>
        <w:tab/>
      </w:r>
      <w:r w:rsidRPr="009E1D9E">
        <w:rPr>
          <w:rFonts w:ascii="Arial" w:hAnsi="Arial" w:cs="Arial"/>
          <w:sz w:val="24"/>
          <w:szCs w:val="24"/>
          <w:shd w:val="clear" w:color="auto" w:fill="FFFFFF"/>
        </w:rPr>
        <w:t>evaluation of ICD-11 PTSD and complex PTSD criteria in a sample of adult</w:t>
      </w:r>
      <w:r w:rsidR="00521685" w:rsidRPr="009E1D9E">
        <w:rPr>
          <w:rFonts w:ascii="Arial" w:hAnsi="Arial" w:cs="Arial"/>
          <w:sz w:val="24"/>
          <w:szCs w:val="24"/>
          <w:shd w:val="clear" w:color="auto" w:fill="FFFFFF"/>
        </w:rPr>
        <w:tab/>
      </w:r>
      <w:r w:rsidRPr="009E1D9E">
        <w:rPr>
          <w:rFonts w:ascii="Arial" w:hAnsi="Arial" w:cs="Arial"/>
          <w:sz w:val="24"/>
          <w:szCs w:val="24"/>
          <w:shd w:val="clear" w:color="auto" w:fill="FFFFFF"/>
        </w:rPr>
        <w:t xml:space="preserve">survivors of childhood institutional abuse by Knefel &amp; Lueger-Schuster </w:t>
      </w:r>
      <w:r w:rsidR="00521685" w:rsidRPr="009E1D9E">
        <w:rPr>
          <w:rFonts w:ascii="Arial" w:hAnsi="Arial" w:cs="Arial"/>
          <w:sz w:val="24"/>
          <w:szCs w:val="24"/>
          <w:shd w:val="clear" w:color="auto" w:fill="FFFFFF"/>
        </w:rPr>
        <w:tab/>
      </w:r>
      <w:r w:rsidRPr="009E1D9E">
        <w:rPr>
          <w:rFonts w:ascii="Arial" w:hAnsi="Arial" w:cs="Arial"/>
          <w:sz w:val="24"/>
          <w:szCs w:val="24"/>
          <w:shd w:val="clear" w:color="auto" w:fill="FFFFFF"/>
        </w:rPr>
        <w:t xml:space="preserve">(2013): A latent profile analysis. </w:t>
      </w:r>
      <w:r w:rsidRPr="009E1D9E">
        <w:rPr>
          <w:rFonts w:ascii="Arial" w:hAnsi="Arial" w:cs="Arial"/>
          <w:i/>
          <w:iCs/>
          <w:sz w:val="24"/>
          <w:szCs w:val="24"/>
          <w:shd w:val="clear" w:color="auto" w:fill="FFFFFF"/>
        </w:rPr>
        <w:t xml:space="preserve">European Journal of </w:t>
      </w:r>
      <w:proofErr w:type="spellStart"/>
      <w:r w:rsidRPr="009E1D9E">
        <w:rPr>
          <w:rFonts w:ascii="Arial" w:hAnsi="Arial" w:cs="Arial"/>
          <w:i/>
          <w:iCs/>
          <w:sz w:val="24"/>
          <w:szCs w:val="24"/>
          <w:shd w:val="clear" w:color="auto" w:fill="FFFFFF"/>
        </w:rPr>
        <w:t>Psychotraumatology</w:t>
      </w:r>
      <w:proofErr w:type="spellEnd"/>
      <w:r w:rsidRPr="009E1D9E">
        <w:rPr>
          <w:rFonts w:ascii="Arial" w:hAnsi="Arial" w:cs="Arial"/>
          <w:i/>
          <w:iCs/>
          <w:sz w:val="24"/>
          <w:szCs w:val="24"/>
          <w:shd w:val="clear" w:color="auto" w:fill="FFFFFF"/>
        </w:rPr>
        <w:t>, 6</w:t>
      </w:r>
      <w:r w:rsidRPr="009E1D9E">
        <w:rPr>
          <w:rFonts w:ascii="Arial" w:hAnsi="Arial" w:cs="Arial"/>
          <w:sz w:val="24"/>
          <w:szCs w:val="24"/>
          <w:shd w:val="clear" w:color="auto" w:fill="FFFFFF"/>
        </w:rPr>
        <w:t>,</w:t>
      </w:r>
      <w:r w:rsidR="00521685" w:rsidRPr="009E1D9E">
        <w:rPr>
          <w:rFonts w:ascii="Arial" w:hAnsi="Arial" w:cs="Arial"/>
          <w:sz w:val="24"/>
          <w:szCs w:val="24"/>
          <w:shd w:val="clear" w:color="auto" w:fill="FFFFFF"/>
        </w:rPr>
        <w:tab/>
      </w:r>
      <w:r w:rsidRPr="009E1D9E">
        <w:rPr>
          <w:rFonts w:ascii="Arial" w:hAnsi="Arial" w:cs="Arial"/>
          <w:sz w:val="24"/>
          <w:szCs w:val="24"/>
          <w:shd w:val="clear" w:color="auto" w:fill="FFFFFF"/>
        </w:rPr>
        <w:t>25290.</w:t>
      </w:r>
      <w:r w:rsidRPr="009E1D9E">
        <w:t xml:space="preserve"> </w:t>
      </w:r>
      <w:proofErr w:type="spellStart"/>
      <w:proofErr w:type="gramStart"/>
      <w:r w:rsidRPr="009E1D9E">
        <w:rPr>
          <w:rFonts w:ascii="Arial" w:hAnsi="Arial" w:cs="Arial"/>
          <w:sz w:val="24"/>
          <w:szCs w:val="24"/>
        </w:rPr>
        <w:t>d</w:t>
      </w:r>
      <w:r w:rsidRPr="009E1D9E">
        <w:rPr>
          <w:rFonts w:ascii="Arial" w:hAnsi="Arial" w:cs="Arial"/>
          <w:sz w:val="24"/>
          <w:szCs w:val="24"/>
          <w:shd w:val="clear" w:color="auto" w:fill="FFFFFF"/>
        </w:rPr>
        <w:t>oi</w:t>
      </w:r>
      <w:proofErr w:type="spellEnd"/>
      <w:proofErr w:type="gramEnd"/>
      <w:r w:rsidRPr="009E1D9E">
        <w:rPr>
          <w:rFonts w:ascii="Arial" w:hAnsi="Arial" w:cs="Arial"/>
          <w:sz w:val="24"/>
          <w:szCs w:val="24"/>
          <w:shd w:val="clear" w:color="auto" w:fill="FFFFFF"/>
        </w:rPr>
        <w:t>: 10.3402/ejpt.v6.25290</w:t>
      </w:r>
    </w:p>
    <w:p w14:paraId="06993074" w14:textId="236FF7FA" w:rsidR="00DF1326" w:rsidRPr="009E1D9E" w:rsidRDefault="00DF1326" w:rsidP="00110CB8">
      <w:pPr>
        <w:spacing w:after="0" w:line="480" w:lineRule="auto"/>
        <w:rPr>
          <w:rFonts w:asciiTheme="minorBidi" w:hAnsiTheme="minorBidi"/>
          <w:sz w:val="24"/>
          <w:szCs w:val="24"/>
          <w:lang w:val="en-US"/>
        </w:rPr>
      </w:pPr>
      <w:r w:rsidRPr="009E1D9E">
        <w:rPr>
          <w:rFonts w:asciiTheme="minorBidi" w:hAnsiTheme="minorBidi"/>
          <w:sz w:val="24"/>
          <w:szCs w:val="24"/>
          <w:lang w:val="en-US"/>
        </w:rPr>
        <w:t xml:space="preserve">Lo, Y., </w:t>
      </w:r>
      <w:proofErr w:type="spellStart"/>
      <w:r w:rsidRPr="009E1D9E">
        <w:rPr>
          <w:rFonts w:asciiTheme="minorBidi" w:hAnsiTheme="minorBidi"/>
          <w:sz w:val="24"/>
          <w:szCs w:val="24"/>
          <w:lang w:val="en-US"/>
        </w:rPr>
        <w:t>Mendell</w:t>
      </w:r>
      <w:proofErr w:type="spellEnd"/>
      <w:r w:rsidRPr="009E1D9E">
        <w:rPr>
          <w:rFonts w:asciiTheme="minorBidi" w:hAnsiTheme="minorBidi"/>
          <w:sz w:val="24"/>
          <w:szCs w:val="24"/>
          <w:lang w:val="en-US"/>
        </w:rPr>
        <w:t>, N.</w:t>
      </w:r>
      <w:r w:rsidR="00521685" w:rsidRPr="009E1D9E">
        <w:rPr>
          <w:rFonts w:asciiTheme="minorBidi" w:hAnsiTheme="minorBidi"/>
          <w:sz w:val="24"/>
          <w:szCs w:val="24"/>
          <w:lang w:val="en-US"/>
        </w:rPr>
        <w:t xml:space="preserve"> </w:t>
      </w:r>
      <w:r w:rsidRPr="009E1D9E">
        <w:rPr>
          <w:rFonts w:asciiTheme="minorBidi" w:hAnsiTheme="minorBidi"/>
          <w:sz w:val="24"/>
          <w:szCs w:val="24"/>
          <w:lang w:val="en-US"/>
        </w:rPr>
        <w:t>R., &amp; Rubin, D.B. (2001). Testing the number of components in a</w:t>
      </w:r>
      <w:r w:rsidR="00521685" w:rsidRPr="009E1D9E">
        <w:rPr>
          <w:rFonts w:asciiTheme="minorBidi" w:hAnsiTheme="minorBidi"/>
          <w:sz w:val="24"/>
          <w:szCs w:val="24"/>
          <w:lang w:val="en-US"/>
        </w:rPr>
        <w:tab/>
      </w:r>
      <w:r w:rsidRPr="009E1D9E">
        <w:rPr>
          <w:rFonts w:asciiTheme="minorBidi" w:hAnsiTheme="minorBidi"/>
          <w:sz w:val="24"/>
          <w:szCs w:val="24"/>
          <w:lang w:val="en-US"/>
        </w:rPr>
        <w:t xml:space="preserve"> normal mixture. </w:t>
      </w:r>
      <w:proofErr w:type="spellStart"/>
      <w:r w:rsidRPr="009E1D9E">
        <w:rPr>
          <w:rFonts w:asciiTheme="minorBidi" w:hAnsiTheme="minorBidi"/>
          <w:i/>
          <w:iCs/>
          <w:sz w:val="24"/>
          <w:szCs w:val="24"/>
          <w:lang w:val="en-US"/>
        </w:rPr>
        <w:t>Biometrika</w:t>
      </w:r>
      <w:proofErr w:type="spellEnd"/>
      <w:r w:rsidRPr="009E1D9E">
        <w:rPr>
          <w:rFonts w:asciiTheme="minorBidi" w:hAnsiTheme="minorBidi"/>
          <w:i/>
          <w:iCs/>
          <w:sz w:val="24"/>
          <w:szCs w:val="24"/>
          <w:lang w:val="en-US"/>
        </w:rPr>
        <w:t>, 88</w:t>
      </w:r>
      <w:r w:rsidRPr="009E1D9E">
        <w:rPr>
          <w:rFonts w:asciiTheme="minorBidi" w:hAnsiTheme="minorBidi"/>
          <w:sz w:val="24"/>
          <w:szCs w:val="24"/>
          <w:lang w:val="en-US"/>
        </w:rPr>
        <w:t xml:space="preserve">, 767-778. </w:t>
      </w:r>
      <w:proofErr w:type="spellStart"/>
      <w:r w:rsidRPr="009E1D9E">
        <w:rPr>
          <w:rFonts w:asciiTheme="minorBidi" w:hAnsiTheme="minorBidi"/>
          <w:sz w:val="24"/>
          <w:szCs w:val="24"/>
          <w:lang w:val="en-US"/>
        </w:rPr>
        <w:t>doi</w:t>
      </w:r>
      <w:proofErr w:type="spellEnd"/>
      <w:r w:rsidRPr="009E1D9E">
        <w:rPr>
          <w:rFonts w:asciiTheme="minorBidi" w:hAnsiTheme="minorBidi"/>
          <w:sz w:val="24"/>
          <w:szCs w:val="24"/>
          <w:lang w:val="en-US"/>
        </w:rPr>
        <w:t>: 10.1093/</w:t>
      </w:r>
      <w:proofErr w:type="spellStart"/>
      <w:r w:rsidRPr="009E1D9E">
        <w:rPr>
          <w:rFonts w:asciiTheme="minorBidi" w:hAnsiTheme="minorBidi"/>
          <w:sz w:val="24"/>
          <w:szCs w:val="24"/>
          <w:lang w:val="en-US"/>
        </w:rPr>
        <w:t>biomet</w:t>
      </w:r>
      <w:proofErr w:type="spellEnd"/>
      <w:r w:rsidRPr="009E1D9E">
        <w:rPr>
          <w:rFonts w:asciiTheme="minorBidi" w:hAnsiTheme="minorBidi"/>
          <w:sz w:val="24"/>
          <w:szCs w:val="24"/>
          <w:lang w:val="en-US"/>
        </w:rPr>
        <w:t>/88.3.767</w:t>
      </w:r>
    </w:p>
    <w:p w14:paraId="3DE48E4F" w14:textId="6393768A" w:rsidR="00DF1326" w:rsidRPr="009E1D9E" w:rsidRDefault="00DF1326" w:rsidP="00110CB8">
      <w:pPr>
        <w:spacing w:after="0" w:line="480" w:lineRule="auto"/>
        <w:rPr>
          <w:rFonts w:asciiTheme="minorBidi" w:hAnsiTheme="minorBidi"/>
          <w:sz w:val="24"/>
          <w:szCs w:val="24"/>
          <w:lang w:val="fr-FR"/>
        </w:rPr>
      </w:pPr>
      <w:r w:rsidRPr="009E1D9E">
        <w:rPr>
          <w:rFonts w:asciiTheme="minorBidi" w:hAnsiTheme="minorBidi"/>
          <w:sz w:val="24"/>
          <w:szCs w:val="24"/>
        </w:rPr>
        <w:t>Maercker, A., Brewin, C.R., Bryant, R.A., Cloitre, M., Reed, G.M., van Ommeren, M.,</w:t>
      </w:r>
      <w:r w:rsidR="00521685" w:rsidRPr="009E1D9E">
        <w:rPr>
          <w:rFonts w:asciiTheme="minorBidi" w:hAnsiTheme="minorBidi"/>
          <w:sz w:val="24"/>
          <w:szCs w:val="24"/>
        </w:rPr>
        <w:tab/>
      </w:r>
      <w:r w:rsidRPr="009E1D9E">
        <w:rPr>
          <w:rFonts w:asciiTheme="minorBidi" w:hAnsiTheme="minorBidi"/>
          <w:sz w:val="24"/>
          <w:szCs w:val="24"/>
        </w:rPr>
        <w:t xml:space="preserve"> Humayun, A., Jones, L.M., </w:t>
      </w:r>
      <w:proofErr w:type="spellStart"/>
      <w:r w:rsidRPr="009E1D9E">
        <w:rPr>
          <w:rFonts w:asciiTheme="minorBidi" w:hAnsiTheme="minorBidi"/>
          <w:sz w:val="24"/>
          <w:szCs w:val="24"/>
        </w:rPr>
        <w:t>Kagee</w:t>
      </w:r>
      <w:proofErr w:type="spellEnd"/>
      <w:r w:rsidRPr="009E1D9E">
        <w:rPr>
          <w:rFonts w:asciiTheme="minorBidi" w:hAnsiTheme="minorBidi"/>
          <w:sz w:val="24"/>
          <w:szCs w:val="24"/>
        </w:rPr>
        <w:t xml:space="preserve">, A., </w:t>
      </w:r>
      <w:proofErr w:type="spellStart"/>
      <w:r w:rsidRPr="009E1D9E">
        <w:rPr>
          <w:rFonts w:asciiTheme="minorBidi" w:hAnsiTheme="minorBidi"/>
          <w:sz w:val="24"/>
          <w:szCs w:val="24"/>
        </w:rPr>
        <w:t>Llosa</w:t>
      </w:r>
      <w:proofErr w:type="spellEnd"/>
      <w:r w:rsidRPr="009E1D9E">
        <w:rPr>
          <w:rFonts w:asciiTheme="minorBidi" w:hAnsiTheme="minorBidi"/>
          <w:sz w:val="24"/>
          <w:szCs w:val="24"/>
        </w:rPr>
        <w:t xml:space="preserve">, </w:t>
      </w:r>
      <w:r w:rsidRPr="009E1D9E">
        <w:rPr>
          <w:rFonts w:asciiTheme="minorBidi" w:hAnsiTheme="minorBidi"/>
          <w:sz w:val="24"/>
          <w:szCs w:val="24"/>
        </w:rPr>
        <w:lastRenderedPageBreak/>
        <w:t>A.E., Rousseau, C.,</w:t>
      </w:r>
      <w:r w:rsidR="00521685" w:rsidRPr="009E1D9E">
        <w:rPr>
          <w:rFonts w:asciiTheme="minorBidi" w:hAnsiTheme="minorBidi"/>
          <w:sz w:val="24"/>
          <w:szCs w:val="24"/>
        </w:rPr>
        <w:tab/>
      </w:r>
      <w:r w:rsidR="00521685" w:rsidRPr="009E1D9E">
        <w:rPr>
          <w:rFonts w:asciiTheme="minorBidi" w:hAnsiTheme="minorBidi"/>
          <w:sz w:val="24"/>
          <w:szCs w:val="24"/>
        </w:rPr>
        <w:tab/>
      </w:r>
      <w:r w:rsidR="00521685" w:rsidRPr="009E1D9E">
        <w:rPr>
          <w:rFonts w:asciiTheme="minorBidi" w:hAnsiTheme="minorBidi"/>
          <w:sz w:val="24"/>
          <w:szCs w:val="24"/>
        </w:rPr>
        <w:tab/>
      </w:r>
      <w:r w:rsidRPr="009E1D9E">
        <w:rPr>
          <w:rFonts w:asciiTheme="minorBidi" w:hAnsiTheme="minorBidi"/>
          <w:sz w:val="24"/>
          <w:szCs w:val="24"/>
        </w:rPr>
        <w:t xml:space="preserve"> Somasundaram, D.J., Souza, R., Suzuki, Y., </w:t>
      </w:r>
      <w:proofErr w:type="spellStart"/>
      <w:r w:rsidRPr="009E1D9E">
        <w:rPr>
          <w:rFonts w:asciiTheme="minorBidi" w:hAnsiTheme="minorBidi"/>
          <w:sz w:val="24"/>
          <w:szCs w:val="24"/>
        </w:rPr>
        <w:t>Weissbecker</w:t>
      </w:r>
      <w:proofErr w:type="spellEnd"/>
      <w:r w:rsidRPr="009E1D9E">
        <w:rPr>
          <w:rFonts w:asciiTheme="minorBidi" w:hAnsiTheme="minorBidi"/>
          <w:sz w:val="24"/>
          <w:szCs w:val="24"/>
        </w:rPr>
        <w:t xml:space="preserve">, I., </w:t>
      </w:r>
      <w:proofErr w:type="spellStart"/>
      <w:r w:rsidRPr="009E1D9E">
        <w:rPr>
          <w:rFonts w:asciiTheme="minorBidi" w:hAnsiTheme="minorBidi"/>
          <w:sz w:val="24"/>
          <w:szCs w:val="24"/>
        </w:rPr>
        <w:t>Wessely</w:t>
      </w:r>
      <w:proofErr w:type="spellEnd"/>
      <w:r w:rsidRPr="009E1D9E">
        <w:rPr>
          <w:rFonts w:asciiTheme="minorBidi" w:hAnsiTheme="minorBidi"/>
          <w:sz w:val="24"/>
          <w:szCs w:val="24"/>
        </w:rPr>
        <w:t>, S.C.,</w:t>
      </w:r>
      <w:r w:rsidR="00521685" w:rsidRPr="009E1D9E">
        <w:rPr>
          <w:rFonts w:asciiTheme="minorBidi" w:hAnsiTheme="minorBidi"/>
          <w:sz w:val="24"/>
          <w:szCs w:val="24"/>
        </w:rPr>
        <w:tab/>
      </w:r>
      <w:r w:rsidRPr="009E1D9E">
        <w:rPr>
          <w:rFonts w:asciiTheme="minorBidi" w:hAnsiTheme="minorBidi"/>
          <w:sz w:val="24"/>
          <w:szCs w:val="24"/>
        </w:rPr>
        <w:t xml:space="preserve"> First, M.B., &amp; Saxena, S. (2013). Proposals for mental disorders specifically </w:t>
      </w:r>
      <w:r w:rsidR="00521685" w:rsidRPr="009E1D9E">
        <w:rPr>
          <w:rFonts w:asciiTheme="minorBidi" w:hAnsiTheme="minorBidi"/>
          <w:sz w:val="24"/>
          <w:szCs w:val="24"/>
        </w:rPr>
        <w:tab/>
      </w:r>
      <w:r w:rsidRPr="009E1D9E">
        <w:rPr>
          <w:rFonts w:asciiTheme="minorBidi" w:hAnsiTheme="minorBidi"/>
          <w:sz w:val="24"/>
          <w:szCs w:val="24"/>
        </w:rPr>
        <w:t xml:space="preserve">associated with stress in the ICD-11. </w:t>
      </w:r>
      <w:r w:rsidRPr="009E1D9E">
        <w:rPr>
          <w:rFonts w:asciiTheme="minorBidi" w:hAnsiTheme="minorBidi"/>
          <w:i/>
          <w:iCs/>
          <w:sz w:val="24"/>
          <w:szCs w:val="24"/>
          <w:lang w:val="fr-FR"/>
        </w:rPr>
        <w:t>Lancet, 381</w:t>
      </w:r>
      <w:r w:rsidRPr="009E1D9E">
        <w:rPr>
          <w:rFonts w:asciiTheme="minorBidi" w:hAnsiTheme="minorBidi"/>
          <w:sz w:val="24"/>
          <w:szCs w:val="24"/>
          <w:lang w:val="fr-FR"/>
        </w:rPr>
        <w:t xml:space="preserve">, 1683-1685. </w:t>
      </w:r>
      <w:proofErr w:type="spellStart"/>
      <w:proofErr w:type="gramStart"/>
      <w:r w:rsidRPr="009E1D9E">
        <w:rPr>
          <w:rFonts w:asciiTheme="minorBidi" w:hAnsiTheme="minorBidi"/>
          <w:sz w:val="24"/>
          <w:szCs w:val="24"/>
          <w:lang w:val="fr-FR"/>
        </w:rPr>
        <w:t>doi</w:t>
      </w:r>
      <w:proofErr w:type="spellEnd"/>
      <w:proofErr w:type="gramEnd"/>
      <w:r w:rsidRPr="009E1D9E">
        <w:rPr>
          <w:rFonts w:asciiTheme="minorBidi" w:hAnsiTheme="minorBidi"/>
          <w:sz w:val="24"/>
          <w:szCs w:val="24"/>
          <w:lang w:val="fr-FR"/>
        </w:rPr>
        <w:t xml:space="preserve">: </w:t>
      </w:r>
      <w:r w:rsidR="00521685" w:rsidRPr="009E1D9E">
        <w:rPr>
          <w:rFonts w:asciiTheme="minorBidi" w:hAnsiTheme="minorBidi"/>
          <w:sz w:val="24"/>
          <w:szCs w:val="24"/>
          <w:lang w:val="fr-FR"/>
        </w:rPr>
        <w:tab/>
      </w:r>
      <w:r w:rsidRPr="009E1D9E">
        <w:rPr>
          <w:rFonts w:asciiTheme="minorBidi" w:hAnsiTheme="minorBidi"/>
          <w:sz w:val="24"/>
          <w:szCs w:val="24"/>
          <w:lang w:val="fr-FR"/>
        </w:rPr>
        <w:t>10.1016/S0140-6736(12)62191-6</w:t>
      </w:r>
    </w:p>
    <w:p w14:paraId="63B1173E" w14:textId="6604C782" w:rsidR="00DF1326" w:rsidRPr="009E1D9E" w:rsidRDefault="00DF1326" w:rsidP="00110CB8">
      <w:pPr>
        <w:spacing w:after="0" w:line="480" w:lineRule="auto"/>
        <w:rPr>
          <w:rFonts w:asciiTheme="minorBidi" w:hAnsiTheme="minorBidi"/>
          <w:sz w:val="24"/>
          <w:szCs w:val="24"/>
          <w:lang w:val="fr-FR"/>
        </w:rPr>
      </w:pPr>
      <w:proofErr w:type="spellStart"/>
      <w:r w:rsidRPr="009E1D9E">
        <w:rPr>
          <w:rFonts w:asciiTheme="minorBidi" w:hAnsiTheme="minorBidi"/>
          <w:sz w:val="24"/>
          <w:szCs w:val="24"/>
          <w:lang w:val="fr-FR"/>
        </w:rPr>
        <w:t>Muthén</w:t>
      </w:r>
      <w:proofErr w:type="spellEnd"/>
      <w:r w:rsidRPr="009E1D9E">
        <w:rPr>
          <w:rFonts w:asciiTheme="minorBidi" w:hAnsiTheme="minorBidi"/>
          <w:sz w:val="24"/>
          <w:szCs w:val="24"/>
          <w:lang w:val="fr-FR"/>
        </w:rPr>
        <w:t xml:space="preserve"> LK, </w:t>
      </w:r>
      <w:proofErr w:type="spellStart"/>
      <w:r w:rsidRPr="009E1D9E">
        <w:rPr>
          <w:rFonts w:asciiTheme="minorBidi" w:hAnsiTheme="minorBidi"/>
          <w:sz w:val="24"/>
          <w:szCs w:val="24"/>
          <w:lang w:val="fr-FR"/>
        </w:rPr>
        <w:t>Muthén</w:t>
      </w:r>
      <w:proofErr w:type="spellEnd"/>
      <w:r w:rsidRPr="009E1D9E">
        <w:rPr>
          <w:rFonts w:asciiTheme="minorBidi" w:hAnsiTheme="minorBidi"/>
          <w:sz w:val="24"/>
          <w:szCs w:val="24"/>
          <w:lang w:val="fr-FR"/>
        </w:rPr>
        <w:t xml:space="preserve"> BO. </w:t>
      </w:r>
      <w:proofErr w:type="spellStart"/>
      <w:r w:rsidRPr="009E1D9E">
        <w:rPr>
          <w:rFonts w:asciiTheme="minorBidi" w:hAnsiTheme="minorBidi"/>
          <w:i/>
          <w:iCs/>
          <w:sz w:val="24"/>
          <w:szCs w:val="24"/>
          <w:lang w:val="fr-FR"/>
        </w:rPr>
        <w:t>Mplus</w:t>
      </w:r>
      <w:proofErr w:type="spellEnd"/>
      <w:r w:rsidRPr="009E1D9E">
        <w:rPr>
          <w:rFonts w:asciiTheme="minorBidi" w:hAnsiTheme="minorBidi"/>
          <w:i/>
          <w:iCs/>
          <w:sz w:val="24"/>
          <w:szCs w:val="24"/>
          <w:lang w:val="fr-FR"/>
        </w:rPr>
        <w:t xml:space="preserve"> 7.11</w:t>
      </w:r>
      <w:r w:rsidRPr="009E1D9E">
        <w:rPr>
          <w:rFonts w:asciiTheme="minorBidi" w:hAnsiTheme="minorBidi"/>
          <w:sz w:val="24"/>
          <w:szCs w:val="24"/>
          <w:lang w:val="fr-FR"/>
        </w:rPr>
        <w:t xml:space="preserve">. Los Angeles, CA: </w:t>
      </w:r>
      <w:proofErr w:type="spellStart"/>
      <w:r w:rsidRPr="009E1D9E">
        <w:rPr>
          <w:rFonts w:asciiTheme="minorBidi" w:hAnsiTheme="minorBidi"/>
          <w:sz w:val="24"/>
          <w:szCs w:val="24"/>
          <w:lang w:val="fr-FR"/>
        </w:rPr>
        <w:t>Muthén</w:t>
      </w:r>
      <w:proofErr w:type="spellEnd"/>
      <w:r w:rsidRPr="009E1D9E">
        <w:rPr>
          <w:rFonts w:asciiTheme="minorBidi" w:hAnsiTheme="minorBidi"/>
          <w:sz w:val="24"/>
          <w:szCs w:val="24"/>
          <w:lang w:val="fr-FR"/>
        </w:rPr>
        <w:t xml:space="preserve"> &amp; </w:t>
      </w:r>
      <w:proofErr w:type="spellStart"/>
      <w:r w:rsidRPr="009E1D9E">
        <w:rPr>
          <w:rFonts w:asciiTheme="minorBidi" w:hAnsiTheme="minorBidi"/>
          <w:sz w:val="24"/>
          <w:szCs w:val="24"/>
          <w:lang w:val="fr-FR"/>
        </w:rPr>
        <w:t>Muthén</w:t>
      </w:r>
      <w:proofErr w:type="spellEnd"/>
      <w:r w:rsidRPr="009E1D9E">
        <w:rPr>
          <w:rFonts w:asciiTheme="minorBidi" w:hAnsiTheme="minorBidi"/>
          <w:sz w:val="24"/>
          <w:szCs w:val="24"/>
          <w:lang w:val="fr-FR"/>
        </w:rPr>
        <w:t>, 2013.</w:t>
      </w:r>
      <w:r w:rsidR="00521685" w:rsidRPr="009E1D9E">
        <w:rPr>
          <w:rFonts w:asciiTheme="minorBidi" w:hAnsiTheme="minorBidi"/>
          <w:sz w:val="24"/>
          <w:szCs w:val="24"/>
          <w:lang w:val="fr-FR"/>
        </w:rPr>
        <w:tab/>
      </w:r>
    </w:p>
    <w:p w14:paraId="1BD59F36" w14:textId="63B5C79E" w:rsidR="00DF1326" w:rsidRPr="009E1D9E" w:rsidRDefault="00DF1326" w:rsidP="00110CB8">
      <w:pPr>
        <w:spacing w:after="0" w:line="480" w:lineRule="auto"/>
        <w:rPr>
          <w:rFonts w:asciiTheme="minorBidi" w:hAnsiTheme="minorBidi"/>
          <w:sz w:val="24"/>
          <w:szCs w:val="24"/>
        </w:rPr>
      </w:pPr>
      <w:r w:rsidRPr="009E1D9E">
        <w:rPr>
          <w:rFonts w:asciiTheme="minorBidi" w:hAnsiTheme="minorBidi"/>
          <w:sz w:val="24"/>
          <w:szCs w:val="24"/>
        </w:rPr>
        <w:t xml:space="preserve">Nickerson, A., Cloitre, M., Bryant, R.A., Schnyder, U., </w:t>
      </w:r>
      <w:proofErr w:type="spellStart"/>
      <w:r w:rsidRPr="009E1D9E">
        <w:rPr>
          <w:rFonts w:asciiTheme="minorBidi" w:hAnsiTheme="minorBidi"/>
          <w:sz w:val="24"/>
          <w:szCs w:val="24"/>
        </w:rPr>
        <w:t>Morina</w:t>
      </w:r>
      <w:proofErr w:type="spellEnd"/>
      <w:r w:rsidRPr="009E1D9E">
        <w:rPr>
          <w:rFonts w:asciiTheme="minorBidi" w:hAnsiTheme="minorBidi"/>
          <w:sz w:val="24"/>
          <w:szCs w:val="24"/>
        </w:rPr>
        <w:t>, N., &amp; Schick, M.</w:t>
      </w:r>
      <w:r w:rsidR="00521685" w:rsidRPr="009E1D9E">
        <w:rPr>
          <w:rFonts w:asciiTheme="minorBidi" w:hAnsiTheme="minorBidi"/>
          <w:sz w:val="24"/>
          <w:szCs w:val="24"/>
        </w:rPr>
        <w:tab/>
      </w:r>
      <w:r w:rsidR="00521685" w:rsidRPr="009E1D9E">
        <w:rPr>
          <w:rFonts w:asciiTheme="minorBidi" w:hAnsiTheme="minorBidi"/>
          <w:sz w:val="24"/>
          <w:szCs w:val="24"/>
        </w:rPr>
        <w:tab/>
      </w:r>
      <w:r w:rsidRPr="009E1D9E">
        <w:rPr>
          <w:rFonts w:asciiTheme="minorBidi" w:hAnsiTheme="minorBidi"/>
          <w:sz w:val="24"/>
          <w:szCs w:val="24"/>
        </w:rPr>
        <w:t xml:space="preserve"> (2016). The factor structure of complex posttraumatic stress disorder in </w:t>
      </w:r>
      <w:r w:rsidR="00521685" w:rsidRPr="009E1D9E">
        <w:rPr>
          <w:rFonts w:asciiTheme="minorBidi" w:hAnsiTheme="minorBidi"/>
          <w:sz w:val="24"/>
          <w:szCs w:val="24"/>
        </w:rPr>
        <w:tab/>
      </w:r>
      <w:r w:rsidRPr="009E1D9E">
        <w:rPr>
          <w:rFonts w:asciiTheme="minorBidi" w:hAnsiTheme="minorBidi"/>
          <w:sz w:val="24"/>
          <w:szCs w:val="24"/>
        </w:rPr>
        <w:t xml:space="preserve">traumatized refugees. </w:t>
      </w:r>
      <w:r w:rsidRPr="009E1D9E">
        <w:rPr>
          <w:rFonts w:asciiTheme="minorBidi" w:hAnsiTheme="minorBidi"/>
          <w:i/>
          <w:iCs/>
          <w:sz w:val="24"/>
          <w:szCs w:val="24"/>
        </w:rPr>
        <w:t xml:space="preserve">European Journal of </w:t>
      </w:r>
      <w:proofErr w:type="spellStart"/>
      <w:r w:rsidRPr="009E1D9E">
        <w:rPr>
          <w:rFonts w:asciiTheme="minorBidi" w:hAnsiTheme="minorBidi"/>
          <w:i/>
          <w:iCs/>
          <w:sz w:val="24"/>
          <w:szCs w:val="24"/>
        </w:rPr>
        <w:t>Psychotraumatology</w:t>
      </w:r>
      <w:proofErr w:type="spellEnd"/>
      <w:r w:rsidRPr="009E1D9E">
        <w:rPr>
          <w:rFonts w:asciiTheme="minorBidi" w:hAnsiTheme="minorBidi"/>
          <w:i/>
          <w:iCs/>
          <w:sz w:val="24"/>
          <w:szCs w:val="24"/>
        </w:rPr>
        <w:t>, 7</w:t>
      </w:r>
      <w:r w:rsidRPr="009E1D9E">
        <w:rPr>
          <w:rFonts w:asciiTheme="minorBidi" w:hAnsiTheme="minorBidi"/>
          <w:sz w:val="24"/>
          <w:szCs w:val="24"/>
        </w:rPr>
        <w:t>, 33253.</w:t>
      </w:r>
      <w:r w:rsidR="00521685" w:rsidRPr="009E1D9E">
        <w:rPr>
          <w:rFonts w:asciiTheme="minorBidi" w:hAnsiTheme="minorBidi"/>
          <w:sz w:val="24"/>
          <w:szCs w:val="24"/>
        </w:rPr>
        <w:tab/>
      </w:r>
      <w:r w:rsidRPr="009E1D9E">
        <w:t xml:space="preserve"> </w:t>
      </w:r>
      <w:proofErr w:type="spellStart"/>
      <w:proofErr w:type="gramStart"/>
      <w:r w:rsidRPr="009E1D9E">
        <w:rPr>
          <w:rFonts w:asciiTheme="minorBidi" w:hAnsiTheme="minorBidi"/>
          <w:sz w:val="24"/>
          <w:szCs w:val="24"/>
        </w:rPr>
        <w:t>doi</w:t>
      </w:r>
      <w:proofErr w:type="spellEnd"/>
      <w:proofErr w:type="gramEnd"/>
      <w:r w:rsidRPr="009E1D9E">
        <w:rPr>
          <w:rFonts w:asciiTheme="minorBidi" w:hAnsiTheme="minorBidi"/>
          <w:sz w:val="24"/>
          <w:szCs w:val="24"/>
        </w:rPr>
        <w:t>: 10.3402/ejpt.v7.33253</w:t>
      </w:r>
    </w:p>
    <w:p w14:paraId="6D498D7E" w14:textId="4A077044" w:rsidR="00DF1326" w:rsidRPr="009E1D9E" w:rsidRDefault="00DF1326" w:rsidP="00110CB8">
      <w:pPr>
        <w:spacing w:after="0" w:line="480" w:lineRule="auto"/>
        <w:rPr>
          <w:rFonts w:asciiTheme="minorBidi" w:hAnsiTheme="minorBidi"/>
          <w:sz w:val="24"/>
          <w:szCs w:val="24"/>
          <w:lang w:val="en-US"/>
        </w:rPr>
      </w:pPr>
      <w:proofErr w:type="spellStart"/>
      <w:r w:rsidRPr="009E1D9E">
        <w:rPr>
          <w:rFonts w:asciiTheme="minorBidi" w:hAnsiTheme="minorBidi"/>
          <w:sz w:val="24"/>
          <w:szCs w:val="24"/>
          <w:lang w:val="en-US"/>
        </w:rPr>
        <w:t>Nylund</w:t>
      </w:r>
      <w:proofErr w:type="spellEnd"/>
      <w:r w:rsidRPr="009E1D9E">
        <w:rPr>
          <w:rFonts w:asciiTheme="minorBidi" w:hAnsiTheme="minorBidi"/>
          <w:sz w:val="24"/>
          <w:szCs w:val="24"/>
          <w:lang w:val="en-US"/>
        </w:rPr>
        <w:t xml:space="preserve">, K.L., </w:t>
      </w:r>
      <w:proofErr w:type="spellStart"/>
      <w:r w:rsidRPr="009E1D9E">
        <w:rPr>
          <w:rFonts w:asciiTheme="minorBidi" w:hAnsiTheme="minorBidi"/>
          <w:sz w:val="24"/>
          <w:szCs w:val="24"/>
          <w:lang w:val="en-US"/>
        </w:rPr>
        <w:t>Asparouhov</w:t>
      </w:r>
      <w:proofErr w:type="spellEnd"/>
      <w:r w:rsidRPr="009E1D9E">
        <w:rPr>
          <w:rFonts w:asciiTheme="minorBidi" w:hAnsiTheme="minorBidi"/>
          <w:sz w:val="24"/>
          <w:szCs w:val="24"/>
          <w:lang w:val="en-US"/>
        </w:rPr>
        <w:t xml:space="preserve">, T., &amp; </w:t>
      </w:r>
      <w:proofErr w:type="spellStart"/>
      <w:r w:rsidRPr="009E1D9E">
        <w:rPr>
          <w:rFonts w:asciiTheme="minorBidi" w:hAnsiTheme="minorBidi"/>
          <w:sz w:val="24"/>
          <w:szCs w:val="24"/>
          <w:lang w:val="en-US"/>
        </w:rPr>
        <w:t>Muthén</w:t>
      </w:r>
      <w:proofErr w:type="spellEnd"/>
      <w:r w:rsidRPr="009E1D9E">
        <w:rPr>
          <w:rFonts w:asciiTheme="minorBidi" w:hAnsiTheme="minorBidi"/>
          <w:sz w:val="24"/>
          <w:szCs w:val="24"/>
          <w:lang w:val="en-US"/>
        </w:rPr>
        <w:t>, B.O. (2007). Deciding on the number of</w:t>
      </w:r>
      <w:r w:rsidR="00521685" w:rsidRPr="009E1D9E">
        <w:rPr>
          <w:rFonts w:asciiTheme="minorBidi" w:hAnsiTheme="minorBidi"/>
          <w:sz w:val="24"/>
          <w:szCs w:val="24"/>
          <w:lang w:val="en-US"/>
        </w:rPr>
        <w:tab/>
      </w:r>
      <w:r w:rsidR="00521685" w:rsidRPr="009E1D9E">
        <w:rPr>
          <w:rFonts w:asciiTheme="minorBidi" w:hAnsiTheme="minorBidi"/>
          <w:sz w:val="24"/>
          <w:szCs w:val="24"/>
          <w:lang w:val="en-US"/>
        </w:rPr>
        <w:tab/>
      </w:r>
      <w:r w:rsidRPr="009E1D9E">
        <w:rPr>
          <w:rFonts w:asciiTheme="minorBidi" w:hAnsiTheme="minorBidi"/>
          <w:sz w:val="24"/>
          <w:szCs w:val="24"/>
          <w:lang w:val="en-US"/>
        </w:rPr>
        <w:t xml:space="preserve"> classes in latent class analysis and growth mixture modeling: A Monte Carlo</w:t>
      </w:r>
      <w:r w:rsidR="00521685" w:rsidRPr="009E1D9E">
        <w:rPr>
          <w:rFonts w:asciiTheme="minorBidi" w:hAnsiTheme="minorBidi"/>
          <w:sz w:val="24"/>
          <w:szCs w:val="24"/>
          <w:lang w:val="en-US"/>
        </w:rPr>
        <w:tab/>
      </w:r>
      <w:r w:rsidRPr="009E1D9E">
        <w:rPr>
          <w:rFonts w:asciiTheme="minorBidi" w:hAnsiTheme="minorBidi"/>
          <w:sz w:val="24"/>
          <w:szCs w:val="24"/>
          <w:lang w:val="en-US"/>
        </w:rPr>
        <w:t xml:space="preserve"> simulation study. </w:t>
      </w:r>
      <w:r w:rsidRPr="009E1D9E">
        <w:rPr>
          <w:rFonts w:asciiTheme="minorBidi" w:hAnsiTheme="minorBidi"/>
          <w:i/>
          <w:iCs/>
          <w:sz w:val="24"/>
          <w:szCs w:val="24"/>
          <w:lang w:val="en-US"/>
        </w:rPr>
        <w:t>Structural Equation Modeling, 14</w:t>
      </w:r>
      <w:r w:rsidRPr="009E1D9E">
        <w:rPr>
          <w:rFonts w:asciiTheme="minorBidi" w:hAnsiTheme="minorBidi"/>
          <w:sz w:val="24"/>
          <w:szCs w:val="24"/>
          <w:lang w:val="en-US"/>
        </w:rPr>
        <w:t xml:space="preserve">, 535-569. </w:t>
      </w:r>
      <w:proofErr w:type="spellStart"/>
      <w:r w:rsidRPr="009E1D9E">
        <w:rPr>
          <w:rFonts w:asciiTheme="minorBidi" w:hAnsiTheme="minorBidi"/>
          <w:sz w:val="24"/>
          <w:szCs w:val="24"/>
          <w:lang w:val="en-US"/>
        </w:rPr>
        <w:t>doi</w:t>
      </w:r>
      <w:proofErr w:type="spellEnd"/>
      <w:r w:rsidRPr="009E1D9E">
        <w:rPr>
          <w:rFonts w:asciiTheme="minorBidi" w:hAnsiTheme="minorBidi"/>
          <w:sz w:val="24"/>
          <w:szCs w:val="24"/>
          <w:lang w:val="en-US"/>
        </w:rPr>
        <w:t xml:space="preserve">: </w:t>
      </w:r>
      <w:r w:rsidR="00521685" w:rsidRPr="009E1D9E">
        <w:rPr>
          <w:rFonts w:asciiTheme="minorBidi" w:hAnsiTheme="minorBidi"/>
          <w:sz w:val="24"/>
          <w:szCs w:val="24"/>
          <w:lang w:val="en-US"/>
        </w:rPr>
        <w:tab/>
      </w:r>
      <w:r w:rsidRPr="009E1D9E">
        <w:rPr>
          <w:rFonts w:asciiTheme="minorBidi" w:hAnsiTheme="minorBidi"/>
          <w:sz w:val="24"/>
          <w:szCs w:val="24"/>
          <w:lang w:val="en-US"/>
        </w:rPr>
        <w:t>10.1080/10705510701575396</w:t>
      </w:r>
    </w:p>
    <w:p w14:paraId="39C6016D" w14:textId="336E1595" w:rsidR="00DF1326" w:rsidRPr="009E1D9E" w:rsidRDefault="00DF1326" w:rsidP="00110CB8">
      <w:pPr>
        <w:pStyle w:val="CommentText"/>
        <w:spacing w:after="0" w:line="480" w:lineRule="auto"/>
        <w:rPr>
          <w:rFonts w:ascii="Arial" w:hAnsi="Arial" w:cs="Arial"/>
          <w:sz w:val="24"/>
          <w:szCs w:val="24"/>
        </w:rPr>
      </w:pPr>
      <w:proofErr w:type="spellStart"/>
      <w:r w:rsidRPr="009E1D9E">
        <w:rPr>
          <w:rFonts w:ascii="Arial" w:hAnsi="Arial" w:cs="Arial"/>
          <w:sz w:val="24"/>
          <w:szCs w:val="24"/>
        </w:rPr>
        <w:lastRenderedPageBreak/>
        <w:t>Palic</w:t>
      </w:r>
      <w:proofErr w:type="spellEnd"/>
      <w:r w:rsidRPr="009E1D9E">
        <w:rPr>
          <w:rFonts w:ascii="Arial" w:hAnsi="Arial" w:cs="Arial"/>
          <w:sz w:val="24"/>
          <w:szCs w:val="24"/>
        </w:rPr>
        <w:t xml:space="preserve">, S., </w:t>
      </w:r>
      <w:proofErr w:type="spellStart"/>
      <w:r w:rsidRPr="009E1D9E">
        <w:rPr>
          <w:rFonts w:ascii="Arial" w:hAnsi="Arial" w:cs="Arial"/>
          <w:sz w:val="24"/>
          <w:szCs w:val="24"/>
        </w:rPr>
        <w:t>Zerach</w:t>
      </w:r>
      <w:proofErr w:type="spellEnd"/>
      <w:r w:rsidRPr="009E1D9E">
        <w:rPr>
          <w:rFonts w:ascii="Arial" w:hAnsi="Arial" w:cs="Arial"/>
          <w:sz w:val="24"/>
          <w:szCs w:val="24"/>
        </w:rPr>
        <w:t xml:space="preserve">, G., Shevlin, M., </w:t>
      </w:r>
      <w:proofErr w:type="spellStart"/>
      <w:r w:rsidRPr="009E1D9E">
        <w:rPr>
          <w:rFonts w:ascii="Arial" w:hAnsi="Arial" w:cs="Arial"/>
          <w:sz w:val="24"/>
          <w:szCs w:val="24"/>
        </w:rPr>
        <w:t>Zeligman</w:t>
      </w:r>
      <w:proofErr w:type="spellEnd"/>
      <w:r w:rsidRPr="009E1D9E">
        <w:rPr>
          <w:rFonts w:ascii="Arial" w:hAnsi="Arial" w:cs="Arial"/>
          <w:sz w:val="24"/>
          <w:szCs w:val="24"/>
        </w:rPr>
        <w:t xml:space="preserve">, Z., </w:t>
      </w:r>
      <w:proofErr w:type="spellStart"/>
      <w:r w:rsidRPr="009E1D9E">
        <w:rPr>
          <w:rFonts w:ascii="Arial" w:hAnsi="Arial" w:cs="Arial"/>
          <w:sz w:val="24"/>
          <w:szCs w:val="24"/>
        </w:rPr>
        <w:t>Elklit</w:t>
      </w:r>
      <w:proofErr w:type="spellEnd"/>
      <w:r w:rsidRPr="009E1D9E">
        <w:rPr>
          <w:rFonts w:ascii="Arial" w:hAnsi="Arial" w:cs="Arial"/>
          <w:sz w:val="24"/>
          <w:szCs w:val="24"/>
        </w:rPr>
        <w:t>, A., &amp; Solomon, Z. (2016).</w:t>
      </w:r>
      <w:r w:rsidR="00521685" w:rsidRPr="009E1D9E">
        <w:rPr>
          <w:rFonts w:ascii="Arial" w:hAnsi="Arial" w:cs="Arial"/>
          <w:sz w:val="24"/>
          <w:szCs w:val="24"/>
        </w:rPr>
        <w:tab/>
      </w:r>
      <w:r w:rsidR="00521685" w:rsidRPr="009E1D9E">
        <w:rPr>
          <w:rFonts w:ascii="Arial" w:hAnsi="Arial" w:cs="Arial"/>
          <w:sz w:val="24"/>
          <w:szCs w:val="24"/>
        </w:rPr>
        <w:tab/>
      </w:r>
      <w:r w:rsidRPr="009E1D9E">
        <w:rPr>
          <w:rFonts w:ascii="Arial" w:hAnsi="Arial" w:cs="Arial"/>
          <w:sz w:val="24"/>
          <w:szCs w:val="24"/>
        </w:rPr>
        <w:t xml:space="preserve"> Evidence of complex posttraumatic stress disorder (CPTSD) across</w:t>
      </w:r>
      <w:r w:rsidR="00521685" w:rsidRPr="009E1D9E">
        <w:rPr>
          <w:rFonts w:ascii="Arial" w:hAnsi="Arial" w:cs="Arial"/>
          <w:sz w:val="24"/>
          <w:szCs w:val="24"/>
        </w:rPr>
        <w:tab/>
      </w:r>
      <w:r w:rsidR="00521685" w:rsidRPr="009E1D9E">
        <w:rPr>
          <w:rFonts w:ascii="Arial" w:hAnsi="Arial" w:cs="Arial"/>
          <w:sz w:val="24"/>
          <w:szCs w:val="24"/>
        </w:rPr>
        <w:tab/>
      </w:r>
      <w:r w:rsidRPr="009E1D9E">
        <w:rPr>
          <w:rFonts w:ascii="Arial" w:hAnsi="Arial" w:cs="Arial"/>
          <w:sz w:val="24"/>
          <w:szCs w:val="24"/>
        </w:rPr>
        <w:t xml:space="preserve"> populations with prolonged trauma of varying interpersonal intensity and ages </w:t>
      </w:r>
      <w:r w:rsidR="00521685" w:rsidRPr="009E1D9E">
        <w:rPr>
          <w:rFonts w:ascii="Arial" w:hAnsi="Arial" w:cs="Arial"/>
          <w:sz w:val="24"/>
          <w:szCs w:val="24"/>
        </w:rPr>
        <w:tab/>
      </w:r>
      <w:r w:rsidRPr="009E1D9E">
        <w:rPr>
          <w:rFonts w:ascii="Arial" w:hAnsi="Arial" w:cs="Arial"/>
          <w:sz w:val="24"/>
          <w:szCs w:val="24"/>
        </w:rPr>
        <w:t xml:space="preserve">of exposure. Psychiatry Research, 246, 692-699. </w:t>
      </w:r>
      <w:proofErr w:type="spellStart"/>
      <w:r w:rsidRPr="009E1D9E">
        <w:rPr>
          <w:rFonts w:ascii="Arial" w:hAnsi="Arial" w:cs="Arial"/>
          <w:sz w:val="24"/>
          <w:szCs w:val="24"/>
        </w:rPr>
        <w:t>doi</w:t>
      </w:r>
      <w:proofErr w:type="spellEnd"/>
      <w:r w:rsidRPr="009E1D9E">
        <w:rPr>
          <w:rFonts w:ascii="Arial" w:hAnsi="Arial" w:cs="Arial"/>
          <w:sz w:val="24"/>
          <w:szCs w:val="24"/>
        </w:rPr>
        <w:t xml:space="preserve">: </w:t>
      </w:r>
      <w:r w:rsidR="00521685" w:rsidRPr="009E1D9E">
        <w:rPr>
          <w:rFonts w:ascii="Arial" w:hAnsi="Arial" w:cs="Arial"/>
          <w:sz w:val="24"/>
          <w:szCs w:val="24"/>
        </w:rPr>
        <w:tab/>
      </w:r>
      <w:r w:rsidRPr="009E1D9E">
        <w:rPr>
          <w:rFonts w:ascii="Arial" w:hAnsi="Arial" w:cs="Arial"/>
          <w:sz w:val="24"/>
          <w:szCs w:val="24"/>
        </w:rPr>
        <w:t>10.1016/j.psychres.2016.10.062</w:t>
      </w:r>
    </w:p>
    <w:p w14:paraId="7C3186BD" w14:textId="3016ED52" w:rsidR="00DF1326" w:rsidRPr="009E1D9E" w:rsidRDefault="00DF1326" w:rsidP="00110CB8">
      <w:pPr>
        <w:spacing w:after="0" w:line="480" w:lineRule="auto"/>
        <w:rPr>
          <w:rFonts w:ascii="Arial" w:hAnsi="Arial" w:cs="Arial"/>
          <w:sz w:val="24"/>
          <w:szCs w:val="24"/>
          <w:shd w:val="clear" w:color="auto" w:fill="FFFFFF"/>
        </w:rPr>
      </w:pPr>
      <w:proofErr w:type="spellStart"/>
      <w:r w:rsidRPr="009E1D9E">
        <w:rPr>
          <w:rFonts w:ascii="Arial" w:hAnsi="Arial" w:cs="Arial"/>
          <w:sz w:val="24"/>
          <w:szCs w:val="24"/>
          <w:shd w:val="clear" w:color="auto" w:fill="FFFFFF"/>
        </w:rPr>
        <w:t>Perkonigg</w:t>
      </w:r>
      <w:proofErr w:type="spellEnd"/>
      <w:r w:rsidRPr="009E1D9E">
        <w:rPr>
          <w:rFonts w:ascii="Arial" w:hAnsi="Arial" w:cs="Arial"/>
          <w:sz w:val="24"/>
          <w:szCs w:val="24"/>
          <w:shd w:val="clear" w:color="auto" w:fill="FFFFFF"/>
        </w:rPr>
        <w:t xml:space="preserve">, A., </w:t>
      </w:r>
      <w:proofErr w:type="spellStart"/>
      <w:r w:rsidRPr="009E1D9E">
        <w:rPr>
          <w:rFonts w:ascii="Arial" w:hAnsi="Arial" w:cs="Arial"/>
          <w:sz w:val="24"/>
          <w:szCs w:val="24"/>
          <w:shd w:val="clear" w:color="auto" w:fill="FFFFFF"/>
        </w:rPr>
        <w:t>Hofler</w:t>
      </w:r>
      <w:proofErr w:type="spellEnd"/>
      <w:r w:rsidRPr="009E1D9E">
        <w:rPr>
          <w:rFonts w:ascii="Arial" w:hAnsi="Arial" w:cs="Arial"/>
          <w:sz w:val="24"/>
          <w:szCs w:val="24"/>
          <w:shd w:val="clear" w:color="auto" w:fill="FFFFFF"/>
        </w:rPr>
        <w:t xml:space="preserve">, M., Cloitre, M., </w:t>
      </w:r>
      <w:proofErr w:type="spellStart"/>
      <w:r w:rsidRPr="009E1D9E">
        <w:rPr>
          <w:rFonts w:ascii="Arial" w:hAnsi="Arial" w:cs="Arial"/>
          <w:sz w:val="24"/>
          <w:szCs w:val="24"/>
          <w:shd w:val="clear" w:color="auto" w:fill="FFFFFF"/>
        </w:rPr>
        <w:t>Wittchen</w:t>
      </w:r>
      <w:proofErr w:type="spellEnd"/>
      <w:r w:rsidRPr="009E1D9E">
        <w:rPr>
          <w:rFonts w:ascii="Arial" w:hAnsi="Arial" w:cs="Arial"/>
          <w:sz w:val="24"/>
          <w:szCs w:val="24"/>
          <w:shd w:val="clear" w:color="auto" w:fill="FFFFFF"/>
        </w:rPr>
        <w:t xml:space="preserve">, H.U., </w:t>
      </w:r>
      <w:proofErr w:type="spellStart"/>
      <w:r w:rsidRPr="009E1D9E">
        <w:rPr>
          <w:rFonts w:ascii="Arial" w:hAnsi="Arial" w:cs="Arial"/>
          <w:sz w:val="24"/>
          <w:szCs w:val="24"/>
          <w:shd w:val="clear" w:color="auto" w:fill="FFFFFF"/>
        </w:rPr>
        <w:t>Trautmann</w:t>
      </w:r>
      <w:proofErr w:type="spellEnd"/>
      <w:r w:rsidRPr="009E1D9E">
        <w:rPr>
          <w:rFonts w:ascii="Arial" w:hAnsi="Arial" w:cs="Arial"/>
          <w:sz w:val="24"/>
          <w:szCs w:val="24"/>
          <w:shd w:val="clear" w:color="auto" w:fill="FFFFFF"/>
        </w:rPr>
        <w:t xml:space="preserve">, S., &amp; Maercker, A. </w:t>
      </w:r>
      <w:r w:rsidR="00521685" w:rsidRPr="009E1D9E">
        <w:rPr>
          <w:rFonts w:ascii="Arial" w:hAnsi="Arial" w:cs="Arial"/>
          <w:sz w:val="24"/>
          <w:szCs w:val="24"/>
          <w:shd w:val="clear" w:color="auto" w:fill="FFFFFF"/>
        </w:rPr>
        <w:tab/>
      </w:r>
      <w:r w:rsidRPr="009E1D9E">
        <w:rPr>
          <w:rFonts w:ascii="Arial" w:hAnsi="Arial" w:cs="Arial"/>
          <w:sz w:val="24"/>
          <w:szCs w:val="24"/>
          <w:shd w:val="clear" w:color="auto" w:fill="FFFFFF"/>
        </w:rPr>
        <w:t>(2016). Evidence for two different ICD-11 posttraumatic stress disorder in a</w:t>
      </w:r>
      <w:r w:rsidR="00521685" w:rsidRPr="009E1D9E">
        <w:rPr>
          <w:rFonts w:ascii="Arial" w:hAnsi="Arial" w:cs="Arial"/>
          <w:sz w:val="24"/>
          <w:szCs w:val="24"/>
          <w:shd w:val="clear" w:color="auto" w:fill="FFFFFF"/>
        </w:rPr>
        <w:tab/>
      </w:r>
      <w:r w:rsidRPr="009E1D9E">
        <w:rPr>
          <w:rFonts w:ascii="Arial" w:hAnsi="Arial" w:cs="Arial"/>
          <w:sz w:val="24"/>
          <w:szCs w:val="24"/>
          <w:shd w:val="clear" w:color="auto" w:fill="FFFFFF"/>
        </w:rPr>
        <w:t xml:space="preserve"> community sample of adolescents and young adults. </w:t>
      </w:r>
      <w:r w:rsidRPr="009E1D9E">
        <w:rPr>
          <w:rFonts w:ascii="Arial" w:hAnsi="Arial" w:cs="Arial"/>
          <w:i/>
          <w:iCs/>
          <w:sz w:val="24"/>
          <w:szCs w:val="24"/>
          <w:shd w:val="clear" w:color="auto" w:fill="FFFFFF"/>
        </w:rPr>
        <w:t xml:space="preserve">European Archives of </w:t>
      </w:r>
      <w:r w:rsidR="00521685" w:rsidRPr="009E1D9E">
        <w:rPr>
          <w:rFonts w:ascii="Arial" w:hAnsi="Arial" w:cs="Arial"/>
          <w:i/>
          <w:iCs/>
          <w:sz w:val="24"/>
          <w:szCs w:val="24"/>
          <w:shd w:val="clear" w:color="auto" w:fill="FFFFFF"/>
        </w:rPr>
        <w:tab/>
      </w:r>
      <w:r w:rsidRPr="009E1D9E">
        <w:rPr>
          <w:rFonts w:ascii="Arial" w:hAnsi="Arial" w:cs="Arial"/>
          <w:i/>
          <w:iCs/>
          <w:sz w:val="24"/>
          <w:szCs w:val="24"/>
          <w:shd w:val="clear" w:color="auto" w:fill="FFFFFF"/>
        </w:rPr>
        <w:t>Psychiatry and Clinical Neuroscience, 266</w:t>
      </w:r>
      <w:r w:rsidRPr="009E1D9E">
        <w:rPr>
          <w:rFonts w:ascii="Arial" w:hAnsi="Arial" w:cs="Arial"/>
          <w:sz w:val="24"/>
          <w:szCs w:val="24"/>
          <w:shd w:val="clear" w:color="auto" w:fill="FFFFFF"/>
        </w:rPr>
        <w:t xml:space="preserve">, 317–328. </w:t>
      </w:r>
      <w:proofErr w:type="spellStart"/>
      <w:r w:rsidRPr="009E1D9E">
        <w:rPr>
          <w:rFonts w:ascii="Arial" w:hAnsi="Arial" w:cs="Arial"/>
          <w:sz w:val="24"/>
          <w:szCs w:val="24"/>
          <w:shd w:val="clear" w:color="auto" w:fill="FFFFFF"/>
        </w:rPr>
        <w:t>doi</w:t>
      </w:r>
      <w:proofErr w:type="spellEnd"/>
      <w:r w:rsidRPr="009E1D9E">
        <w:rPr>
          <w:rFonts w:ascii="Arial" w:hAnsi="Arial" w:cs="Arial"/>
          <w:sz w:val="24"/>
          <w:szCs w:val="24"/>
          <w:shd w:val="clear" w:color="auto" w:fill="FFFFFF"/>
        </w:rPr>
        <w:t>: 10.1007/s00406-</w:t>
      </w:r>
      <w:r w:rsidR="00521685" w:rsidRPr="009E1D9E">
        <w:rPr>
          <w:rFonts w:ascii="Arial" w:hAnsi="Arial" w:cs="Arial"/>
          <w:sz w:val="24"/>
          <w:szCs w:val="24"/>
          <w:shd w:val="clear" w:color="auto" w:fill="FFFFFF"/>
        </w:rPr>
        <w:tab/>
      </w:r>
      <w:r w:rsidRPr="009E1D9E">
        <w:rPr>
          <w:rFonts w:ascii="Arial" w:hAnsi="Arial" w:cs="Arial"/>
          <w:sz w:val="24"/>
          <w:szCs w:val="24"/>
          <w:shd w:val="clear" w:color="auto" w:fill="FFFFFF"/>
        </w:rPr>
        <w:t>015-0639-4</w:t>
      </w:r>
    </w:p>
    <w:p w14:paraId="1F15E9E0" w14:textId="7A9B3F0F" w:rsidR="00DF1326" w:rsidRPr="009E1D9E" w:rsidRDefault="00DF1326" w:rsidP="00110CB8">
      <w:pPr>
        <w:spacing w:after="0" w:line="480" w:lineRule="auto"/>
        <w:rPr>
          <w:rFonts w:asciiTheme="minorBidi" w:hAnsiTheme="minorBidi"/>
          <w:sz w:val="24"/>
          <w:szCs w:val="24"/>
          <w:lang w:val="en-US"/>
        </w:rPr>
      </w:pPr>
      <w:r w:rsidRPr="009E1D9E">
        <w:rPr>
          <w:rFonts w:asciiTheme="minorBidi" w:hAnsiTheme="minorBidi"/>
          <w:sz w:val="24"/>
          <w:szCs w:val="24"/>
          <w:lang w:val="en-US"/>
        </w:rPr>
        <w:t>Schwarz, G.</w:t>
      </w:r>
      <w:r w:rsidR="003D7B22" w:rsidRPr="009E1D9E">
        <w:rPr>
          <w:rFonts w:asciiTheme="minorBidi" w:hAnsiTheme="minorBidi"/>
          <w:sz w:val="24"/>
          <w:szCs w:val="24"/>
          <w:lang w:val="en-US"/>
        </w:rPr>
        <w:t>E.</w:t>
      </w:r>
      <w:r w:rsidRPr="009E1D9E">
        <w:rPr>
          <w:rFonts w:asciiTheme="minorBidi" w:hAnsiTheme="minorBidi"/>
          <w:sz w:val="24"/>
          <w:szCs w:val="24"/>
          <w:lang w:val="en-US"/>
        </w:rPr>
        <w:t xml:space="preserve"> (1978). Estimating the dimension of a model. </w:t>
      </w:r>
      <w:r w:rsidRPr="009E1D9E">
        <w:rPr>
          <w:rFonts w:asciiTheme="minorBidi" w:hAnsiTheme="minorBidi"/>
          <w:i/>
          <w:iCs/>
          <w:sz w:val="24"/>
          <w:szCs w:val="24"/>
          <w:lang w:val="en-US"/>
        </w:rPr>
        <w:t xml:space="preserve">The Annals of Statistics, </w:t>
      </w:r>
      <w:r w:rsidR="00521685" w:rsidRPr="009E1D9E">
        <w:rPr>
          <w:rFonts w:asciiTheme="minorBidi" w:hAnsiTheme="minorBidi"/>
          <w:i/>
          <w:iCs/>
          <w:sz w:val="24"/>
          <w:szCs w:val="24"/>
          <w:lang w:val="en-US"/>
        </w:rPr>
        <w:tab/>
      </w:r>
      <w:r w:rsidRPr="009E1D9E">
        <w:rPr>
          <w:rFonts w:asciiTheme="minorBidi" w:hAnsiTheme="minorBidi"/>
          <w:i/>
          <w:iCs/>
          <w:sz w:val="24"/>
          <w:szCs w:val="24"/>
          <w:lang w:val="en-US"/>
        </w:rPr>
        <w:t>6</w:t>
      </w:r>
      <w:r w:rsidRPr="009E1D9E">
        <w:rPr>
          <w:rFonts w:asciiTheme="minorBidi" w:hAnsiTheme="minorBidi"/>
          <w:sz w:val="24"/>
          <w:szCs w:val="24"/>
          <w:lang w:val="en-US"/>
        </w:rPr>
        <w:t>, 461-464.</w:t>
      </w:r>
      <w:r w:rsidR="003D7B22" w:rsidRPr="009E1D9E">
        <w:rPr>
          <w:rFonts w:asciiTheme="minorBidi" w:hAnsiTheme="minorBidi"/>
          <w:sz w:val="24"/>
          <w:szCs w:val="24"/>
          <w:lang w:val="en-US"/>
        </w:rPr>
        <w:t xml:space="preserve"> doi:10.1214/</w:t>
      </w:r>
      <w:proofErr w:type="spellStart"/>
      <w:r w:rsidR="003D7B22" w:rsidRPr="009E1D9E">
        <w:rPr>
          <w:rFonts w:asciiTheme="minorBidi" w:hAnsiTheme="minorBidi"/>
          <w:sz w:val="24"/>
          <w:szCs w:val="24"/>
          <w:lang w:val="en-US"/>
        </w:rPr>
        <w:t>aos</w:t>
      </w:r>
      <w:proofErr w:type="spellEnd"/>
      <w:r w:rsidR="003D7B22" w:rsidRPr="009E1D9E">
        <w:rPr>
          <w:rFonts w:asciiTheme="minorBidi" w:hAnsiTheme="minorBidi"/>
          <w:sz w:val="24"/>
          <w:szCs w:val="24"/>
          <w:lang w:val="en-US"/>
        </w:rPr>
        <w:t>/1176344136</w:t>
      </w:r>
    </w:p>
    <w:p w14:paraId="26B9FC49" w14:textId="168975D9" w:rsidR="00DF1326" w:rsidRPr="009E1D9E" w:rsidRDefault="00DF1326" w:rsidP="00110CB8">
      <w:pPr>
        <w:spacing w:after="0" w:line="480" w:lineRule="auto"/>
        <w:rPr>
          <w:rFonts w:asciiTheme="minorBidi" w:hAnsiTheme="minorBidi"/>
          <w:sz w:val="24"/>
          <w:szCs w:val="24"/>
          <w:lang w:val="en-US"/>
        </w:rPr>
      </w:pPr>
      <w:proofErr w:type="spellStart"/>
      <w:r w:rsidRPr="009E1D9E">
        <w:rPr>
          <w:rFonts w:asciiTheme="minorBidi" w:hAnsiTheme="minorBidi"/>
          <w:sz w:val="24"/>
          <w:szCs w:val="24"/>
          <w:lang w:val="en-US"/>
        </w:rPr>
        <w:t>Sclove</w:t>
      </w:r>
      <w:proofErr w:type="spellEnd"/>
      <w:r w:rsidRPr="009E1D9E">
        <w:rPr>
          <w:rFonts w:asciiTheme="minorBidi" w:hAnsiTheme="minorBidi"/>
          <w:sz w:val="24"/>
          <w:szCs w:val="24"/>
          <w:lang w:val="en-US"/>
        </w:rPr>
        <w:t>, S.L. (1987). Application of model-selection criteria to some problems in</w:t>
      </w:r>
      <w:r w:rsidR="00521685" w:rsidRPr="009E1D9E">
        <w:rPr>
          <w:rFonts w:asciiTheme="minorBidi" w:hAnsiTheme="minorBidi"/>
          <w:sz w:val="24"/>
          <w:szCs w:val="24"/>
          <w:lang w:val="en-US"/>
        </w:rPr>
        <w:tab/>
      </w:r>
      <w:r w:rsidR="00521685" w:rsidRPr="009E1D9E">
        <w:rPr>
          <w:rFonts w:asciiTheme="minorBidi" w:hAnsiTheme="minorBidi"/>
          <w:sz w:val="24"/>
          <w:szCs w:val="24"/>
          <w:lang w:val="en-US"/>
        </w:rPr>
        <w:tab/>
      </w:r>
      <w:r w:rsidRPr="009E1D9E">
        <w:rPr>
          <w:rFonts w:asciiTheme="minorBidi" w:hAnsiTheme="minorBidi"/>
          <w:sz w:val="24"/>
          <w:szCs w:val="24"/>
          <w:lang w:val="en-US"/>
        </w:rPr>
        <w:t xml:space="preserve"> multivariate analysis. </w:t>
      </w:r>
      <w:proofErr w:type="spellStart"/>
      <w:r w:rsidRPr="009E1D9E">
        <w:rPr>
          <w:rFonts w:asciiTheme="minorBidi" w:hAnsiTheme="minorBidi"/>
          <w:i/>
          <w:iCs/>
          <w:sz w:val="24"/>
          <w:szCs w:val="24"/>
          <w:lang w:val="en-US"/>
        </w:rPr>
        <w:t>Psychometrika</w:t>
      </w:r>
      <w:proofErr w:type="spellEnd"/>
      <w:r w:rsidRPr="009E1D9E">
        <w:rPr>
          <w:rFonts w:asciiTheme="minorBidi" w:hAnsiTheme="minorBidi"/>
          <w:i/>
          <w:iCs/>
          <w:sz w:val="24"/>
          <w:szCs w:val="24"/>
          <w:lang w:val="en-US"/>
        </w:rPr>
        <w:t>, 52</w:t>
      </w:r>
      <w:r w:rsidRPr="009E1D9E">
        <w:rPr>
          <w:rFonts w:asciiTheme="minorBidi" w:hAnsiTheme="minorBidi"/>
          <w:sz w:val="24"/>
          <w:szCs w:val="24"/>
          <w:lang w:val="en-US"/>
        </w:rPr>
        <w:t>, 333–343.</w:t>
      </w:r>
    </w:p>
    <w:p w14:paraId="32C2DC24" w14:textId="6BF548D1" w:rsidR="00DF1326" w:rsidRPr="009E1D9E" w:rsidRDefault="00DF1326" w:rsidP="00110CB8">
      <w:pPr>
        <w:pStyle w:val="CommentText"/>
        <w:spacing w:after="0" w:line="480" w:lineRule="auto"/>
        <w:rPr>
          <w:rFonts w:ascii="Arial" w:hAnsi="Arial" w:cs="Arial"/>
          <w:sz w:val="24"/>
          <w:szCs w:val="24"/>
        </w:rPr>
      </w:pPr>
      <w:r w:rsidRPr="009E1D9E">
        <w:rPr>
          <w:rFonts w:ascii="Arial" w:hAnsi="Arial" w:cs="Arial"/>
          <w:sz w:val="24"/>
          <w:szCs w:val="24"/>
          <w:lang w:val="en-US"/>
        </w:rPr>
        <w:lastRenderedPageBreak/>
        <w:t xml:space="preserve">Shevlin, M., Hyland, P., Karatzias, T., </w:t>
      </w:r>
      <w:proofErr w:type="spellStart"/>
      <w:r w:rsidRPr="009E1D9E">
        <w:rPr>
          <w:rFonts w:ascii="Arial" w:hAnsi="Arial" w:cs="Arial"/>
          <w:sz w:val="24"/>
          <w:szCs w:val="24"/>
          <w:lang w:val="en-US"/>
        </w:rPr>
        <w:t>Fyvie</w:t>
      </w:r>
      <w:proofErr w:type="spellEnd"/>
      <w:r w:rsidRPr="009E1D9E">
        <w:rPr>
          <w:rFonts w:ascii="Arial" w:hAnsi="Arial" w:cs="Arial"/>
          <w:sz w:val="24"/>
          <w:szCs w:val="24"/>
          <w:lang w:val="en-US"/>
        </w:rPr>
        <w:t>, C., Roberts, N., Bisson, J.I., Brewin, C.,</w:t>
      </w:r>
      <w:r w:rsidR="00521685" w:rsidRPr="009E1D9E">
        <w:rPr>
          <w:rFonts w:ascii="Arial" w:hAnsi="Arial" w:cs="Arial"/>
          <w:sz w:val="24"/>
          <w:szCs w:val="24"/>
          <w:lang w:val="en-US"/>
        </w:rPr>
        <w:tab/>
      </w:r>
      <w:r w:rsidRPr="009E1D9E">
        <w:rPr>
          <w:rFonts w:ascii="Arial" w:hAnsi="Arial" w:cs="Arial"/>
          <w:sz w:val="24"/>
          <w:szCs w:val="24"/>
          <w:lang w:val="en-US"/>
        </w:rPr>
        <w:t xml:space="preserve"> &amp; </w:t>
      </w:r>
      <w:r w:rsidRPr="009E1D9E">
        <w:rPr>
          <w:rFonts w:ascii="Arial" w:hAnsi="Arial" w:cs="Arial"/>
          <w:sz w:val="24"/>
          <w:szCs w:val="24"/>
        </w:rPr>
        <w:t xml:space="preserve">Cloitre, M (2017). Alternative models of disorders of traumatic stress based </w:t>
      </w:r>
      <w:r w:rsidR="00521685" w:rsidRPr="009E1D9E">
        <w:rPr>
          <w:rFonts w:ascii="Arial" w:hAnsi="Arial" w:cs="Arial"/>
          <w:sz w:val="24"/>
          <w:szCs w:val="24"/>
        </w:rPr>
        <w:tab/>
      </w:r>
      <w:r w:rsidRPr="009E1D9E">
        <w:rPr>
          <w:rFonts w:ascii="Arial" w:hAnsi="Arial" w:cs="Arial"/>
          <w:sz w:val="24"/>
          <w:szCs w:val="24"/>
        </w:rPr>
        <w:t>on the new ICD</w:t>
      </w:r>
      <w:r w:rsidRPr="009E1D9E">
        <w:rPr>
          <w:rFonts w:ascii="Cambria Math" w:hAnsi="Cambria Math" w:cs="Cambria Math"/>
          <w:sz w:val="24"/>
          <w:szCs w:val="24"/>
        </w:rPr>
        <w:t>‐</w:t>
      </w:r>
      <w:r w:rsidRPr="009E1D9E">
        <w:rPr>
          <w:rFonts w:ascii="Arial" w:hAnsi="Arial" w:cs="Arial"/>
          <w:sz w:val="24"/>
          <w:szCs w:val="24"/>
        </w:rPr>
        <w:t>11 proposals.</w:t>
      </w:r>
      <w:r w:rsidRPr="009E1D9E">
        <w:t xml:space="preserve"> </w:t>
      </w:r>
      <w:proofErr w:type="spellStart"/>
      <w:r w:rsidRPr="009E1D9E">
        <w:rPr>
          <w:rFonts w:ascii="Arial" w:hAnsi="Arial" w:cs="Arial"/>
          <w:i/>
          <w:iCs/>
          <w:sz w:val="24"/>
          <w:szCs w:val="24"/>
        </w:rPr>
        <w:t>Acta</w:t>
      </w:r>
      <w:proofErr w:type="spellEnd"/>
      <w:r w:rsidRPr="009E1D9E">
        <w:rPr>
          <w:rFonts w:ascii="Arial" w:hAnsi="Arial" w:cs="Arial"/>
          <w:i/>
          <w:iCs/>
          <w:sz w:val="24"/>
          <w:szCs w:val="24"/>
        </w:rPr>
        <w:t xml:space="preserve"> </w:t>
      </w:r>
      <w:proofErr w:type="spellStart"/>
      <w:r w:rsidRPr="009E1D9E">
        <w:rPr>
          <w:rFonts w:ascii="Arial" w:hAnsi="Arial" w:cs="Arial"/>
          <w:i/>
          <w:iCs/>
          <w:sz w:val="24"/>
          <w:szCs w:val="24"/>
        </w:rPr>
        <w:t>Psychiatrica</w:t>
      </w:r>
      <w:proofErr w:type="spellEnd"/>
      <w:r w:rsidRPr="009E1D9E">
        <w:rPr>
          <w:rFonts w:ascii="Arial" w:hAnsi="Arial" w:cs="Arial"/>
          <w:i/>
          <w:iCs/>
          <w:sz w:val="24"/>
          <w:szCs w:val="24"/>
        </w:rPr>
        <w:t xml:space="preserve"> </w:t>
      </w:r>
      <w:proofErr w:type="spellStart"/>
      <w:r w:rsidRPr="009E1D9E">
        <w:rPr>
          <w:rFonts w:ascii="Arial" w:hAnsi="Arial" w:cs="Arial"/>
          <w:i/>
          <w:iCs/>
          <w:sz w:val="24"/>
          <w:szCs w:val="24"/>
        </w:rPr>
        <w:t>Scandinavica</w:t>
      </w:r>
      <w:proofErr w:type="spellEnd"/>
      <w:r w:rsidRPr="009E1D9E">
        <w:rPr>
          <w:rFonts w:ascii="Arial" w:hAnsi="Arial" w:cs="Arial"/>
          <w:i/>
          <w:iCs/>
          <w:sz w:val="24"/>
          <w:szCs w:val="24"/>
        </w:rPr>
        <w:t>, 135</w:t>
      </w:r>
      <w:r w:rsidRPr="009E1D9E">
        <w:rPr>
          <w:rFonts w:ascii="Arial" w:hAnsi="Arial" w:cs="Arial"/>
          <w:iCs/>
          <w:sz w:val="24"/>
          <w:szCs w:val="24"/>
        </w:rPr>
        <w:t xml:space="preserve">, </w:t>
      </w:r>
      <w:r w:rsidRPr="009E1D9E">
        <w:rPr>
          <w:rFonts w:ascii="Arial" w:hAnsi="Arial" w:cs="Arial"/>
          <w:sz w:val="24"/>
          <w:szCs w:val="24"/>
        </w:rPr>
        <w:t xml:space="preserve">419-428. </w:t>
      </w:r>
      <w:r w:rsidR="00521685" w:rsidRPr="009E1D9E">
        <w:rPr>
          <w:rFonts w:ascii="Arial" w:hAnsi="Arial" w:cs="Arial"/>
          <w:sz w:val="24"/>
          <w:szCs w:val="24"/>
        </w:rPr>
        <w:tab/>
      </w:r>
      <w:proofErr w:type="spellStart"/>
      <w:r w:rsidRPr="009E1D9E">
        <w:rPr>
          <w:rFonts w:ascii="Arial" w:hAnsi="Arial" w:cs="Arial"/>
          <w:sz w:val="24"/>
          <w:szCs w:val="24"/>
        </w:rPr>
        <w:t>doi</w:t>
      </w:r>
      <w:proofErr w:type="spellEnd"/>
      <w:r w:rsidRPr="009E1D9E">
        <w:rPr>
          <w:rFonts w:ascii="Arial" w:hAnsi="Arial" w:cs="Arial"/>
          <w:sz w:val="24"/>
          <w:szCs w:val="24"/>
        </w:rPr>
        <w:t>: 10.1111/acps.12695</w:t>
      </w:r>
    </w:p>
    <w:p w14:paraId="49146171" w14:textId="1DF8AE0D" w:rsidR="00DF1326" w:rsidRPr="009E1D9E" w:rsidRDefault="00DF1326" w:rsidP="00110CB8">
      <w:pPr>
        <w:spacing w:after="0" w:line="480" w:lineRule="auto"/>
        <w:rPr>
          <w:rFonts w:asciiTheme="minorBidi" w:hAnsiTheme="minorBidi"/>
          <w:sz w:val="24"/>
          <w:szCs w:val="24"/>
        </w:rPr>
      </w:pPr>
      <w:proofErr w:type="spellStart"/>
      <w:r w:rsidRPr="009E1D9E">
        <w:rPr>
          <w:rFonts w:asciiTheme="minorBidi" w:hAnsiTheme="minorBidi"/>
          <w:sz w:val="24"/>
          <w:szCs w:val="24"/>
        </w:rPr>
        <w:t>Topp</w:t>
      </w:r>
      <w:proofErr w:type="spellEnd"/>
      <w:r w:rsidRPr="009E1D9E">
        <w:rPr>
          <w:rFonts w:asciiTheme="minorBidi" w:hAnsiTheme="minorBidi"/>
          <w:sz w:val="24"/>
          <w:szCs w:val="24"/>
        </w:rPr>
        <w:t xml:space="preserve">, C.W., </w:t>
      </w:r>
      <w:proofErr w:type="spellStart"/>
      <w:r w:rsidRPr="009E1D9E">
        <w:rPr>
          <w:rFonts w:asciiTheme="minorBidi" w:hAnsiTheme="minorBidi"/>
          <w:sz w:val="24"/>
          <w:szCs w:val="24"/>
        </w:rPr>
        <w:t>Østergaard</w:t>
      </w:r>
      <w:proofErr w:type="spellEnd"/>
      <w:r w:rsidRPr="009E1D9E">
        <w:rPr>
          <w:rFonts w:asciiTheme="minorBidi" w:hAnsiTheme="minorBidi"/>
          <w:sz w:val="24"/>
          <w:szCs w:val="24"/>
        </w:rPr>
        <w:t xml:space="preserve">, S.D., </w:t>
      </w:r>
      <w:proofErr w:type="spellStart"/>
      <w:r w:rsidRPr="009E1D9E">
        <w:rPr>
          <w:rFonts w:asciiTheme="minorBidi" w:hAnsiTheme="minorBidi"/>
          <w:sz w:val="24"/>
          <w:szCs w:val="24"/>
        </w:rPr>
        <w:t>Søndergaard</w:t>
      </w:r>
      <w:proofErr w:type="spellEnd"/>
      <w:r w:rsidRPr="009E1D9E">
        <w:rPr>
          <w:rFonts w:asciiTheme="minorBidi" w:hAnsiTheme="minorBidi"/>
          <w:sz w:val="24"/>
          <w:szCs w:val="24"/>
        </w:rPr>
        <w:t xml:space="preserve">, S., &amp; </w:t>
      </w:r>
      <w:proofErr w:type="spellStart"/>
      <w:r w:rsidRPr="009E1D9E">
        <w:rPr>
          <w:rFonts w:asciiTheme="minorBidi" w:hAnsiTheme="minorBidi"/>
          <w:sz w:val="24"/>
          <w:szCs w:val="24"/>
        </w:rPr>
        <w:t>Bech</w:t>
      </w:r>
      <w:proofErr w:type="spellEnd"/>
      <w:r w:rsidRPr="009E1D9E">
        <w:rPr>
          <w:rFonts w:asciiTheme="minorBidi" w:hAnsiTheme="minorBidi"/>
          <w:sz w:val="24"/>
          <w:szCs w:val="24"/>
        </w:rPr>
        <w:t xml:space="preserve">, P. (2015). The WHO-5 </w:t>
      </w:r>
      <w:r w:rsidR="00521685" w:rsidRPr="009E1D9E">
        <w:rPr>
          <w:rFonts w:asciiTheme="minorBidi" w:hAnsiTheme="minorBidi"/>
          <w:sz w:val="24"/>
          <w:szCs w:val="24"/>
        </w:rPr>
        <w:tab/>
      </w:r>
      <w:r w:rsidRPr="009E1D9E">
        <w:rPr>
          <w:rFonts w:asciiTheme="minorBidi" w:hAnsiTheme="minorBidi"/>
          <w:sz w:val="24"/>
          <w:szCs w:val="24"/>
        </w:rPr>
        <w:t xml:space="preserve">Well-Being Index: A systematic review of the literature. </w:t>
      </w:r>
      <w:r w:rsidRPr="009E1D9E">
        <w:rPr>
          <w:rFonts w:asciiTheme="minorBidi" w:hAnsiTheme="minorBidi"/>
          <w:i/>
          <w:iCs/>
          <w:sz w:val="24"/>
          <w:szCs w:val="24"/>
        </w:rPr>
        <w:t>Psychotherapy and</w:t>
      </w:r>
      <w:r w:rsidR="00521685" w:rsidRPr="009E1D9E">
        <w:rPr>
          <w:rFonts w:asciiTheme="minorBidi" w:hAnsiTheme="minorBidi"/>
          <w:i/>
          <w:iCs/>
          <w:sz w:val="24"/>
          <w:szCs w:val="24"/>
        </w:rPr>
        <w:tab/>
      </w:r>
      <w:r w:rsidRPr="009E1D9E">
        <w:rPr>
          <w:rFonts w:asciiTheme="minorBidi" w:hAnsiTheme="minorBidi"/>
          <w:i/>
          <w:iCs/>
          <w:sz w:val="24"/>
          <w:szCs w:val="24"/>
        </w:rPr>
        <w:t xml:space="preserve"> Psychosomatics, 84</w:t>
      </w:r>
      <w:r w:rsidRPr="009E1D9E">
        <w:rPr>
          <w:rFonts w:asciiTheme="minorBidi" w:hAnsiTheme="minorBidi"/>
          <w:sz w:val="24"/>
          <w:szCs w:val="24"/>
        </w:rPr>
        <w:t xml:space="preserve">, 167-176. </w:t>
      </w:r>
      <w:proofErr w:type="spellStart"/>
      <w:r w:rsidRPr="009E1D9E">
        <w:rPr>
          <w:rFonts w:asciiTheme="minorBidi" w:hAnsiTheme="minorBidi"/>
          <w:sz w:val="24"/>
          <w:szCs w:val="24"/>
        </w:rPr>
        <w:t>doi</w:t>
      </w:r>
      <w:proofErr w:type="spellEnd"/>
      <w:r w:rsidRPr="009E1D9E">
        <w:rPr>
          <w:rFonts w:asciiTheme="minorBidi" w:hAnsiTheme="minorBidi"/>
          <w:sz w:val="24"/>
          <w:szCs w:val="24"/>
        </w:rPr>
        <w:t>: 10.1159/000376585</w:t>
      </w:r>
    </w:p>
    <w:p w14:paraId="0E74478C" w14:textId="6E925AD6" w:rsidR="00DF1326" w:rsidRPr="009E1D9E" w:rsidRDefault="00DF1326" w:rsidP="00110CB8">
      <w:pPr>
        <w:spacing w:after="0" w:line="480" w:lineRule="auto"/>
        <w:rPr>
          <w:rFonts w:asciiTheme="minorBidi" w:hAnsiTheme="minorBidi"/>
          <w:sz w:val="24"/>
          <w:szCs w:val="24"/>
        </w:rPr>
      </w:pPr>
      <w:r w:rsidRPr="009E1D9E">
        <w:rPr>
          <w:rFonts w:asciiTheme="minorBidi" w:hAnsiTheme="minorBidi"/>
          <w:sz w:val="24"/>
          <w:szCs w:val="24"/>
        </w:rPr>
        <w:t>World Health Organization: Regi</w:t>
      </w:r>
      <w:r w:rsidR="00521685" w:rsidRPr="009E1D9E">
        <w:rPr>
          <w:rFonts w:asciiTheme="minorBidi" w:hAnsiTheme="minorBidi"/>
          <w:sz w:val="24"/>
          <w:szCs w:val="24"/>
        </w:rPr>
        <w:t xml:space="preserve">onal Office for Europe. (1998). </w:t>
      </w:r>
      <w:r w:rsidRPr="009E1D9E">
        <w:rPr>
          <w:rFonts w:asciiTheme="minorBidi" w:hAnsiTheme="minorBidi"/>
          <w:i/>
          <w:iCs/>
          <w:sz w:val="24"/>
          <w:szCs w:val="24"/>
        </w:rPr>
        <w:t xml:space="preserve">Well-being measures </w:t>
      </w:r>
      <w:r w:rsidR="00521685" w:rsidRPr="009E1D9E">
        <w:rPr>
          <w:rFonts w:asciiTheme="minorBidi" w:hAnsiTheme="minorBidi"/>
          <w:i/>
          <w:iCs/>
          <w:sz w:val="24"/>
          <w:szCs w:val="24"/>
        </w:rPr>
        <w:tab/>
      </w:r>
      <w:r w:rsidRPr="009E1D9E">
        <w:rPr>
          <w:rFonts w:asciiTheme="minorBidi" w:hAnsiTheme="minorBidi"/>
          <w:i/>
          <w:iCs/>
          <w:sz w:val="24"/>
          <w:szCs w:val="24"/>
        </w:rPr>
        <w:t xml:space="preserve">in primary health care: The </w:t>
      </w:r>
      <w:proofErr w:type="spellStart"/>
      <w:r w:rsidRPr="009E1D9E">
        <w:rPr>
          <w:rFonts w:asciiTheme="minorBidi" w:hAnsiTheme="minorBidi"/>
          <w:i/>
          <w:iCs/>
          <w:sz w:val="24"/>
          <w:szCs w:val="24"/>
        </w:rPr>
        <w:t>DepCare</w:t>
      </w:r>
      <w:proofErr w:type="spellEnd"/>
      <w:r w:rsidRPr="009E1D9E">
        <w:rPr>
          <w:rFonts w:asciiTheme="minorBidi" w:hAnsiTheme="minorBidi"/>
          <w:i/>
          <w:iCs/>
          <w:sz w:val="24"/>
          <w:szCs w:val="24"/>
        </w:rPr>
        <w:t xml:space="preserve"> Project.</w:t>
      </w:r>
      <w:r w:rsidR="00521685" w:rsidRPr="009E1D9E">
        <w:rPr>
          <w:rFonts w:asciiTheme="minorBidi" w:hAnsiTheme="minorBidi"/>
          <w:sz w:val="24"/>
          <w:szCs w:val="24"/>
        </w:rPr>
        <w:t xml:space="preserve"> </w:t>
      </w:r>
      <w:r w:rsidRPr="009E1D9E">
        <w:rPr>
          <w:rFonts w:asciiTheme="minorBidi" w:hAnsiTheme="minorBidi"/>
          <w:sz w:val="24"/>
          <w:szCs w:val="24"/>
        </w:rPr>
        <w:t xml:space="preserve">Consensus Meeting, Stockholm, </w:t>
      </w:r>
      <w:r w:rsidR="00521685" w:rsidRPr="009E1D9E">
        <w:rPr>
          <w:rFonts w:asciiTheme="minorBidi" w:hAnsiTheme="minorBidi"/>
          <w:sz w:val="24"/>
          <w:szCs w:val="24"/>
        </w:rPr>
        <w:tab/>
      </w:r>
      <w:r w:rsidRPr="009E1D9E">
        <w:rPr>
          <w:rFonts w:asciiTheme="minorBidi" w:hAnsiTheme="minorBidi"/>
          <w:sz w:val="24"/>
          <w:szCs w:val="24"/>
        </w:rPr>
        <w:t xml:space="preserve">Sweden. Available at: </w:t>
      </w:r>
      <w:hyperlink r:id="rId6" w:history="1">
        <w:r w:rsidRPr="009E1D9E">
          <w:rPr>
            <w:rStyle w:val="Hyperlink"/>
            <w:rFonts w:asciiTheme="minorBidi" w:hAnsiTheme="minorBidi"/>
            <w:color w:val="auto"/>
            <w:sz w:val="24"/>
            <w:szCs w:val="24"/>
          </w:rPr>
          <w:t>www.who-5.org</w:t>
        </w:r>
      </w:hyperlink>
      <w:r w:rsidRPr="009E1D9E">
        <w:rPr>
          <w:rFonts w:asciiTheme="minorBidi" w:hAnsiTheme="minorBidi"/>
          <w:sz w:val="24"/>
          <w:szCs w:val="24"/>
        </w:rPr>
        <w:t>.</w:t>
      </w:r>
    </w:p>
    <w:p w14:paraId="1DE982C7" w14:textId="07D815A7" w:rsidR="00DF1326" w:rsidRPr="009E1D9E" w:rsidRDefault="00DF1326" w:rsidP="00110CB8">
      <w:pPr>
        <w:spacing w:after="0" w:line="480" w:lineRule="auto"/>
        <w:rPr>
          <w:rFonts w:asciiTheme="minorBidi" w:hAnsiTheme="minorBidi"/>
          <w:sz w:val="24"/>
          <w:szCs w:val="24"/>
        </w:rPr>
      </w:pPr>
      <w:r w:rsidRPr="009E1D9E">
        <w:rPr>
          <w:rFonts w:asciiTheme="minorBidi" w:hAnsiTheme="minorBidi"/>
          <w:sz w:val="24"/>
          <w:szCs w:val="24"/>
        </w:rPr>
        <w:t xml:space="preserve">Yuan, K.H. &amp; </w:t>
      </w:r>
      <w:proofErr w:type="spellStart"/>
      <w:r w:rsidRPr="009E1D9E">
        <w:rPr>
          <w:rFonts w:asciiTheme="minorBidi" w:hAnsiTheme="minorBidi"/>
          <w:sz w:val="24"/>
          <w:szCs w:val="24"/>
        </w:rPr>
        <w:t>Bentler</w:t>
      </w:r>
      <w:proofErr w:type="spellEnd"/>
      <w:r w:rsidRPr="009E1D9E">
        <w:rPr>
          <w:rFonts w:asciiTheme="minorBidi" w:hAnsiTheme="minorBidi"/>
          <w:sz w:val="24"/>
          <w:szCs w:val="24"/>
        </w:rPr>
        <w:t>, P.M. (2000). Three likelihood-based methods for mean and</w:t>
      </w:r>
      <w:r w:rsidR="00521685" w:rsidRPr="009E1D9E">
        <w:rPr>
          <w:rFonts w:asciiTheme="minorBidi" w:hAnsiTheme="minorBidi"/>
          <w:sz w:val="24"/>
          <w:szCs w:val="24"/>
        </w:rPr>
        <w:tab/>
      </w:r>
      <w:r w:rsidR="00521685" w:rsidRPr="009E1D9E">
        <w:rPr>
          <w:rFonts w:asciiTheme="minorBidi" w:hAnsiTheme="minorBidi"/>
          <w:sz w:val="24"/>
          <w:szCs w:val="24"/>
        </w:rPr>
        <w:tab/>
      </w:r>
      <w:r w:rsidRPr="009E1D9E">
        <w:rPr>
          <w:rFonts w:asciiTheme="minorBidi" w:hAnsiTheme="minorBidi"/>
          <w:sz w:val="24"/>
          <w:szCs w:val="24"/>
        </w:rPr>
        <w:t xml:space="preserve"> covariance structure analysis with </w:t>
      </w:r>
      <w:proofErr w:type="spellStart"/>
      <w:r w:rsidRPr="009E1D9E">
        <w:rPr>
          <w:rFonts w:asciiTheme="minorBidi" w:hAnsiTheme="minorBidi"/>
          <w:sz w:val="24"/>
          <w:szCs w:val="24"/>
        </w:rPr>
        <w:t>nonnormal</w:t>
      </w:r>
      <w:proofErr w:type="spellEnd"/>
      <w:r w:rsidRPr="009E1D9E">
        <w:rPr>
          <w:rFonts w:asciiTheme="minorBidi" w:hAnsiTheme="minorBidi"/>
          <w:sz w:val="24"/>
          <w:szCs w:val="24"/>
        </w:rPr>
        <w:t xml:space="preserve"> </w:t>
      </w:r>
      <w:r w:rsidRPr="009E1D9E">
        <w:rPr>
          <w:rFonts w:asciiTheme="minorBidi" w:hAnsiTheme="minorBidi"/>
          <w:sz w:val="24"/>
          <w:szCs w:val="24"/>
        </w:rPr>
        <w:lastRenderedPageBreak/>
        <w:t xml:space="preserve">missing data. </w:t>
      </w:r>
      <w:r w:rsidRPr="009E1D9E">
        <w:rPr>
          <w:rFonts w:asciiTheme="minorBidi" w:hAnsiTheme="minorBidi"/>
          <w:i/>
          <w:iCs/>
          <w:sz w:val="24"/>
          <w:szCs w:val="24"/>
        </w:rPr>
        <w:t xml:space="preserve">Sociological </w:t>
      </w:r>
      <w:r w:rsidR="00521685" w:rsidRPr="009E1D9E">
        <w:rPr>
          <w:rFonts w:asciiTheme="minorBidi" w:hAnsiTheme="minorBidi"/>
          <w:i/>
          <w:iCs/>
          <w:sz w:val="24"/>
          <w:szCs w:val="24"/>
        </w:rPr>
        <w:tab/>
      </w:r>
      <w:r w:rsidRPr="009E1D9E">
        <w:rPr>
          <w:rFonts w:asciiTheme="minorBidi" w:hAnsiTheme="minorBidi"/>
          <w:i/>
          <w:iCs/>
          <w:sz w:val="24"/>
          <w:szCs w:val="24"/>
        </w:rPr>
        <w:t>Methodology, 30</w:t>
      </w:r>
      <w:r w:rsidRPr="009E1D9E">
        <w:rPr>
          <w:rFonts w:asciiTheme="minorBidi" w:hAnsiTheme="minorBidi"/>
          <w:sz w:val="24"/>
          <w:szCs w:val="24"/>
        </w:rPr>
        <w:t xml:space="preserve">, 165–200. </w:t>
      </w:r>
      <w:proofErr w:type="spellStart"/>
      <w:r w:rsidRPr="009E1D9E">
        <w:rPr>
          <w:rFonts w:asciiTheme="minorBidi" w:hAnsiTheme="minorBidi"/>
          <w:sz w:val="24"/>
          <w:szCs w:val="24"/>
        </w:rPr>
        <w:t>doi</w:t>
      </w:r>
      <w:proofErr w:type="spellEnd"/>
      <w:r w:rsidRPr="009E1D9E">
        <w:rPr>
          <w:rFonts w:asciiTheme="minorBidi" w:hAnsiTheme="minorBidi"/>
          <w:sz w:val="24"/>
          <w:szCs w:val="24"/>
        </w:rPr>
        <w:t>: 10.1111/0081-1750.00078</w:t>
      </w:r>
    </w:p>
    <w:p w14:paraId="224AD99F" w14:textId="77777777" w:rsidR="00DF1326" w:rsidRPr="009E1D9E" w:rsidRDefault="00DF1326" w:rsidP="00110CB8">
      <w:pPr>
        <w:spacing w:after="0" w:line="480" w:lineRule="auto"/>
        <w:rPr>
          <w:rFonts w:ascii="Arial" w:hAnsi="Arial" w:cs="Arial"/>
          <w:sz w:val="24"/>
          <w:szCs w:val="24"/>
        </w:rPr>
      </w:pPr>
    </w:p>
    <w:p w14:paraId="1319A88F" w14:textId="77777777" w:rsidR="00156DDD" w:rsidRPr="009E1D9E" w:rsidRDefault="00156DDD" w:rsidP="00156DDD">
      <w:pPr>
        <w:pStyle w:val="NoSpacing"/>
        <w:rPr>
          <w:rFonts w:ascii="Arial" w:hAnsi="Arial" w:cs="Arial"/>
          <w:sz w:val="24"/>
          <w:szCs w:val="24"/>
        </w:rPr>
      </w:pPr>
    </w:p>
    <w:p w14:paraId="5A642980" w14:textId="77777777" w:rsidR="00156DDD" w:rsidRPr="009E1D9E" w:rsidRDefault="00156DDD" w:rsidP="00156DDD">
      <w:pPr>
        <w:pStyle w:val="NoSpacing"/>
        <w:rPr>
          <w:rFonts w:ascii="Arial" w:hAnsi="Arial" w:cs="Arial"/>
          <w:sz w:val="24"/>
          <w:szCs w:val="24"/>
        </w:rPr>
      </w:pPr>
    </w:p>
    <w:p w14:paraId="4F98EC24" w14:textId="77777777" w:rsidR="00156DDD" w:rsidRPr="009E1D9E" w:rsidRDefault="00156DDD" w:rsidP="00156DDD">
      <w:pPr>
        <w:pStyle w:val="NoSpacing"/>
        <w:rPr>
          <w:rFonts w:ascii="Arial" w:hAnsi="Arial" w:cs="Arial"/>
          <w:sz w:val="24"/>
          <w:szCs w:val="24"/>
        </w:rPr>
      </w:pPr>
    </w:p>
    <w:p w14:paraId="14157616" w14:textId="77777777" w:rsidR="00156DDD" w:rsidRPr="009E1D9E" w:rsidRDefault="00156DDD">
      <w:pPr>
        <w:rPr>
          <w:rFonts w:ascii="Arial" w:eastAsia="Calibri" w:hAnsi="Arial" w:cs="Arial"/>
          <w:bCs/>
          <w:sz w:val="24"/>
          <w:szCs w:val="24"/>
          <w:lang w:val="en-IE"/>
        </w:rPr>
      </w:pPr>
      <w:r w:rsidRPr="009E1D9E">
        <w:rPr>
          <w:rFonts w:ascii="Arial" w:eastAsia="Calibri" w:hAnsi="Arial" w:cs="Arial"/>
          <w:bCs/>
          <w:sz w:val="24"/>
          <w:szCs w:val="24"/>
        </w:rPr>
        <w:br w:type="page"/>
      </w:r>
    </w:p>
    <w:p w14:paraId="6EED6CCD" w14:textId="2B3E4A60" w:rsidR="00E65BF4" w:rsidRPr="009E1D9E" w:rsidRDefault="00E65BF4" w:rsidP="00E65BF4">
      <w:pPr>
        <w:rPr>
          <w:rFonts w:ascii="Arial" w:hAnsi="Arial" w:cs="Arial"/>
          <w:bCs/>
          <w:iCs/>
          <w:sz w:val="24"/>
          <w:szCs w:val="24"/>
          <w:lang w:val="en-IE"/>
        </w:rPr>
      </w:pPr>
      <w:r w:rsidRPr="009E1D9E">
        <w:rPr>
          <w:rFonts w:ascii="Arial" w:hAnsi="Arial" w:cs="Arial"/>
          <w:bCs/>
          <w:sz w:val="24"/>
          <w:szCs w:val="24"/>
          <w:lang w:val="en-IE"/>
        </w:rPr>
        <w:lastRenderedPageBreak/>
        <w:t>Table 1. Model fit statistics for the alternative models of the ITQ.</w:t>
      </w:r>
    </w:p>
    <w:tbl>
      <w:tblPr>
        <w:tblW w:w="5000" w:type="pct"/>
        <w:tblBorders>
          <w:top w:val="single" w:sz="4" w:space="0" w:color="000000"/>
          <w:bottom w:val="single" w:sz="4" w:space="0" w:color="000000"/>
        </w:tblBorders>
        <w:tblLook w:val="04A0" w:firstRow="1" w:lastRow="0" w:firstColumn="1" w:lastColumn="0" w:noHBand="0" w:noVBand="1"/>
      </w:tblPr>
      <w:tblGrid>
        <w:gridCol w:w="1414"/>
        <w:gridCol w:w="1023"/>
        <w:gridCol w:w="848"/>
        <w:gridCol w:w="933"/>
        <w:gridCol w:w="933"/>
        <w:gridCol w:w="933"/>
        <w:gridCol w:w="2942"/>
      </w:tblGrid>
      <w:tr w:rsidR="00CA5AD3" w:rsidRPr="009E1D9E" w14:paraId="3253275A" w14:textId="77777777" w:rsidTr="00E65BF4">
        <w:tc>
          <w:tcPr>
            <w:tcW w:w="783" w:type="pct"/>
            <w:tcBorders>
              <w:top w:val="single" w:sz="4" w:space="0" w:color="000000"/>
              <w:bottom w:val="single" w:sz="4" w:space="0" w:color="000000"/>
            </w:tcBorders>
          </w:tcPr>
          <w:p w14:paraId="2573DDE6" w14:textId="77777777" w:rsidR="00E65BF4" w:rsidRPr="009E1D9E" w:rsidRDefault="00E65BF4" w:rsidP="00E65BF4">
            <w:pPr>
              <w:spacing w:after="0" w:line="360" w:lineRule="auto"/>
              <w:rPr>
                <w:rFonts w:ascii="Arial" w:hAnsi="Arial" w:cs="Arial"/>
                <w:b/>
                <w:sz w:val="24"/>
                <w:szCs w:val="24"/>
                <w:lang w:val="en-IE"/>
              </w:rPr>
            </w:pPr>
            <w:r w:rsidRPr="009E1D9E">
              <w:rPr>
                <w:rFonts w:ascii="Arial" w:hAnsi="Arial" w:cs="Arial"/>
                <w:b/>
                <w:sz w:val="24"/>
                <w:szCs w:val="24"/>
                <w:lang w:val="en-IE"/>
              </w:rPr>
              <w:t>Models</w:t>
            </w:r>
          </w:p>
        </w:tc>
        <w:tc>
          <w:tcPr>
            <w:tcW w:w="566" w:type="pct"/>
            <w:tcBorders>
              <w:top w:val="single" w:sz="4" w:space="0" w:color="000000"/>
              <w:bottom w:val="single" w:sz="4" w:space="0" w:color="000000"/>
            </w:tcBorders>
          </w:tcPr>
          <w:p w14:paraId="691489E8" w14:textId="77777777" w:rsidR="00E65BF4" w:rsidRPr="009E1D9E" w:rsidRDefault="00E65BF4" w:rsidP="00E65BF4">
            <w:pPr>
              <w:spacing w:after="0" w:line="360" w:lineRule="auto"/>
              <w:jc w:val="center"/>
              <w:rPr>
                <w:rFonts w:ascii="Arial" w:hAnsi="Arial" w:cs="Arial"/>
                <w:i/>
                <w:sz w:val="24"/>
                <w:szCs w:val="24"/>
                <w:lang w:val="en-IE"/>
              </w:rPr>
            </w:pPr>
            <w:r w:rsidRPr="009E1D9E">
              <w:rPr>
                <w:rFonts w:ascii="Arial" w:hAnsi="Arial" w:cs="Arial"/>
                <w:i/>
                <w:sz w:val="24"/>
                <w:szCs w:val="24"/>
                <w:lang w:val="en-IE"/>
              </w:rPr>
              <w:t>χ</w:t>
            </w:r>
            <w:r w:rsidRPr="009E1D9E">
              <w:rPr>
                <w:rFonts w:ascii="Arial" w:hAnsi="Arial" w:cs="Arial"/>
                <w:i/>
                <w:sz w:val="24"/>
                <w:szCs w:val="24"/>
                <w:vertAlign w:val="superscript"/>
                <w:lang w:val="en-IE"/>
              </w:rPr>
              <w:t>2</w:t>
            </w:r>
          </w:p>
        </w:tc>
        <w:tc>
          <w:tcPr>
            <w:tcW w:w="469" w:type="pct"/>
            <w:tcBorders>
              <w:top w:val="single" w:sz="4" w:space="0" w:color="000000"/>
              <w:bottom w:val="single" w:sz="4" w:space="0" w:color="000000"/>
            </w:tcBorders>
          </w:tcPr>
          <w:p w14:paraId="53FB82D0" w14:textId="77777777" w:rsidR="00E65BF4" w:rsidRPr="009E1D9E" w:rsidRDefault="00E65BF4" w:rsidP="00E65BF4">
            <w:pPr>
              <w:spacing w:after="0" w:line="360" w:lineRule="auto"/>
              <w:jc w:val="center"/>
              <w:rPr>
                <w:rFonts w:ascii="Arial" w:hAnsi="Arial" w:cs="Arial"/>
                <w:i/>
                <w:sz w:val="24"/>
                <w:szCs w:val="24"/>
                <w:lang w:val="en-IE"/>
              </w:rPr>
            </w:pPr>
            <w:r w:rsidRPr="009E1D9E">
              <w:rPr>
                <w:rFonts w:ascii="Arial" w:hAnsi="Arial" w:cs="Arial"/>
                <w:i/>
                <w:sz w:val="24"/>
                <w:szCs w:val="24"/>
                <w:lang w:val="en-IE"/>
              </w:rPr>
              <w:t>df</w:t>
            </w:r>
          </w:p>
        </w:tc>
        <w:tc>
          <w:tcPr>
            <w:tcW w:w="517" w:type="pct"/>
            <w:tcBorders>
              <w:top w:val="single" w:sz="4" w:space="0" w:color="000000"/>
              <w:bottom w:val="single" w:sz="4" w:space="0" w:color="000000"/>
            </w:tcBorders>
          </w:tcPr>
          <w:p w14:paraId="72D6573A" w14:textId="77777777"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P</w:t>
            </w:r>
          </w:p>
        </w:tc>
        <w:tc>
          <w:tcPr>
            <w:tcW w:w="517" w:type="pct"/>
            <w:tcBorders>
              <w:top w:val="single" w:sz="4" w:space="0" w:color="000000"/>
              <w:bottom w:val="single" w:sz="4" w:space="0" w:color="000000"/>
            </w:tcBorders>
          </w:tcPr>
          <w:p w14:paraId="23DD3AF7" w14:textId="77777777"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CFI</w:t>
            </w:r>
          </w:p>
        </w:tc>
        <w:tc>
          <w:tcPr>
            <w:tcW w:w="517" w:type="pct"/>
            <w:tcBorders>
              <w:top w:val="single" w:sz="4" w:space="0" w:color="000000"/>
              <w:bottom w:val="single" w:sz="4" w:space="0" w:color="000000"/>
            </w:tcBorders>
          </w:tcPr>
          <w:p w14:paraId="792BE8F9" w14:textId="77777777"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TLI</w:t>
            </w:r>
          </w:p>
        </w:tc>
        <w:tc>
          <w:tcPr>
            <w:tcW w:w="1630" w:type="pct"/>
            <w:tcBorders>
              <w:top w:val="single" w:sz="4" w:space="0" w:color="000000"/>
              <w:bottom w:val="single" w:sz="4" w:space="0" w:color="000000"/>
            </w:tcBorders>
          </w:tcPr>
          <w:p w14:paraId="24959118" w14:textId="77777777"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RMSEA (90% CI)</w:t>
            </w:r>
          </w:p>
        </w:tc>
      </w:tr>
      <w:tr w:rsidR="00CA5AD3" w:rsidRPr="009E1D9E" w14:paraId="30623BBF" w14:textId="77777777" w:rsidTr="00E65BF4">
        <w:tc>
          <w:tcPr>
            <w:tcW w:w="783" w:type="pct"/>
            <w:tcBorders>
              <w:top w:val="nil"/>
              <w:bottom w:val="nil"/>
            </w:tcBorders>
          </w:tcPr>
          <w:p w14:paraId="3B196E34" w14:textId="77777777" w:rsidR="00E65BF4" w:rsidRPr="009E1D9E" w:rsidRDefault="00E65BF4" w:rsidP="00E65BF4">
            <w:pPr>
              <w:spacing w:after="0" w:line="360" w:lineRule="auto"/>
              <w:rPr>
                <w:rFonts w:ascii="Arial" w:hAnsi="Arial" w:cs="Arial"/>
                <w:sz w:val="24"/>
                <w:szCs w:val="24"/>
                <w:lang w:val="en-IE"/>
              </w:rPr>
            </w:pPr>
            <w:r w:rsidRPr="009E1D9E">
              <w:rPr>
                <w:rFonts w:ascii="Arial" w:hAnsi="Arial" w:cs="Arial"/>
                <w:sz w:val="24"/>
                <w:szCs w:val="24"/>
                <w:lang w:val="en-IE"/>
              </w:rPr>
              <w:t>1</w:t>
            </w:r>
          </w:p>
        </w:tc>
        <w:tc>
          <w:tcPr>
            <w:tcW w:w="566" w:type="pct"/>
            <w:tcBorders>
              <w:top w:val="nil"/>
              <w:bottom w:val="nil"/>
            </w:tcBorders>
          </w:tcPr>
          <w:p w14:paraId="59A597CE" w14:textId="0A7BDC6A"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1128</w:t>
            </w:r>
          </w:p>
        </w:tc>
        <w:tc>
          <w:tcPr>
            <w:tcW w:w="469" w:type="pct"/>
            <w:tcBorders>
              <w:top w:val="nil"/>
              <w:bottom w:val="nil"/>
            </w:tcBorders>
          </w:tcPr>
          <w:p w14:paraId="40BDAEA6" w14:textId="161CFEA2"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194</w:t>
            </w:r>
          </w:p>
        </w:tc>
        <w:tc>
          <w:tcPr>
            <w:tcW w:w="517" w:type="pct"/>
            <w:tcBorders>
              <w:top w:val="nil"/>
              <w:bottom w:val="nil"/>
            </w:tcBorders>
          </w:tcPr>
          <w:p w14:paraId="47E1F6F6" w14:textId="77777777"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.000</w:t>
            </w:r>
          </w:p>
        </w:tc>
        <w:tc>
          <w:tcPr>
            <w:tcW w:w="517" w:type="pct"/>
            <w:tcBorders>
              <w:top w:val="nil"/>
              <w:bottom w:val="nil"/>
            </w:tcBorders>
          </w:tcPr>
          <w:p w14:paraId="42CC2158" w14:textId="5188B1D0"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.931</w:t>
            </w:r>
          </w:p>
        </w:tc>
        <w:tc>
          <w:tcPr>
            <w:tcW w:w="517" w:type="pct"/>
            <w:tcBorders>
              <w:top w:val="nil"/>
              <w:bottom w:val="nil"/>
            </w:tcBorders>
          </w:tcPr>
          <w:p w14:paraId="2C280EFA" w14:textId="223FE64A"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.918</w:t>
            </w:r>
          </w:p>
        </w:tc>
        <w:tc>
          <w:tcPr>
            <w:tcW w:w="1630" w:type="pct"/>
            <w:tcBorders>
              <w:top w:val="nil"/>
              <w:bottom w:val="nil"/>
            </w:tcBorders>
          </w:tcPr>
          <w:p w14:paraId="17D356C7" w14:textId="555EDC5C"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.096 (.091 - .102)</w:t>
            </w:r>
          </w:p>
        </w:tc>
      </w:tr>
      <w:tr w:rsidR="00CA5AD3" w:rsidRPr="009E1D9E" w14:paraId="3B424D84" w14:textId="77777777" w:rsidTr="00E65BF4">
        <w:tc>
          <w:tcPr>
            <w:tcW w:w="783" w:type="pct"/>
            <w:tcBorders>
              <w:top w:val="nil"/>
              <w:bottom w:val="nil"/>
            </w:tcBorders>
          </w:tcPr>
          <w:p w14:paraId="439AD9EA" w14:textId="77777777" w:rsidR="00E65BF4" w:rsidRPr="009E1D9E" w:rsidRDefault="00E65BF4" w:rsidP="00E65BF4">
            <w:pPr>
              <w:spacing w:after="0" w:line="360" w:lineRule="auto"/>
              <w:rPr>
                <w:rFonts w:ascii="Arial" w:hAnsi="Arial" w:cs="Arial"/>
                <w:sz w:val="24"/>
                <w:szCs w:val="24"/>
                <w:lang w:val="en-IE"/>
              </w:rPr>
            </w:pPr>
            <w:r w:rsidRPr="009E1D9E">
              <w:rPr>
                <w:rFonts w:ascii="Arial" w:hAnsi="Arial" w:cs="Arial"/>
                <w:sz w:val="24"/>
                <w:szCs w:val="24"/>
                <w:lang w:val="en-IE"/>
              </w:rPr>
              <w:t>2</w:t>
            </w:r>
          </w:p>
        </w:tc>
        <w:tc>
          <w:tcPr>
            <w:tcW w:w="566" w:type="pct"/>
            <w:tcBorders>
              <w:top w:val="nil"/>
              <w:bottom w:val="nil"/>
            </w:tcBorders>
          </w:tcPr>
          <w:p w14:paraId="26A6C372" w14:textId="25AE31CF"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1070</w:t>
            </w:r>
          </w:p>
        </w:tc>
        <w:tc>
          <w:tcPr>
            <w:tcW w:w="469" w:type="pct"/>
            <w:tcBorders>
              <w:top w:val="nil"/>
              <w:bottom w:val="nil"/>
            </w:tcBorders>
          </w:tcPr>
          <w:p w14:paraId="66A4B34B" w14:textId="17B5CC26"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202</w:t>
            </w:r>
          </w:p>
        </w:tc>
        <w:tc>
          <w:tcPr>
            <w:tcW w:w="517" w:type="pct"/>
            <w:tcBorders>
              <w:top w:val="nil"/>
              <w:bottom w:val="nil"/>
            </w:tcBorders>
          </w:tcPr>
          <w:p w14:paraId="577F3E01" w14:textId="77777777"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.000</w:t>
            </w:r>
          </w:p>
        </w:tc>
        <w:tc>
          <w:tcPr>
            <w:tcW w:w="517" w:type="pct"/>
            <w:tcBorders>
              <w:top w:val="nil"/>
              <w:bottom w:val="nil"/>
            </w:tcBorders>
          </w:tcPr>
          <w:p w14:paraId="477A8C92" w14:textId="6A950EFB"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.936</w:t>
            </w:r>
          </w:p>
        </w:tc>
        <w:tc>
          <w:tcPr>
            <w:tcW w:w="517" w:type="pct"/>
            <w:tcBorders>
              <w:top w:val="nil"/>
              <w:bottom w:val="nil"/>
            </w:tcBorders>
          </w:tcPr>
          <w:p w14:paraId="436F9F92" w14:textId="125F3251"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.927</w:t>
            </w:r>
          </w:p>
        </w:tc>
        <w:tc>
          <w:tcPr>
            <w:tcW w:w="1630" w:type="pct"/>
            <w:tcBorders>
              <w:top w:val="nil"/>
              <w:bottom w:val="nil"/>
            </w:tcBorders>
          </w:tcPr>
          <w:p w14:paraId="2C497869" w14:textId="3A3BD42E"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.091 (.086 - .096)</w:t>
            </w:r>
          </w:p>
        </w:tc>
      </w:tr>
      <w:tr w:rsidR="00CA5AD3" w:rsidRPr="009E1D9E" w14:paraId="6A00B804" w14:textId="77777777" w:rsidTr="00E65BF4">
        <w:tc>
          <w:tcPr>
            <w:tcW w:w="783" w:type="pct"/>
            <w:tcBorders>
              <w:top w:val="nil"/>
              <w:bottom w:val="nil"/>
            </w:tcBorders>
          </w:tcPr>
          <w:p w14:paraId="79A49A31" w14:textId="77777777" w:rsidR="00E65BF4" w:rsidRPr="009E1D9E" w:rsidRDefault="00E65BF4" w:rsidP="00E65BF4">
            <w:pPr>
              <w:spacing w:after="0" w:line="360" w:lineRule="auto"/>
              <w:rPr>
                <w:rFonts w:ascii="Arial" w:hAnsi="Arial" w:cs="Arial"/>
                <w:sz w:val="24"/>
                <w:szCs w:val="24"/>
                <w:lang w:val="en-IE"/>
              </w:rPr>
            </w:pPr>
            <w:r w:rsidRPr="009E1D9E">
              <w:rPr>
                <w:rFonts w:ascii="Arial" w:hAnsi="Arial" w:cs="Arial"/>
                <w:sz w:val="24"/>
                <w:szCs w:val="24"/>
                <w:lang w:val="en-IE"/>
              </w:rPr>
              <w:t>3</w:t>
            </w:r>
          </w:p>
        </w:tc>
        <w:tc>
          <w:tcPr>
            <w:tcW w:w="566" w:type="pct"/>
            <w:tcBorders>
              <w:top w:val="nil"/>
              <w:bottom w:val="nil"/>
            </w:tcBorders>
          </w:tcPr>
          <w:p w14:paraId="3ABC3074" w14:textId="1AAB1F27"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768</w:t>
            </w:r>
          </w:p>
        </w:tc>
        <w:tc>
          <w:tcPr>
            <w:tcW w:w="469" w:type="pct"/>
            <w:tcBorders>
              <w:top w:val="nil"/>
              <w:bottom w:val="nil"/>
            </w:tcBorders>
          </w:tcPr>
          <w:p w14:paraId="609BA649" w14:textId="77777777"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203</w:t>
            </w:r>
          </w:p>
        </w:tc>
        <w:tc>
          <w:tcPr>
            <w:tcW w:w="517" w:type="pct"/>
            <w:tcBorders>
              <w:top w:val="nil"/>
              <w:bottom w:val="nil"/>
            </w:tcBorders>
          </w:tcPr>
          <w:p w14:paraId="4E4717AF" w14:textId="77777777"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.000</w:t>
            </w:r>
          </w:p>
        </w:tc>
        <w:tc>
          <w:tcPr>
            <w:tcW w:w="517" w:type="pct"/>
            <w:tcBorders>
              <w:top w:val="nil"/>
              <w:bottom w:val="nil"/>
            </w:tcBorders>
          </w:tcPr>
          <w:p w14:paraId="18647443" w14:textId="4CC78BF9"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.957</w:t>
            </w:r>
          </w:p>
        </w:tc>
        <w:tc>
          <w:tcPr>
            <w:tcW w:w="517" w:type="pct"/>
            <w:tcBorders>
              <w:top w:val="nil"/>
              <w:bottom w:val="nil"/>
            </w:tcBorders>
          </w:tcPr>
          <w:p w14:paraId="60CCE017" w14:textId="3021213A"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.948</w:t>
            </w:r>
          </w:p>
        </w:tc>
        <w:tc>
          <w:tcPr>
            <w:tcW w:w="1630" w:type="pct"/>
            <w:tcBorders>
              <w:top w:val="nil"/>
              <w:bottom w:val="nil"/>
            </w:tcBorders>
          </w:tcPr>
          <w:p w14:paraId="2EBDC393" w14:textId="180F30C1"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.077 (.071 - .083)</w:t>
            </w:r>
          </w:p>
        </w:tc>
      </w:tr>
      <w:tr w:rsidR="00CA5AD3" w:rsidRPr="009E1D9E" w14:paraId="5F82ED60" w14:textId="77777777" w:rsidTr="00E65BF4">
        <w:tc>
          <w:tcPr>
            <w:tcW w:w="783" w:type="pct"/>
            <w:tcBorders>
              <w:top w:val="nil"/>
              <w:bottom w:val="single" w:sz="4" w:space="0" w:color="auto"/>
            </w:tcBorders>
          </w:tcPr>
          <w:p w14:paraId="38A067D7" w14:textId="77777777" w:rsidR="00E65BF4" w:rsidRPr="009E1D9E" w:rsidRDefault="00E65BF4" w:rsidP="00E65BF4">
            <w:pPr>
              <w:spacing w:after="0" w:line="360" w:lineRule="auto"/>
              <w:rPr>
                <w:rFonts w:ascii="Arial" w:hAnsi="Arial" w:cs="Arial"/>
                <w:sz w:val="24"/>
                <w:szCs w:val="24"/>
                <w:lang w:val="en-IE"/>
              </w:rPr>
            </w:pPr>
            <w:r w:rsidRPr="009E1D9E">
              <w:rPr>
                <w:rFonts w:ascii="Arial" w:hAnsi="Arial" w:cs="Arial"/>
                <w:sz w:val="24"/>
                <w:szCs w:val="24"/>
                <w:lang w:val="en-IE"/>
              </w:rPr>
              <w:t>4</w:t>
            </w:r>
          </w:p>
        </w:tc>
        <w:tc>
          <w:tcPr>
            <w:tcW w:w="566" w:type="pct"/>
            <w:tcBorders>
              <w:top w:val="nil"/>
              <w:bottom w:val="single" w:sz="4" w:space="0" w:color="auto"/>
            </w:tcBorders>
          </w:tcPr>
          <w:p w14:paraId="7CBC7CA4" w14:textId="36F190F1"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807</w:t>
            </w:r>
          </w:p>
        </w:tc>
        <w:tc>
          <w:tcPr>
            <w:tcW w:w="469" w:type="pct"/>
            <w:tcBorders>
              <w:top w:val="nil"/>
              <w:bottom w:val="single" w:sz="4" w:space="0" w:color="auto"/>
            </w:tcBorders>
          </w:tcPr>
          <w:p w14:paraId="6606A21A" w14:textId="19D1FD9B"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201</w:t>
            </w:r>
          </w:p>
        </w:tc>
        <w:tc>
          <w:tcPr>
            <w:tcW w:w="517" w:type="pct"/>
            <w:tcBorders>
              <w:top w:val="nil"/>
              <w:bottom w:val="single" w:sz="4" w:space="0" w:color="auto"/>
            </w:tcBorders>
          </w:tcPr>
          <w:p w14:paraId="2785A978" w14:textId="77777777"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.000</w:t>
            </w:r>
          </w:p>
        </w:tc>
        <w:tc>
          <w:tcPr>
            <w:tcW w:w="517" w:type="pct"/>
            <w:tcBorders>
              <w:top w:val="nil"/>
              <w:bottom w:val="single" w:sz="4" w:space="0" w:color="auto"/>
            </w:tcBorders>
          </w:tcPr>
          <w:p w14:paraId="4DC33B42" w14:textId="3473842F"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.956</w:t>
            </w:r>
          </w:p>
        </w:tc>
        <w:tc>
          <w:tcPr>
            <w:tcW w:w="517" w:type="pct"/>
            <w:tcBorders>
              <w:top w:val="nil"/>
              <w:bottom w:val="single" w:sz="4" w:space="0" w:color="auto"/>
            </w:tcBorders>
          </w:tcPr>
          <w:p w14:paraId="55C52493" w14:textId="69D099F8"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.949</w:t>
            </w:r>
          </w:p>
        </w:tc>
        <w:tc>
          <w:tcPr>
            <w:tcW w:w="1630" w:type="pct"/>
            <w:tcBorders>
              <w:top w:val="nil"/>
              <w:bottom w:val="single" w:sz="4" w:space="0" w:color="auto"/>
            </w:tcBorders>
          </w:tcPr>
          <w:p w14:paraId="0718EDD4" w14:textId="502F1FDF" w:rsidR="00E65BF4" w:rsidRPr="009E1D9E" w:rsidRDefault="00E65BF4" w:rsidP="00E65BF4">
            <w:pPr>
              <w:spacing w:after="0" w:line="360" w:lineRule="auto"/>
              <w:jc w:val="center"/>
              <w:rPr>
                <w:rFonts w:ascii="Arial" w:hAnsi="Arial" w:cs="Arial"/>
                <w:sz w:val="24"/>
                <w:szCs w:val="24"/>
                <w:lang w:val="en-IE"/>
              </w:rPr>
            </w:pPr>
            <w:r w:rsidRPr="009E1D9E">
              <w:rPr>
                <w:rFonts w:ascii="Arial" w:hAnsi="Arial" w:cs="Arial"/>
                <w:sz w:val="24"/>
                <w:szCs w:val="24"/>
                <w:lang w:val="en-IE"/>
              </w:rPr>
              <w:t>.076 (.071 - .082)</w:t>
            </w:r>
          </w:p>
        </w:tc>
      </w:tr>
    </w:tbl>
    <w:p w14:paraId="5ACF379D" w14:textId="01AB02DC" w:rsidR="00E65BF4" w:rsidRPr="009E1D9E" w:rsidRDefault="00E65BF4" w:rsidP="00E65BF4">
      <w:pPr>
        <w:rPr>
          <w:rFonts w:ascii="Arial" w:hAnsi="Arial" w:cs="Arial"/>
          <w:sz w:val="20"/>
          <w:szCs w:val="20"/>
          <w:lang w:val="en-IE"/>
        </w:rPr>
      </w:pPr>
      <w:r w:rsidRPr="009E1D9E">
        <w:rPr>
          <w:rFonts w:ascii="Arial" w:hAnsi="Arial" w:cs="Arial"/>
          <w:sz w:val="20"/>
          <w:szCs w:val="20"/>
          <w:lang w:val="en-IE"/>
        </w:rPr>
        <w:t>Note:</w:t>
      </w:r>
      <w:r w:rsidRPr="009E1D9E">
        <w:rPr>
          <w:rFonts w:ascii="Arial" w:hAnsi="Arial" w:cs="Arial"/>
          <w:i/>
          <w:sz w:val="20"/>
          <w:szCs w:val="20"/>
          <w:lang w:val="en-IE"/>
        </w:rPr>
        <w:t xml:space="preserve"> </w:t>
      </w:r>
      <w:r w:rsidRPr="009E1D9E">
        <w:rPr>
          <w:rFonts w:ascii="Arial" w:hAnsi="Arial" w:cs="Arial"/>
          <w:sz w:val="20"/>
          <w:szCs w:val="20"/>
          <w:lang w:val="en-IE"/>
        </w:rPr>
        <w:t>Estimator = WLSMV; n = 521;</w:t>
      </w:r>
      <w:r w:rsidRPr="009E1D9E">
        <w:rPr>
          <w:rFonts w:ascii="Arial" w:hAnsi="Arial" w:cs="Arial"/>
          <w:i/>
          <w:sz w:val="20"/>
          <w:szCs w:val="20"/>
          <w:lang w:val="en-IE"/>
        </w:rPr>
        <w:t xml:space="preserve"> χ2</w:t>
      </w:r>
      <w:r w:rsidRPr="009E1D9E">
        <w:rPr>
          <w:rFonts w:ascii="Arial" w:hAnsi="Arial" w:cs="Arial"/>
          <w:b/>
          <w:i/>
          <w:sz w:val="20"/>
          <w:szCs w:val="20"/>
          <w:lang w:val="en-IE"/>
        </w:rPr>
        <w:t xml:space="preserve"> = </w:t>
      </w:r>
      <w:r w:rsidRPr="009E1D9E">
        <w:rPr>
          <w:rFonts w:ascii="Arial" w:hAnsi="Arial" w:cs="Arial"/>
          <w:sz w:val="20"/>
          <w:szCs w:val="20"/>
          <w:lang w:val="en-IE"/>
        </w:rPr>
        <w:t>Chi-square Goodness of Fit statistic; </w:t>
      </w:r>
      <w:r w:rsidRPr="009E1D9E">
        <w:rPr>
          <w:rFonts w:ascii="Arial" w:hAnsi="Arial" w:cs="Arial"/>
          <w:i/>
          <w:iCs/>
          <w:sz w:val="20"/>
          <w:szCs w:val="20"/>
          <w:lang w:val="en-IE"/>
        </w:rPr>
        <w:t>df</w:t>
      </w:r>
      <w:r w:rsidRPr="009E1D9E">
        <w:rPr>
          <w:rFonts w:ascii="Arial" w:hAnsi="Arial" w:cs="Arial"/>
          <w:sz w:val="20"/>
          <w:szCs w:val="20"/>
          <w:lang w:val="en-IE"/>
        </w:rPr>
        <w:t xml:space="preserve"> = degrees of freedom; P = Statistical significance; CFI = Comparative Fit Index; TLI = </w:t>
      </w:r>
      <w:r w:rsidRPr="009E1D9E">
        <w:rPr>
          <w:rFonts w:ascii="Arial" w:hAnsi="Arial" w:cs="Arial"/>
          <w:bCs/>
          <w:sz w:val="20"/>
          <w:szCs w:val="20"/>
          <w:lang w:val="en-IE"/>
        </w:rPr>
        <w:t>Tucker Lewis Index</w:t>
      </w:r>
      <w:r w:rsidRPr="009E1D9E">
        <w:rPr>
          <w:rFonts w:ascii="Arial" w:hAnsi="Arial" w:cs="Arial"/>
          <w:sz w:val="20"/>
          <w:szCs w:val="20"/>
          <w:lang w:val="en-IE"/>
        </w:rPr>
        <w:t>; RMSEA (90% CI) = Root-Mean-Square Error of Approximation with 90% confidence intervals.</w:t>
      </w:r>
    </w:p>
    <w:p w14:paraId="78C66A6A" w14:textId="77777777" w:rsidR="00E65BF4" w:rsidRPr="009E1D9E" w:rsidRDefault="00E65BF4">
      <w:pPr>
        <w:rPr>
          <w:rFonts w:ascii="Arial" w:eastAsia="Calibri" w:hAnsi="Arial" w:cs="Arial"/>
          <w:bCs/>
          <w:sz w:val="24"/>
          <w:szCs w:val="24"/>
          <w:lang w:val="en-IE"/>
        </w:rPr>
      </w:pPr>
      <w:r w:rsidRPr="009E1D9E">
        <w:rPr>
          <w:rFonts w:ascii="Arial" w:eastAsia="Calibri" w:hAnsi="Arial" w:cs="Arial"/>
          <w:bCs/>
          <w:sz w:val="24"/>
          <w:szCs w:val="24"/>
        </w:rPr>
        <w:br w:type="page"/>
      </w:r>
    </w:p>
    <w:p w14:paraId="1EA282EF" w14:textId="66095328" w:rsidR="00156DDD" w:rsidRPr="009E1D9E" w:rsidRDefault="00521685" w:rsidP="00156DDD">
      <w:pPr>
        <w:pStyle w:val="NoSpacing"/>
        <w:rPr>
          <w:rFonts w:ascii="Arial" w:eastAsia="Calibri" w:hAnsi="Arial" w:cs="Arial"/>
          <w:bCs/>
          <w:sz w:val="24"/>
          <w:szCs w:val="24"/>
        </w:rPr>
      </w:pPr>
      <w:r w:rsidRPr="009E1D9E">
        <w:rPr>
          <w:rFonts w:ascii="Arial" w:eastAsia="Calibri" w:hAnsi="Arial" w:cs="Arial"/>
          <w:bCs/>
          <w:sz w:val="24"/>
          <w:szCs w:val="24"/>
        </w:rPr>
        <w:lastRenderedPageBreak/>
        <w:t>Table 2</w:t>
      </w:r>
      <w:r w:rsidR="00156DDD" w:rsidRPr="009E1D9E">
        <w:rPr>
          <w:rFonts w:ascii="Arial" w:eastAsia="Calibri" w:hAnsi="Arial" w:cs="Arial"/>
          <w:bCs/>
          <w:sz w:val="24"/>
          <w:szCs w:val="24"/>
        </w:rPr>
        <w:t>. LCA fit statistics based on probabilities of meeting diagnostic criteria for each PTSD and DSO symptom clusters.</w:t>
      </w:r>
    </w:p>
    <w:p w14:paraId="1DD78513" w14:textId="3D533A0E" w:rsidR="00156DDD" w:rsidRPr="009E1D9E" w:rsidRDefault="00156DDD" w:rsidP="00156DDD">
      <w:pPr>
        <w:pStyle w:val="NoSpacing"/>
        <w:rPr>
          <w:rFonts w:ascii="Arial" w:hAnsi="Arial" w:cs="Arial"/>
          <w:sz w:val="24"/>
          <w:szCs w:val="24"/>
        </w:rPr>
      </w:pPr>
      <w:r w:rsidRPr="009E1D9E">
        <w:rPr>
          <w:rFonts w:ascii="Arial" w:hAnsi="Arial" w:cs="Arial"/>
          <w:sz w:val="24"/>
          <w:szCs w:val="24"/>
        </w:rPr>
        <w:t xml:space="preserve">         </w:t>
      </w:r>
    </w:p>
    <w:tbl>
      <w:tblPr>
        <w:tblStyle w:val="TableGridLight1"/>
        <w:tblpPr w:leftFromText="180" w:rightFromText="180" w:vertAnchor="page" w:horzAnchor="margin" w:tblpY="2641"/>
        <w:tblW w:w="0" w:type="auto"/>
        <w:tblLook w:val="04A0" w:firstRow="1" w:lastRow="0" w:firstColumn="1" w:lastColumn="0" w:noHBand="0" w:noVBand="1"/>
      </w:tblPr>
      <w:tblGrid>
        <w:gridCol w:w="1308"/>
        <w:gridCol w:w="1565"/>
        <w:gridCol w:w="1539"/>
        <w:gridCol w:w="1539"/>
        <w:gridCol w:w="1539"/>
        <w:gridCol w:w="1235"/>
      </w:tblGrid>
      <w:tr w:rsidR="00CA5AD3" w:rsidRPr="009E1D9E" w14:paraId="404D23E8" w14:textId="77777777" w:rsidTr="00833E5B">
        <w:tc>
          <w:tcPr>
            <w:tcW w:w="1308" w:type="dxa"/>
            <w:tcBorders>
              <w:top w:val="single" w:sz="12" w:space="0" w:color="auto"/>
              <w:bottom w:val="single" w:sz="4" w:space="0" w:color="auto"/>
            </w:tcBorders>
          </w:tcPr>
          <w:p w14:paraId="3A045EB3" w14:textId="77777777" w:rsidR="00156DDD" w:rsidRPr="009E1D9E" w:rsidRDefault="00156DDD" w:rsidP="00156DDD">
            <w:pPr>
              <w:pStyle w:val="NoSpacing"/>
              <w:rPr>
                <w:rFonts w:ascii="Arial" w:hAnsi="Arial" w:cs="Arial"/>
                <w:sz w:val="24"/>
                <w:szCs w:val="24"/>
              </w:rPr>
            </w:pPr>
            <w:r w:rsidRPr="009E1D9E">
              <w:rPr>
                <w:rFonts w:ascii="Arial" w:hAnsi="Arial" w:cs="Arial"/>
                <w:sz w:val="24"/>
                <w:szCs w:val="24"/>
              </w:rPr>
              <w:t>Classes</w:t>
            </w:r>
          </w:p>
        </w:tc>
        <w:tc>
          <w:tcPr>
            <w:tcW w:w="1565" w:type="dxa"/>
            <w:tcBorders>
              <w:top w:val="single" w:sz="12" w:space="0" w:color="auto"/>
              <w:bottom w:val="single" w:sz="4" w:space="0" w:color="auto"/>
            </w:tcBorders>
          </w:tcPr>
          <w:p w14:paraId="54B1BB57" w14:textId="77777777" w:rsidR="00156DDD" w:rsidRPr="009E1D9E" w:rsidRDefault="00156DDD" w:rsidP="00156DDD">
            <w:pPr>
              <w:pStyle w:val="NoSpacing"/>
              <w:jc w:val="center"/>
              <w:rPr>
                <w:rFonts w:ascii="Arial" w:hAnsi="Arial" w:cs="Arial"/>
                <w:sz w:val="24"/>
                <w:szCs w:val="24"/>
              </w:rPr>
            </w:pPr>
            <w:proofErr w:type="spellStart"/>
            <w:r w:rsidRPr="009E1D9E">
              <w:rPr>
                <w:rFonts w:ascii="Arial" w:hAnsi="Arial" w:cs="Arial"/>
                <w:sz w:val="24"/>
                <w:szCs w:val="24"/>
              </w:rPr>
              <w:t>Logliklihood</w:t>
            </w:r>
            <w:proofErr w:type="spellEnd"/>
          </w:p>
        </w:tc>
        <w:tc>
          <w:tcPr>
            <w:tcW w:w="1539" w:type="dxa"/>
            <w:tcBorders>
              <w:top w:val="single" w:sz="12" w:space="0" w:color="auto"/>
              <w:bottom w:val="single" w:sz="4" w:space="0" w:color="auto"/>
            </w:tcBorders>
          </w:tcPr>
          <w:p w14:paraId="416CC8EE"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AIC</w:t>
            </w:r>
          </w:p>
        </w:tc>
        <w:tc>
          <w:tcPr>
            <w:tcW w:w="1539" w:type="dxa"/>
            <w:tcBorders>
              <w:top w:val="single" w:sz="12" w:space="0" w:color="auto"/>
              <w:bottom w:val="single" w:sz="4" w:space="0" w:color="auto"/>
            </w:tcBorders>
          </w:tcPr>
          <w:p w14:paraId="05652184"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BIC</w:t>
            </w:r>
          </w:p>
        </w:tc>
        <w:tc>
          <w:tcPr>
            <w:tcW w:w="1539" w:type="dxa"/>
            <w:tcBorders>
              <w:top w:val="single" w:sz="12" w:space="0" w:color="auto"/>
              <w:bottom w:val="single" w:sz="4" w:space="0" w:color="auto"/>
            </w:tcBorders>
          </w:tcPr>
          <w:p w14:paraId="13C36A45" w14:textId="77777777" w:rsidR="00156DDD" w:rsidRPr="009E1D9E" w:rsidRDefault="00156DDD" w:rsidP="00156DDD">
            <w:pPr>
              <w:pStyle w:val="NoSpacing"/>
              <w:jc w:val="center"/>
              <w:rPr>
                <w:rFonts w:ascii="Arial" w:hAnsi="Arial" w:cs="Arial"/>
                <w:sz w:val="24"/>
                <w:szCs w:val="24"/>
              </w:rPr>
            </w:pPr>
            <w:proofErr w:type="spellStart"/>
            <w:r w:rsidRPr="009E1D9E">
              <w:rPr>
                <w:rFonts w:ascii="Arial" w:hAnsi="Arial" w:cs="Arial"/>
                <w:sz w:val="24"/>
                <w:szCs w:val="24"/>
              </w:rPr>
              <w:t>ssaBIC</w:t>
            </w:r>
            <w:proofErr w:type="spellEnd"/>
          </w:p>
        </w:tc>
        <w:tc>
          <w:tcPr>
            <w:tcW w:w="1235" w:type="dxa"/>
            <w:tcBorders>
              <w:top w:val="single" w:sz="12" w:space="0" w:color="auto"/>
              <w:bottom w:val="single" w:sz="4" w:space="0" w:color="auto"/>
            </w:tcBorders>
          </w:tcPr>
          <w:p w14:paraId="4AD09E13" w14:textId="77777777" w:rsidR="00156DDD" w:rsidRPr="009E1D9E" w:rsidRDefault="00156DDD" w:rsidP="00156DDD">
            <w:pPr>
              <w:pStyle w:val="NoSpacing"/>
              <w:jc w:val="center"/>
              <w:rPr>
                <w:rFonts w:ascii="Arial" w:hAnsi="Arial" w:cs="Arial"/>
                <w:sz w:val="24"/>
                <w:szCs w:val="24"/>
              </w:rPr>
            </w:pPr>
            <w:r w:rsidRPr="009E1D9E">
              <w:rPr>
                <w:rFonts w:ascii="Arial" w:eastAsia="Calibri" w:hAnsi="Arial" w:cs="Arial"/>
                <w:sz w:val="24"/>
                <w:szCs w:val="24"/>
              </w:rPr>
              <w:t>LRT (p)</w:t>
            </w:r>
          </w:p>
        </w:tc>
      </w:tr>
      <w:tr w:rsidR="00CA5AD3" w:rsidRPr="009E1D9E" w14:paraId="68057C88" w14:textId="77777777" w:rsidTr="00833E5B">
        <w:tc>
          <w:tcPr>
            <w:tcW w:w="1308" w:type="dxa"/>
            <w:tcBorders>
              <w:top w:val="single" w:sz="4" w:space="0" w:color="auto"/>
            </w:tcBorders>
          </w:tcPr>
          <w:p w14:paraId="6A674F6C" w14:textId="77777777" w:rsidR="00156DDD" w:rsidRPr="009E1D9E" w:rsidRDefault="00156DDD" w:rsidP="00156DDD">
            <w:pPr>
              <w:pStyle w:val="NoSpacing"/>
              <w:rPr>
                <w:rFonts w:ascii="Arial" w:hAnsi="Arial" w:cs="Arial"/>
                <w:sz w:val="24"/>
                <w:szCs w:val="24"/>
              </w:rPr>
            </w:pPr>
            <w:r w:rsidRPr="009E1D9E">
              <w:rPr>
                <w:rFonts w:ascii="Arial" w:hAnsi="Arial" w:cs="Arial"/>
                <w:sz w:val="24"/>
                <w:szCs w:val="24"/>
              </w:rPr>
              <w:t>1</w:t>
            </w:r>
          </w:p>
        </w:tc>
        <w:tc>
          <w:tcPr>
            <w:tcW w:w="1565" w:type="dxa"/>
            <w:tcBorders>
              <w:top w:val="single" w:sz="4" w:space="0" w:color="auto"/>
            </w:tcBorders>
          </w:tcPr>
          <w:p w14:paraId="185EE1C4"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-1685.844</w:t>
            </w:r>
          </w:p>
        </w:tc>
        <w:tc>
          <w:tcPr>
            <w:tcW w:w="1539" w:type="dxa"/>
            <w:tcBorders>
              <w:top w:val="single" w:sz="4" w:space="0" w:color="auto"/>
            </w:tcBorders>
          </w:tcPr>
          <w:p w14:paraId="0B07D587"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3385.688</w:t>
            </w:r>
          </w:p>
        </w:tc>
        <w:tc>
          <w:tcPr>
            <w:tcW w:w="1539" w:type="dxa"/>
            <w:tcBorders>
              <w:top w:val="single" w:sz="4" w:space="0" w:color="auto"/>
            </w:tcBorders>
          </w:tcPr>
          <w:p w14:paraId="46974DCC"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3415.478</w:t>
            </w:r>
          </w:p>
        </w:tc>
        <w:tc>
          <w:tcPr>
            <w:tcW w:w="1539" w:type="dxa"/>
            <w:tcBorders>
              <w:top w:val="single" w:sz="4" w:space="0" w:color="auto"/>
            </w:tcBorders>
          </w:tcPr>
          <w:p w14:paraId="359055F7"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3393.258</w:t>
            </w:r>
          </w:p>
        </w:tc>
        <w:tc>
          <w:tcPr>
            <w:tcW w:w="1235" w:type="dxa"/>
            <w:tcBorders>
              <w:top w:val="single" w:sz="4" w:space="0" w:color="auto"/>
            </w:tcBorders>
          </w:tcPr>
          <w:p w14:paraId="7D3EA9D0" w14:textId="77777777" w:rsidR="00156DDD" w:rsidRPr="009E1D9E" w:rsidRDefault="00156DDD" w:rsidP="00156DDD">
            <w:pPr>
              <w:pStyle w:val="NoSpacing"/>
              <w:jc w:val="center"/>
              <w:rPr>
                <w:rFonts w:ascii="Arial" w:hAnsi="Arial" w:cs="Arial"/>
                <w:sz w:val="24"/>
                <w:szCs w:val="24"/>
              </w:rPr>
            </w:pPr>
          </w:p>
        </w:tc>
      </w:tr>
      <w:tr w:rsidR="00CA5AD3" w:rsidRPr="009E1D9E" w14:paraId="34E97F33" w14:textId="77777777" w:rsidTr="00833E5B">
        <w:tc>
          <w:tcPr>
            <w:tcW w:w="1308" w:type="dxa"/>
          </w:tcPr>
          <w:p w14:paraId="358763DE" w14:textId="77777777" w:rsidR="00156DDD" w:rsidRPr="009E1D9E" w:rsidRDefault="00156DDD" w:rsidP="00156DDD">
            <w:pPr>
              <w:pStyle w:val="NoSpacing"/>
              <w:rPr>
                <w:rFonts w:ascii="Arial" w:hAnsi="Arial" w:cs="Arial"/>
                <w:sz w:val="24"/>
                <w:szCs w:val="24"/>
              </w:rPr>
            </w:pPr>
            <w:r w:rsidRPr="009E1D9E">
              <w:rPr>
                <w:rFonts w:ascii="Arial" w:hAnsi="Arial" w:cs="Arial"/>
                <w:sz w:val="24"/>
                <w:szCs w:val="24"/>
              </w:rPr>
              <w:t>2</w:t>
            </w:r>
          </w:p>
        </w:tc>
        <w:tc>
          <w:tcPr>
            <w:tcW w:w="1565" w:type="dxa"/>
          </w:tcPr>
          <w:p w14:paraId="260F1C28"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-1480.457</w:t>
            </w:r>
          </w:p>
        </w:tc>
        <w:tc>
          <w:tcPr>
            <w:tcW w:w="1539" w:type="dxa"/>
          </w:tcPr>
          <w:p w14:paraId="2CB80293"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2990.913</w:t>
            </w:r>
          </w:p>
        </w:tc>
        <w:tc>
          <w:tcPr>
            <w:tcW w:w="1539" w:type="dxa"/>
          </w:tcPr>
          <w:p w14:paraId="2A47854A"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3054.750</w:t>
            </w:r>
          </w:p>
        </w:tc>
        <w:tc>
          <w:tcPr>
            <w:tcW w:w="1539" w:type="dxa"/>
          </w:tcPr>
          <w:p w14:paraId="14D13117"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3007.136</w:t>
            </w:r>
          </w:p>
        </w:tc>
        <w:tc>
          <w:tcPr>
            <w:tcW w:w="1235" w:type="dxa"/>
          </w:tcPr>
          <w:p w14:paraId="38550497"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402.727</w:t>
            </w:r>
          </w:p>
          <w:p w14:paraId="309DE867"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.000</w:t>
            </w:r>
          </w:p>
        </w:tc>
      </w:tr>
      <w:tr w:rsidR="00CA5AD3" w:rsidRPr="009E1D9E" w14:paraId="51D3F354" w14:textId="77777777" w:rsidTr="00833E5B">
        <w:tc>
          <w:tcPr>
            <w:tcW w:w="1308" w:type="dxa"/>
          </w:tcPr>
          <w:p w14:paraId="7CC1A1D0" w14:textId="77777777" w:rsidR="00156DDD" w:rsidRPr="009E1D9E" w:rsidRDefault="00156DDD" w:rsidP="00156DDD">
            <w:pPr>
              <w:pStyle w:val="NoSpacing"/>
              <w:rPr>
                <w:rFonts w:ascii="Arial" w:hAnsi="Arial" w:cs="Arial"/>
                <w:sz w:val="24"/>
                <w:szCs w:val="24"/>
              </w:rPr>
            </w:pPr>
            <w:r w:rsidRPr="009E1D9E">
              <w:rPr>
                <w:rFonts w:ascii="Arial" w:hAnsi="Arial" w:cs="Arial"/>
                <w:sz w:val="24"/>
                <w:szCs w:val="24"/>
              </w:rPr>
              <w:t>3</w:t>
            </w:r>
          </w:p>
        </w:tc>
        <w:tc>
          <w:tcPr>
            <w:tcW w:w="1565" w:type="dxa"/>
          </w:tcPr>
          <w:p w14:paraId="2B69A40C"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-1442.581</w:t>
            </w:r>
          </w:p>
          <w:p w14:paraId="0EC72107" w14:textId="77777777" w:rsidR="00156DDD" w:rsidRPr="009E1D9E" w:rsidRDefault="00156DDD" w:rsidP="00156DDD">
            <w:pPr>
              <w:pStyle w:val="NoSpacing"/>
              <w:jc w:val="center"/>
              <w:rPr>
                <w:rFonts w:ascii="Arial" w:hAnsi="Arial" w:cs="Arial"/>
                <w:sz w:val="24"/>
                <w:szCs w:val="24"/>
              </w:rPr>
            </w:pPr>
          </w:p>
        </w:tc>
        <w:tc>
          <w:tcPr>
            <w:tcW w:w="1539" w:type="dxa"/>
          </w:tcPr>
          <w:p w14:paraId="084AB3A8"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2931.162</w:t>
            </w:r>
          </w:p>
        </w:tc>
        <w:tc>
          <w:tcPr>
            <w:tcW w:w="1539" w:type="dxa"/>
          </w:tcPr>
          <w:p w14:paraId="34DAEAA8"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3029.045</w:t>
            </w:r>
          </w:p>
        </w:tc>
        <w:tc>
          <w:tcPr>
            <w:tcW w:w="1539" w:type="dxa"/>
          </w:tcPr>
          <w:p w14:paraId="4D68F277"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2956.038</w:t>
            </w:r>
          </w:p>
        </w:tc>
        <w:tc>
          <w:tcPr>
            <w:tcW w:w="1235" w:type="dxa"/>
          </w:tcPr>
          <w:p w14:paraId="4E2AAB5A"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74.267</w:t>
            </w:r>
          </w:p>
          <w:p w14:paraId="55FC79A8"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.003</w:t>
            </w:r>
          </w:p>
        </w:tc>
      </w:tr>
      <w:tr w:rsidR="00CA5AD3" w:rsidRPr="009E1D9E" w14:paraId="7908FEB7" w14:textId="77777777" w:rsidTr="00833E5B">
        <w:tc>
          <w:tcPr>
            <w:tcW w:w="1308" w:type="dxa"/>
          </w:tcPr>
          <w:p w14:paraId="4B2ABA6D" w14:textId="77777777" w:rsidR="00156DDD" w:rsidRPr="009E1D9E" w:rsidRDefault="00156DDD" w:rsidP="00156DDD">
            <w:pPr>
              <w:pStyle w:val="NoSpacing"/>
              <w:rPr>
                <w:rFonts w:ascii="Arial" w:hAnsi="Arial" w:cs="Arial"/>
                <w:sz w:val="24"/>
                <w:szCs w:val="24"/>
              </w:rPr>
            </w:pPr>
            <w:r w:rsidRPr="009E1D9E">
              <w:rPr>
                <w:rFonts w:ascii="Arial" w:hAnsi="Arial" w:cs="Arial"/>
                <w:sz w:val="24"/>
                <w:szCs w:val="24"/>
              </w:rPr>
              <w:t>4</w:t>
            </w:r>
          </w:p>
        </w:tc>
        <w:tc>
          <w:tcPr>
            <w:tcW w:w="1565" w:type="dxa"/>
          </w:tcPr>
          <w:p w14:paraId="413ECA6E"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-1432.026</w:t>
            </w:r>
          </w:p>
        </w:tc>
        <w:tc>
          <w:tcPr>
            <w:tcW w:w="1539" w:type="dxa"/>
          </w:tcPr>
          <w:p w14:paraId="20E8A7D8"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2926.052</w:t>
            </w:r>
          </w:p>
        </w:tc>
        <w:tc>
          <w:tcPr>
            <w:tcW w:w="1539" w:type="dxa"/>
          </w:tcPr>
          <w:p w14:paraId="187BC0B2"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3057.981</w:t>
            </w:r>
          </w:p>
        </w:tc>
        <w:tc>
          <w:tcPr>
            <w:tcW w:w="1539" w:type="dxa"/>
          </w:tcPr>
          <w:p w14:paraId="5E9C1B1E"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2959.580</w:t>
            </w:r>
          </w:p>
        </w:tc>
        <w:tc>
          <w:tcPr>
            <w:tcW w:w="1235" w:type="dxa"/>
          </w:tcPr>
          <w:p w14:paraId="25C93F6B"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20.696</w:t>
            </w:r>
          </w:p>
          <w:p w14:paraId="3492A677"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.301</w:t>
            </w:r>
          </w:p>
        </w:tc>
      </w:tr>
      <w:tr w:rsidR="00CA5AD3" w:rsidRPr="009E1D9E" w14:paraId="55099664" w14:textId="77777777" w:rsidTr="00833E5B">
        <w:tc>
          <w:tcPr>
            <w:tcW w:w="1308" w:type="dxa"/>
          </w:tcPr>
          <w:p w14:paraId="6920AA5D" w14:textId="77777777" w:rsidR="00156DDD" w:rsidRPr="009E1D9E" w:rsidRDefault="00156DDD" w:rsidP="00156DDD">
            <w:pPr>
              <w:pStyle w:val="NoSpacing"/>
              <w:rPr>
                <w:rFonts w:ascii="Arial" w:hAnsi="Arial" w:cs="Arial"/>
                <w:sz w:val="24"/>
                <w:szCs w:val="24"/>
              </w:rPr>
            </w:pPr>
            <w:r w:rsidRPr="009E1D9E">
              <w:rPr>
                <w:rFonts w:ascii="Arial" w:hAnsi="Arial" w:cs="Arial"/>
                <w:sz w:val="24"/>
                <w:szCs w:val="24"/>
              </w:rPr>
              <w:t>5</w:t>
            </w:r>
          </w:p>
        </w:tc>
        <w:tc>
          <w:tcPr>
            <w:tcW w:w="1565" w:type="dxa"/>
          </w:tcPr>
          <w:p w14:paraId="2534A39A"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-1423.948</w:t>
            </w:r>
          </w:p>
        </w:tc>
        <w:tc>
          <w:tcPr>
            <w:tcW w:w="1539" w:type="dxa"/>
          </w:tcPr>
          <w:p w14:paraId="6F752169"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2925.895</w:t>
            </w:r>
          </w:p>
        </w:tc>
        <w:tc>
          <w:tcPr>
            <w:tcW w:w="1539" w:type="dxa"/>
          </w:tcPr>
          <w:p w14:paraId="7B8FAA82"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3091.869</w:t>
            </w:r>
          </w:p>
        </w:tc>
        <w:tc>
          <w:tcPr>
            <w:tcW w:w="1539" w:type="dxa"/>
          </w:tcPr>
          <w:p w14:paraId="518D36AF"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2968.075</w:t>
            </w:r>
          </w:p>
        </w:tc>
        <w:tc>
          <w:tcPr>
            <w:tcW w:w="1235" w:type="dxa"/>
          </w:tcPr>
          <w:p w14:paraId="3177C259"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15.841</w:t>
            </w:r>
          </w:p>
          <w:p w14:paraId="5A67A3F3"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.032</w:t>
            </w:r>
          </w:p>
        </w:tc>
      </w:tr>
      <w:tr w:rsidR="00CA5AD3" w:rsidRPr="009E1D9E" w14:paraId="1B3EBF88" w14:textId="77777777" w:rsidTr="00833E5B">
        <w:tc>
          <w:tcPr>
            <w:tcW w:w="1308" w:type="dxa"/>
            <w:tcBorders>
              <w:bottom w:val="single" w:sz="12" w:space="0" w:color="auto"/>
            </w:tcBorders>
          </w:tcPr>
          <w:p w14:paraId="6BDB507E" w14:textId="77777777" w:rsidR="00156DDD" w:rsidRPr="009E1D9E" w:rsidRDefault="00156DDD" w:rsidP="00156DDD">
            <w:pPr>
              <w:pStyle w:val="NoSpacing"/>
              <w:rPr>
                <w:rFonts w:ascii="Arial" w:hAnsi="Arial" w:cs="Arial"/>
                <w:sz w:val="24"/>
                <w:szCs w:val="24"/>
              </w:rPr>
            </w:pPr>
            <w:r w:rsidRPr="009E1D9E">
              <w:rPr>
                <w:rFonts w:ascii="Arial" w:hAnsi="Arial" w:cs="Arial"/>
                <w:sz w:val="24"/>
                <w:szCs w:val="24"/>
              </w:rPr>
              <w:t>6</w:t>
            </w:r>
          </w:p>
        </w:tc>
        <w:tc>
          <w:tcPr>
            <w:tcW w:w="1565" w:type="dxa"/>
            <w:tcBorders>
              <w:bottom w:val="single" w:sz="12" w:space="0" w:color="auto"/>
            </w:tcBorders>
          </w:tcPr>
          <w:p w14:paraId="57ABEDA1"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-1417.848</w:t>
            </w:r>
          </w:p>
          <w:p w14:paraId="79C81D11" w14:textId="77777777" w:rsidR="00156DDD" w:rsidRPr="009E1D9E" w:rsidRDefault="00156DDD" w:rsidP="00156DDD">
            <w:pPr>
              <w:pStyle w:val="NoSpacing"/>
              <w:jc w:val="center"/>
              <w:rPr>
                <w:rFonts w:ascii="Arial" w:hAnsi="Arial" w:cs="Arial"/>
                <w:sz w:val="24"/>
                <w:szCs w:val="24"/>
              </w:rPr>
            </w:pPr>
          </w:p>
        </w:tc>
        <w:tc>
          <w:tcPr>
            <w:tcW w:w="1539" w:type="dxa"/>
            <w:tcBorders>
              <w:bottom w:val="single" w:sz="12" w:space="0" w:color="auto"/>
            </w:tcBorders>
          </w:tcPr>
          <w:p w14:paraId="0D0FFE61"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2929.695</w:t>
            </w:r>
          </w:p>
        </w:tc>
        <w:tc>
          <w:tcPr>
            <w:tcW w:w="1539" w:type="dxa"/>
            <w:tcBorders>
              <w:bottom w:val="single" w:sz="12" w:space="0" w:color="auto"/>
            </w:tcBorders>
          </w:tcPr>
          <w:p w14:paraId="399E839D"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3129.715</w:t>
            </w:r>
          </w:p>
        </w:tc>
        <w:tc>
          <w:tcPr>
            <w:tcW w:w="1539" w:type="dxa"/>
            <w:tcBorders>
              <w:bottom w:val="single" w:sz="12" w:space="0" w:color="auto"/>
            </w:tcBorders>
          </w:tcPr>
          <w:p w14:paraId="112BF69B"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2980.527</w:t>
            </w:r>
          </w:p>
        </w:tc>
        <w:tc>
          <w:tcPr>
            <w:tcW w:w="1235" w:type="dxa"/>
            <w:tcBorders>
              <w:bottom w:val="single" w:sz="12" w:space="0" w:color="auto"/>
            </w:tcBorders>
          </w:tcPr>
          <w:p w14:paraId="5EA0403E"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11.961</w:t>
            </w:r>
          </w:p>
          <w:p w14:paraId="44CD839C" w14:textId="77777777" w:rsidR="00156DDD" w:rsidRPr="009E1D9E" w:rsidRDefault="00156DDD" w:rsidP="00156DDD">
            <w:pPr>
              <w:pStyle w:val="NoSpacing"/>
              <w:jc w:val="center"/>
              <w:rPr>
                <w:rFonts w:ascii="Arial" w:hAnsi="Arial" w:cs="Arial"/>
                <w:sz w:val="24"/>
                <w:szCs w:val="24"/>
              </w:rPr>
            </w:pPr>
            <w:r w:rsidRPr="009E1D9E">
              <w:rPr>
                <w:rFonts w:ascii="Arial" w:hAnsi="Arial" w:cs="Arial"/>
                <w:sz w:val="24"/>
                <w:szCs w:val="24"/>
              </w:rPr>
              <w:t>.110</w:t>
            </w:r>
          </w:p>
        </w:tc>
      </w:tr>
    </w:tbl>
    <w:p w14:paraId="7018F38E" w14:textId="77777777" w:rsidR="00156DDD" w:rsidRPr="009E1D9E" w:rsidRDefault="00156DDD" w:rsidP="00156DDD">
      <w:pPr>
        <w:autoSpaceDE w:val="0"/>
        <w:autoSpaceDN w:val="0"/>
        <w:adjustRightInd w:val="0"/>
        <w:spacing w:after="0" w:line="240" w:lineRule="auto"/>
        <w:rPr>
          <w:rFonts w:ascii="Arial" w:hAnsi="Arial" w:cs="Arial"/>
          <w:sz w:val="24"/>
          <w:szCs w:val="24"/>
        </w:rPr>
      </w:pPr>
    </w:p>
    <w:p w14:paraId="08447DA2" w14:textId="77777777" w:rsidR="00156DDD" w:rsidRPr="009E1D9E" w:rsidRDefault="00156DDD" w:rsidP="00156DDD">
      <w:pPr>
        <w:autoSpaceDE w:val="0"/>
        <w:autoSpaceDN w:val="0"/>
        <w:adjustRightInd w:val="0"/>
        <w:spacing w:after="0" w:line="240" w:lineRule="auto"/>
        <w:rPr>
          <w:rFonts w:ascii="Arial" w:hAnsi="Arial" w:cs="Arial"/>
          <w:sz w:val="24"/>
          <w:szCs w:val="24"/>
        </w:rPr>
      </w:pPr>
    </w:p>
    <w:p w14:paraId="46946AD2" w14:textId="77777777" w:rsidR="00156DDD" w:rsidRPr="009E1D9E" w:rsidRDefault="00156DDD" w:rsidP="00156DDD">
      <w:pPr>
        <w:autoSpaceDE w:val="0"/>
        <w:autoSpaceDN w:val="0"/>
        <w:adjustRightInd w:val="0"/>
        <w:spacing w:after="0" w:line="240" w:lineRule="auto"/>
        <w:rPr>
          <w:rFonts w:ascii="Arial" w:hAnsi="Arial" w:cs="Arial"/>
          <w:sz w:val="24"/>
          <w:szCs w:val="24"/>
        </w:rPr>
      </w:pPr>
    </w:p>
    <w:p w14:paraId="27FF2717" w14:textId="77777777" w:rsidR="00156DDD" w:rsidRPr="009E1D9E" w:rsidRDefault="00156DDD" w:rsidP="00156DDD">
      <w:pPr>
        <w:pStyle w:val="NoSpacing"/>
        <w:rPr>
          <w:rFonts w:ascii="Arial" w:eastAsia="Calibri" w:hAnsi="Arial" w:cs="Arial"/>
          <w:bCs/>
          <w:sz w:val="24"/>
          <w:szCs w:val="24"/>
        </w:rPr>
        <w:sectPr w:rsidR="00156DDD" w:rsidRPr="009E1D9E" w:rsidSect="00156DDD">
          <w:pgSz w:w="11906" w:h="16838"/>
          <w:pgMar w:top="1440" w:right="1440" w:bottom="1440" w:left="1440" w:header="708" w:footer="708" w:gutter="0"/>
          <w:cols w:space="708"/>
          <w:docGrid w:linePitch="360"/>
        </w:sectPr>
      </w:pPr>
    </w:p>
    <w:p w14:paraId="33AB4360" w14:textId="3CE706B9" w:rsidR="00156DDD" w:rsidRPr="009E1D9E" w:rsidRDefault="00521685" w:rsidP="00CA5AD3">
      <w:pPr>
        <w:pStyle w:val="NoSpacing"/>
      </w:pPr>
      <w:r w:rsidRPr="009E1D9E">
        <w:rPr>
          <w:rFonts w:ascii="Arial" w:eastAsia="Calibri" w:hAnsi="Arial" w:cs="Arial"/>
          <w:bCs/>
          <w:sz w:val="24"/>
          <w:szCs w:val="24"/>
        </w:rPr>
        <w:lastRenderedPageBreak/>
        <w:t>Table 3</w:t>
      </w:r>
      <w:r w:rsidR="00156DDD" w:rsidRPr="009E1D9E">
        <w:rPr>
          <w:rFonts w:ascii="Arial" w:eastAsia="Calibri" w:hAnsi="Arial" w:cs="Arial"/>
          <w:bCs/>
          <w:sz w:val="24"/>
          <w:szCs w:val="24"/>
        </w:rPr>
        <w:t>. Chi-square tests between LEC variables and class membership.</w:t>
      </w:r>
    </w:p>
    <w:p w14:paraId="4C449549" w14:textId="77777777" w:rsidR="00156DDD" w:rsidRPr="009E1D9E" w:rsidRDefault="00156DDD" w:rsidP="00156DDD">
      <w:pPr>
        <w:autoSpaceDE w:val="0"/>
        <w:autoSpaceDN w:val="0"/>
        <w:adjustRightInd w:val="0"/>
        <w:spacing w:after="0" w:line="400" w:lineRule="atLeast"/>
        <w:rPr>
          <w:rFonts w:ascii="Arial" w:hAnsi="Arial" w:cs="Arial"/>
          <w:sz w:val="24"/>
          <w:szCs w:val="24"/>
        </w:rPr>
      </w:pPr>
    </w:p>
    <w:tbl>
      <w:tblPr>
        <w:tblStyle w:val="TableGridLight1"/>
        <w:tblW w:w="14029" w:type="dxa"/>
        <w:tblLayout w:type="fixed"/>
        <w:tblLook w:val="0000" w:firstRow="0" w:lastRow="0" w:firstColumn="0" w:lastColumn="0" w:noHBand="0" w:noVBand="0"/>
      </w:tblPr>
      <w:tblGrid>
        <w:gridCol w:w="7792"/>
        <w:gridCol w:w="1275"/>
        <w:gridCol w:w="1276"/>
        <w:gridCol w:w="1276"/>
        <w:gridCol w:w="2410"/>
      </w:tblGrid>
      <w:tr w:rsidR="00CA5AD3" w:rsidRPr="009E1D9E" w14:paraId="2519A0B0" w14:textId="77777777" w:rsidTr="00CA5AD3">
        <w:tc>
          <w:tcPr>
            <w:tcW w:w="7792" w:type="dxa"/>
            <w:tcBorders>
              <w:top w:val="single" w:sz="12" w:space="0" w:color="auto"/>
              <w:bottom w:val="single" w:sz="4" w:space="0" w:color="auto"/>
            </w:tcBorders>
          </w:tcPr>
          <w:p w14:paraId="7E20026F" w14:textId="77777777" w:rsidR="00156DDD" w:rsidRPr="009E1D9E" w:rsidRDefault="00156DDD" w:rsidP="00106150">
            <w:pPr>
              <w:autoSpaceDE w:val="0"/>
              <w:autoSpaceDN w:val="0"/>
              <w:adjustRightInd w:val="0"/>
              <w:spacing w:line="320" w:lineRule="atLeast"/>
              <w:ind w:right="60"/>
              <w:rPr>
                <w:rFonts w:ascii="Arial" w:hAnsi="Arial" w:cs="Arial"/>
                <w:sz w:val="24"/>
                <w:szCs w:val="24"/>
              </w:rPr>
            </w:pPr>
            <w:r w:rsidRPr="009E1D9E">
              <w:rPr>
                <w:rFonts w:ascii="Arial" w:hAnsi="Arial" w:cs="Arial"/>
                <w:sz w:val="24"/>
                <w:szCs w:val="24"/>
              </w:rPr>
              <w:t>Life-event</w:t>
            </w:r>
          </w:p>
        </w:tc>
        <w:tc>
          <w:tcPr>
            <w:tcW w:w="1275" w:type="dxa"/>
            <w:tcBorders>
              <w:top w:val="single" w:sz="12" w:space="0" w:color="auto"/>
              <w:bottom w:val="single" w:sz="4" w:space="0" w:color="auto"/>
            </w:tcBorders>
          </w:tcPr>
          <w:p w14:paraId="2D0A5243"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CPTSD</w:t>
            </w:r>
          </w:p>
          <w:p w14:paraId="0002AA96"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n=49</w:t>
            </w:r>
          </w:p>
        </w:tc>
        <w:tc>
          <w:tcPr>
            <w:tcW w:w="1276" w:type="dxa"/>
            <w:tcBorders>
              <w:top w:val="single" w:sz="12" w:space="0" w:color="auto"/>
              <w:bottom w:val="single" w:sz="4" w:space="0" w:color="auto"/>
            </w:tcBorders>
          </w:tcPr>
          <w:p w14:paraId="0156F298"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PTSD</w:t>
            </w:r>
          </w:p>
          <w:p w14:paraId="7FA56A3D"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n=154</w:t>
            </w:r>
          </w:p>
        </w:tc>
        <w:tc>
          <w:tcPr>
            <w:tcW w:w="1276" w:type="dxa"/>
            <w:tcBorders>
              <w:top w:val="single" w:sz="12" w:space="0" w:color="auto"/>
              <w:bottom w:val="single" w:sz="4" w:space="0" w:color="auto"/>
            </w:tcBorders>
          </w:tcPr>
          <w:p w14:paraId="07E9969B"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Baseline</w:t>
            </w:r>
          </w:p>
          <w:p w14:paraId="27436232"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n=318</w:t>
            </w:r>
          </w:p>
        </w:tc>
        <w:tc>
          <w:tcPr>
            <w:tcW w:w="2410" w:type="dxa"/>
            <w:tcBorders>
              <w:top w:val="single" w:sz="12" w:space="0" w:color="auto"/>
              <w:bottom w:val="single" w:sz="4" w:space="0" w:color="auto"/>
            </w:tcBorders>
          </w:tcPr>
          <w:p w14:paraId="5F1AE03E"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sym w:font="Symbol" w:char="F063"/>
            </w:r>
            <w:r w:rsidRPr="009E1D9E">
              <w:rPr>
                <w:rFonts w:ascii="Arial" w:hAnsi="Arial" w:cs="Arial"/>
                <w:sz w:val="24"/>
                <w:szCs w:val="24"/>
                <w:vertAlign w:val="superscript"/>
              </w:rPr>
              <w:t xml:space="preserve">2 </w:t>
            </w:r>
            <w:r w:rsidRPr="009E1D9E">
              <w:rPr>
                <w:rFonts w:ascii="Arial" w:hAnsi="Arial" w:cs="Arial"/>
                <w:sz w:val="24"/>
                <w:szCs w:val="24"/>
              </w:rPr>
              <w:t>(df) p</w:t>
            </w:r>
          </w:p>
        </w:tc>
      </w:tr>
      <w:tr w:rsidR="00CA5AD3" w:rsidRPr="009E1D9E" w14:paraId="23D13FB7" w14:textId="77777777" w:rsidTr="00CA5AD3">
        <w:tc>
          <w:tcPr>
            <w:tcW w:w="7792" w:type="dxa"/>
            <w:tcBorders>
              <w:top w:val="single" w:sz="4" w:space="0" w:color="auto"/>
            </w:tcBorders>
          </w:tcPr>
          <w:p w14:paraId="63364492" w14:textId="77777777" w:rsidR="00156DDD" w:rsidRPr="009E1D9E" w:rsidRDefault="00156DDD" w:rsidP="00106150">
            <w:pPr>
              <w:autoSpaceDE w:val="0"/>
              <w:autoSpaceDN w:val="0"/>
              <w:adjustRightInd w:val="0"/>
              <w:spacing w:line="320" w:lineRule="atLeast"/>
              <w:ind w:left="60" w:right="60"/>
              <w:rPr>
                <w:rFonts w:ascii="Arial" w:hAnsi="Arial" w:cs="Arial"/>
                <w:sz w:val="24"/>
                <w:szCs w:val="24"/>
              </w:rPr>
            </w:pPr>
            <w:r w:rsidRPr="009E1D9E">
              <w:rPr>
                <w:rFonts w:ascii="Arial" w:hAnsi="Arial" w:cs="Arial"/>
                <w:sz w:val="24"/>
                <w:szCs w:val="24"/>
              </w:rPr>
              <w:t>Natural disaster (for example, flood, hurricane, tornado, earthquake)</w:t>
            </w:r>
          </w:p>
        </w:tc>
        <w:tc>
          <w:tcPr>
            <w:tcW w:w="1275" w:type="dxa"/>
            <w:tcBorders>
              <w:top w:val="single" w:sz="4" w:space="0" w:color="auto"/>
            </w:tcBorders>
          </w:tcPr>
          <w:p w14:paraId="33F17D91"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8 (16.3%)</w:t>
            </w:r>
          </w:p>
        </w:tc>
        <w:tc>
          <w:tcPr>
            <w:tcW w:w="1276" w:type="dxa"/>
            <w:tcBorders>
              <w:top w:val="single" w:sz="4" w:space="0" w:color="auto"/>
            </w:tcBorders>
          </w:tcPr>
          <w:p w14:paraId="526AE610"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12 (7.8%)</w:t>
            </w:r>
          </w:p>
        </w:tc>
        <w:tc>
          <w:tcPr>
            <w:tcW w:w="1276" w:type="dxa"/>
            <w:tcBorders>
              <w:top w:val="single" w:sz="4" w:space="0" w:color="auto"/>
            </w:tcBorders>
          </w:tcPr>
          <w:p w14:paraId="6A08CB1A"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34 (10.7%)</w:t>
            </w:r>
          </w:p>
        </w:tc>
        <w:tc>
          <w:tcPr>
            <w:tcW w:w="2410" w:type="dxa"/>
            <w:tcBorders>
              <w:top w:val="single" w:sz="4" w:space="0" w:color="auto"/>
            </w:tcBorders>
          </w:tcPr>
          <w:p w14:paraId="6E6495BC"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 xml:space="preserve">3.01 (2) .22 </w:t>
            </w:r>
          </w:p>
        </w:tc>
      </w:tr>
      <w:tr w:rsidR="00CA5AD3" w:rsidRPr="009E1D9E" w14:paraId="4F37C03B" w14:textId="77777777" w:rsidTr="00CA5AD3">
        <w:tc>
          <w:tcPr>
            <w:tcW w:w="7792" w:type="dxa"/>
          </w:tcPr>
          <w:p w14:paraId="2D86110B" w14:textId="77777777" w:rsidR="00156DDD" w:rsidRPr="009E1D9E" w:rsidRDefault="00156DDD" w:rsidP="00106150">
            <w:pPr>
              <w:autoSpaceDE w:val="0"/>
              <w:autoSpaceDN w:val="0"/>
              <w:adjustRightInd w:val="0"/>
              <w:spacing w:line="320" w:lineRule="atLeast"/>
              <w:ind w:left="60" w:right="60"/>
              <w:rPr>
                <w:rFonts w:ascii="Arial" w:hAnsi="Arial" w:cs="Arial"/>
                <w:sz w:val="24"/>
                <w:szCs w:val="24"/>
              </w:rPr>
            </w:pPr>
            <w:r w:rsidRPr="009E1D9E">
              <w:rPr>
                <w:rFonts w:ascii="Arial" w:hAnsi="Arial" w:cs="Arial"/>
                <w:sz w:val="24"/>
                <w:szCs w:val="24"/>
              </w:rPr>
              <w:t>Fire or explosion</w:t>
            </w:r>
          </w:p>
        </w:tc>
        <w:tc>
          <w:tcPr>
            <w:tcW w:w="1275" w:type="dxa"/>
          </w:tcPr>
          <w:p w14:paraId="0B48AA5E"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9 (18.4%)</w:t>
            </w:r>
          </w:p>
        </w:tc>
        <w:tc>
          <w:tcPr>
            <w:tcW w:w="1276" w:type="dxa"/>
          </w:tcPr>
          <w:p w14:paraId="7DBC83AE"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16 (10.4%)</w:t>
            </w:r>
          </w:p>
        </w:tc>
        <w:tc>
          <w:tcPr>
            <w:tcW w:w="1276" w:type="dxa"/>
          </w:tcPr>
          <w:p w14:paraId="44149881"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50 (15.7%)</w:t>
            </w:r>
          </w:p>
        </w:tc>
        <w:tc>
          <w:tcPr>
            <w:tcW w:w="2410" w:type="dxa"/>
          </w:tcPr>
          <w:p w14:paraId="652B7516"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3.10 (2) .21</w:t>
            </w:r>
          </w:p>
        </w:tc>
      </w:tr>
      <w:tr w:rsidR="00CA5AD3" w:rsidRPr="009E1D9E" w14:paraId="04F2D769" w14:textId="77777777" w:rsidTr="00CA5AD3">
        <w:tc>
          <w:tcPr>
            <w:tcW w:w="7792" w:type="dxa"/>
          </w:tcPr>
          <w:p w14:paraId="28D67F36" w14:textId="77777777" w:rsidR="00156DDD" w:rsidRPr="009E1D9E" w:rsidRDefault="00156DDD" w:rsidP="00106150">
            <w:pPr>
              <w:autoSpaceDE w:val="0"/>
              <w:autoSpaceDN w:val="0"/>
              <w:adjustRightInd w:val="0"/>
              <w:spacing w:line="320" w:lineRule="atLeast"/>
              <w:ind w:left="60" w:right="60"/>
              <w:rPr>
                <w:rFonts w:ascii="Arial" w:hAnsi="Arial" w:cs="Arial"/>
                <w:sz w:val="24"/>
                <w:szCs w:val="24"/>
              </w:rPr>
            </w:pPr>
            <w:r w:rsidRPr="009E1D9E">
              <w:rPr>
                <w:rFonts w:ascii="Arial" w:hAnsi="Arial" w:cs="Arial"/>
                <w:sz w:val="24"/>
                <w:szCs w:val="24"/>
              </w:rPr>
              <w:t>Transportation accident (for example, car accident, boat accident, train wreck, plane crash)</w:t>
            </w:r>
          </w:p>
        </w:tc>
        <w:tc>
          <w:tcPr>
            <w:tcW w:w="1275" w:type="dxa"/>
          </w:tcPr>
          <w:p w14:paraId="47DB040C"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20 (40.8%)</w:t>
            </w:r>
          </w:p>
        </w:tc>
        <w:tc>
          <w:tcPr>
            <w:tcW w:w="1276" w:type="dxa"/>
          </w:tcPr>
          <w:p w14:paraId="38371A80"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87 (56.5%)</w:t>
            </w:r>
          </w:p>
        </w:tc>
        <w:tc>
          <w:tcPr>
            <w:tcW w:w="1276" w:type="dxa"/>
          </w:tcPr>
          <w:p w14:paraId="350067AF"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180 (56.6%)</w:t>
            </w:r>
          </w:p>
        </w:tc>
        <w:tc>
          <w:tcPr>
            <w:tcW w:w="2410" w:type="dxa"/>
          </w:tcPr>
          <w:p w14:paraId="6B966D7A"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4.50 (2) .10</w:t>
            </w:r>
          </w:p>
        </w:tc>
      </w:tr>
      <w:tr w:rsidR="00CA5AD3" w:rsidRPr="009E1D9E" w14:paraId="100D39E3" w14:textId="77777777" w:rsidTr="00CA5AD3">
        <w:tc>
          <w:tcPr>
            <w:tcW w:w="7792" w:type="dxa"/>
          </w:tcPr>
          <w:p w14:paraId="733E94CF" w14:textId="77777777" w:rsidR="00156DDD" w:rsidRPr="009E1D9E" w:rsidRDefault="00156DDD" w:rsidP="00106150">
            <w:pPr>
              <w:autoSpaceDE w:val="0"/>
              <w:autoSpaceDN w:val="0"/>
              <w:adjustRightInd w:val="0"/>
              <w:spacing w:line="320" w:lineRule="atLeast"/>
              <w:ind w:left="60" w:right="60"/>
              <w:rPr>
                <w:rFonts w:ascii="Arial" w:hAnsi="Arial" w:cs="Arial"/>
                <w:sz w:val="24"/>
                <w:szCs w:val="24"/>
              </w:rPr>
            </w:pPr>
            <w:r w:rsidRPr="009E1D9E">
              <w:rPr>
                <w:rFonts w:ascii="Arial" w:hAnsi="Arial" w:cs="Arial"/>
                <w:sz w:val="24"/>
                <w:szCs w:val="24"/>
              </w:rPr>
              <w:t>Serious accident at work, home, or during recreational activity</w:t>
            </w:r>
          </w:p>
        </w:tc>
        <w:tc>
          <w:tcPr>
            <w:tcW w:w="1275" w:type="dxa"/>
          </w:tcPr>
          <w:p w14:paraId="42DFB5D8" w14:textId="77777777" w:rsidR="00156DDD" w:rsidRPr="009E1D9E" w:rsidRDefault="00156DDD" w:rsidP="00106150">
            <w:pPr>
              <w:tabs>
                <w:tab w:val="center" w:pos="511"/>
                <w:tab w:val="right" w:pos="963"/>
              </w:tabs>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8 (16.3%)</w:t>
            </w:r>
          </w:p>
        </w:tc>
        <w:tc>
          <w:tcPr>
            <w:tcW w:w="1276" w:type="dxa"/>
          </w:tcPr>
          <w:p w14:paraId="1B5007FF"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26 (16.9%)</w:t>
            </w:r>
          </w:p>
        </w:tc>
        <w:tc>
          <w:tcPr>
            <w:tcW w:w="1276" w:type="dxa"/>
          </w:tcPr>
          <w:p w14:paraId="684F8405"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32 (10.1%)</w:t>
            </w:r>
          </w:p>
        </w:tc>
        <w:tc>
          <w:tcPr>
            <w:tcW w:w="2410" w:type="dxa"/>
          </w:tcPr>
          <w:p w14:paraId="4D88B178"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5.01 (2) .08</w:t>
            </w:r>
          </w:p>
        </w:tc>
      </w:tr>
      <w:tr w:rsidR="00CA5AD3" w:rsidRPr="009E1D9E" w14:paraId="3D1F856E" w14:textId="77777777" w:rsidTr="00CA5AD3">
        <w:tc>
          <w:tcPr>
            <w:tcW w:w="7792" w:type="dxa"/>
          </w:tcPr>
          <w:p w14:paraId="66728584" w14:textId="77777777" w:rsidR="00156DDD" w:rsidRPr="009E1D9E" w:rsidRDefault="00156DDD" w:rsidP="00106150">
            <w:pPr>
              <w:autoSpaceDE w:val="0"/>
              <w:autoSpaceDN w:val="0"/>
              <w:adjustRightInd w:val="0"/>
              <w:spacing w:line="320" w:lineRule="atLeast"/>
              <w:ind w:left="60" w:right="60"/>
              <w:rPr>
                <w:rFonts w:ascii="Arial" w:hAnsi="Arial" w:cs="Arial"/>
                <w:sz w:val="24"/>
                <w:szCs w:val="24"/>
              </w:rPr>
            </w:pPr>
            <w:r w:rsidRPr="009E1D9E">
              <w:rPr>
                <w:rFonts w:ascii="Arial" w:hAnsi="Arial" w:cs="Arial"/>
                <w:sz w:val="24"/>
                <w:szCs w:val="24"/>
              </w:rPr>
              <w:t>Exposure to toxic substance (for example, dangerous chemicals, radiation)</w:t>
            </w:r>
          </w:p>
        </w:tc>
        <w:tc>
          <w:tcPr>
            <w:tcW w:w="1275" w:type="dxa"/>
          </w:tcPr>
          <w:p w14:paraId="527900CE"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3 (6.1%)</w:t>
            </w:r>
          </w:p>
        </w:tc>
        <w:tc>
          <w:tcPr>
            <w:tcW w:w="1276" w:type="dxa"/>
          </w:tcPr>
          <w:p w14:paraId="0720AF3D"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12 (7.8%)</w:t>
            </w:r>
          </w:p>
        </w:tc>
        <w:tc>
          <w:tcPr>
            <w:tcW w:w="1276" w:type="dxa"/>
          </w:tcPr>
          <w:p w14:paraId="0BEF66D1"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23 (7.2%)</w:t>
            </w:r>
          </w:p>
        </w:tc>
        <w:tc>
          <w:tcPr>
            <w:tcW w:w="2410" w:type="dxa"/>
          </w:tcPr>
          <w:p w14:paraId="7A48277B"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 xml:space="preserve">.20 (2) .92 </w:t>
            </w:r>
          </w:p>
        </w:tc>
      </w:tr>
      <w:tr w:rsidR="00CA5AD3" w:rsidRPr="009E1D9E" w14:paraId="7E24BB76" w14:textId="77777777" w:rsidTr="00CA5AD3">
        <w:tc>
          <w:tcPr>
            <w:tcW w:w="7792" w:type="dxa"/>
          </w:tcPr>
          <w:p w14:paraId="7D4EAE97" w14:textId="77777777" w:rsidR="00156DDD" w:rsidRPr="009E1D9E" w:rsidRDefault="00156DDD" w:rsidP="00106150">
            <w:pPr>
              <w:autoSpaceDE w:val="0"/>
              <w:autoSpaceDN w:val="0"/>
              <w:adjustRightInd w:val="0"/>
              <w:spacing w:line="320" w:lineRule="atLeast"/>
              <w:ind w:left="60" w:right="60"/>
              <w:rPr>
                <w:rFonts w:ascii="Arial" w:hAnsi="Arial" w:cs="Arial"/>
                <w:sz w:val="24"/>
                <w:szCs w:val="24"/>
              </w:rPr>
            </w:pPr>
            <w:r w:rsidRPr="009E1D9E">
              <w:rPr>
                <w:rFonts w:ascii="Arial" w:hAnsi="Arial" w:cs="Arial"/>
                <w:sz w:val="24"/>
                <w:szCs w:val="24"/>
              </w:rPr>
              <w:t>Childhood physical abuse</w:t>
            </w:r>
          </w:p>
        </w:tc>
        <w:tc>
          <w:tcPr>
            <w:tcW w:w="1275" w:type="dxa"/>
          </w:tcPr>
          <w:p w14:paraId="4E8CCAB2"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16 (32.7%)</w:t>
            </w:r>
          </w:p>
        </w:tc>
        <w:tc>
          <w:tcPr>
            <w:tcW w:w="1276" w:type="dxa"/>
          </w:tcPr>
          <w:p w14:paraId="0A48E19D"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16 (10.4%)</w:t>
            </w:r>
          </w:p>
        </w:tc>
        <w:tc>
          <w:tcPr>
            <w:tcW w:w="1276" w:type="dxa"/>
          </w:tcPr>
          <w:p w14:paraId="2903FA6F"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16 (5.0%)</w:t>
            </w:r>
          </w:p>
        </w:tc>
        <w:tc>
          <w:tcPr>
            <w:tcW w:w="2410" w:type="dxa"/>
          </w:tcPr>
          <w:p w14:paraId="18AB4938"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 xml:space="preserve">39.10 (2) .00 </w:t>
            </w:r>
          </w:p>
        </w:tc>
      </w:tr>
      <w:tr w:rsidR="00CA5AD3" w:rsidRPr="009E1D9E" w14:paraId="38B2CF4C" w14:textId="77777777" w:rsidTr="00CA5AD3">
        <w:tc>
          <w:tcPr>
            <w:tcW w:w="7792" w:type="dxa"/>
          </w:tcPr>
          <w:p w14:paraId="6238A111" w14:textId="77777777" w:rsidR="00156DDD" w:rsidRPr="009E1D9E" w:rsidRDefault="00156DDD" w:rsidP="00106150">
            <w:pPr>
              <w:autoSpaceDE w:val="0"/>
              <w:autoSpaceDN w:val="0"/>
              <w:adjustRightInd w:val="0"/>
              <w:spacing w:line="320" w:lineRule="atLeast"/>
              <w:ind w:left="60" w:right="60"/>
              <w:rPr>
                <w:rFonts w:ascii="Arial" w:hAnsi="Arial" w:cs="Arial"/>
                <w:sz w:val="24"/>
                <w:szCs w:val="24"/>
              </w:rPr>
            </w:pPr>
            <w:r w:rsidRPr="009E1D9E">
              <w:rPr>
                <w:rFonts w:ascii="Arial" w:hAnsi="Arial" w:cs="Arial"/>
                <w:sz w:val="24"/>
                <w:szCs w:val="24"/>
              </w:rPr>
              <w:t>Physical assault (for example, being attacked, hit, slapped, kicked, beaten up)</w:t>
            </w:r>
          </w:p>
        </w:tc>
        <w:tc>
          <w:tcPr>
            <w:tcW w:w="1275" w:type="dxa"/>
          </w:tcPr>
          <w:p w14:paraId="3187E51D"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26 (53.1%)</w:t>
            </w:r>
          </w:p>
        </w:tc>
        <w:tc>
          <w:tcPr>
            <w:tcW w:w="1276" w:type="dxa"/>
          </w:tcPr>
          <w:p w14:paraId="456D5E81"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55 (35.7%)</w:t>
            </w:r>
          </w:p>
        </w:tc>
        <w:tc>
          <w:tcPr>
            <w:tcW w:w="1276" w:type="dxa"/>
          </w:tcPr>
          <w:p w14:paraId="0FCF53F5"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83 (26.1%)</w:t>
            </w:r>
          </w:p>
        </w:tc>
        <w:tc>
          <w:tcPr>
            <w:tcW w:w="2410" w:type="dxa"/>
          </w:tcPr>
          <w:p w14:paraId="1FD4905C"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 xml:space="preserve">16.12 (2) .00 </w:t>
            </w:r>
          </w:p>
        </w:tc>
      </w:tr>
      <w:tr w:rsidR="00CA5AD3" w:rsidRPr="009E1D9E" w14:paraId="1D4C67F3" w14:textId="77777777" w:rsidTr="00CA5AD3">
        <w:tc>
          <w:tcPr>
            <w:tcW w:w="7792" w:type="dxa"/>
          </w:tcPr>
          <w:p w14:paraId="3EC76117" w14:textId="77777777" w:rsidR="00156DDD" w:rsidRPr="009E1D9E" w:rsidRDefault="00156DDD" w:rsidP="00106150">
            <w:pPr>
              <w:autoSpaceDE w:val="0"/>
              <w:autoSpaceDN w:val="0"/>
              <w:adjustRightInd w:val="0"/>
              <w:spacing w:line="320" w:lineRule="atLeast"/>
              <w:ind w:left="60" w:right="60"/>
              <w:rPr>
                <w:rFonts w:ascii="Arial" w:hAnsi="Arial" w:cs="Arial"/>
                <w:sz w:val="24"/>
                <w:szCs w:val="24"/>
              </w:rPr>
            </w:pPr>
            <w:r w:rsidRPr="009E1D9E">
              <w:rPr>
                <w:rFonts w:ascii="Arial" w:hAnsi="Arial" w:cs="Arial"/>
                <w:sz w:val="24"/>
                <w:szCs w:val="24"/>
              </w:rPr>
              <w:t>Assault with a weapon (for example, being shot, stabbed, threatened with a knife, gun, bomb)</w:t>
            </w:r>
          </w:p>
        </w:tc>
        <w:tc>
          <w:tcPr>
            <w:tcW w:w="1275" w:type="dxa"/>
          </w:tcPr>
          <w:p w14:paraId="01E477F7"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6 (12.2%)</w:t>
            </w:r>
          </w:p>
        </w:tc>
        <w:tc>
          <w:tcPr>
            <w:tcW w:w="1276" w:type="dxa"/>
          </w:tcPr>
          <w:p w14:paraId="34DAF295"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13 (8.4%)</w:t>
            </w:r>
          </w:p>
        </w:tc>
        <w:tc>
          <w:tcPr>
            <w:tcW w:w="1276" w:type="dxa"/>
          </w:tcPr>
          <w:p w14:paraId="4E990C48"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36 (11.3%)</w:t>
            </w:r>
          </w:p>
        </w:tc>
        <w:tc>
          <w:tcPr>
            <w:tcW w:w="2410" w:type="dxa"/>
          </w:tcPr>
          <w:p w14:paraId="607901F1"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 xml:space="preserve">1.10 (2) .58 </w:t>
            </w:r>
          </w:p>
        </w:tc>
      </w:tr>
      <w:tr w:rsidR="00CA5AD3" w:rsidRPr="009E1D9E" w14:paraId="10F46E54" w14:textId="77777777" w:rsidTr="00CA5AD3">
        <w:tc>
          <w:tcPr>
            <w:tcW w:w="7792" w:type="dxa"/>
          </w:tcPr>
          <w:p w14:paraId="173C9040" w14:textId="77777777" w:rsidR="00156DDD" w:rsidRPr="009E1D9E" w:rsidRDefault="00156DDD" w:rsidP="00106150">
            <w:pPr>
              <w:autoSpaceDE w:val="0"/>
              <w:autoSpaceDN w:val="0"/>
              <w:adjustRightInd w:val="0"/>
              <w:spacing w:line="320" w:lineRule="atLeast"/>
              <w:ind w:left="60" w:right="60"/>
              <w:rPr>
                <w:rFonts w:ascii="Arial" w:hAnsi="Arial" w:cs="Arial"/>
                <w:sz w:val="24"/>
                <w:szCs w:val="24"/>
              </w:rPr>
            </w:pPr>
            <w:r w:rsidRPr="009E1D9E">
              <w:rPr>
                <w:rFonts w:ascii="Arial" w:hAnsi="Arial" w:cs="Arial"/>
                <w:sz w:val="24"/>
                <w:szCs w:val="24"/>
              </w:rPr>
              <w:t>Childhood sexual abuse or molestation</w:t>
            </w:r>
          </w:p>
        </w:tc>
        <w:tc>
          <w:tcPr>
            <w:tcW w:w="1275" w:type="dxa"/>
          </w:tcPr>
          <w:p w14:paraId="097698DB"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17 (34.7%)</w:t>
            </w:r>
          </w:p>
        </w:tc>
        <w:tc>
          <w:tcPr>
            <w:tcW w:w="1276" w:type="dxa"/>
          </w:tcPr>
          <w:p w14:paraId="25D2C67A"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44 (28.6%)</w:t>
            </w:r>
          </w:p>
        </w:tc>
        <w:tc>
          <w:tcPr>
            <w:tcW w:w="1276" w:type="dxa"/>
          </w:tcPr>
          <w:p w14:paraId="221503A6"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47 (14.8%)</w:t>
            </w:r>
          </w:p>
        </w:tc>
        <w:tc>
          <w:tcPr>
            <w:tcW w:w="2410" w:type="dxa"/>
          </w:tcPr>
          <w:p w14:paraId="1B39BC2B"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 xml:space="preserve">18.42 (2) .00 </w:t>
            </w:r>
          </w:p>
        </w:tc>
      </w:tr>
      <w:tr w:rsidR="00CA5AD3" w:rsidRPr="009E1D9E" w14:paraId="53939DF9" w14:textId="77777777" w:rsidTr="00CA5AD3">
        <w:tc>
          <w:tcPr>
            <w:tcW w:w="7792" w:type="dxa"/>
          </w:tcPr>
          <w:p w14:paraId="0C39428B" w14:textId="77777777" w:rsidR="00156DDD" w:rsidRPr="009E1D9E" w:rsidRDefault="00156DDD" w:rsidP="00106150">
            <w:pPr>
              <w:autoSpaceDE w:val="0"/>
              <w:autoSpaceDN w:val="0"/>
              <w:adjustRightInd w:val="0"/>
              <w:spacing w:line="320" w:lineRule="atLeast"/>
              <w:ind w:left="60" w:right="60"/>
              <w:rPr>
                <w:rFonts w:ascii="Arial" w:hAnsi="Arial" w:cs="Arial"/>
                <w:sz w:val="24"/>
                <w:szCs w:val="24"/>
              </w:rPr>
            </w:pPr>
            <w:r w:rsidRPr="009E1D9E">
              <w:rPr>
                <w:rFonts w:ascii="Arial" w:hAnsi="Arial" w:cs="Arial"/>
                <w:sz w:val="24"/>
                <w:szCs w:val="24"/>
              </w:rPr>
              <w:t>Sexual assault (rape, attempted rape, made to perform any type of sexual act through force or threat of harm)</w:t>
            </w:r>
          </w:p>
        </w:tc>
        <w:tc>
          <w:tcPr>
            <w:tcW w:w="1275" w:type="dxa"/>
          </w:tcPr>
          <w:p w14:paraId="0BBA808D"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15 (30.6%)</w:t>
            </w:r>
          </w:p>
        </w:tc>
        <w:tc>
          <w:tcPr>
            <w:tcW w:w="1276" w:type="dxa"/>
          </w:tcPr>
          <w:p w14:paraId="0CE26197"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23 (14.9%)</w:t>
            </w:r>
          </w:p>
        </w:tc>
        <w:tc>
          <w:tcPr>
            <w:tcW w:w="1276" w:type="dxa"/>
          </w:tcPr>
          <w:p w14:paraId="63C69274"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20 (6.3%)</w:t>
            </w:r>
          </w:p>
        </w:tc>
        <w:tc>
          <w:tcPr>
            <w:tcW w:w="2410" w:type="dxa"/>
          </w:tcPr>
          <w:p w14:paraId="53ED599C"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 xml:space="preserve">28.60 (2) .00 </w:t>
            </w:r>
          </w:p>
        </w:tc>
      </w:tr>
      <w:tr w:rsidR="00CA5AD3" w:rsidRPr="009E1D9E" w14:paraId="778A59D8" w14:textId="77777777" w:rsidTr="00CA5AD3">
        <w:tc>
          <w:tcPr>
            <w:tcW w:w="7792" w:type="dxa"/>
          </w:tcPr>
          <w:p w14:paraId="61202D4D" w14:textId="77777777" w:rsidR="00156DDD" w:rsidRPr="009E1D9E" w:rsidRDefault="00156DDD" w:rsidP="00106150">
            <w:pPr>
              <w:autoSpaceDE w:val="0"/>
              <w:autoSpaceDN w:val="0"/>
              <w:adjustRightInd w:val="0"/>
              <w:spacing w:line="320" w:lineRule="atLeast"/>
              <w:ind w:left="60" w:right="60"/>
              <w:rPr>
                <w:rFonts w:ascii="Arial" w:hAnsi="Arial" w:cs="Arial"/>
                <w:sz w:val="24"/>
                <w:szCs w:val="24"/>
              </w:rPr>
            </w:pPr>
            <w:r w:rsidRPr="009E1D9E">
              <w:rPr>
                <w:rFonts w:ascii="Arial" w:hAnsi="Arial" w:cs="Arial"/>
                <w:sz w:val="24"/>
                <w:szCs w:val="24"/>
              </w:rPr>
              <w:t>Other unwanted or uncomfortable sexual experience</w:t>
            </w:r>
          </w:p>
        </w:tc>
        <w:tc>
          <w:tcPr>
            <w:tcW w:w="1275" w:type="dxa"/>
          </w:tcPr>
          <w:p w14:paraId="2A76C6A1"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31 (63.3%)</w:t>
            </w:r>
          </w:p>
        </w:tc>
        <w:tc>
          <w:tcPr>
            <w:tcW w:w="1276" w:type="dxa"/>
          </w:tcPr>
          <w:p w14:paraId="29AED84B"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72 (46.8%)</w:t>
            </w:r>
          </w:p>
        </w:tc>
        <w:tc>
          <w:tcPr>
            <w:tcW w:w="1276" w:type="dxa"/>
          </w:tcPr>
          <w:p w14:paraId="33AC8BDD"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103 (32.4%)</w:t>
            </w:r>
          </w:p>
        </w:tc>
        <w:tc>
          <w:tcPr>
            <w:tcW w:w="2410" w:type="dxa"/>
          </w:tcPr>
          <w:p w14:paraId="7D7E7639"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 xml:space="preserve">21.70 (2) .00 </w:t>
            </w:r>
          </w:p>
        </w:tc>
      </w:tr>
      <w:tr w:rsidR="00CA5AD3" w:rsidRPr="009E1D9E" w14:paraId="6EC6F501" w14:textId="77777777" w:rsidTr="00CA5AD3">
        <w:tc>
          <w:tcPr>
            <w:tcW w:w="7792" w:type="dxa"/>
          </w:tcPr>
          <w:p w14:paraId="11A5BE77" w14:textId="77777777" w:rsidR="00156DDD" w:rsidRPr="009E1D9E" w:rsidRDefault="00156DDD" w:rsidP="00106150">
            <w:pPr>
              <w:autoSpaceDE w:val="0"/>
              <w:autoSpaceDN w:val="0"/>
              <w:adjustRightInd w:val="0"/>
              <w:spacing w:line="320" w:lineRule="atLeast"/>
              <w:ind w:left="60" w:right="60"/>
              <w:rPr>
                <w:rFonts w:ascii="Arial" w:hAnsi="Arial" w:cs="Arial"/>
                <w:sz w:val="24"/>
                <w:szCs w:val="24"/>
              </w:rPr>
            </w:pPr>
            <w:r w:rsidRPr="009E1D9E">
              <w:rPr>
                <w:rFonts w:ascii="Arial" w:hAnsi="Arial" w:cs="Arial"/>
                <w:sz w:val="24"/>
                <w:szCs w:val="24"/>
              </w:rPr>
              <w:t>Combat or exposure to a war-zone (in the military or as a civilian)</w:t>
            </w:r>
          </w:p>
        </w:tc>
        <w:tc>
          <w:tcPr>
            <w:tcW w:w="1275" w:type="dxa"/>
          </w:tcPr>
          <w:p w14:paraId="1E888C9C"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22 (44.9%)</w:t>
            </w:r>
          </w:p>
        </w:tc>
        <w:tc>
          <w:tcPr>
            <w:tcW w:w="1276" w:type="dxa"/>
          </w:tcPr>
          <w:p w14:paraId="77870B0B"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50 (32.5%)</w:t>
            </w:r>
          </w:p>
        </w:tc>
        <w:tc>
          <w:tcPr>
            <w:tcW w:w="1276" w:type="dxa"/>
          </w:tcPr>
          <w:p w14:paraId="12BFA50D"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143 (45.0%)</w:t>
            </w:r>
          </w:p>
        </w:tc>
        <w:tc>
          <w:tcPr>
            <w:tcW w:w="2410" w:type="dxa"/>
          </w:tcPr>
          <w:p w14:paraId="5D2BA788"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 xml:space="preserve">7.00 (2) .03 </w:t>
            </w:r>
          </w:p>
        </w:tc>
      </w:tr>
      <w:tr w:rsidR="00CA5AD3" w:rsidRPr="009E1D9E" w14:paraId="28A66A32" w14:textId="77777777" w:rsidTr="00CA5AD3">
        <w:tc>
          <w:tcPr>
            <w:tcW w:w="7792" w:type="dxa"/>
          </w:tcPr>
          <w:p w14:paraId="61B21714" w14:textId="77777777" w:rsidR="00156DDD" w:rsidRPr="009E1D9E" w:rsidRDefault="00156DDD" w:rsidP="00106150">
            <w:pPr>
              <w:autoSpaceDE w:val="0"/>
              <w:autoSpaceDN w:val="0"/>
              <w:adjustRightInd w:val="0"/>
              <w:spacing w:line="320" w:lineRule="atLeast"/>
              <w:ind w:left="60" w:right="60"/>
              <w:rPr>
                <w:rFonts w:ascii="Arial" w:hAnsi="Arial" w:cs="Arial"/>
                <w:sz w:val="24"/>
                <w:szCs w:val="24"/>
              </w:rPr>
            </w:pPr>
            <w:r w:rsidRPr="009E1D9E">
              <w:rPr>
                <w:rFonts w:ascii="Arial" w:hAnsi="Arial" w:cs="Arial"/>
                <w:sz w:val="24"/>
                <w:szCs w:val="24"/>
              </w:rPr>
              <w:t>Captivity (for example, being kidnapped, abducted, held hostage, prisoner of war)</w:t>
            </w:r>
          </w:p>
        </w:tc>
        <w:tc>
          <w:tcPr>
            <w:tcW w:w="1275" w:type="dxa"/>
          </w:tcPr>
          <w:p w14:paraId="082C53E1"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0 (0.0%)</w:t>
            </w:r>
          </w:p>
        </w:tc>
        <w:tc>
          <w:tcPr>
            <w:tcW w:w="1276" w:type="dxa"/>
          </w:tcPr>
          <w:p w14:paraId="279A8AA6"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 (.6%)</w:t>
            </w:r>
          </w:p>
        </w:tc>
        <w:tc>
          <w:tcPr>
            <w:tcW w:w="1276" w:type="dxa"/>
          </w:tcPr>
          <w:p w14:paraId="6EC5C6B6"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 (.3%)</w:t>
            </w:r>
          </w:p>
        </w:tc>
        <w:tc>
          <w:tcPr>
            <w:tcW w:w="2410" w:type="dxa"/>
          </w:tcPr>
          <w:p w14:paraId="34652E1A"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 xml:space="preserve">.51 (2) .77 </w:t>
            </w:r>
          </w:p>
        </w:tc>
      </w:tr>
      <w:tr w:rsidR="00CA5AD3" w:rsidRPr="009E1D9E" w14:paraId="564DB584" w14:textId="77777777" w:rsidTr="00CA5AD3">
        <w:tc>
          <w:tcPr>
            <w:tcW w:w="7792" w:type="dxa"/>
          </w:tcPr>
          <w:p w14:paraId="1344D656" w14:textId="77777777" w:rsidR="00156DDD" w:rsidRPr="009E1D9E" w:rsidRDefault="00156DDD" w:rsidP="00106150">
            <w:pPr>
              <w:autoSpaceDE w:val="0"/>
              <w:autoSpaceDN w:val="0"/>
              <w:adjustRightInd w:val="0"/>
              <w:spacing w:line="320" w:lineRule="atLeast"/>
              <w:ind w:left="60" w:right="60"/>
              <w:rPr>
                <w:rFonts w:ascii="Arial" w:hAnsi="Arial" w:cs="Arial"/>
                <w:sz w:val="24"/>
                <w:szCs w:val="24"/>
              </w:rPr>
            </w:pPr>
            <w:r w:rsidRPr="009E1D9E">
              <w:rPr>
                <w:rFonts w:ascii="Arial" w:hAnsi="Arial" w:cs="Arial"/>
                <w:sz w:val="24"/>
                <w:szCs w:val="24"/>
              </w:rPr>
              <w:t>Life-threatening illness or injury</w:t>
            </w:r>
          </w:p>
        </w:tc>
        <w:tc>
          <w:tcPr>
            <w:tcW w:w="1275" w:type="dxa"/>
          </w:tcPr>
          <w:p w14:paraId="52DF505F"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8 (16.3%)</w:t>
            </w:r>
          </w:p>
        </w:tc>
        <w:tc>
          <w:tcPr>
            <w:tcW w:w="1276" w:type="dxa"/>
          </w:tcPr>
          <w:p w14:paraId="5C1B3004"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15 (9.7%)</w:t>
            </w:r>
          </w:p>
        </w:tc>
        <w:tc>
          <w:tcPr>
            <w:tcW w:w="1276" w:type="dxa"/>
          </w:tcPr>
          <w:p w14:paraId="1A0DEBB0"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32 (10.1%)</w:t>
            </w:r>
          </w:p>
        </w:tc>
        <w:tc>
          <w:tcPr>
            <w:tcW w:w="2410" w:type="dxa"/>
          </w:tcPr>
          <w:p w14:paraId="2317776F" w14:textId="77777777" w:rsidR="00156DDD" w:rsidRPr="009E1D9E" w:rsidRDefault="00156DDD" w:rsidP="00106150">
            <w:pPr>
              <w:autoSpaceDE w:val="0"/>
              <w:autoSpaceDN w:val="0"/>
              <w:adjustRightInd w:val="0"/>
              <w:spacing w:line="320" w:lineRule="atLeast"/>
              <w:ind w:left="60" w:right="60"/>
              <w:rPr>
                <w:rFonts w:ascii="Arial" w:hAnsi="Arial" w:cs="Arial"/>
                <w:sz w:val="24"/>
                <w:szCs w:val="24"/>
              </w:rPr>
            </w:pPr>
            <w:r w:rsidRPr="009E1D9E">
              <w:rPr>
                <w:rFonts w:ascii="Arial" w:hAnsi="Arial" w:cs="Arial"/>
                <w:sz w:val="24"/>
                <w:szCs w:val="24"/>
              </w:rPr>
              <w:t xml:space="preserve">1.91 (2) .38  </w:t>
            </w:r>
          </w:p>
        </w:tc>
      </w:tr>
      <w:tr w:rsidR="00CA5AD3" w:rsidRPr="009E1D9E" w14:paraId="3CD8420B" w14:textId="77777777" w:rsidTr="00CA5AD3">
        <w:tc>
          <w:tcPr>
            <w:tcW w:w="7792" w:type="dxa"/>
          </w:tcPr>
          <w:p w14:paraId="7E395AC5" w14:textId="77777777" w:rsidR="00156DDD" w:rsidRPr="009E1D9E" w:rsidRDefault="00156DDD" w:rsidP="00106150">
            <w:pPr>
              <w:autoSpaceDE w:val="0"/>
              <w:autoSpaceDN w:val="0"/>
              <w:adjustRightInd w:val="0"/>
              <w:spacing w:line="320" w:lineRule="atLeast"/>
              <w:ind w:left="60" w:right="60"/>
              <w:rPr>
                <w:rFonts w:ascii="Arial" w:hAnsi="Arial" w:cs="Arial"/>
                <w:sz w:val="24"/>
                <w:szCs w:val="24"/>
              </w:rPr>
            </w:pPr>
            <w:r w:rsidRPr="009E1D9E">
              <w:rPr>
                <w:rFonts w:ascii="Arial" w:hAnsi="Arial" w:cs="Arial"/>
                <w:sz w:val="24"/>
                <w:szCs w:val="24"/>
              </w:rPr>
              <w:t>Severe human suffering</w:t>
            </w:r>
          </w:p>
        </w:tc>
        <w:tc>
          <w:tcPr>
            <w:tcW w:w="1275" w:type="dxa"/>
          </w:tcPr>
          <w:p w14:paraId="795C4541"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13 (26.5%)</w:t>
            </w:r>
          </w:p>
        </w:tc>
        <w:tc>
          <w:tcPr>
            <w:tcW w:w="1276" w:type="dxa"/>
          </w:tcPr>
          <w:p w14:paraId="63D9BB08"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16 (10.4%)</w:t>
            </w:r>
          </w:p>
        </w:tc>
        <w:tc>
          <w:tcPr>
            <w:tcW w:w="1276" w:type="dxa"/>
          </w:tcPr>
          <w:p w14:paraId="32E91BD1"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10 (3.2%)</w:t>
            </w:r>
          </w:p>
        </w:tc>
        <w:tc>
          <w:tcPr>
            <w:tcW w:w="2410" w:type="dxa"/>
          </w:tcPr>
          <w:p w14:paraId="33DCE8B5"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 xml:space="preserve">36.20 (2) .00 </w:t>
            </w:r>
          </w:p>
        </w:tc>
      </w:tr>
      <w:tr w:rsidR="00CA5AD3" w:rsidRPr="009E1D9E" w14:paraId="68B17104" w14:textId="77777777" w:rsidTr="00CA5AD3">
        <w:tc>
          <w:tcPr>
            <w:tcW w:w="7792" w:type="dxa"/>
          </w:tcPr>
          <w:p w14:paraId="4F6A751D" w14:textId="77777777" w:rsidR="00156DDD" w:rsidRPr="009E1D9E" w:rsidRDefault="00156DDD" w:rsidP="00106150">
            <w:pPr>
              <w:autoSpaceDE w:val="0"/>
              <w:autoSpaceDN w:val="0"/>
              <w:adjustRightInd w:val="0"/>
              <w:spacing w:line="320" w:lineRule="atLeast"/>
              <w:ind w:left="60" w:right="60"/>
              <w:rPr>
                <w:rFonts w:ascii="Arial" w:hAnsi="Arial" w:cs="Arial"/>
                <w:sz w:val="24"/>
                <w:szCs w:val="24"/>
              </w:rPr>
            </w:pPr>
            <w:r w:rsidRPr="009E1D9E">
              <w:rPr>
                <w:rFonts w:ascii="Arial" w:hAnsi="Arial" w:cs="Arial"/>
                <w:sz w:val="24"/>
                <w:szCs w:val="24"/>
              </w:rPr>
              <w:t>Sudden violent death (for example, homicide, suicide)</w:t>
            </w:r>
          </w:p>
        </w:tc>
        <w:tc>
          <w:tcPr>
            <w:tcW w:w="1275" w:type="dxa"/>
          </w:tcPr>
          <w:p w14:paraId="421BC090"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4 (8.2%)</w:t>
            </w:r>
          </w:p>
        </w:tc>
        <w:tc>
          <w:tcPr>
            <w:tcW w:w="1276" w:type="dxa"/>
          </w:tcPr>
          <w:p w14:paraId="3DB724C9"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11 (7.1%)</w:t>
            </w:r>
          </w:p>
        </w:tc>
        <w:tc>
          <w:tcPr>
            <w:tcW w:w="1276" w:type="dxa"/>
          </w:tcPr>
          <w:p w14:paraId="360B1002"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13 (4.1%)</w:t>
            </w:r>
          </w:p>
        </w:tc>
        <w:tc>
          <w:tcPr>
            <w:tcW w:w="2410" w:type="dxa"/>
          </w:tcPr>
          <w:p w14:paraId="6171E029"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 xml:space="preserve">2.73 (2) .25 </w:t>
            </w:r>
          </w:p>
        </w:tc>
      </w:tr>
      <w:tr w:rsidR="00CA5AD3" w:rsidRPr="009E1D9E" w14:paraId="4B26C842" w14:textId="77777777" w:rsidTr="00CA5AD3">
        <w:tc>
          <w:tcPr>
            <w:tcW w:w="7792" w:type="dxa"/>
          </w:tcPr>
          <w:p w14:paraId="7A498469" w14:textId="77777777" w:rsidR="00156DDD" w:rsidRPr="009E1D9E" w:rsidRDefault="00156DDD" w:rsidP="00106150">
            <w:pPr>
              <w:autoSpaceDE w:val="0"/>
              <w:autoSpaceDN w:val="0"/>
              <w:adjustRightInd w:val="0"/>
              <w:spacing w:line="320" w:lineRule="atLeast"/>
              <w:ind w:left="60" w:right="60"/>
              <w:rPr>
                <w:rFonts w:ascii="Arial" w:hAnsi="Arial" w:cs="Arial"/>
                <w:sz w:val="24"/>
                <w:szCs w:val="24"/>
              </w:rPr>
            </w:pPr>
            <w:r w:rsidRPr="009E1D9E">
              <w:rPr>
                <w:rFonts w:ascii="Arial" w:hAnsi="Arial" w:cs="Arial"/>
                <w:sz w:val="24"/>
                <w:szCs w:val="24"/>
              </w:rPr>
              <w:t>Sudden accidental death</w:t>
            </w:r>
          </w:p>
        </w:tc>
        <w:tc>
          <w:tcPr>
            <w:tcW w:w="1275" w:type="dxa"/>
          </w:tcPr>
          <w:p w14:paraId="7169A7CD"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11 (22.4%)</w:t>
            </w:r>
          </w:p>
        </w:tc>
        <w:tc>
          <w:tcPr>
            <w:tcW w:w="1276" w:type="dxa"/>
          </w:tcPr>
          <w:p w14:paraId="7D5766D2"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25 (16.2%)</w:t>
            </w:r>
          </w:p>
        </w:tc>
        <w:tc>
          <w:tcPr>
            <w:tcW w:w="1276" w:type="dxa"/>
          </w:tcPr>
          <w:p w14:paraId="1D10702A"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43 (13.5%)</w:t>
            </w:r>
          </w:p>
        </w:tc>
        <w:tc>
          <w:tcPr>
            <w:tcW w:w="2410" w:type="dxa"/>
          </w:tcPr>
          <w:p w14:paraId="1AABC810"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 xml:space="preserve">2.82 (2) .24 </w:t>
            </w:r>
          </w:p>
        </w:tc>
      </w:tr>
      <w:tr w:rsidR="00CA5AD3" w:rsidRPr="009E1D9E" w14:paraId="19A3D6D7" w14:textId="77777777" w:rsidTr="00CA5AD3">
        <w:tc>
          <w:tcPr>
            <w:tcW w:w="7792" w:type="dxa"/>
          </w:tcPr>
          <w:p w14:paraId="29DD5987" w14:textId="77777777" w:rsidR="00156DDD" w:rsidRPr="009E1D9E" w:rsidRDefault="00156DDD" w:rsidP="00106150">
            <w:pPr>
              <w:autoSpaceDE w:val="0"/>
              <w:autoSpaceDN w:val="0"/>
              <w:adjustRightInd w:val="0"/>
              <w:spacing w:line="320" w:lineRule="atLeast"/>
              <w:ind w:left="60" w:right="60"/>
              <w:rPr>
                <w:rFonts w:ascii="Arial" w:hAnsi="Arial" w:cs="Arial"/>
                <w:sz w:val="24"/>
                <w:szCs w:val="24"/>
              </w:rPr>
            </w:pPr>
            <w:r w:rsidRPr="009E1D9E">
              <w:rPr>
                <w:rFonts w:ascii="Arial" w:hAnsi="Arial" w:cs="Arial"/>
                <w:sz w:val="24"/>
                <w:szCs w:val="24"/>
              </w:rPr>
              <w:t>Serious injury, harm, or death you caused to someone else</w:t>
            </w:r>
          </w:p>
        </w:tc>
        <w:tc>
          <w:tcPr>
            <w:tcW w:w="1275" w:type="dxa"/>
          </w:tcPr>
          <w:p w14:paraId="2BC069CF"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2 (4.1%)</w:t>
            </w:r>
          </w:p>
        </w:tc>
        <w:tc>
          <w:tcPr>
            <w:tcW w:w="1276" w:type="dxa"/>
          </w:tcPr>
          <w:p w14:paraId="0FA7F4E8"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8 (5.2%)</w:t>
            </w:r>
          </w:p>
        </w:tc>
        <w:tc>
          <w:tcPr>
            <w:tcW w:w="1276" w:type="dxa"/>
          </w:tcPr>
          <w:p w14:paraId="396B1F6E"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8 (2.5%)</w:t>
            </w:r>
          </w:p>
        </w:tc>
        <w:tc>
          <w:tcPr>
            <w:tcW w:w="2410" w:type="dxa"/>
          </w:tcPr>
          <w:p w14:paraId="5DA18CCF"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 xml:space="preserve">2.30 (2) .31 </w:t>
            </w:r>
          </w:p>
        </w:tc>
      </w:tr>
      <w:tr w:rsidR="00CA5AD3" w:rsidRPr="009E1D9E" w14:paraId="380CE587" w14:textId="77777777" w:rsidTr="00CA5AD3">
        <w:tc>
          <w:tcPr>
            <w:tcW w:w="7792" w:type="dxa"/>
            <w:tcBorders>
              <w:bottom w:val="single" w:sz="12" w:space="0" w:color="auto"/>
            </w:tcBorders>
          </w:tcPr>
          <w:p w14:paraId="3D75B053" w14:textId="77777777" w:rsidR="00156DDD" w:rsidRPr="009E1D9E" w:rsidRDefault="00156DDD" w:rsidP="00106150">
            <w:pPr>
              <w:autoSpaceDE w:val="0"/>
              <w:autoSpaceDN w:val="0"/>
              <w:adjustRightInd w:val="0"/>
              <w:spacing w:line="320" w:lineRule="atLeast"/>
              <w:ind w:left="60" w:right="60"/>
              <w:rPr>
                <w:rFonts w:ascii="Arial" w:hAnsi="Arial" w:cs="Arial"/>
                <w:sz w:val="24"/>
                <w:szCs w:val="24"/>
              </w:rPr>
            </w:pPr>
            <w:r w:rsidRPr="009E1D9E">
              <w:rPr>
                <w:rFonts w:ascii="Arial" w:hAnsi="Arial" w:cs="Arial"/>
                <w:sz w:val="24"/>
                <w:szCs w:val="24"/>
              </w:rPr>
              <w:t>Any other very stressful event or experience</w:t>
            </w:r>
          </w:p>
        </w:tc>
        <w:tc>
          <w:tcPr>
            <w:tcW w:w="1275" w:type="dxa"/>
            <w:tcBorders>
              <w:bottom w:val="single" w:sz="12" w:space="0" w:color="auto"/>
            </w:tcBorders>
          </w:tcPr>
          <w:p w14:paraId="66FA3F29"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26 (53.1%)</w:t>
            </w:r>
          </w:p>
        </w:tc>
        <w:tc>
          <w:tcPr>
            <w:tcW w:w="1276" w:type="dxa"/>
            <w:tcBorders>
              <w:bottom w:val="single" w:sz="12" w:space="0" w:color="auto"/>
            </w:tcBorders>
          </w:tcPr>
          <w:p w14:paraId="2955EE06"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78 (50.6%)</w:t>
            </w:r>
          </w:p>
        </w:tc>
        <w:tc>
          <w:tcPr>
            <w:tcW w:w="1276" w:type="dxa"/>
            <w:tcBorders>
              <w:bottom w:val="single" w:sz="12" w:space="0" w:color="auto"/>
            </w:tcBorders>
          </w:tcPr>
          <w:p w14:paraId="609925C2"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101 (31.8%)</w:t>
            </w:r>
          </w:p>
        </w:tc>
        <w:tc>
          <w:tcPr>
            <w:tcW w:w="2410" w:type="dxa"/>
            <w:tcBorders>
              <w:bottom w:val="single" w:sz="12" w:space="0" w:color="auto"/>
            </w:tcBorders>
          </w:tcPr>
          <w:p w14:paraId="6E4A6B8D" w14:textId="77777777" w:rsidR="00156DDD" w:rsidRPr="009E1D9E" w:rsidRDefault="00156DDD" w:rsidP="00106150">
            <w:pPr>
              <w:autoSpaceDE w:val="0"/>
              <w:autoSpaceDN w:val="0"/>
              <w:adjustRightInd w:val="0"/>
              <w:spacing w:line="320" w:lineRule="atLeast"/>
              <w:ind w:left="60" w:right="60"/>
              <w:jc w:val="center"/>
              <w:rPr>
                <w:rFonts w:ascii="Arial" w:hAnsi="Arial" w:cs="Arial"/>
                <w:sz w:val="24"/>
                <w:szCs w:val="24"/>
              </w:rPr>
            </w:pPr>
            <w:r w:rsidRPr="009E1D9E">
              <w:rPr>
                <w:rFonts w:ascii="Arial" w:hAnsi="Arial" w:cs="Arial"/>
                <w:sz w:val="24"/>
                <w:szCs w:val="24"/>
              </w:rPr>
              <w:t xml:space="preserve">19.80 (2) .00 </w:t>
            </w:r>
          </w:p>
        </w:tc>
      </w:tr>
    </w:tbl>
    <w:p w14:paraId="61CE35B2" w14:textId="77777777" w:rsidR="00156DDD" w:rsidRPr="009E1D9E" w:rsidRDefault="00156DDD" w:rsidP="00156DDD">
      <w:pPr>
        <w:autoSpaceDE w:val="0"/>
        <w:autoSpaceDN w:val="0"/>
        <w:adjustRightInd w:val="0"/>
        <w:spacing w:after="0" w:line="400" w:lineRule="atLeast"/>
        <w:rPr>
          <w:rFonts w:ascii="Arial" w:hAnsi="Arial" w:cs="Arial"/>
          <w:sz w:val="24"/>
          <w:szCs w:val="24"/>
        </w:rPr>
      </w:pPr>
    </w:p>
    <w:p w14:paraId="3EEEDCB5" w14:textId="745599B0" w:rsidR="00156DDD" w:rsidRPr="009E1D9E" w:rsidRDefault="00156DDD" w:rsidP="00156DDD">
      <w:pPr>
        <w:rPr>
          <w:rFonts w:ascii="Arial" w:hAnsi="Arial" w:cs="Arial"/>
          <w:sz w:val="24"/>
          <w:szCs w:val="24"/>
        </w:rPr>
      </w:pPr>
      <w:r w:rsidRPr="009E1D9E">
        <w:rPr>
          <w:rFonts w:ascii="Arial" w:hAnsi="Arial" w:cs="Arial"/>
          <w:sz w:val="24"/>
          <w:szCs w:val="24"/>
        </w:rPr>
        <w:br w:type="page"/>
      </w:r>
    </w:p>
    <w:p w14:paraId="12F5F1B2" w14:textId="6BFC2201" w:rsidR="00521685" w:rsidRPr="009E1D9E" w:rsidRDefault="00521685" w:rsidP="00156DDD">
      <w:pPr>
        <w:rPr>
          <w:rFonts w:ascii="Arial" w:hAnsi="Arial" w:cs="Arial"/>
          <w:sz w:val="24"/>
          <w:szCs w:val="24"/>
        </w:rPr>
      </w:pPr>
      <w:r w:rsidRPr="009E1D9E">
        <w:rPr>
          <w:rFonts w:ascii="Arial" w:hAnsi="Arial" w:cs="Arial"/>
          <w:sz w:val="24"/>
          <w:szCs w:val="24"/>
        </w:rPr>
        <w:lastRenderedPageBreak/>
        <w:t>Figure 1. Latent class profile plot.</w:t>
      </w:r>
    </w:p>
    <w:p w14:paraId="6C95ECEF" w14:textId="77777777" w:rsidR="00156DDD" w:rsidRPr="00CA5AD3" w:rsidRDefault="00156DDD" w:rsidP="00156DDD">
      <w:pPr>
        <w:rPr>
          <w:rFonts w:ascii="Arial" w:hAnsi="Arial" w:cs="Arial"/>
          <w:sz w:val="24"/>
          <w:szCs w:val="24"/>
        </w:rPr>
      </w:pPr>
      <w:r w:rsidRPr="009E1D9E">
        <w:rPr>
          <w:noProof/>
          <w:lang w:eastAsia="en-GB"/>
        </w:rPr>
        <w:drawing>
          <wp:inline distT="0" distB="0" distL="0" distR="0" wp14:anchorId="4EAF7D37" wp14:editId="342B1872">
            <wp:extent cx="6238875" cy="39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46756" cy="3948566"/>
                    </a:xfrm>
                    <a:prstGeom prst="rect">
                      <a:avLst/>
                    </a:prstGeom>
                  </pic:spPr>
                </pic:pic>
              </a:graphicData>
            </a:graphic>
          </wp:inline>
        </w:drawing>
      </w:r>
    </w:p>
    <w:p w14:paraId="38A7F659" w14:textId="77777777" w:rsidR="00156DDD" w:rsidRPr="00CA5AD3" w:rsidRDefault="00156DDD" w:rsidP="00156DDD">
      <w:pPr>
        <w:pStyle w:val="NoSpacing"/>
        <w:rPr>
          <w:rFonts w:ascii="Arial" w:hAnsi="Arial" w:cs="Arial"/>
          <w:sz w:val="24"/>
          <w:szCs w:val="24"/>
        </w:rPr>
      </w:pPr>
    </w:p>
    <w:p w14:paraId="7C8B1F6A" w14:textId="5BBF3FF0" w:rsidR="00CE5C4F" w:rsidRPr="00CA5AD3" w:rsidRDefault="00CE5C4F" w:rsidP="00156DDD">
      <w:pPr>
        <w:pStyle w:val="NoSpacing"/>
        <w:rPr>
          <w:rFonts w:ascii="Arial" w:hAnsi="Arial" w:cs="Arial"/>
          <w:sz w:val="24"/>
          <w:szCs w:val="24"/>
        </w:rPr>
      </w:pPr>
    </w:p>
    <w:p w14:paraId="2603772E" w14:textId="77777777" w:rsidR="00CA5AD3" w:rsidRPr="00CA5AD3" w:rsidRDefault="00CA5AD3">
      <w:pPr>
        <w:pStyle w:val="NoSpacing"/>
        <w:rPr>
          <w:rFonts w:ascii="Arial" w:hAnsi="Arial" w:cs="Arial"/>
          <w:sz w:val="24"/>
          <w:szCs w:val="24"/>
        </w:rPr>
      </w:pPr>
    </w:p>
    <w:sectPr w:rsidR="00CA5AD3" w:rsidRPr="00CA5AD3" w:rsidSect="00156DD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09E"/>
    <w:multiLevelType w:val="hybridMultilevel"/>
    <w:tmpl w:val="09DC921E"/>
    <w:lvl w:ilvl="0" w:tplc="1F06B4EC">
      <w:start w:val="1"/>
      <w:numFmt w:val="decimal"/>
      <w:lvlText w:val="%1."/>
      <w:lvlJc w:val="left"/>
      <w:pPr>
        <w:ind w:left="90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872FB"/>
    <w:multiLevelType w:val="hybridMultilevel"/>
    <w:tmpl w:val="767AAFF2"/>
    <w:lvl w:ilvl="0" w:tplc="21B6854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09016B4"/>
    <w:multiLevelType w:val="hybridMultilevel"/>
    <w:tmpl w:val="59823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A83085"/>
    <w:multiLevelType w:val="multilevel"/>
    <w:tmpl w:val="19C04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0"/>
  <w:activeWritingStyle w:appName="MSWord" w:lang="en-IE"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fr-FR"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391"/>
    <w:rsid w:val="00001B59"/>
    <w:rsid w:val="00004CB8"/>
    <w:rsid w:val="000100E6"/>
    <w:rsid w:val="00010B27"/>
    <w:rsid w:val="000163DF"/>
    <w:rsid w:val="000248C0"/>
    <w:rsid w:val="000320B9"/>
    <w:rsid w:val="000349D2"/>
    <w:rsid w:val="00042297"/>
    <w:rsid w:val="00043BD1"/>
    <w:rsid w:val="00044F2E"/>
    <w:rsid w:val="00054F49"/>
    <w:rsid w:val="0005744C"/>
    <w:rsid w:val="00065068"/>
    <w:rsid w:val="00072253"/>
    <w:rsid w:val="00074388"/>
    <w:rsid w:val="00081CE2"/>
    <w:rsid w:val="0008354B"/>
    <w:rsid w:val="0009135B"/>
    <w:rsid w:val="000C2E42"/>
    <w:rsid w:val="000C39DD"/>
    <w:rsid w:val="000F330E"/>
    <w:rsid w:val="00104A5C"/>
    <w:rsid w:val="00104D48"/>
    <w:rsid w:val="00106150"/>
    <w:rsid w:val="00110689"/>
    <w:rsid w:val="00110CB8"/>
    <w:rsid w:val="00137431"/>
    <w:rsid w:val="00156DDD"/>
    <w:rsid w:val="001610CD"/>
    <w:rsid w:val="001656ED"/>
    <w:rsid w:val="001802A6"/>
    <w:rsid w:val="001861E2"/>
    <w:rsid w:val="00187AD8"/>
    <w:rsid w:val="001A08D3"/>
    <w:rsid w:val="001A1209"/>
    <w:rsid w:val="001A6422"/>
    <w:rsid w:val="001A64EB"/>
    <w:rsid w:val="001A75A1"/>
    <w:rsid w:val="001A79F5"/>
    <w:rsid w:val="001B5555"/>
    <w:rsid w:val="001C5AFF"/>
    <w:rsid w:val="001E124F"/>
    <w:rsid w:val="001E332C"/>
    <w:rsid w:val="001F2981"/>
    <w:rsid w:val="0020395B"/>
    <w:rsid w:val="002122E4"/>
    <w:rsid w:val="00212568"/>
    <w:rsid w:val="002332DA"/>
    <w:rsid w:val="002340BD"/>
    <w:rsid w:val="002566E3"/>
    <w:rsid w:val="002716B2"/>
    <w:rsid w:val="00275B15"/>
    <w:rsid w:val="00281778"/>
    <w:rsid w:val="00287A41"/>
    <w:rsid w:val="002C2E9B"/>
    <w:rsid w:val="002C535C"/>
    <w:rsid w:val="002D5AA5"/>
    <w:rsid w:val="002D61E9"/>
    <w:rsid w:val="002E406F"/>
    <w:rsid w:val="002E5019"/>
    <w:rsid w:val="002F1B10"/>
    <w:rsid w:val="00335463"/>
    <w:rsid w:val="003459EA"/>
    <w:rsid w:val="003461AF"/>
    <w:rsid w:val="00347D69"/>
    <w:rsid w:val="00361DAA"/>
    <w:rsid w:val="00361E58"/>
    <w:rsid w:val="00371A77"/>
    <w:rsid w:val="0037577A"/>
    <w:rsid w:val="003845F3"/>
    <w:rsid w:val="003B55A4"/>
    <w:rsid w:val="003B7200"/>
    <w:rsid w:val="003C4D6C"/>
    <w:rsid w:val="003D7B22"/>
    <w:rsid w:val="003E7BB9"/>
    <w:rsid w:val="00436C2A"/>
    <w:rsid w:val="004403BF"/>
    <w:rsid w:val="00457D45"/>
    <w:rsid w:val="00463FC6"/>
    <w:rsid w:val="004829E8"/>
    <w:rsid w:val="004976D2"/>
    <w:rsid w:val="004A5AF9"/>
    <w:rsid w:val="004A5F32"/>
    <w:rsid w:val="004A6891"/>
    <w:rsid w:val="004A6CC5"/>
    <w:rsid w:val="004B292E"/>
    <w:rsid w:val="004E2966"/>
    <w:rsid w:val="004F1B62"/>
    <w:rsid w:val="004F29BD"/>
    <w:rsid w:val="00501467"/>
    <w:rsid w:val="0050545C"/>
    <w:rsid w:val="00514391"/>
    <w:rsid w:val="005210B0"/>
    <w:rsid w:val="00521685"/>
    <w:rsid w:val="00527040"/>
    <w:rsid w:val="00537EE0"/>
    <w:rsid w:val="00541E56"/>
    <w:rsid w:val="00542A60"/>
    <w:rsid w:val="005462FD"/>
    <w:rsid w:val="00553DDF"/>
    <w:rsid w:val="00577701"/>
    <w:rsid w:val="0058136C"/>
    <w:rsid w:val="005932B6"/>
    <w:rsid w:val="005953D2"/>
    <w:rsid w:val="005966DB"/>
    <w:rsid w:val="005B6EC8"/>
    <w:rsid w:val="005C2AAD"/>
    <w:rsid w:val="005D25BA"/>
    <w:rsid w:val="005E545B"/>
    <w:rsid w:val="005E55F9"/>
    <w:rsid w:val="005E7AA8"/>
    <w:rsid w:val="00600630"/>
    <w:rsid w:val="00600D07"/>
    <w:rsid w:val="00603171"/>
    <w:rsid w:val="00613B8C"/>
    <w:rsid w:val="00615539"/>
    <w:rsid w:val="006244FF"/>
    <w:rsid w:val="00644044"/>
    <w:rsid w:val="00646AAB"/>
    <w:rsid w:val="0064701C"/>
    <w:rsid w:val="00650C78"/>
    <w:rsid w:val="00655740"/>
    <w:rsid w:val="006811C0"/>
    <w:rsid w:val="006951AA"/>
    <w:rsid w:val="006A7379"/>
    <w:rsid w:val="006D18B3"/>
    <w:rsid w:val="00711611"/>
    <w:rsid w:val="0071667A"/>
    <w:rsid w:val="00742F7E"/>
    <w:rsid w:val="00754FD5"/>
    <w:rsid w:val="00764474"/>
    <w:rsid w:val="00787B2A"/>
    <w:rsid w:val="007C4DD9"/>
    <w:rsid w:val="007D04B5"/>
    <w:rsid w:val="007D12EC"/>
    <w:rsid w:val="007D22FD"/>
    <w:rsid w:val="007D3F52"/>
    <w:rsid w:val="007D6D31"/>
    <w:rsid w:val="007D7172"/>
    <w:rsid w:val="007E1561"/>
    <w:rsid w:val="007E3D9F"/>
    <w:rsid w:val="007E4982"/>
    <w:rsid w:val="008118A1"/>
    <w:rsid w:val="0081264A"/>
    <w:rsid w:val="008217CC"/>
    <w:rsid w:val="00833E5B"/>
    <w:rsid w:val="008462C1"/>
    <w:rsid w:val="00857219"/>
    <w:rsid w:val="00862B6C"/>
    <w:rsid w:val="0087128C"/>
    <w:rsid w:val="008837B9"/>
    <w:rsid w:val="00884B3A"/>
    <w:rsid w:val="00885A65"/>
    <w:rsid w:val="008A62E1"/>
    <w:rsid w:val="008B5319"/>
    <w:rsid w:val="008B5724"/>
    <w:rsid w:val="008C2CBC"/>
    <w:rsid w:val="008C3073"/>
    <w:rsid w:val="008C59D5"/>
    <w:rsid w:val="008C6743"/>
    <w:rsid w:val="008D3B71"/>
    <w:rsid w:val="008D3EA6"/>
    <w:rsid w:val="008E4EA9"/>
    <w:rsid w:val="008F37D2"/>
    <w:rsid w:val="0091536F"/>
    <w:rsid w:val="00925F6F"/>
    <w:rsid w:val="0094031E"/>
    <w:rsid w:val="009558E8"/>
    <w:rsid w:val="00960C64"/>
    <w:rsid w:val="009868B3"/>
    <w:rsid w:val="00990982"/>
    <w:rsid w:val="009A7C5A"/>
    <w:rsid w:val="009C2FFF"/>
    <w:rsid w:val="009C3BAC"/>
    <w:rsid w:val="009C7266"/>
    <w:rsid w:val="009D53F8"/>
    <w:rsid w:val="009E1D9E"/>
    <w:rsid w:val="009E3A77"/>
    <w:rsid w:val="00A077C5"/>
    <w:rsid w:val="00A17517"/>
    <w:rsid w:val="00A27298"/>
    <w:rsid w:val="00A300E6"/>
    <w:rsid w:val="00A36C6E"/>
    <w:rsid w:val="00A514D0"/>
    <w:rsid w:val="00A66A7F"/>
    <w:rsid w:val="00A87D35"/>
    <w:rsid w:val="00AA017B"/>
    <w:rsid w:val="00AA6A18"/>
    <w:rsid w:val="00AB006E"/>
    <w:rsid w:val="00AB3C5A"/>
    <w:rsid w:val="00AB4B21"/>
    <w:rsid w:val="00AB636C"/>
    <w:rsid w:val="00AC3F6D"/>
    <w:rsid w:val="00AD5CFE"/>
    <w:rsid w:val="00AE0720"/>
    <w:rsid w:val="00AE6A38"/>
    <w:rsid w:val="00AF090C"/>
    <w:rsid w:val="00AF5563"/>
    <w:rsid w:val="00AF7D5F"/>
    <w:rsid w:val="00B16314"/>
    <w:rsid w:val="00B1754C"/>
    <w:rsid w:val="00B22464"/>
    <w:rsid w:val="00B54BC7"/>
    <w:rsid w:val="00B57C66"/>
    <w:rsid w:val="00B60EE1"/>
    <w:rsid w:val="00B65B4C"/>
    <w:rsid w:val="00B672AD"/>
    <w:rsid w:val="00B82E99"/>
    <w:rsid w:val="00BA06A7"/>
    <w:rsid w:val="00BA2211"/>
    <w:rsid w:val="00BA38F9"/>
    <w:rsid w:val="00BB09AD"/>
    <w:rsid w:val="00BB4551"/>
    <w:rsid w:val="00BB75A1"/>
    <w:rsid w:val="00BE60D8"/>
    <w:rsid w:val="00C10651"/>
    <w:rsid w:val="00C13EE7"/>
    <w:rsid w:val="00C14620"/>
    <w:rsid w:val="00C34641"/>
    <w:rsid w:val="00C45DAA"/>
    <w:rsid w:val="00C62B89"/>
    <w:rsid w:val="00C63F67"/>
    <w:rsid w:val="00C651B1"/>
    <w:rsid w:val="00C7337D"/>
    <w:rsid w:val="00C80DDB"/>
    <w:rsid w:val="00C8275A"/>
    <w:rsid w:val="00C90CBE"/>
    <w:rsid w:val="00C90EDD"/>
    <w:rsid w:val="00CA4411"/>
    <w:rsid w:val="00CA5AD3"/>
    <w:rsid w:val="00CA6AC7"/>
    <w:rsid w:val="00CB0B3E"/>
    <w:rsid w:val="00CB27F4"/>
    <w:rsid w:val="00CB58AC"/>
    <w:rsid w:val="00CD7936"/>
    <w:rsid w:val="00CE05C0"/>
    <w:rsid w:val="00CE4115"/>
    <w:rsid w:val="00CE5C4F"/>
    <w:rsid w:val="00CF3225"/>
    <w:rsid w:val="00D1337B"/>
    <w:rsid w:val="00D27BE3"/>
    <w:rsid w:val="00D31081"/>
    <w:rsid w:val="00D36694"/>
    <w:rsid w:val="00D45337"/>
    <w:rsid w:val="00D72A67"/>
    <w:rsid w:val="00D747C8"/>
    <w:rsid w:val="00D77FB9"/>
    <w:rsid w:val="00DA3402"/>
    <w:rsid w:val="00DD60B5"/>
    <w:rsid w:val="00DE1685"/>
    <w:rsid w:val="00DF1326"/>
    <w:rsid w:val="00DF21CD"/>
    <w:rsid w:val="00DF71D7"/>
    <w:rsid w:val="00E11B59"/>
    <w:rsid w:val="00E35727"/>
    <w:rsid w:val="00E42069"/>
    <w:rsid w:val="00E44CB5"/>
    <w:rsid w:val="00E65BF4"/>
    <w:rsid w:val="00E9010F"/>
    <w:rsid w:val="00E945CB"/>
    <w:rsid w:val="00EA6685"/>
    <w:rsid w:val="00EB7F0E"/>
    <w:rsid w:val="00EE1182"/>
    <w:rsid w:val="00EE1A1C"/>
    <w:rsid w:val="00EE61D8"/>
    <w:rsid w:val="00EF6167"/>
    <w:rsid w:val="00F10EB9"/>
    <w:rsid w:val="00F14510"/>
    <w:rsid w:val="00F1545A"/>
    <w:rsid w:val="00F351CF"/>
    <w:rsid w:val="00F84F5D"/>
    <w:rsid w:val="00F862C8"/>
    <w:rsid w:val="00F97A4C"/>
    <w:rsid w:val="00FB0CF7"/>
    <w:rsid w:val="00FC041B"/>
    <w:rsid w:val="00FC3A15"/>
  </w:rsids>
  <m:mathPr>
    <m:mathFont m:val="Cambria Math"/>
    <m:brkBin m:val="before"/>
    <m:brkBinSub m:val="--"/>
    <m:smallFrac m:val="0"/>
    <m:dispDef/>
    <m:lMargin m:val="0"/>
    <m:rMargin m:val="0"/>
    <m:defJc m:val="centerGroup"/>
    <m:wrapIndent m:val="1440"/>
    <m:intLim m:val="subSup"/>
    <m:naryLim m:val="undOvr"/>
  </m:mathPr>
  <w:themeFontLang w:val="en-I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8175"/>
  <w15:docId w15:val="{D429E426-2B56-40A2-990E-F528B404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DDD"/>
    <w:rPr>
      <w:lang w:val="en-GB"/>
    </w:rPr>
  </w:style>
  <w:style w:type="paragraph" w:styleId="Heading1">
    <w:name w:val="heading 1"/>
    <w:basedOn w:val="Normal"/>
    <w:link w:val="Heading1Char"/>
    <w:uiPriority w:val="9"/>
    <w:qFormat/>
    <w:rsid w:val="00CE5C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E5C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E5C4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32B6"/>
    <w:rPr>
      <w:sz w:val="16"/>
      <w:szCs w:val="16"/>
    </w:rPr>
  </w:style>
  <w:style w:type="paragraph" w:styleId="CommentText">
    <w:name w:val="annotation text"/>
    <w:basedOn w:val="Normal"/>
    <w:link w:val="CommentTextChar"/>
    <w:uiPriority w:val="99"/>
    <w:unhideWhenUsed/>
    <w:rsid w:val="005932B6"/>
    <w:pPr>
      <w:spacing w:line="240" w:lineRule="auto"/>
    </w:pPr>
    <w:rPr>
      <w:sz w:val="20"/>
      <w:szCs w:val="20"/>
      <w:lang w:val="en-IE"/>
    </w:rPr>
  </w:style>
  <w:style w:type="character" w:customStyle="1" w:styleId="CommentTextChar">
    <w:name w:val="Comment Text Char"/>
    <w:basedOn w:val="DefaultParagraphFont"/>
    <w:link w:val="CommentText"/>
    <w:uiPriority w:val="99"/>
    <w:rsid w:val="005932B6"/>
    <w:rPr>
      <w:sz w:val="20"/>
      <w:szCs w:val="20"/>
    </w:rPr>
  </w:style>
  <w:style w:type="paragraph" w:styleId="CommentSubject">
    <w:name w:val="annotation subject"/>
    <w:basedOn w:val="CommentText"/>
    <w:next w:val="CommentText"/>
    <w:link w:val="CommentSubjectChar"/>
    <w:uiPriority w:val="99"/>
    <w:semiHidden/>
    <w:unhideWhenUsed/>
    <w:rsid w:val="005932B6"/>
    <w:rPr>
      <w:b/>
      <w:bCs/>
    </w:rPr>
  </w:style>
  <w:style w:type="character" w:customStyle="1" w:styleId="CommentSubjectChar">
    <w:name w:val="Comment Subject Char"/>
    <w:basedOn w:val="CommentTextChar"/>
    <w:link w:val="CommentSubject"/>
    <w:uiPriority w:val="99"/>
    <w:semiHidden/>
    <w:rsid w:val="005932B6"/>
    <w:rPr>
      <w:b/>
      <w:bCs/>
      <w:sz w:val="20"/>
      <w:szCs w:val="20"/>
    </w:rPr>
  </w:style>
  <w:style w:type="paragraph" w:styleId="BalloonText">
    <w:name w:val="Balloon Text"/>
    <w:basedOn w:val="Normal"/>
    <w:link w:val="BalloonTextChar"/>
    <w:uiPriority w:val="99"/>
    <w:semiHidden/>
    <w:unhideWhenUsed/>
    <w:rsid w:val="005932B6"/>
    <w:pPr>
      <w:spacing w:after="0" w:line="240" w:lineRule="auto"/>
    </w:pPr>
    <w:rPr>
      <w:rFonts w:ascii="Segoe UI" w:hAnsi="Segoe UI" w:cs="Segoe UI"/>
      <w:sz w:val="18"/>
      <w:szCs w:val="18"/>
      <w:lang w:val="en-IE"/>
    </w:rPr>
  </w:style>
  <w:style w:type="character" w:customStyle="1" w:styleId="BalloonTextChar">
    <w:name w:val="Balloon Text Char"/>
    <w:basedOn w:val="DefaultParagraphFont"/>
    <w:link w:val="BalloonText"/>
    <w:uiPriority w:val="99"/>
    <w:semiHidden/>
    <w:rsid w:val="005932B6"/>
    <w:rPr>
      <w:rFonts w:ascii="Segoe UI" w:hAnsi="Segoe UI" w:cs="Segoe UI"/>
      <w:sz w:val="18"/>
      <w:szCs w:val="18"/>
    </w:rPr>
  </w:style>
  <w:style w:type="paragraph" w:styleId="ListParagraph">
    <w:name w:val="List Paragraph"/>
    <w:basedOn w:val="Normal"/>
    <w:uiPriority w:val="34"/>
    <w:qFormat/>
    <w:rsid w:val="002D5AA5"/>
    <w:pPr>
      <w:ind w:left="720"/>
      <w:contextualSpacing/>
    </w:pPr>
    <w:rPr>
      <w:lang w:val="en-IE"/>
    </w:rPr>
  </w:style>
  <w:style w:type="paragraph" w:styleId="NoSpacing">
    <w:name w:val="No Spacing"/>
    <w:uiPriority w:val="99"/>
    <w:qFormat/>
    <w:rsid w:val="00156DDD"/>
    <w:pPr>
      <w:spacing w:after="0" w:line="240" w:lineRule="auto"/>
    </w:pPr>
  </w:style>
  <w:style w:type="table" w:customStyle="1" w:styleId="TableGridLight1">
    <w:name w:val="Table Grid Light1"/>
    <w:basedOn w:val="TableNormal"/>
    <w:uiPriority w:val="40"/>
    <w:rsid w:val="00156DDD"/>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E5C4F"/>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CE5C4F"/>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CE5C4F"/>
    <w:rPr>
      <w:rFonts w:ascii="Times New Roman" w:eastAsia="Times New Roman" w:hAnsi="Times New Roman" w:cs="Times New Roman"/>
      <w:b/>
      <w:bCs/>
      <w:sz w:val="27"/>
      <w:szCs w:val="27"/>
      <w:lang w:val="en-GB" w:eastAsia="en-GB"/>
    </w:rPr>
  </w:style>
  <w:style w:type="table" w:customStyle="1" w:styleId="TableGridLight10">
    <w:name w:val="Table Grid Light1"/>
    <w:basedOn w:val="TableNormal"/>
    <w:uiPriority w:val="40"/>
    <w:rsid w:val="00CE5C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CE5C4F"/>
    <w:rPr>
      <w:color w:val="0563C1" w:themeColor="hyperlink"/>
      <w:u w:val="single"/>
    </w:rPr>
  </w:style>
  <w:style w:type="table" w:styleId="TableGrid">
    <w:name w:val="Table Grid"/>
    <w:basedOn w:val="TableNormal"/>
    <w:uiPriority w:val="59"/>
    <w:rsid w:val="00CE5C4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E5C4F"/>
    <w:pPr>
      <w:spacing w:after="0" w:line="240" w:lineRule="auto"/>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itation">
    <w:name w:val="citation"/>
    <w:basedOn w:val="DefaultParagraphFont"/>
    <w:uiPriority w:val="99"/>
    <w:rsid w:val="00CE5C4F"/>
  </w:style>
  <w:style w:type="table" w:customStyle="1" w:styleId="GridTable1Light1">
    <w:name w:val="Grid Table 1 Light1"/>
    <w:basedOn w:val="TableNormal"/>
    <w:uiPriority w:val="46"/>
    <w:rsid w:val="00CE5C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E5C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E5C4F"/>
    <w:pPr>
      <w:tabs>
        <w:tab w:val="center" w:pos="4513"/>
        <w:tab w:val="right" w:pos="9026"/>
      </w:tabs>
      <w:spacing w:after="0" w:line="240" w:lineRule="auto"/>
    </w:pPr>
    <w:rPr>
      <w:lang w:val="en-IE"/>
    </w:rPr>
  </w:style>
  <w:style w:type="character" w:customStyle="1" w:styleId="HeaderChar">
    <w:name w:val="Header Char"/>
    <w:basedOn w:val="DefaultParagraphFont"/>
    <w:link w:val="Header"/>
    <w:uiPriority w:val="99"/>
    <w:rsid w:val="00CE5C4F"/>
  </w:style>
  <w:style w:type="paragraph" w:styleId="Footer">
    <w:name w:val="footer"/>
    <w:basedOn w:val="Normal"/>
    <w:link w:val="FooterChar"/>
    <w:uiPriority w:val="99"/>
    <w:unhideWhenUsed/>
    <w:rsid w:val="00CE5C4F"/>
    <w:pPr>
      <w:tabs>
        <w:tab w:val="center" w:pos="4513"/>
        <w:tab w:val="right" w:pos="9026"/>
      </w:tabs>
      <w:spacing w:after="0" w:line="240" w:lineRule="auto"/>
    </w:pPr>
    <w:rPr>
      <w:lang w:val="en-IE"/>
    </w:rPr>
  </w:style>
  <w:style w:type="character" w:customStyle="1" w:styleId="FooterChar">
    <w:name w:val="Footer Char"/>
    <w:basedOn w:val="DefaultParagraphFont"/>
    <w:link w:val="Footer"/>
    <w:uiPriority w:val="99"/>
    <w:rsid w:val="00CE5C4F"/>
  </w:style>
  <w:style w:type="character" w:customStyle="1" w:styleId="entryauthor">
    <w:name w:val="entryauthor"/>
    <w:basedOn w:val="DefaultParagraphFont"/>
    <w:rsid w:val="00CE5C4F"/>
  </w:style>
  <w:style w:type="character" w:customStyle="1" w:styleId="journalname">
    <w:name w:val="journalname"/>
    <w:basedOn w:val="DefaultParagraphFont"/>
    <w:rsid w:val="00CE5C4F"/>
  </w:style>
  <w:style w:type="character" w:customStyle="1" w:styleId="apple-converted-space">
    <w:name w:val="apple-converted-space"/>
    <w:basedOn w:val="DefaultParagraphFont"/>
    <w:rsid w:val="00CE5C4F"/>
  </w:style>
  <w:style w:type="character" w:customStyle="1" w:styleId="volume">
    <w:name w:val="volume"/>
    <w:basedOn w:val="DefaultParagraphFont"/>
    <w:rsid w:val="00CE5C4F"/>
  </w:style>
  <w:style w:type="character" w:styleId="Strong">
    <w:name w:val="Strong"/>
    <w:basedOn w:val="DefaultParagraphFont"/>
    <w:uiPriority w:val="99"/>
    <w:qFormat/>
    <w:rsid w:val="00CE5C4F"/>
    <w:rPr>
      <w:b/>
      <w:bCs/>
    </w:rPr>
  </w:style>
  <w:style w:type="character" w:customStyle="1" w:styleId="is-accessible">
    <w:name w:val="is-accessible"/>
    <w:basedOn w:val="DefaultParagraphFont"/>
    <w:rsid w:val="00CE5C4F"/>
  </w:style>
  <w:style w:type="character" w:customStyle="1" w:styleId="article-headercorresponding-auth">
    <w:name w:val="article-header__corresponding-auth"/>
    <w:basedOn w:val="DefaultParagraphFont"/>
    <w:rsid w:val="00CE5C4F"/>
  </w:style>
  <w:style w:type="character" w:customStyle="1" w:styleId="article-headermeta-info-data">
    <w:name w:val="article-header__meta-info-data"/>
    <w:basedOn w:val="DefaultParagraphFont"/>
    <w:rsid w:val="00CE5C4F"/>
  </w:style>
  <w:style w:type="paragraph" w:styleId="Title">
    <w:name w:val="Title"/>
    <w:basedOn w:val="Normal"/>
    <w:next w:val="Normal"/>
    <w:link w:val="TitleChar"/>
    <w:uiPriority w:val="10"/>
    <w:qFormat/>
    <w:rsid w:val="00CE5C4F"/>
    <w:pPr>
      <w:spacing w:after="0" w:line="240" w:lineRule="auto"/>
      <w:contextualSpacing/>
    </w:pPr>
    <w:rPr>
      <w:rFonts w:asciiTheme="majorHAnsi" w:eastAsiaTheme="majorEastAsia" w:hAnsiTheme="majorHAnsi" w:cstheme="majorBidi"/>
      <w:spacing w:val="-10"/>
      <w:kern w:val="28"/>
      <w:sz w:val="56"/>
      <w:szCs w:val="56"/>
      <w:lang w:val="en-IE"/>
    </w:rPr>
  </w:style>
  <w:style w:type="character" w:customStyle="1" w:styleId="TitleChar">
    <w:name w:val="Title Char"/>
    <w:basedOn w:val="DefaultParagraphFont"/>
    <w:link w:val="Title"/>
    <w:uiPriority w:val="10"/>
    <w:rsid w:val="00CE5C4F"/>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CE5C4F"/>
    <w:rPr>
      <w:i/>
      <w:iCs/>
    </w:rPr>
  </w:style>
  <w:style w:type="paragraph" w:styleId="Revision">
    <w:name w:val="Revision"/>
    <w:hidden/>
    <w:uiPriority w:val="99"/>
    <w:semiHidden/>
    <w:rsid w:val="00CE5C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97439">
      <w:bodyDiv w:val="1"/>
      <w:marLeft w:val="0"/>
      <w:marRight w:val="0"/>
      <w:marTop w:val="0"/>
      <w:marBottom w:val="0"/>
      <w:divBdr>
        <w:top w:val="none" w:sz="0" w:space="0" w:color="auto"/>
        <w:left w:val="none" w:sz="0" w:space="0" w:color="auto"/>
        <w:bottom w:val="none" w:sz="0" w:space="0" w:color="auto"/>
        <w:right w:val="none" w:sz="0" w:space="0" w:color="auto"/>
      </w:divBdr>
    </w:div>
    <w:div w:id="1779906579">
      <w:bodyDiv w:val="1"/>
      <w:marLeft w:val="0"/>
      <w:marRight w:val="0"/>
      <w:marTop w:val="0"/>
      <w:marBottom w:val="0"/>
      <w:divBdr>
        <w:top w:val="none" w:sz="0" w:space="0" w:color="auto"/>
        <w:left w:val="none" w:sz="0" w:space="0" w:color="auto"/>
        <w:bottom w:val="none" w:sz="0" w:space="0" w:color="auto"/>
        <w:right w:val="none" w:sz="0" w:space="0" w:color="auto"/>
      </w:divBdr>
      <w:divsChild>
        <w:div w:id="2112043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ho-5.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52E2-5E8F-4AF1-A459-E871B16F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6052</Words>
  <Characters>34503</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National College of Ireland</Company>
  <LinksUpToDate>false</LinksUpToDate>
  <CharactersWithSpaces>40475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Hyland</dc:creator>
  <cp:lastModifiedBy>Wilkie, Carol</cp:lastModifiedBy>
  <cp:revision>2</cp:revision>
  <dcterms:created xsi:type="dcterms:W3CDTF">2018-08-16T09:17:00Z</dcterms:created>
  <dcterms:modified xsi:type="dcterms:W3CDTF">2018-08-16T09:17:00Z</dcterms:modified>
</cp:coreProperties>
</file>