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57" w:rsidRDefault="006F2457" w:rsidP="006F2457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Table 2 Methodological issues encountered and recommendations</w:t>
      </w:r>
      <w:r w:rsidR="00AA5DAD">
        <w:rPr>
          <w:b/>
          <w:sz w:val="24"/>
          <w:szCs w:val="24"/>
        </w:rPr>
        <w:t>.</w:t>
      </w:r>
    </w:p>
    <w:p w:rsidR="006F2457" w:rsidRDefault="006F2457" w:rsidP="006F2457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2908"/>
        <w:gridCol w:w="2167"/>
        <w:gridCol w:w="2560"/>
      </w:tblGrid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b/>
                <w:sz w:val="20"/>
                <w:szCs w:val="20"/>
              </w:rPr>
            </w:pPr>
            <w:r w:rsidRPr="00DC4C8E">
              <w:rPr>
                <w:rFonts w:cs="Arial"/>
                <w:b/>
                <w:sz w:val="20"/>
                <w:szCs w:val="20"/>
              </w:rPr>
              <w:t>Task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b/>
                <w:sz w:val="20"/>
                <w:szCs w:val="20"/>
              </w:rPr>
            </w:pPr>
            <w:r w:rsidRPr="00DC4C8E">
              <w:rPr>
                <w:rFonts w:cs="Arial"/>
                <w:b/>
                <w:sz w:val="20"/>
                <w:szCs w:val="20"/>
              </w:rPr>
              <w:t>Issue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b/>
                <w:sz w:val="20"/>
                <w:szCs w:val="20"/>
              </w:rPr>
            </w:pPr>
            <w:r w:rsidRPr="00DC4C8E">
              <w:rPr>
                <w:rFonts w:cs="Arial"/>
                <w:b/>
                <w:sz w:val="20"/>
                <w:szCs w:val="20"/>
              </w:rPr>
              <w:t xml:space="preserve"> Our  approach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b/>
                <w:sz w:val="20"/>
                <w:szCs w:val="20"/>
              </w:rPr>
            </w:pPr>
            <w:r w:rsidRPr="00DC4C8E">
              <w:rPr>
                <w:rFonts w:cs="Arial"/>
                <w:b/>
                <w:sz w:val="20"/>
                <w:szCs w:val="20"/>
              </w:rPr>
              <w:t>Implication for study process and project costing – Recommendation(s)</w:t>
            </w: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Recruiting within busy clinical setting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Alcohol treatment (detox</w:t>
            </w:r>
            <w:r w:rsidR="00AA5DAD">
              <w:rPr>
                <w:rFonts w:cs="Arial"/>
                <w:sz w:val="20"/>
                <w:szCs w:val="20"/>
              </w:rPr>
              <w:t>ification</w:t>
            </w:r>
            <w:r w:rsidRPr="00DC4C8E">
              <w:rPr>
                <w:rFonts w:cs="Arial"/>
                <w:sz w:val="20"/>
                <w:szCs w:val="20"/>
              </w:rPr>
              <w:t xml:space="preserve">) inpatient clinics, offered restrictive time-slots to recruit/interview patients due to the large number of timetabled therapy sessions.  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Opportunities for recruiting in general hospitals were dictated by hospital routines (protected mealtimes, visiting hours etc.). Day-patients were easier to access as less occupied with formal activities, similarly outpatients usually more willing to participate while waiting for their appointment.</w:t>
            </w:r>
          </w:p>
        </w:tc>
        <w:tc>
          <w:tcPr>
            <w:tcW w:w="0" w:type="auto"/>
          </w:tcPr>
          <w:p w:rsidR="006F2457" w:rsidRPr="00DC4C8E" w:rsidRDefault="006F2457" w:rsidP="00AA5DAD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R</w:t>
            </w:r>
            <w:r w:rsidR="00AA5DAD">
              <w:rPr>
                <w:rFonts w:cs="Arial"/>
                <w:sz w:val="20"/>
                <w:szCs w:val="20"/>
              </w:rPr>
              <w:t>esearch Assistants (R</w:t>
            </w:r>
            <w:r w:rsidRPr="00DC4C8E">
              <w:rPr>
                <w:rFonts w:cs="Arial"/>
                <w:sz w:val="20"/>
                <w:szCs w:val="20"/>
              </w:rPr>
              <w:t>As</w:t>
            </w:r>
            <w:r w:rsidR="00AA5DAD">
              <w:rPr>
                <w:rFonts w:cs="Arial"/>
                <w:sz w:val="20"/>
                <w:szCs w:val="20"/>
              </w:rPr>
              <w:t>)</w:t>
            </w:r>
            <w:r w:rsidRPr="00DC4C8E">
              <w:rPr>
                <w:rFonts w:cs="Arial"/>
                <w:sz w:val="20"/>
                <w:szCs w:val="20"/>
              </w:rPr>
              <w:t xml:space="preserve"> were employed who had previous experience of working within NHS settings and met with key staff before data collection. 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 xml:space="preserve">Costing must include RA time to permit development of good working relationship with site staff, (particularly crucial for longitudinal study). 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78324F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 xml:space="preserve">Participant appointment times were dictated totally by clinical routine. RA had to manage their own timetable, remaining flexible to </w:t>
            </w:r>
            <w:r w:rsidR="0078324F">
              <w:rPr>
                <w:rFonts w:cs="Arial"/>
                <w:sz w:val="20"/>
                <w:szCs w:val="20"/>
              </w:rPr>
              <w:t>clinical priorities</w:t>
            </w:r>
            <w:r w:rsidRPr="00DC4C8E">
              <w:rPr>
                <w:rFonts w:cs="Arial"/>
                <w:sz w:val="20"/>
                <w:szCs w:val="20"/>
              </w:rPr>
              <w:t>. Recruitment was often sporadic and RA downtime was inevitable.  On some occasions recruitment was not possible.</w:t>
            </w: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Issues for the conduct of the interview (face-to-face)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(i) P</w:t>
            </w:r>
            <w:r w:rsidRPr="00DC4C8E">
              <w:rPr>
                <w:sz w:val="20"/>
                <w:szCs w:val="20"/>
              </w:rPr>
              <w:t>rivacy issues in multi-bed wards.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78324F" w:rsidRDefault="0078324F" w:rsidP="0094404B">
            <w:pPr>
              <w:rPr>
                <w:sz w:val="20"/>
                <w:szCs w:val="20"/>
              </w:rPr>
            </w:pPr>
          </w:p>
          <w:p w:rsidR="0078324F" w:rsidRDefault="0078324F" w:rsidP="0094404B">
            <w:pPr>
              <w:rPr>
                <w:sz w:val="20"/>
                <w:szCs w:val="20"/>
              </w:rPr>
            </w:pPr>
          </w:p>
          <w:p w:rsidR="00AA5DAD" w:rsidRPr="00DC4C8E" w:rsidRDefault="00AA5DAD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Interview space was at a premium and interviews could be interrupted.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(iii) Accurate recording of drinks data.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1A32C7" w:rsidRDefault="001A32C7" w:rsidP="0094404B">
            <w:pPr>
              <w:rPr>
                <w:rFonts w:cs="Arial"/>
                <w:sz w:val="20"/>
                <w:szCs w:val="20"/>
              </w:rPr>
            </w:pPr>
          </w:p>
          <w:p w:rsidR="001A32C7" w:rsidRDefault="001A32C7" w:rsidP="0094404B">
            <w:pPr>
              <w:rPr>
                <w:rFonts w:cs="Arial"/>
                <w:sz w:val="20"/>
                <w:szCs w:val="20"/>
              </w:rPr>
            </w:pPr>
          </w:p>
          <w:p w:rsidR="001A32C7" w:rsidRDefault="001A32C7" w:rsidP="0094404B">
            <w:pPr>
              <w:rPr>
                <w:rFonts w:cs="Arial"/>
                <w:sz w:val="20"/>
                <w:szCs w:val="20"/>
              </w:rPr>
            </w:pPr>
          </w:p>
          <w:p w:rsidR="001A32C7" w:rsidRPr="00DC4C8E" w:rsidRDefault="001A32C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AA5DAD" w:rsidRDefault="00AA5DAD" w:rsidP="0094404B">
            <w:pPr>
              <w:rPr>
                <w:rFonts w:cs="Arial"/>
                <w:sz w:val="20"/>
                <w:szCs w:val="20"/>
              </w:rPr>
            </w:pPr>
          </w:p>
          <w:p w:rsidR="00AA5DAD" w:rsidRDefault="00AA5DAD" w:rsidP="0094404B">
            <w:pPr>
              <w:rPr>
                <w:rFonts w:cs="Arial"/>
                <w:sz w:val="20"/>
                <w:szCs w:val="20"/>
              </w:rPr>
            </w:pPr>
          </w:p>
          <w:p w:rsidR="00AA5DAD" w:rsidRDefault="00AA5DAD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(iv) data collection during the festive period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lastRenderedPageBreak/>
              <w:t>(i) RAs created as private an environment as possible. Some things were communicated non-verbally e.g. pointing, writing.  Some participants provided answers by writing on their hands.</w:t>
            </w:r>
          </w:p>
          <w:p w:rsidR="006F2457" w:rsidRPr="00DC4C8E" w:rsidRDefault="00E51997" w:rsidP="009440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6F2457" w:rsidRPr="00DC4C8E">
              <w:rPr>
                <w:rFonts w:cs="Arial"/>
                <w:sz w:val="20"/>
                <w:szCs w:val="20"/>
              </w:rPr>
              <w:t>(ii) RAs were proactive and flexible.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 xml:space="preserve">(iii) Interviews were not time limited. RAs </w:t>
            </w:r>
            <w:r w:rsidRPr="00DC4C8E">
              <w:rPr>
                <w:sz w:val="20"/>
                <w:szCs w:val="20"/>
              </w:rPr>
              <w:t>sensitively challenge</w:t>
            </w:r>
            <w:r w:rsidR="00AA5DAD">
              <w:rPr>
                <w:sz w:val="20"/>
                <w:szCs w:val="20"/>
              </w:rPr>
              <w:t>d</w:t>
            </w:r>
            <w:r w:rsidRPr="00DC4C8E">
              <w:rPr>
                <w:sz w:val="20"/>
                <w:szCs w:val="20"/>
              </w:rPr>
              <w:t xml:space="preserve"> ambiguities and discretely used participant</w:t>
            </w:r>
            <w:r w:rsidR="00AA5DAD">
              <w:rPr>
                <w:sz w:val="20"/>
                <w:szCs w:val="20"/>
              </w:rPr>
              <w:t>’</w:t>
            </w:r>
            <w:r w:rsidRPr="00DC4C8E">
              <w:rPr>
                <w:sz w:val="20"/>
                <w:szCs w:val="20"/>
              </w:rPr>
              <w:t>s expenditure claims, to cross check alcohol intakes.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RAs were provided with a regularly updated, extensive list of common drink brands. Changes to </w:t>
            </w:r>
            <w:r w:rsidR="00AA5DAD">
              <w:rPr>
                <w:sz w:val="20"/>
                <w:szCs w:val="20"/>
              </w:rPr>
              <w:t xml:space="preserve">drink </w:t>
            </w:r>
            <w:r w:rsidRPr="00DC4C8E">
              <w:rPr>
                <w:sz w:val="20"/>
                <w:szCs w:val="20"/>
              </w:rPr>
              <w:t>A</w:t>
            </w:r>
            <w:r w:rsidR="00AA5DAD">
              <w:rPr>
                <w:sz w:val="20"/>
                <w:szCs w:val="20"/>
              </w:rPr>
              <w:t xml:space="preserve">lcohol </w:t>
            </w:r>
            <w:r w:rsidRPr="00DC4C8E">
              <w:rPr>
                <w:sz w:val="20"/>
                <w:szCs w:val="20"/>
              </w:rPr>
              <w:t>B</w:t>
            </w:r>
            <w:r w:rsidR="00AA5DAD">
              <w:rPr>
                <w:sz w:val="20"/>
                <w:szCs w:val="20"/>
              </w:rPr>
              <w:t xml:space="preserve">y </w:t>
            </w:r>
            <w:r w:rsidRPr="00DC4C8E">
              <w:rPr>
                <w:sz w:val="20"/>
                <w:szCs w:val="20"/>
              </w:rPr>
              <w:t>V</w:t>
            </w:r>
            <w:r w:rsidR="00AA5DAD">
              <w:rPr>
                <w:sz w:val="20"/>
                <w:szCs w:val="20"/>
              </w:rPr>
              <w:t xml:space="preserve">olume </w:t>
            </w:r>
            <w:r w:rsidRPr="00DC4C8E">
              <w:rPr>
                <w:sz w:val="20"/>
                <w:szCs w:val="20"/>
              </w:rPr>
              <w:t xml:space="preserve">% </w:t>
            </w:r>
            <w:r w:rsidR="00AA5DAD">
              <w:rPr>
                <w:sz w:val="20"/>
                <w:szCs w:val="20"/>
              </w:rPr>
              <w:t xml:space="preserve">(ABV%) </w:t>
            </w:r>
            <w:r w:rsidRPr="00DC4C8E">
              <w:rPr>
                <w:sz w:val="20"/>
                <w:szCs w:val="20"/>
              </w:rPr>
              <w:t xml:space="preserve">did occur </w:t>
            </w:r>
            <w:r w:rsidRPr="00DC4C8E">
              <w:rPr>
                <w:sz w:val="20"/>
                <w:szCs w:val="20"/>
              </w:rPr>
              <w:lastRenderedPageBreak/>
              <w:t xml:space="preserve">during the timescale of the project.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 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(iv) We suspended data collection during the festive period due to seasonal effects on alcohol sales and changes in NHS clinic times etc.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(i) RAs must use their experience and be sensitive to the context and </w:t>
            </w:r>
            <w:r w:rsidR="0078324F">
              <w:rPr>
                <w:sz w:val="20"/>
                <w:szCs w:val="20"/>
              </w:rPr>
              <w:t xml:space="preserve">to </w:t>
            </w:r>
            <w:r w:rsidRPr="00DC4C8E">
              <w:rPr>
                <w:sz w:val="20"/>
                <w:szCs w:val="20"/>
              </w:rPr>
              <w:t>the participant.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78324F" w:rsidRDefault="0078324F" w:rsidP="0094404B">
            <w:pPr>
              <w:rPr>
                <w:sz w:val="20"/>
                <w:szCs w:val="20"/>
              </w:rPr>
            </w:pPr>
          </w:p>
          <w:p w:rsidR="0078324F" w:rsidRDefault="0078324F" w:rsidP="0094404B">
            <w:pPr>
              <w:rPr>
                <w:sz w:val="20"/>
                <w:szCs w:val="20"/>
              </w:rPr>
            </w:pPr>
          </w:p>
          <w:p w:rsidR="00AA5DAD" w:rsidRPr="00DC4C8E" w:rsidRDefault="00AA5DAD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(ii) </w:t>
            </w:r>
            <w:r w:rsidR="0078324F">
              <w:rPr>
                <w:sz w:val="20"/>
                <w:szCs w:val="20"/>
              </w:rPr>
              <w:t>E</w:t>
            </w:r>
            <w:r w:rsidRPr="00DC4C8E">
              <w:rPr>
                <w:sz w:val="20"/>
                <w:szCs w:val="20"/>
              </w:rPr>
              <w:t>ssential to build in time for RA inactivity.</w:t>
            </w: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78324F" w:rsidRPr="00DC4C8E" w:rsidRDefault="0078324F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(iii) RA training should include extensive discussion of common beverage types, containers sizes and, importantly expected typical prices. Mock interviews were beneficial.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Continually check retailers and manufacturers websites to ensure that drinks data is current.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Pr="00DC4C8E" w:rsidRDefault="001A32C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AA5DAD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 </w:t>
            </w: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(iv) Implications for RA downtime.</w:t>
            </w: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lastRenderedPageBreak/>
              <w:t>Recruitment at baseline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Duplicate interviews e.g. a patient admitted due to an alcohol induced medical emergency (an inpatient) could be recruited a second time by a different interviewer when subsequently given a referral to a detox</w:t>
            </w:r>
            <w:r w:rsidR="00AA5DAD">
              <w:rPr>
                <w:sz w:val="20"/>
                <w:szCs w:val="20"/>
              </w:rPr>
              <w:t xml:space="preserve">ification </w:t>
            </w:r>
            <w:r w:rsidRPr="00DC4C8E">
              <w:rPr>
                <w:sz w:val="20"/>
                <w:szCs w:val="20"/>
              </w:rPr>
              <w:t xml:space="preserve"> service.</w:t>
            </w:r>
          </w:p>
        </w:tc>
        <w:tc>
          <w:tcPr>
            <w:tcW w:w="0" w:type="auto"/>
          </w:tcPr>
          <w:p w:rsidR="006F2457" w:rsidRPr="00DC4C8E" w:rsidRDefault="001A32C7" w:rsidP="0094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F2457" w:rsidRPr="00DC4C8E">
              <w:rPr>
                <w:sz w:val="20"/>
                <w:szCs w:val="20"/>
              </w:rPr>
              <w:t xml:space="preserve">ddressed at the cleaning of the database </w:t>
            </w:r>
            <w:r w:rsidR="006F2457" w:rsidRPr="001A32C7">
              <w:rPr>
                <w:sz w:val="20"/>
                <w:szCs w:val="20"/>
                <w:u w:val="single"/>
              </w:rPr>
              <w:t>before</w:t>
            </w:r>
            <w:r w:rsidR="006F2457" w:rsidRPr="00DC4C8E">
              <w:rPr>
                <w:sz w:val="20"/>
                <w:szCs w:val="20"/>
              </w:rPr>
              <w:t xml:space="preserve"> progression to follow-up.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F2457" w:rsidRPr="00DC4C8E" w:rsidRDefault="001A32C7" w:rsidP="0094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a</w:t>
            </w:r>
            <w:r w:rsidR="006F2457" w:rsidRPr="00DC4C8E">
              <w:rPr>
                <w:sz w:val="20"/>
                <w:szCs w:val="20"/>
              </w:rPr>
              <w:t xml:space="preserve">dministrative </w:t>
            </w:r>
            <w:r w:rsidR="00AA5DAD">
              <w:rPr>
                <w:sz w:val="20"/>
                <w:szCs w:val="20"/>
              </w:rPr>
              <w:t xml:space="preserve">support was crucial </w:t>
            </w:r>
            <w:r>
              <w:rPr>
                <w:sz w:val="20"/>
                <w:szCs w:val="20"/>
              </w:rPr>
              <w:t xml:space="preserve">to </w:t>
            </w:r>
            <w:r w:rsidR="00AA5DAD">
              <w:rPr>
                <w:sz w:val="20"/>
                <w:szCs w:val="20"/>
              </w:rPr>
              <w:t xml:space="preserve">permit </w:t>
            </w:r>
            <w:r>
              <w:rPr>
                <w:sz w:val="20"/>
                <w:szCs w:val="20"/>
              </w:rPr>
              <w:t>identif</w:t>
            </w:r>
            <w:r w:rsidR="00AA5DAD">
              <w:rPr>
                <w:sz w:val="20"/>
                <w:szCs w:val="20"/>
              </w:rPr>
              <w:t>ication of</w:t>
            </w:r>
            <w:r>
              <w:rPr>
                <w:sz w:val="20"/>
                <w:szCs w:val="20"/>
              </w:rPr>
              <w:t xml:space="preserve"> interview</w:t>
            </w:r>
            <w:r w:rsidR="006F2457" w:rsidRPr="00DC4C8E">
              <w:rPr>
                <w:sz w:val="20"/>
                <w:szCs w:val="20"/>
              </w:rPr>
              <w:t xml:space="preserve"> duplication and data entry errors. </w:t>
            </w:r>
            <w:r>
              <w:rPr>
                <w:sz w:val="20"/>
                <w:szCs w:val="20"/>
              </w:rPr>
              <w:t>Essential they follow</w:t>
            </w:r>
            <w:r w:rsidR="006F2457" w:rsidRPr="00DC4C8E">
              <w:rPr>
                <w:sz w:val="20"/>
                <w:szCs w:val="20"/>
              </w:rPr>
              <w:t xml:space="preserve"> identical training to RAs in relation to current drink types and prices</w:t>
            </w:r>
            <w:r>
              <w:rPr>
                <w:sz w:val="20"/>
                <w:szCs w:val="20"/>
              </w:rPr>
              <w:t xml:space="preserve"> etc</w:t>
            </w:r>
            <w:r w:rsidR="006F2457" w:rsidRPr="00DC4C8E">
              <w:rPr>
                <w:sz w:val="20"/>
                <w:szCs w:val="20"/>
              </w:rPr>
              <w:t xml:space="preserve">.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Requesting sufficient contact details to arrange follow-up interviews.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(i) No fixed address, temporary or emergency accommodation (homeless hostels), reliant on informal arrangements with friends or family.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1A32C7" w:rsidRDefault="001A32C7" w:rsidP="0094404B">
            <w:pPr>
              <w:rPr>
                <w:rFonts w:cs="Arial"/>
                <w:sz w:val="20"/>
                <w:szCs w:val="20"/>
              </w:rPr>
            </w:pPr>
          </w:p>
          <w:p w:rsidR="001A32C7" w:rsidRPr="00DC4C8E" w:rsidRDefault="001A32C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(ii) Reluctance to provide details of a secondary contact (e.g. close friend, relative, support worker).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 xml:space="preserve">(i) We recorded as much personal contact information as possible, some gave a support worker’s number, </w:t>
            </w:r>
            <w:r w:rsidR="00AA5DAD">
              <w:rPr>
                <w:rFonts w:cs="Arial"/>
                <w:sz w:val="20"/>
                <w:szCs w:val="20"/>
              </w:rPr>
              <w:t>o</w:t>
            </w:r>
            <w:r w:rsidR="001A32C7">
              <w:rPr>
                <w:rFonts w:cs="Arial"/>
                <w:sz w:val="20"/>
                <w:szCs w:val="20"/>
              </w:rPr>
              <w:t>thers</w:t>
            </w:r>
            <w:r w:rsidRPr="00DC4C8E">
              <w:rPr>
                <w:rFonts w:cs="Arial"/>
                <w:sz w:val="20"/>
                <w:szCs w:val="20"/>
              </w:rPr>
              <w:t xml:space="preserve"> suggested contact via their NHS treatment centre.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(ii) Assurance was given that this would be used as a last resort and there would be no mention of the nature of the study or discussion of personal information.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(i) Links could be made with treatment centres for re-contacting patients which may have a cost implication and must be considered prior to submission to the Ethical Approval Committee.  This would not aid re-contact</w:t>
            </w:r>
            <w:r w:rsidR="001A32C7">
              <w:rPr>
                <w:rFonts w:cs="Arial"/>
                <w:sz w:val="20"/>
                <w:szCs w:val="20"/>
              </w:rPr>
              <w:t>ing</w:t>
            </w:r>
            <w:r w:rsidRPr="00DC4C8E">
              <w:rPr>
                <w:rFonts w:cs="Arial"/>
                <w:sz w:val="20"/>
                <w:szCs w:val="20"/>
              </w:rPr>
              <w:t xml:space="preserve"> of participants not receiving treatment.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Contacting for follow-up interviews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(i) Frequently, mobile phones were switched off or </w:t>
            </w:r>
            <w:r w:rsidR="00AA5DAD">
              <w:rPr>
                <w:sz w:val="20"/>
                <w:szCs w:val="20"/>
              </w:rPr>
              <w:t>ra</w:t>
            </w:r>
            <w:r w:rsidRPr="00DC4C8E">
              <w:rPr>
                <w:sz w:val="20"/>
                <w:szCs w:val="20"/>
              </w:rPr>
              <w:t xml:space="preserve">ng out.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1A32C7" w:rsidRPr="00DC4C8E" w:rsidRDefault="001A32C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Telephone numbers unavailable/participants had changed contact details.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Pr="00DC4C8E" w:rsidRDefault="001A32C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(iii) Attrition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A57D70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(iv) </w:t>
            </w:r>
            <w:r w:rsidR="00A57D70">
              <w:rPr>
                <w:sz w:val="20"/>
                <w:szCs w:val="20"/>
              </w:rPr>
              <w:t>Contact details for participants who die during the course of the study.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(i) </w:t>
            </w:r>
            <w:r w:rsidR="001A32C7">
              <w:rPr>
                <w:sz w:val="20"/>
                <w:szCs w:val="20"/>
              </w:rPr>
              <w:t>U</w:t>
            </w:r>
            <w:r w:rsidRPr="00DC4C8E">
              <w:rPr>
                <w:sz w:val="20"/>
                <w:szCs w:val="20"/>
              </w:rPr>
              <w:t>nanswered calls</w:t>
            </w:r>
            <w:r w:rsidR="00E51997">
              <w:rPr>
                <w:sz w:val="20"/>
                <w:szCs w:val="20"/>
              </w:rPr>
              <w:t xml:space="preserve"> were </w:t>
            </w:r>
            <w:r w:rsidRPr="00DC4C8E">
              <w:rPr>
                <w:sz w:val="20"/>
                <w:szCs w:val="20"/>
              </w:rPr>
              <w:t xml:space="preserve">immediately followed by discrete text messages.  Mobile phone voice messages </w:t>
            </w:r>
            <w:r w:rsidR="00AA5DAD">
              <w:rPr>
                <w:sz w:val="20"/>
                <w:szCs w:val="20"/>
              </w:rPr>
              <w:t xml:space="preserve">were </w:t>
            </w:r>
            <w:r w:rsidRPr="00DC4C8E">
              <w:rPr>
                <w:sz w:val="20"/>
                <w:szCs w:val="20"/>
              </w:rPr>
              <w:t xml:space="preserve">avoided as charges can be applied to collect them. Up to three calls followed by text messages were made before trying </w:t>
            </w:r>
            <w:r w:rsidR="001A32C7">
              <w:rPr>
                <w:sz w:val="20"/>
                <w:szCs w:val="20"/>
              </w:rPr>
              <w:t>alternative approach</w:t>
            </w:r>
            <w:r w:rsidRPr="00DC4C8E">
              <w:rPr>
                <w:sz w:val="20"/>
                <w:szCs w:val="20"/>
              </w:rPr>
              <w:t>, usually letter.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(ii)Where phone contact failed, participants were sent letters, reply forms and </w:t>
            </w:r>
            <w:r w:rsidRPr="00DC4C8E">
              <w:rPr>
                <w:sz w:val="20"/>
                <w:szCs w:val="20"/>
              </w:rPr>
              <w:lastRenderedPageBreak/>
              <w:t>envelopes plus full contact details of the RA so they could indicate willingness to continue participation and provide new contact details if relevant.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A maximum of 3 letters were posted (in line with our ethical approval) and if still no response, we called/wrote to their secondary contact where available.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Some participants additionally provided an email addresses.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(iii) A project update communication including a reply form and envelope for updated contact details, was posted to all participants before the first follow-up interviews began. 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Following the completion of the baseline interview and before any attempt to re-interview participants was made, RAs noted anything which could be addressed which might decrease the risk of loss to follow-up; e.g. considering mobility or anxiety e.g. travelling alone.</w:t>
            </w:r>
          </w:p>
          <w:p w:rsidR="00E51997" w:rsidRDefault="00E5199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A57D70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(iv) </w:t>
            </w:r>
            <w:r w:rsidR="00A57D70">
              <w:rPr>
                <w:sz w:val="20"/>
                <w:szCs w:val="20"/>
              </w:rPr>
              <w:t>Established link with</w:t>
            </w:r>
            <w:r w:rsidRPr="00DC4C8E">
              <w:rPr>
                <w:sz w:val="20"/>
                <w:szCs w:val="20"/>
              </w:rPr>
              <w:t xml:space="preserve"> NHS Central Records (Scotland)</w:t>
            </w:r>
            <w:r w:rsidR="00A57D70">
              <w:rPr>
                <w:sz w:val="20"/>
                <w:szCs w:val="20"/>
              </w:rPr>
              <w:t xml:space="preserve"> to receive concurrent notifications and so minimise risk of causing distress</w:t>
            </w:r>
            <w:r w:rsidRPr="00DC4C8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(i) </w:t>
            </w:r>
            <w:r w:rsidR="001A32C7">
              <w:rPr>
                <w:sz w:val="20"/>
                <w:szCs w:val="20"/>
              </w:rPr>
              <w:t>Project costs should anticipate</w:t>
            </w:r>
            <w:r w:rsidRPr="00DC4C8E">
              <w:rPr>
                <w:sz w:val="20"/>
                <w:szCs w:val="20"/>
              </w:rPr>
              <w:t xml:space="preserve"> expense of multiple calls/texts and postal/stationery costs for further contact attempts, in addition to administrative time</w:t>
            </w:r>
            <w:r w:rsidR="001A32C7">
              <w:rPr>
                <w:sz w:val="20"/>
                <w:szCs w:val="20"/>
              </w:rPr>
              <w:t>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Pr="00DC4C8E" w:rsidRDefault="001A32C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It is recommended that as much contact information as possible is recorded at original interview.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These measure incurred a significant cost.  Email provided a cheap method of contact but not available to all participants. 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A5DAD" w:rsidRDefault="00AA5DAD" w:rsidP="0094404B">
            <w:pPr>
              <w:rPr>
                <w:sz w:val="20"/>
                <w:szCs w:val="20"/>
              </w:rPr>
            </w:pPr>
          </w:p>
          <w:p w:rsidR="00AA5DAD" w:rsidRPr="00DC4C8E" w:rsidRDefault="00AA5DAD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(iii) Special consideration may be required for some participants such as extra transport costs (taxis, additional </w:t>
            </w:r>
            <w:r w:rsidR="00AA5DAD">
              <w:rPr>
                <w:sz w:val="20"/>
                <w:szCs w:val="20"/>
              </w:rPr>
              <w:t xml:space="preserve">accompanying </w:t>
            </w:r>
            <w:r w:rsidRPr="00DC4C8E">
              <w:rPr>
                <w:sz w:val="20"/>
                <w:szCs w:val="20"/>
              </w:rPr>
              <w:t>person).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1A32C7" w:rsidRDefault="001A32C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57D70" w:rsidRPr="00DC4C8E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(iv) We recommend that this link is established. When considering ethical permission, researchers should anticipate what information is needed for identifying participants to link with death records.</w:t>
            </w: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lastRenderedPageBreak/>
              <w:t xml:space="preserve">Conduct of second </w:t>
            </w:r>
            <w:r w:rsidRPr="00DC4C8E">
              <w:rPr>
                <w:rFonts w:cs="Arial"/>
                <w:sz w:val="20"/>
                <w:szCs w:val="20"/>
              </w:rPr>
              <w:lastRenderedPageBreak/>
              <w:t>interview (face-to-face)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>(i) Convenience of locations for interview.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A57D70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 </w:t>
            </w: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</w:t>
            </w:r>
            <w:r w:rsidR="00A57D70">
              <w:rPr>
                <w:sz w:val="20"/>
                <w:szCs w:val="20"/>
              </w:rPr>
              <w:t>Participant d</w:t>
            </w:r>
            <w:r w:rsidRPr="00DC4C8E">
              <w:rPr>
                <w:sz w:val="20"/>
                <w:szCs w:val="20"/>
              </w:rPr>
              <w:t>id not attend (DNA)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57D70" w:rsidRPr="00DC4C8E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(iii) RA safety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(i) </w:t>
            </w:r>
            <w:r w:rsidR="00A57D70">
              <w:rPr>
                <w:sz w:val="20"/>
                <w:szCs w:val="20"/>
              </w:rPr>
              <w:t>Choice offered</w:t>
            </w:r>
            <w:r w:rsidRPr="00DC4C8E">
              <w:rPr>
                <w:sz w:val="20"/>
                <w:szCs w:val="20"/>
              </w:rPr>
              <w:t xml:space="preserve">: some original recruitment </w:t>
            </w:r>
            <w:r w:rsidRPr="00DC4C8E">
              <w:rPr>
                <w:sz w:val="20"/>
                <w:szCs w:val="20"/>
              </w:rPr>
              <w:lastRenderedPageBreak/>
              <w:t>sites, research clinics and community substance misuse premises.</w:t>
            </w:r>
            <w:r w:rsidR="00A57D70">
              <w:rPr>
                <w:sz w:val="20"/>
                <w:szCs w:val="20"/>
              </w:rPr>
              <w:t xml:space="preserve"> Distribution of postcodes from baseline sample influenced choices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Reminder text or call made day before the interview.  All DNAs were contacted by text and/or call at the time and later followed up.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092622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(iii) Rarely, additional safety considerations were required e.g. due to aggressive behaviour</w:t>
            </w:r>
            <w:r w:rsidR="00A57D70">
              <w:rPr>
                <w:sz w:val="20"/>
                <w:szCs w:val="20"/>
              </w:rPr>
              <w:t xml:space="preserve">. </w:t>
            </w:r>
            <w:r w:rsidR="00092622">
              <w:rPr>
                <w:sz w:val="20"/>
                <w:szCs w:val="20"/>
              </w:rPr>
              <w:t>Consequently t</w:t>
            </w:r>
            <w:r w:rsidRPr="00DC4C8E">
              <w:rPr>
                <w:sz w:val="20"/>
                <w:szCs w:val="20"/>
              </w:rPr>
              <w:t>elephone interview was conducted</w:t>
            </w:r>
            <w:r w:rsidR="00A57D70">
              <w:rPr>
                <w:sz w:val="20"/>
                <w:szCs w:val="20"/>
              </w:rPr>
              <w:t>. I</w:t>
            </w:r>
            <w:r w:rsidRPr="00DC4C8E">
              <w:rPr>
                <w:sz w:val="20"/>
                <w:szCs w:val="20"/>
              </w:rPr>
              <w:t xml:space="preserve">n one instance, arrangements were made for a male member of the research team to be present </w:t>
            </w:r>
            <w:r w:rsidR="00A57D70">
              <w:rPr>
                <w:sz w:val="20"/>
                <w:szCs w:val="20"/>
              </w:rPr>
              <w:t>at</w:t>
            </w:r>
            <w:r w:rsidRPr="00DC4C8E">
              <w:rPr>
                <w:sz w:val="20"/>
                <w:szCs w:val="20"/>
              </w:rPr>
              <w:t xml:space="preserve"> interview.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lastRenderedPageBreak/>
              <w:t xml:space="preserve">(i) Maintain rapport with staff at original recruitment </w:t>
            </w:r>
            <w:r w:rsidRPr="00DC4C8E">
              <w:rPr>
                <w:sz w:val="20"/>
                <w:szCs w:val="20"/>
              </w:rPr>
              <w:lastRenderedPageBreak/>
              <w:t>sites plus capitalise on these networks to build links with other clinics and treatment centres.  Additional sites involved greater travel and time costs for RAs.</w:t>
            </w: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Pr="00DC4C8E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This again had implications for RA time and occupied clinic space unnecessarily.</w:t>
            </w: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57D70" w:rsidRPr="00DC4C8E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(iii) In addition to normal health and safety procedures, personal alarms were purchased.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lastRenderedPageBreak/>
              <w:t>Follow-up interviews by telephone</w:t>
            </w:r>
          </w:p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>(interviews 3 &amp; 4)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(i) Requirement to improve participant retention.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A57D70" w:rsidP="0094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F2457" w:rsidRPr="00DC4C8E">
              <w:rPr>
                <w:sz w:val="20"/>
                <w:szCs w:val="20"/>
              </w:rPr>
              <w:t>ii) (Similar to face-to-face interviews</w:t>
            </w:r>
            <w:r>
              <w:rPr>
                <w:sz w:val="20"/>
                <w:szCs w:val="20"/>
              </w:rPr>
              <w:t>,</w:t>
            </w:r>
            <w:r w:rsidR="006F2457" w:rsidRPr="00DC4C8E">
              <w:rPr>
                <w:sz w:val="20"/>
                <w:szCs w:val="20"/>
              </w:rPr>
              <w:t xml:space="preserve"> DNA was an issue and our approach was as described above).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092622" w:rsidRDefault="00092622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(iii) Judging if participants were under the influence of alcohol difficult.  Participants could report drinking or use of illicit substances.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(iv) A small number of participants were distressed when contacted by phone.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57D70" w:rsidRDefault="00A57D70" w:rsidP="0094404B">
            <w:pPr>
              <w:rPr>
                <w:sz w:val="20"/>
                <w:szCs w:val="20"/>
              </w:rPr>
            </w:pPr>
          </w:p>
          <w:p w:rsidR="00A57D70" w:rsidRPr="00DC4C8E" w:rsidRDefault="00A57D70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092622" w:rsidRPr="00DC4C8E" w:rsidRDefault="00092622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(v) Confirming the identity of the person answering the phone call. 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E51997" w:rsidRDefault="00E51997" w:rsidP="00C1526D">
            <w:pPr>
              <w:rPr>
                <w:sz w:val="20"/>
                <w:szCs w:val="20"/>
              </w:rPr>
            </w:pPr>
          </w:p>
          <w:p w:rsidR="006F2457" w:rsidRPr="00DC4C8E" w:rsidRDefault="006F2457" w:rsidP="00092622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(vi) Some participants </w:t>
            </w:r>
            <w:r w:rsidR="00C1526D">
              <w:rPr>
                <w:sz w:val="20"/>
                <w:szCs w:val="20"/>
              </w:rPr>
              <w:t>clearly</w:t>
            </w:r>
            <w:r w:rsidRPr="00DC4C8E">
              <w:rPr>
                <w:sz w:val="20"/>
                <w:szCs w:val="20"/>
              </w:rPr>
              <w:t xml:space="preserve"> not alone when an interview was arranged</w:t>
            </w:r>
            <w:r w:rsidR="00092622">
              <w:rPr>
                <w:sz w:val="20"/>
                <w:szCs w:val="20"/>
              </w:rPr>
              <w:t>. This</w:t>
            </w:r>
            <w:r w:rsidR="00C1526D">
              <w:rPr>
                <w:sz w:val="20"/>
                <w:szCs w:val="20"/>
              </w:rPr>
              <w:t xml:space="preserve"> could</w:t>
            </w:r>
            <w:r w:rsidRPr="00DC4C8E">
              <w:rPr>
                <w:sz w:val="20"/>
                <w:szCs w:val="20"/>
              </w:rPr>
              <w:t xml:space="preserve"> influence their attitude towards the researcher and their responses to the questionnaire.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(i) Interviews 3 &amp; 4 were changed from face-to-face to telephone only, reducing the time and effort of participants required to travel to interview locations.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E51997" w:rsidRDefault="00E5199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(iii) RAs used their discretion whether </w:t>
            </w:r>
            <w:r w:rsidR="00A57D70">
              <w:rPr>
                <w:sz w:val="20"/>
                <w:szCs w:val="20"/>
              </w:rPr>
              <w:t xml:space="preserve">or not </w:t>
            </w:r>
            <w:r w:rsidRPr="00DC4C8E">
              <w:rPr>
                <w:sz w:val="20"/>
                <w:szCs w:val="20"/>
              </w:rPr>
              <w:t xml:space="preserve">to initiate or continue an interview. 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(iv) Distressed participants not interviewed.  RAs offered assistance in the form of suitable contact numbers (treatment clinics, helplines etc.). RAs contacted services on a participant’s behalf.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(v) Security questions were </w:t>
            </w:r>
            <w:r w:rsidR="00C1526D">
              <w:rPr>
                <w:sz w:val="20"/>
                <w:szCs w:val="20"/>
              </w:rPr>
              <w:t>always aske</w:t>
            </w:r>
            <w:r w:rsidRPr="00DC4C8E">
              <w:rPr>
                <w:sz w:val="20"/>
                <w:szCs w:val="20"/>
              </w:rPr>
              <w:t>d</w:t>
            </w:r>
            <w:r w:rsidR="00C1526D">
              <w:rPr>
                <w:sz w:val="20"/>
                <w:szCs w:val="20"/>
              </w:rPr>
              <w:t>. If</w:t>
            </w:r>
            <w:r w:rsidRPr="00DC4C8E">
              <w:rPr>
                <w:sz w:val="20"/>
                <w:szCs w:val="20"/>
              </w:rPr>
              <w:t xml:space="preserve"> RA was sceptical the interview did not take place.</w:t>
            </w:r>
          </w:p>
          <w:p w:rsidR="00092622" w:rsidRDefault="00092622" w:rsidP="0094404B">
            <w:pPr>
              <w:rPr>
                <w:sz w:val="20"/>
                <w:szCs w:val="20"/>
              </w:rPr>
            </w:pPr>
          </w:p>
          <w:p w:rsidR="00E51997" w:rsidRPr="00DC4C8E" w:rsidRDefault="00E5199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(vi) RAs requested that </w:t>
            </w:r>
            <w:r w:rsidR="00092622">
              <w:rPr>
                <w:sz w:val="20"/>
                <w:szCs w:val="20"/>
              </w:rPr>
              <w:t>interview be</w:t>
            </w:r>
            <w:r w:rsidRPr="00DC4C8E">
              <w:rPr>
                <w:sz w:val="20"/>
                <w:szCs w:val="20"/>
              </w:rPr>
              <w:t xml:space="preserve"> rearranged.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(i) Reduced participant expenses and improved efficiency of RA time.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A57D70" w:rsidRPr="00DC4C8E" w:rsidRDefault="00A57D70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Cost and time implications from repeated phone calls must be factored</w:t>
            </w:r>
            <w:r w:rsidR="00092622">
              <w:rPr>
                <w:sz w:val="20"/>
                <w:szCs w:val="20"/>
              </w:rPr>
              <w:t xml:space="preserve"> in</w:t>
            </w:r>
            <w:r w:rsidRPr="00DC4C8E">
              <w:rPr>
                <w:sz w:val="20"/>
                <w:szCs w:val="20"/>
              </w:rPr>
              <w:t>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E51997" w:rsidRDefault="00E5199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(iii) RAs w</w:t>
            </w:r>
            <w:r w:rsidR="00092622">
              <w:rPr>
                <w:sz w:val="20"/>
                <w:szCs w:val="20"/>
              </w:rPr>
              <w:t xml:space="preserve">ho have </w:t>
            </w:r>
            <w:r w:rsidRPr="00DC4C8E">
              <w:rPr>
                <w:sz w:val="20"/>
                <w:szCs w:val="20"/>
              </w:rPr>
              <w:t xml:space="preserve"> experience of the setting is important.  Time must be allowed for failed interviews and attempts to re-interview.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(iv) RAs must have appropriate contact details and be prepared to contact services directly (including emergency).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</w:tr>
      <w:tr w:rsidR="00A57D70" w:rsidRPr="00DC4C8E" w:rsidTr="0094404B">
        <w:tc>
          <w:tcPr>
            <w:tcW w:w="0" w:type="auto"/>
          </w:tcPr>
          <w:p w:rsidR="006F2457" w:rsidRPr="00DC4C8E" w:rsidRDefault="006F2457" w:rsidP="0094404B">
            <w:pPr>
              <w:rPr>
                <w:rFonts w:cs="Arial"/>
                <w:sz w:val="20"/>
                <w:szCs w:val="20"/>
              </w:rPr>
            </w:pPr>
            <w:r w:rsidRPr="00DC4C8E">
              <w:rPr>
                <w:rFonts w:cs="Arial"/>
                <w:sz w:val="20"/>
                <w:szCs w:val="20"/>
              </w:rPr>
              <w:t xml:space="preserve">Payments to participants </w:t>
            </w: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(i) Travel costs for face-to-face follow-up interviews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C1526D" w:rsidRDefault="00C1526D" w:rsidP="0094404B">
            <w:pPr>
              <w:rPr>
                <w:sz w:val="20"/>
                <w:szCs w:val="20"/>
              </w:rPr>
            </w:pPr>
          </w:p>
          <w:p w:rsidR="00C1526D" w:rsidRDefault="00C1526D" w:rsidP="0094404B">
            <w:pPr>
              <w:rPr>
                <w:sz w:val="20"/>
                <w:szCs w:val="20"/>
              </w:rPr>
            </w:pPr>
          </w:p>
          <w:p w:rsidR="00C1526D" w:rsidRPr="00DC4C8E" w:rsidRDefault="00C1526D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Financial incentive to address attrition.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(i) Public transport costs were reimbursed.  Additional costs (taxis) for those who would find accessing public transport difficult or additional fares for those requiring travel companions.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 xml:space="preserve">(ii) £10.00 vouchers. The voucher took the form of a card activated once the RA informed the study administrator.  This method avoided the RAs carrying money on their person.   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(i) Implications for project costing.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Default="006F2457" w:rsidP="0094404B">
            <w:pPr>
              <w:rPr>
                <w:sz w:val="20"/>
                <w:szCs w:val="20"/>
              </w:rPr>
            </w:pPr>
          </w:p>
          <w:p w:rsidR="00C1526D" w:rsidRDefault="00C1526D" w:rsidP="0094404B">
            <w:pPr>
              <w:rPr>
                <w:sz w:val="20"/>
                <w:szCs w:val="20"/>
              </w:rPr>
            </w:pPr>
          </w:p>
          <w:p w:rsidR="00C1526D" w:rsidRPr="00DC4C8E" w:rsidRDefault="00C1526D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  <w:r w:rsidRPr="00DC4C8E">
              <w:rPr>
                <w:sz w:val="20"/>
                <w:szCs w:val="20"/>
              </w:rPr>
              <w:t>(ii) Had all participants completed all interviews the total cost of the vouchers would have been £25,760.</w:t>
            </w: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  <w:p w:rsidR="006F2457" w:rsidRPr="00DC4C8E" w:rsidRDefault="006F2457" w:rsidP="0094404B">
            <w:pPr>
              <w:rPr>
                <w:sz w:val="20"/>
                <w:szCs w:val="20"/>
              </w:rPr>
            </w:pPr>
          </w:p>
        </w:tc>
      </w:tr>
    </w:tbl>
    <w:p w:rsidR="006F2457" w:rsidRDefault="006F2457" w:rsidP="006F2457"/>
    <w:p w:rsidR="006F2457" w:rsidRDefault="006F2457" w:rsidP="006F2457">
      <w:pPr>
        <w:spacing w:line="240" w:lineRule="auto"/>
        <w:rPr>
          <w:b/>
          <w:sz w:val="24"/>
          <w:szCs w:val="24"/>
        </w:rPr>
      </w:pPr>
    </w:p>
    <w:p w:rsidR="006F2457" w:rsidRDefault="006F2457" w:rsidP="006F2457">
      <w:pPr>
        <w:spacing w:line="240" w:lineRule="auto"/>
        <w:rPr>
          <w:b/>
          <w:sz w:val="24"/>
          <w:szCs w:val="24"/>
        </w:rPr>
      </w:pPr>
    </w:p>
    <w:p w:rsidR="006F2457" w:rsidRDefault="006F2457" w:rsidP="006F2457">
      <w:pPr>
        <w:spacing w:line="240" w:lineRule="auto"/>
        <w:rPr>
          <w:b/>
          <w:sz w:val="24"/>
          <w:szCs w:val="24"/>
        </w:rPr>
      </w:pPr>
    </w:p>
    <w:p w:rsidR="008C504F" w:rsidRDefault="008C504F" w:rsidP="008C504F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8C504F" w:rsidRPr="00A21D59" w:rsidRDefault="008C504F" w:rsidP="008C504F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8C504F" w:rsidRPr="005E3E35" w:rsidRDefault="008C504F" w:rsidP="008C504F">
      <w:pPr>
        <w:spacing w:line="480" w:lineRule="auto"/>
        <w:rPr>
          <w:rFonts w:cs="Arial"/>
          <w:sz w:val="24"/>
          <w:szCs w:val="24"/>
        </w:rPr>
      </w:pPr>
    </w:p>
    <w:p w:rsidR="00A5771C" w:rsidRDefault="00A5771C" w:rsidP="00A5771C"/>
    <w:sectPr w:rsidR="00A57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C"/>
    <w:rsid w:val="00092622"/>
    <w:rsid w:val="001A32C7"/>
    <w:rsid w:val="00244504"/>
    <w:rsid w:val="0042164D"/>
    <w:rsid w:val="006F2457"/>
    <w:rsid w:val="0078324F"/>
    <w:rsid w:val="007D6499"/>
    <w:rsid w:val="008A7198"/>
    <w:rsid w:val="008C504F"/>
    <w:rsid w:val="00A5771C"/>
    <w:rsid w:val="00A57D70"/>
    <w:rsid w:val="00A97497"/>
    <w:rsid w:val="00AA5DAD"/>
    <w:rsid w:val="00AE2932"/>
    <w:rsid w:val="00C1526D"/>
    <w:rsid w:val="00E51997"/>
    <w:rsid w:val="00F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0711C-D611-4250-A6B8-C9A5B37E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Jan</dc:creator>
  <cp:lastModifiedBy>Gibson, Lyn</cp:lastModifiedBy>
  <cp:revision>2</cp:revision>
  <dcterms:created xsi:type="dcterms:W3CDTF">2016-12-05T14:18:00Z</dcterms:created>
  <dcterms:modified xsi:type="dcterms:W3CDTF">2016-12-05T14:18:00Z</dcterms:modified>
</cp:coreProperties>
</file>