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558D" w14:textId="77777777" w:rsidR="00AA35DC" w:rsidRPr="00E952C1" w:rsidRDefault="00AA35DC" w:rsidP="00E14EEE">
      <w:pPr>
        <w:pStyle w:val="Heading1"/>
      </w:pPr>
      <w:bookmarkStart w:id="0" w:name="_GoBack"/>
      <w:bookmarkEnd w:id="0"/>
      <w:r w:rsidRPr="00E952C1">
        <w:t xml:space="preserve">Social networking sites and employment status: an investigation based on </w:t>
      </w:r>
      <w:r w:rsidRPr="00E952C1">
        <w:rPr>
          <w:i/>
        </w:rPr>
        <w:t>Understanding Society</w:t>
      </w:r>
      <w:r w:rsidRPr="00E952C1">
        <w:t xml:space="preserve"> data</w:t>
      </w:r>
    </w:p>
    <w:p w14:paraId="12C8E97A" w14:textId="77777777" w:rsidR="00517A64" w:rsidRPr="00E952C1" w:rsidRDefault="00517A64" w:rsidP="004B2F7A">
      <w:pPr>
        <w:pStyle w:val="Heading3"/>
        <w:spacing w:line="360" w:lineRule="auto"/>
        <w:rPr>
          <w:sz w:val="24"/>
        </w:rPr>
      </w:pPr>
      <w:r w:rsidRPr="00E952C1">
        <w:rPr>
          <w:sz w:val="24"/>
        </w:rPr>
        <w:t>By John Mowbray, Robert Raeside, Hazel Hall, and Peter Robertson</w:t>
      </w:r>
      <w:r w:rsidR="004B2F7A" w:rsidRPr="00E952C1">
        <w:rPr>
          <w:sz w:val="24"/>
        </w:rPr>
        <w:t>, Edinburgh Napier University</w:t>
      </w:r>
    </w:p>
    <w:p w14:paraId="40B1AC56" w14:textId="77777777" w:rsidR="00C748B5" w:rsidRPr="00E952C1" w:rsidRDefault="00B84583" w:rsidP="00D83F2F">
      <w:pPr>
        <w:pStyle w:val="Heading1"/>
      </w:pPr>
      <w:r w:rsidRPr="00E952C1">
        <w:t>Introduction</w:t>
      </w:r>
    </w:p>
    <w:p w14:paraId="7B2D2FDD" w14:textId="77777777" w:rsidR="00AA35DC" w:rsidRPr="00E952C1" w:rsidRDefault="008533C1" w:rsidP="006F1F6A">
      <w:pPr>
        <w:spacing w:after="280" w:line="480" w:lineRule="auto"/>
        <w:jc w:val="both"/>
        <w:rPr>
          <w:rFonts w:ascii="Arial" w:hAnsi="Arial" w:cs="Arial"/>
        </w:rPr>
      </w:pPr>
      <w:r w:rsidRPr="00E952C1">
        <w:rPr>
          <w:rFonts w:ascii="Arial" w:hAnsi="Arial" w:cs="Arial"/>
        </w:rPr>
        <w:t>This paper provides</w:t>
      </w:r>
      <w:r w:rsidR="009A75B3" w:rsidRPr="00E952C1">
        <w:rPr>
          <w:rFonts w:ascii="Arial" w:hAnsi="Arial" w:cs="Arial"/>
        </w:rPr>
        <w:t xml:space="preserve"> an analysis of</w:t>
      </w:r>
      <w:r w:rsidR="00AA35DC" w:rsidRPr="00E952C1">
        <w:rPr>
          <w:rFonts w:ascii="Arial" w:hAnsi="Arial" w:cs="Arial"/>
        </w:rPr>
        <w:t xml:space="preserve"> </w:t>
      </w:r>
      <w:r w:rsidR="00CB5E71" w:rsidRPr="00E952C1">
        <w:rPr>
          <w:rFonts w:ascii="Arial" w:hAnsi="Arial" w:cs="Arial"/>
        </w:rPr>
        <w:t>secondary data</w:t>
      </w:r>
      <w:r w:rsidR="00AA35DC" w:rsidRPr="00E952C1">
        <w:rPr>
          <w:rFonts w:ascii="Arial" w:hAnsi="Arial" w:cs="Arial"/>
        </w:rPr>
        <w:t xml:space="preserve"> derived from the 2012 </w:t>
      </w:r>
      <w:r w:rsidR="00AA35DC" w:rsidRPr="00E952C1">
        <w:rPr>
          <w:rFonts w:ascii="Arial" w:hAnsi="Arial" w:cs="Arial"/>
          <w:i/>
        </w:rPr>
        <w:t>Understanding Society: The</w:t>
      </w:r>
      <w:r w:rsidR="00882D39" w:rsidRPr="00E952C1">
        <w:rPr>
          <w:rFonts w:ascii="Arial" w:hAnsi="Arial" w:cs="Arial"/>
          <w:i/>
        </w:rPr>
        <w:t xml:space="preserve"> UK household longitudinal study</w:t>
      </w:r>
      <w:r w:rsidR="00882D39" w:rsidRPr="00E952C1">
        <w:rPr>
          <w:rStyle w:val="FootnoteReference"/>
          <w:rFonts w:ascii="Arial" w:hAnsi="Arial" w:cs="Arial"/>
        </w:rPr>
        <w:footnoteReference w:id="1"/>
      </w:r>
      <w:r w:rsidRPr="00E952C1">
        <w:rPr>
          <w:rFonts w:ascii="Arial" w:hAnsi="Arial" w:cs="Arial"/>
        </w:rPr>
        <w:t xml:space="preserve"> </w:t>
      </w:r>
      <w:r w:rsidR="00AA35DC" w:rsidRPr="00E952C1">
        <w:rPr>
          <w:rFonts w:ascii="Arial" w:hAnsi="Arial" w:cs="Arial"/>
        </w:rPr>
        <w:t>relate</w:t>
      </w:r>
      <w:r w:rsidR="00751E78" w:rsidRPr="00E952C1">
        <w:rPr>
          <w:rFonts w:ascii="Arial" w:hAnsi="Arial" w:cs="Arial"/>
        </w:rPr>
        <w:t>d</w:t>
      </w:r>
      <w:r w:rsidR="00AA35DC" w:rsidRPr="00E952C1">
        <w:rPr>
          <w:rFonts w:ascii="Arial" w:hAnsi="Arial" w:cs="Arial"/>
        </w:rPr>
        <w:t xml:space="preserve"> to the use of </w:t>
      </w:r>
      <w:r w:rsidR="00CB5E71" w:rsidRPr="00E952C1">
        <w:rPr>
          <w:rFonts w:ascii="Arial" w:hAnsi="Arial" w:cs="Arial"/>
        </w:rPr>
        <w:t>s</w:t>
      </w:r>
      <w:r w:rsidR="00AA35DC" w:rsidRPr="00E952C1">
        <w:rPr>
          <w:rFonts w:ascii="Arial" w:hAnsi="Arial" w:cs="Arial"/>
        </w:rPr>
        <w:t xml:space="preserve">ocial </w:t>
      </w:r>
      <w:r w:rsidR="00CB5E71" w:rsidRPr="00E952C1">
        <w:rPr>
          <w:rFonts w:ascii="Arial" w:hAnsi="Arial" w:cs="Arial"/>
        </w:rPr>
        <w:t>networking s</w:t>
      </w:r>
      <w:r w:rsidR="00AA35DC" w:rsidRPr="00E952C1">
        <w:rPr>
          <w:rFonts w:ascii="Arial" w:hAnsi="Arial" w:cs="Arial"/>
        </w:rPr>
        <w:t>ites</w:t>
      </w:r>
      <w:r w:rsidR="00CB5E71" w:rsidRPr="00E952C1">
        <w:rPr>
          <w:rFonts w:ascii="Arial" w:hAnsi="Arial" w:cs="Arial"/>
        </w:rPr>
        <w:t xml:space="preserve"> (SNSs) amongst 16-21 year olds.</w:t>
      </w:r>
      <w:r w:rsidR="00AA35DC" w:rsidRPr="00E952C1">
        <w:rPr>
          <w:rFonts w:ascii="Arial" w:hAnsi="Arial" w:cs="Arial"/>
        </w:rPr>
        <w:t xml:space="preserve"> </w:t>
      </w:r>
      <w:r w:rsidR="00CB5E71" w:rsidRPr="00E952C1">
        <w:rPr>
          <w:rFonts w:ascii="Arial" w:hAnsi="Arial" w:cs="Arial"/>
        </w:rPr>
        <w:t xml:space="preserve">The key purpose is to determine the relationship between employment status and the use of SNSs. However, other key variables </w:t>
      </w:r>
      <w:r w:rsidR="00AA35DC" w:rsidRPr="00E952C1">
        <w:rPr>
          <w:rFonts w:ascii="Arial" w:hAnsi="Arial" w:cs="Arial"/>
        </w:rPr>
        <w:t xml:space="preserve">cited in the extant literature pertaining </w:t>
      </w:r>
      <w:r w:rsidR="00CB5E71" w:rsidRPr="00E952C1">
        <w:rPr>
          <w:rFonts w:ascii="Arial" w:hAnsi="Arial" w:cs="Arial"/>
        </w:rPr>
        <w:t>to th</w:t>
      </w:r>
      <w:r w:rsidR="00751E78" w:rsidRPr="00E952C1">
        <w:rPr>
          <w:rFonts w:ascii="Arial" w:hAnsi="Arial" w:cs="Arial"/>
        </w:rPr>
        <w:t>e adoption of SNSs are also considered</w:t>
      </w:r>
      <w:r w:rsidR="00AA35DC" w:rsidRPr="00E952C1">
        <w:rPr>
          <w:rFonts w:ascii="Arial" w:hAnsi="Arial" w:cs="Arial"/>
        </w:rPr>
        <w:t xml:space="preserve">. </w:t>
      </w:r>
      <w:r w:rsidR="009A75B3" w:rsidRPr="00E952C1">
        <w:rPr>
          <w:rFonts w:ascii="Arial" w:hAnsi="Arial" w:cs="Arial"/>
        </w:rPr>
        <w:t>The results of the</w:t>
      </w:r>
      <w:r w:rsidR="00AA35DC" w:rsidRPr="00E952C1">
        <w:rPr>
          <w:rFonts w:ascii="Arial" w:hAnsi="Arial" w:cs="Arial"/>
        </w:rPr>
        <w:t xml:space="preserve"> analysis are then used as </w:t>
      </w:r>
      <w:r w:rsidR="00CB5E71" w:rsidRPr="00E952C1">
        <w:rPr>
          <w:rFonts w:ascii="Arial" w:hAnsi="Arial" w:cs="Arial"/>
        </w:rPr>
        <w:t>a</w:t>
      </w:r>
      <w:r w:rsidR="00AA35DC" w:rsidRPr="00E952C1">
        <w:rPr>
          <w:rFonts w:ascii="Arial" w:hAnsi="Arial" w:cs="Arial"/>
        </w:rPr>
        <w:t xml:space="preserve"> basis </w:t>
      </w:r>
      <w:r w:rsidR="00CB5E71" w:rsidRPr="00E952C1">
        <w:rPr>
          <w:rFonts w:ascii="Arial" w:hAnsi="Arial" w:cs="Arial"/>
        </w:rPr>
        <w:t xml:space="preserve">to discuss </w:t>
      </w:r>
      <w:r w:rsidR="00AA35DC" w:rsidRPr="00E952C1">
        <w:rPr>
          <w:rFonts w:ascii="Arial" w:hAnsi="Arial" w:cs="Arial"/>
        </w:rPr>
        <w:t xml:space="preserve">future research </w:t>
      </w:r>
      <w:r w:rsidR="00CB5E71" w:rsidRPr="00E952C1">
        <w:rPr>
          <w:rFonts w:ascii="Arial" w:hAnsi="Arial" w:cs="Arial"/>
        </w:rPr>
        <w:t>on</w:t>
      </w:r>
      <w:r w:rsidR="00AA35DC" w:rsidRPr="00E952C1">
        <w:rPr>
          <w:rFonts w:ascii="Arial" w:hAnsi="Arial" w:cs="Arial"/>
        </w:rPr>
        <w:t xml:space="preserve"> </w:t>
      </w:r>
      <w:r w:rsidR="00CB5E71" w:rsidRPr="00E952C1">
        <w:rPr>
          <w:rFonts w:ascii="Arial" w:hAnsi="Arial" w:cs="Arial"/>
        </w:rPr>
        <w:t xml:space="preserve">the information seeking behaviours of young jobseekers </w:t>
      </w:r>
      <w:r w:rsidR="00751E78" w:rsidRPr="00E952C1">
        <w:rPr>
          <w:rFonts w:ascii="Arial" w:hAnsi="Arial" w:cs="Arial"/>
        </w:rPr>
        <w:t>in the UK, using</w:t>
      </w:r>
      <w:r w:rsidR="006D22A7" w:rsidRPr="00E952C1">
        <w:rPr>
          <w:rFonts w:ascii="Arial" w:hAnsi="Arial" w:cs="Arial"/>
        </w:rPr>
        <w:t xml:space="preserve"> social media tools such as SNSs.</w:t>
      </w:r>
    </w:p>
    <w:p w14:paraId="0F921C36" w14:textId="77777777" w:rsidR="00AA35DC" w:rsidRPr="00E952C1" w:rsidRDefault="00AA35DC" w:rsidP="00D83F2F">
      <w:pPr>
        <w:pStyle w:val="Heading1"/>
      </w:pPr>
      <w:r w:rsidRPr="00E952C1">
        <w:t>Background</w:t>
      </w:r>
    </w:p>
    <w:p w14:paraId="7350FEE2" w14:textId="7C5B491D" w:rsidR="00AB506B" w:rsidRPr="006F1F6A" w:rsidRDefault="00AB506B" w:rsidP="006F1F6A">
      <w:pPr>
        <w:spacing w:after="280" w:line="480" w:lineRule="auto"/>
        <w:jc w:val="both"/>
        <w:rPr>
          <w:rFonts w:ascii="Arial" w:hAnsi="Arial" w:cs="Arial"/>
        </w:rPr>
      </w:pPr>
      <w:r w:rsidRPr="00E952C1">
        <w:rPr>
          <w:rFonts w:ascii="Arial" w:hAnsi="Arial" w:cs="Arial"/>
        </w:rPr>
        <w:t xml:space="preserve">In </w:t>
      </w:r>
      <w:r w:rsidR="006C3A31" w:rsidRPr="00E952C1">
        <w:rPr>
          <w:rFonts w:ascii="Arial" w:hAnsi="Arial" w:cs="Arial"/>
        </w:rPr>
        <w:t>the UK</w:t>
      </w:r>
      <w:r w:rsidRPr="00E952C1">
        <w:rPr>
          <w:rFonts w:ascii="Arial" w:hAnsi="Arial" w:cs="Arial"/>
        </w:rPr>
        <w:t xml:space="preserve">, </w:t>
      </w:r>
      <w:r w:rsidR="006D22A7" w:rsidRPr="00E952C1">
        <w:rPr>
          <w:rFonts w:ascii="Arial" w:hAnsi="Arial" w:cs="Arial"/>
        </w:rPr>
        <w:t>youth unemployment level</w:t>
      </w:r>
      <w:r w:rsidR="009A75B3" w:rsidRPr="00E952C1">
        <w:rPr>
          <w:rFonts w:ascii="Arial" w:hAnsi="Arial" w:cs="Arial"/>
        </w:rPr>
        <w:t>s currently reside</w:t>
      </w:r>
      <w:r w:rsidRPr="00E952C1">
        <w:rPr>
          <w:rFonts w:ascii="Arial" w:hAnsi="Arial" w:cs="Arial"/>
        </w:rPr>
        <w:t xml:space="preserve"> at </w:t>
      </w:r>
      <w:r w:rsidR="006C3A31" w:rsidRPr="00E952C1">
        <w:rPr>
          <w:rFonts w:ascii="Arial" w:hAnsi="Arial" w:cs="Arial"/>
        </w:rPr>
        <w:t>14.8%</w:t>
      </w:r>
      <w:r w:rsidRPr="00E952C1">
        <w:rPr>
          <w:rFonts w:ascii="Arial" w:hAnsi="Arial" w:cs="Arial"/>
        </w:rPr>
        <w:t xml:space="preserve"> (</w:t>
      </w:r>
      <w:r w:rsidR="006C3A31" w:rsidRPr="00E952C1">
        <w:rPr>
          <w:rFonts w:ascii="Arial" w:hAnsi="Arial" w:cs="Arial"/>
        </w:rPr>
        <w:t>McGuinness</w:t>
      </w:r>
      <w:r w:rsidRPr="00E952C1">
        <w:rPr>
          <w:rFonts w:ascii="Arial" w:hAnsi="Arial" w:cs="Arial"/>
        </w:rPr>
        <w:t xml:space="preserve">, 2015) </w:t>
      </w:r>
      <w:r w:rsidR="006C3A31" w:rsidRPr="00E952C1">
        <w:rPr>
          <w:rFonts w:ascii="Arial" w:hAnsi="Arial" w:cs="Arial"/>
        </w:rPr>
        <w:t>– 9.4</w:t>
      </w:r>
      <w:r w:rsidRPr="00E952C1">
        <w:rPr>
          <w:rFonts w:ascii="Arial" w:hAnsi="Arial" w:cs="Arial"/>
        </w:rPr>
        <w:t xml:space="preserve"> percentage points a</w:t>
      </w:r>
      <w:r w:rsidR="006C3A31" w:rsidRPr="00E952C1">
        <w:rPr>
          <w:rFonts w:ascii="Arial" w:hAnsi="Arial" w:cs="Arial"/>
        </w:rPr>
        <w:t>bove the national average of 5.4</w:t>
      </w:r>
      <w:r w:rsidRPr="00E952C1">
        <w:rPr>
          <w:rFonts w:ascii="Arial" w:hAnsi="Arial" w:cs="Arial"/>
        </w:rPr>
        <w:t>% (</w:t>
      </w:r>
      <w:r w:rsidR="006C3A31" w:rsidRPr="00E952C1">
        <w:rPr>
          <w:rFonts w:ascii="Arial" w:hAnsi="Arial" w:cs="Arial"/>
        </w:rPr>
        <w:t>Trading Economics</w:t>
      </w:r>
      <w:r w:rsidRPr="00E952C1">
        <w:rPr>
          <w:rFonts w:ascii="Arial" w:hAnsi="Arial" w:cs="Arial"/>
        </w:rPr>
        <w:t xml:space="preserve">, 2015). </w:t>
      </w:r>
      <w:r w:rsidR="006C3A31" w:rsidRPr="00E952C1">
        <w:rPr>
          <w:rFonts w:ascii="Arial" w:hAnsi="Arial" w:cs="Arial"/>
        </w:rPr>
        <w:t xml:space="preserve">Evidence </w:t>
      </w:r>
      <w:r w:rsidRPr="00E952C1">
        <w:rPr>
          <w:rFonts w:ascii="Arial" w:hAnsi="Arial" w:cs="Arial"/>
        </w:rPr>
        <w:t>suggests that the more time young people spend estranged from the labour market at an early age, the more susceptible they become to long-term ‘scarring’ effects such as further bouts of unemployment and below-averag</w:t>
      </w:r>
      <w:r w:rsidR="0034524F" w:rsidRPr="00E952C1">
        <w:rPr>
          <w:rFonts w:ascii="Arial" w:hAnsi="Arial" w:cs="Arial"/>
        </w:rPr>
        <w:t>e earnings later in life (Bell and</w:t>
      </w:r>
      <w:r w:rsidRPr="00E952C1">
        <w:rPr>
          <w:rFonts w:ascii="Arial" w:hAnsi="Arial" w:cs="Arial"/>
        </w:rPr>
        <w:t xml:space="preserve"> Branchflower, 2010; Scherer 2004; Steijn</w:t>
      </w:r>
      <w:r w:rsidR="0034524F" w:rsidRPr="00E952C1">
        <w:rPr>
          <w:rFonts w:ascii="Arial" w:hAnsi="Arial" w:cs="Arial"/>
        </w:rPr>
        <w:t xml:space="preserve"> et al.</w:t>
      </w:r>
      <w:r w:rsidRPr="00E952C1">
        <w:rPr>
          <w:rFonts w:ascii="Arial" w:hAnsi="Arial" w:cs="Arial"/>
        </w:rPr>
        <w:t>, 2006). In addition to this, the individual experience of unemployment is often associated with a multitude of negative health outcomes including illness, mental stress, and an increased ri</w:t>
      </w:r>
      <w:r w:rsidR="00751E78" w:rsidRPr="00E952C1">
        <w:rPr>
          <w:rFonts w:ascii="Arial" w:hAnsi="Arial" w:cs="Arial"/>
        </w:rPr>
        <w:t>sk of committing suicide (Bell and</w:t>
      </w:r>
      <w:r w:rsidRPr="00E952C1">
        <w:rPr>
          <w:rFonts w:ascii="Arial" w:hAnsi="Arial" w:cs="Arial"/>
        </w:rPr>
        <w:t xml:space="preserve"> Blanchflower, 2010, pp.11-12). Given such trends, it is of paramount importance that young people can increase their employability levels in order </w:t>
      </w:r>
      <w:r w:rsidRPr="00E952C1">
        <w:rPr>
          <w:rFonts w:ascii="Arial" w:hAnsi="Arial" w:cs="Arial"/>
        </w:rPr>
        <w:lastRenderedPageBreak/>
        <w:t>to establish themselves in the labour market - an imperative which has been recognised by</w:t>
      </w:r>
      <w:r w:rsidR="00F65C94">
        <w:rPr>
          <w:rFonts w:ascii="Arial" w:hAnsi="Arial" w:cs="Arial"/>
        </w:rPr>
        <w:t xml:space="preserve"> the</w:t>
      </w:r>
      <w:r w:rsidRPr="00E952C1">
        <w:rPr>
          <w:rFonts w:ascii="Arial" w:hAnsi="Arial" w:cs="Arial"/>
        </w:rPr>
        <w:t xml:space="preserve"> </w:t>
      </w:r>
      <w:r w:rsidR="008E6A5E" w:rsidRPr="00E952C1">
        <w:rPr>
          <w:rFonts w:ascii="Arial" w:hAnsi="Arial" w:cs="Arial"/>
        </w:rPr>
        <w:t>UK</w:t>
      </w:r>
      <w:r w:rsidRPr="00E952C1">
        <w:rPr>
          <w:rFonts w:ascii="Arial" w:hAnsi="Arial" w:cs="Arial"/>
        </w:rPr>
        <w:t xml:space="preserve"> Government, and incorporated into its policy objectives (</w:t>
      </w:r>
      <w:r w:rsidR="0034524F" w:rsidRPr="00E952C1">
        <w:rPr>
          <w:rFonts w:ascii="Arial" w:hAnsi="Arial" w:cs="Arial"/>
        </w:rPr>
        <w:t>Gov.uk</w:t>
      </w:r>
      <w:r w:rsidR="008E6A5E" w:rsidRPr="00E952C1">
        <w:rPr>
          <w:rFonts w:ascii="Arial" w:hAnsi="Arial" w:cs="Arial"/>
        </w:rPr>
        <w:t>, 2012</w:t>
      </w:r>
      <w:r w:rsidRPr="00E952C1">
        <w:rPr>
          <w:rFonts w:ascii="Arial" w:hAnsi="Arial" w:cs="Arial"/>
        </w:rPr>
        <w:t>).</w:t>
      </w:r>
    </w:p>
    <w:p w14:paraId="054F17F2" w14:textId="77777777" w:rsidR="00765612" w:rsidRDefault="00AB506B" w:rsidP="00017596">
      <w:pPr>
        <w:spacing w:after="280" w:line="480" w:lineRule="auto"/>
        <w:jc w:val="both"/>
        <w:rPr>
          <w:rFonts w:ascii="Arial" w:hAnsi="Arial" w:cs="Arial"/>
        </w:rPr>
      </w:pPr>
      <w:r w:rsidRPr="006F1F6A">
        <w:rPr>
          <w:rFonts w:ascii="Arial" w:hAnsi="Arial" w:cs="Arial"/>
        </w:rPr>
        <w:t>The</w:t>
      </w:r>
      <w:r w:rsidR="00F453F4" w:rsidRPr="006F1F6A">
        <w:rPr>
          <w:rFonts w:ascii="Arial" w:hAnsi="Arial" w:cs="Arial"/>
        </w:rPr>
        <w:t xml:space="preserve"> structure of social networks, and the</w:t>
      </w:r>
      <w:r w:rsidRPr="006F1F6A">
        <w:rPr>
          <w:rFonts w:ascii="Arial" w:hAnsi="Arial" w:cs="Arial"/>
        </w:rPr>
        <w:t xml:space="preserve"> ability to use </w:t>
      </w:r>
      <w:r w:rsidR="00F453F4" w:rsidRPr="006F1F6A">
        <w:rPr>
          <w:rFonts w:ascii="Arial" w:hAnsi="Arial" w:cs="Arial"/>
        </w:rPr>
        <w:t>network contacts</w:t>
      </w:r>
      <w:r w:rsidRPr="006F1F6A">
        <w:rPr>
          <w:rFonts w:ascii="Arial" w:hAnsi="Arial" w:cs="Arial"/>
        </w:rPr>
        <w:t xml:space="preserve"> effectively durin</w:t>
      </w:r>
      <w:r w:rsidR="00AA35DC" w:rsidRPr="006F1F6A">
        <w:rPr>
          <w:rFonts w:ascii="Arial" w:hAnsi="Arial" w:cs="Arial"/>
        </w:rPr>
        <w:t>g job search, is considered</w:t>
      </w:r>
      <w:r w:rsidRPr="006F1F6A">
        <w:rPr>
          <w:rFonts w:ascii="Arial" w:hAnsi="Arial" w:cs="Arial"/>
        </w:rPr>
        <w:t xml:space="preserve"> a key contributor towards </w:t>
      </w:r>
      <w:r w:rsidR="00F453F4" w:rsidRPr="006F1F6A">
        <w:rPr>
          <w:rFonts w:ascii="Arial" w:hAnsi="Arial" w:cs="Arial"/>
        </w:rPr>
        <w:t xml:space="preserve">social inclusion and the employability of individuals in the labour market </w:t>
      </w:r>
      <w:r w:rsidRPr="006F1F6A">
        <w:rPr>
          <w:rFonts w:ascii="Arial" w:hAnsi="Arial" w:cs="Arial"/>
        </w:rPr>
        <w:t>(</w:t>
      </w:r>
      <w:r w:rsidR="0034524F">
        <w:rPr>
          <w:rFonts w:ascii="Arial" w:hAnsi="Arial" w:cs="Arial"/>
        </w:rPr>
        <w:t>Calvo-Armengol and</w:t>
      </w:r>
      <w:r w:rsidR="00F453F4" w:rsidRPr="006F1F6A">
        <w:rPr>
          <w:rFonts w:ascii="Arial" w:hAnsi="Arial" w:cs="Arial"/>
        </w:rPr>
        <w:t xml:space="preserve"> Jackson, 2004; Falcón, 1995; </w:t>
      </w:r>
      <w:r w:rsidR="0034524F">
        <w:rPr>
          <w:rFonts w:ascii="Arial" w:hAnsi="Arial" w:cs="Arial"/>
        </w:rPr>
        <w:t>McQuaid and</w:t>
      </w:r>
      <w:r w:rsidRPr="006F1F6A">
        <w:rPr>
          <w:rFonts w:ascii="Arial" w:hAnsi="Arial" w:cs="Arial"/>
        </w:rPr>
        <w:t xml:space="preserve"> Lindsay, 2005, p.210; Skills De</w:t>
      </w:r>
      <w:r w:rsidR="00DC4B4C">
        <w:rPr>
          <w:rFonts w:ascii="Arial" w:hAnsi="Arial" w:cs="Arial"/>
        </w:rPr>
        <w:t xml:space="preserve">velopment Scotland, 2012, p.7). </w:t>
      </w:r>
      <w:r w:rsidR="00B831F0">
        <w:rPr>
          <w:rFonts w:ascii="Arial" w:hAnsi="Arial" w:cs="Arial"/>
        </w:rPr>
        <w:t xml:space="preserve">The </w:t>
      </w:r>
      <w:r w:rsidRPr="006F1F6A">
        <w:rPr>
          <w:rFonts w:ascii="Arial" w:hAnsi="Arial" w:cs="Arial"/>
        </w:rPr>
        <w:t>dissemination of useful job information throughout social structures has often been used as an explanation for the impact of int</w:t>
      </w:r>
      <w:r w:rsidR="00440E2D">
        <w:rPr>
          <w:rFonts w:ascii="Arial" w:hAnsi="Arial" w:cs="Arial"/>
        </w:rPr>
        <w:t xml:space="preserve">erpersonal relationships on </w:t>
      </w:r>
      <w:r w:rsidRPr="006F1F6A">
        <w:rPr>
          <w:rFonts w:ascii="Arial" w:hAnsi="Arial" w:cs="Arial"/>
        </w:rPr>
        <w:t>labour mobility (Granovetter, 1973, 197</w:t>
      </w:r>
      <w:r w:rsidR="00751E78">
        <w:rPr>
          <w:rFonts w:ascii="Arial" w:hAnsi="Arial" w:cs="Arial"/>
        </w:rPr>
        <w:t>4, 1983, 1995; Lin, 1999, 2002).</w:t>
      </w:r>
      <w:r w:rsidR="00765612">
        <w:rPr>
          <w:rFonts w:ascii="Arial" w:hAnsi="Arial" w:cs="Arial"/>
        </w:rPr>
        <w:t xml:space="preserve"> Granovetter’s (1973) conception of the “strength” of ties is particularly important in this regard. Herein, it is posited that “weak” ties (i.e. acquaintances) propagate the flow of novel information</w:t>
      </w:r>
      <w:r w:rsidR="00DC4B4C">
        <w:rPr>
          <w:rFonts w:ascii="Arial" w:hAnsi="Arial" w:cs="Arial"/>
        </w:rPr>
        <w:t xml:space="preserve"> throughout network structures</w:t>
      </w:r>
      <w:r w:rsidR="00765612">
        <w:rPr>
          <w:rFonts w:ascii="Arial" w:hAnsi="Arial" w:cs="Arial"/>
        </w:rPr>
        <w:t>, as they are more likely to</w:t>
      </w:r>
      <w:r w:rsidR="00017596">
        <w:rPr>
          <w:rFonts w:ascii="Arial" w:hAnsi="Arial" w:cs="Arial"/>
        </w:rPr>
        <w:t xml:space="preserve"> </w:t>
      </w:r>
      <w:r w:rsidR="00765612">
        <w:rPr>
          <w:rFonts w:ascii="Arial" w:hAnsi="Arial" w:cs="Arial"/>
        </w:rPr>
        <w:t xml:space="preserve">reach into different </w:t>
      </w:r>
      <w:r w:rsidR="00DC4B4C">
        <w:rPr>
          <w:rFonts w:ascii="Arial" w:hAnsi="Arial" w:cs="Arial"/>
        </w:rPr>
        <w:t>areas of the social system</w:t>
      </w:r>
      <w:r w:rsidR="00017596">
        <w:rPr>
          <w:rFonts w:ascii="Arial" w:hAnsi="Arial" w:cs="Arial"/>
        </w:rPr>
        <w:t>.</w:t>
      </w:r>
      <w:r w:rsidR="00DC4B4C">
        <w:rPr>
          <w:rFonts w:ascii="Arial" w:hAnsi="Arial" w:cs="Arial"/>
        </w:rPr>
        <w:t xml:space="preserve"> </w:t>
      </w:r>
      <w:r w:rsidR="00017596">
        <w:rPr>
          <w:rFonts w:ascii="Arial" w:hAnsi="Arial" w:cs="Arial"/>
        </w:rPr>
        <w:t>Conversely,</w:t>
      </w:r>
      <w:r w:rsidR="00765612">
        <w:rPr>
          <w:rFonts w:ascii="Arial" w:hAnsi="Arial" w:cs="Arial"/>
        </w:rPr>
        <w:t xml:space="preserve"> “strong” ties (</w:t>
      </w:r>
      <w:r w:rsidR="00017596">
        <w:rPr>
          <w:rFonts w:ascii="Arial" w:hAnsi="Arial" w:cs="Arial"/>
        </w:rPr>
        <w:t xml:space="preserve">e.g. family and close friends) tend to overlap </w:t>
      </w:r>
      <w:r w:rsidR="00DC4B4C">
        <w:rPr>
          <w:rFonts w:ascii="Arial" w:hAnsi="Arial" w:cs="Arial"/>
        </w:rPr>
        <w:t>and create dense network clusters</w:t>
      </w:r>
      <w:r w:rsidR="00017596">
        <w:rPr>
          <w:rFonts w:ascii="Arial" w:hAnsi="Arial" w:cs="Arial"/>
        </w:rPr>
        <w:t xml:space="preserve"> which can strangulate the flow of information</w:t>
      </w:r>
      <w:r w:rsidR="00DC4B4C">
        <w:rPr>
          <w:rFonts w:ascii="Arial" w:hAnsi="Arial" w:cs="Arial"/>
        </w:rPr>
        <w:t xml:space="preserve">. </w:t>
      </w:r>
      <w:r w:rsidR="00017596">
        <w:rPr>
          <w:rFonts w:ascii="Arial" w:hAnsi="Arial" w:cs="Arial"/>
        </w:rPr>
        <w:t xml:space="preserve">Despite this, strong ties can also be beneficial to individuals, as evidence suggests that such contacts are more likely to wield </w:t>
      </w:r>
      <w:r w:rsidR="00EC7ABB">
        <w:rPr>
          <w:rFonts w:ascii="Arial" w:hAnsi="Arial" w:cs="Arial"/>
        </w:rPr>
        <w:t xml:space="preserve">greater influence on </w:t>
      </w:r>
      <w:r w:rsidR="00017596">
        <w:rPr>
          <w:rFonts w:ascii="Arial" w:hAnsi="Arial" w:cs="Arial"/>
        </w:rPr>
        <w:t xml:space="preserve">their behalf </w:t>
      </w:r>
      <w:r w:rsidR="00EC7ABB" w:rsidRPr="00A90B28">
        <w:rPr>
          <w:rFonts w:ascii="Arial" w:hAnsi="Arial" w:cs="Arial"/>
        </w:rPr>
        <w:t>(Brown &amp; Reingen, 1987)</w:t>
      </w:r>
      <w:r w:rsidR="00EC7ABB">
        <w:rPr>
          <w:rFonts w:ascii="Arial" w:hAnsi="Arial" w:cs="Arial"/>
        </w:rPr>
        <w:t>.</w:t>
      </w:r>
    </w:p>
    <w:p w14:paraId="46564B7F" w14:textId="77777777" w:rsidR="00AB506B" w:rsidRPr="00B121FA" w:rsidRDefault="00556500" w:rsidP="006F1F6A">
      <w:pPr>
        <w:spacing w:after="280" w:line="480" w:lineRule="auto"/>
        <w:jc w:val="both"/>
        <w:rPr>
          <w:rFonts w:ascii="Arial" w:hAnsi="Arial" w:cs="Arial"/>
        </w:rPr>
      </w:pPr>
      <w:r w:rsidRPr="00B121FA">
        <w:rPr>
          <w:rFonts w:ascii="Arial" w:hAnsi="Arial" w:cs="Arial"/>
        </w:rPr>
        <w:t xml:space="preserve">Mobilizing network contacts for informational purposes is recognised as a key method of </w:t>
      </w:r>
      <w:r w:rsidR="002A4FB1" w:rsidRPr="00B121FA">
        <w:rPr>
          <w:rFonts w:ascii="Arial" w:hAnsi="Arial" w:cs="Arial"/>
        </w:rPr>
        <w:t>job search in the job search literature</w:t>
      </w:r>
      <w:r w:rsidR="00AB506B" w:rsidRPr="00B121FA">
        <w:rPr>
          <w:rFonts w:ascii="Arial" w:hAnsi="Arial" w:cs="Arial"/>
        </w:rPr>
        <w:t>, wherein it is posited that jobseekers are faced with two primary sources of information</w:t>
      </w:r>
      <w:r w:rsidR="00751E78" w:rsidRPr="00B121FA">
        <w:rPr>
          <w:rFonts w:ascii="Arial" w:hAnsi="Arial" w:cs="Arial"/>
        </w:rPr>
        <w:t xml:space="preserve"> whilst looking for employment:</w:t>
      </w:r>
      <w:r w:rsidR="00AB506B" w:rsidRPr="00B121FA">
        <w:rPr>
          <w:rFonts w:ascii="Arial" w:hAnsi="Arial" w:cs="Arial"/>
        </w:rPr>
        <w:t xml:space="preserve"> </w:t>
      </w:r>
      <w:r w:rsidR="00751E78" w:rsidRPr="00B121FA">
        <w:rPr>
          <w:rFonts w:ascii="Arial" w:hAnsi="Arial" w:cs="Arial"/>
        </w:rPr>
        <w:t xml:space="preserve">(1) </w:t>
      </w:r>
      <w:r w:rsidR="00AB506B" w:rsidRPr="00B121FA">
        <w:rPr>
          <w:rFonts w:ascii="Arial" w:hAnsi="Arial" w:cs="Arial"/>
        </w:rPr>
        <w:t>formal sources (e.g. online search</w:t>
      </w:r>
      <w:r w:rsidR="00751E78" w:rsidRPr="00B121FA">
        <w:rPr>
          <w:rFonts w:ascii="Arial" w:hAnsi="Arial" w:cs="Arial"/>
        </w:rPr>
        <w:t xml:space="preserve"> engines, recruitment agencies);</w:t>
      </w:r>
      <w:r w:rsidR="00AB506B" w:rsidRPr="00B121FA">
        <w:rPr>
          <w:rFonts w:ascii="Arial" w:hAnsi="Arial" w:cs="Arial"/>
        </w:rPr>
        <w:t xml:space="preserve"> and</w:t>
      </w:r>
      <w:r w:rsidR="00751E78" w:rsidRPr="00B121FA">
        <w:rPr>
          <w:rFonts w:ascii="Arial" w:hAnsi="Arial" w:cs="Arial"/>
        </w:rPr>
        <w:t xml:space="preserve"> (2)</w:t>
      </w:r>
      <w:r w:rsidR="00AB506B" w:rsidRPr="00B121FA">
        <w:rPr>
          <w:rFonts w:ascii="Arial" w:hAnsi="Arial" w:cs="Arial"/>
        </w:rPr>
        <w:t xml:space="preserve"> informal sources (i.e. network contacts such as friends, family members a</w:t>
      </w:r>
      <w:r w:rsidR="00761C27" w:rsidRPr="00B121FA">
        <w:rPr>
          <w:rFonts w:ascii="Arial" w:hAnsi="Arial" w:cs="Arial"/>
        </w:rPr>
        <w:t>nd acquaintances) (Saks, 2005; v</w:t>
      </w:r>
      <w:r w:rsidR="00AB506B" w:rsidRPr="00B121FA">
        <w:rPr>
          <w:rFonts w:ascii="Arial" w:hAnsi="Arial" w:cs="Arial"/>
        </w:rPr>
        <w:t>an Hoye</w:t>
      </w:r>
      <w:r w:rsidR="0034524F" w:rsidRPr="00B121FA">
        <w:rPr>
          <w:rFonts w:ascii="Arial" w:hAnsi="Arial" w:cs="Arial"/>
        </w:rPr>
        <w:t xml:space="preserve"> et al.,</w:t>
      </w:r>
      <w:r w:rsidR="00AB506B" w:rsidRPr="00B121FA">
        <w:rPr>
          <w:rFonts w:ascii="Arial" w:hAnsi="Arial" w:cs="Arial"/>
        </w:rPr>
        <w:t xml:space="preserve"> 2013; Wanberg, 2012). </w:t>
      </w:r>
      <w:r w:rsidR="00084AEF" w:rsidRPr="00B121FA">
        <w:rPr>
          <w:rFonts w:ascii="Arial" w:hAnsi="Arial" w:cs="Arial"/>
        </w:rPr>
        <w:t xml:space="preserve">The process of utilising informal sources is known as “networking”, and has been described as individual actions by the jobseeker directed towards contacting associates to attain information and advice about getting a job (Wanberg, Kanfer &amp; Banas, 2000, p.492). </w:t>
      </w:r>
      <w:r w:rsidR="00A70DDB" w:rsidRPr="00B121FA">
        <w:rPr>
          <w:rFonts w:ascii="Arial" w:hAnsi="Arial" w:cs="Arial"/>
        </w:rPr>
        <w:t>Networking is also recognised as a fundamental information seeking activity in information science research, and has been found to involve activities such as building and maintaining close relationships in order to gather and share information (Foster, 2003; Me</w:t>
      </w:r>
      <w:r w:rsidR="009C20C2" w:rsidRPr="00B121FA">
        <w:rPr>
          <w:rFonts w:ascii="Arial" w:hAnsi="Arial" w:cs="Arial"/>
        </w:rPr>
        <w:t>ho and</w:t>
      </w:r>
      <w:r w:rsidR="00A70DDB" w:rsidRPr="00B121FA">
        <w:rPr>
          <w:rFonts w:ascii="Arial" w:hAnsi="Arial" w:cs="Arial"/>
        </w:rPr>
        <w:t xml:space="preserve"> Tibbo, 2003).</w:t>
      </w:r>
    </w:p>
    <w:p w14:paraId="779B23E5" w14:textId="06FAB120" w:rsidR="00E345AB" w:rsidRDefault="00CC762B" w:rsidP="006F1F6A">
      <w:pPr>
        <w:spacing w:after="280" w:line="480" w:lineRule="auto"/>
        <w:jc w:val="both"/>
        <w:rPr>
          <w:rFonts w:ascii="Arial" w:hAnsi="Arial" w:cs="Arial"/>
        </w:rPr>
      </w:pPr>
      <w:r w:rsidRPr="00B121FA">
        <w:rPr>
          <w:rFonts w:ascii="Arial" w:hAnsi="Arial" w:cs="Arial"/>
        </w:rPr>
        <w:lastRenderedPageBreak/>
        <w:t>Whilst networking during job search has been addressed in the job search literature (see for example, van Hoye et al., 2013; Wanberg, 2012), such work has not taken into consideration the potential impact of digital technologies on this process.</w:t>
      </w:r>
      <w:r w:rsidR="006F2B33" w:rsidRPr="00B121FA">
        <w:rPr>
          <w:rFonts w:ascii="Arial" w:hAnsi="Arial" w:cs="Arial"/>
        </w:rPr>
        <w:t xml:space="preserve"> The bearing is likely to have been significant, given that the </w:t>
      </w:r>
      <w:r w:rsidR="0051586F" w:rsidRPr="00B121FA">
        <w:rPr>
          <w:rFonts w:ascii="Arial" w:hAnsi="Arial" w:cs="Arial"/>
        </w:rPr>
        <w:t>expansion of social media technologies, coupled with widespread access to mobile and other “wearable” devices, has facilitated access to “information gathering capacities that dwarf those of the past”</w:t>
      </w:r>
      <w:r w:rsidR="0034524F" w:rsidRPr="00B121FA">
        <w:rPr>
          <w:rFonts w:ascii="Arial" w:hAnsi="Arial" w:cs="Arial"/>
        </w:rPr>
        <w:t xml:space="preserve"> (Rainie and</w:t>
      </w:r>
      <w:r w:rsidR="00AA35DC" w:rsidRPr="00B121FA">
        <w:rPr>
          <w:rFonts w:ascii="Arial" w:hAnsi="Arial" w:cs="Arial"/>
        </w:rPr>
        <w:t xml:space="preserve"> Wellman, 2012, p.11)</w:t>
      </w:r>
      <w:r w:rsidR="0051586F" w:rsidRPr="00B121FA">
        <w:rPr>
          <w:rFonts w:ascii="Arial" w:hAnsi="Arial" w:cs="Arial"/>
        </w:rPr>
        <w:t>.</w:t>
      </w:r>
      <w:r w:rsidR="00D534A9" w:rsidRPr="00B121FA">
        <w:rPr>
          <w:rFonts w:ascii="Arial" w:hAnsi="Arial" w:cs="Arial"/>
        </w:rPr>
        <w:t xml:space="preserve"> </w:t>
      </w:r>
      <w:r w:rsidR="00A138BE" w:rsidRPr="00B121FA">
        <w:rPr>
          <w:rFonts w:ascii="Arial" w:hAnsi="Arial" w:cs="Arial"/>
        </w:rPr>
        <w:t>The different functionalities of certa</w:t>
      </w:r>
      <w:r w:rsidR="00E345AB" w:rsidRPr="00B121FA">
        <w:rPr>
          <w:rFonts w:ascii="Arial" w:hAnsi="Arial" w:cs="Arial"/>
        </w:rPr>
        <w:t xml:space="preserve">in social media tools have </w:t>
      </w:r>
      <w:r w:rsidR="00B831F0">
        <w:rPr>
          <w:rFonts w:ascii="Arial" w:hAnsi="Arial" w:cs="Arial"/>
        </w:rPr>
        <w:t xml:space="preserve">also </w:t>
      </w:r>
      <w:r w:rsidR="00A138BE" w:rsidRPr="00B121FA">
        <w:rPr>
          <w:rFonts w:ascii="Arial" w:hAnsi="Arial" w:cs="Arial"/>
        </w:rPr>
        <w:t xml:space="preserve">played a central role in how such platforms are used for informational purposes. For example, </w:t>
      </w:r>
      <w:r w:rsidR="00E345AB" w:rsidRPr="00B121FA">
        <w:rPr>
          <w:rFonts w:ascii="Arial" w:hAnsi="Arial" w:cs="Arial"/>
        </w:rPr>
        <w:t>SNSs allow users to construct public or semi-public profiles</w:t>
      </w:r>
      <w:r w:rsidR="009C20C2" w:rsidRPr="00B121FA">
        <w:rPr>
          <w:rFonts w:ascii="Arial" w:hAnsi="Arial" w:cs="Arial"/>
        </w:rPr>
        <w:t xml:space="preserve"> within a bounded system, through which they can articulate a list of connections with other users (boyd and Ellison, 2007; Stenger and Coutant, 2009). By facilitating communication between </w:t>
      </w:r>
      <w:r w:rsidR="00E25817" w:rsidRPr="00B121FA">
        <w:rPr>
          <w:rFonts w:ascii="Arial" w:hAnsi="Arial" w:cs="Arial"/>
        </w:rPr>
        <w:t>users with connected profiles</w:t>
      </w:r>
      <w:r w:rsidR="00DB31DD" w:rsidRPr="00B121FA">
        <w:rPr>
          <w:rFonts w:ascii="Arial" w:hAnsi="Arial" w:cs="Arial"/>
        </w:rPr>
        <w:t xml:space="preserve">, </w:t>
      </w:r>
      <w:r w:rsidR="00E345AB" w:rsidRPr="00B121FA">
        <w:rPr>
          <w:rFonts w:ascii="Arial" w:hAnsi="Arial" w:cs="Arial"/>
        </w:rPr>
        <w:t xml:space="preserve">SNSs such as Facebook lend themselves </w:t>
      </w:r>
      <w:r w:rsidR="00DB31DD" w:rsidRPr="00B121FA">
        <w:rPr>
          <w:rFonts w:ascii="Arial" w:hAnsi="Arial" w:cs="Arial"/>
        </w:rPr>
        <w:t xml:space="preserve">primarily </w:t>
      </w:r>
      <w:r w:rsidR="00A36222" w:rsidRPr="00B121FA">
        <w:rPr>
          <w:rFonts w:ascii="Arial" w:hAnsi="Arial" w:cs="Arial"/>
        </w:rPr>
        <w:t>to the practice of sharing and networking (Ouiridi et al, 2014, p.121).</w:t>
      </w:r>
      <w:r w:rsidR="00360AE4">
        <w:rPr>
          <w:rFonts w:ascii="Arial" w:hAnsi="Arial" w:cs="Arial"/>
        </w:rPr>
        <w:t xml:space="preserve"> They have also been associated with </w:t>
      </w:r>
      <w:r w:rsidR="00D53780">
        <w:rPr>
          <w:rFonts w:ascii="Arial" w:hAnsi="Arial" w:cs="Arial"/>
        </w:rPr>
        <w:t>higher levels of</w:t>
      </w:r>
      <w:r w:rsidR="00360AE4">
        <w:rPr>
          <w:rFonts w:ascii="Arial" w:hAnsi="Arial" w:cs="Arial"/>
        </w:rPr>
        <w:t xml:space="preserve"> social capital, by providing a channel </w:t>
      </w:r>
      <w:r w:rsidR="00D53780">
        <w:rPr>
          <w:rFonts w:ascii="Arial" w:hAnsi="Arial" w:cs="Arial"/>
        </w:rPr>
        <w:t>through which</w:t>
      </w:r>
      <w:r w:rsidR="00360AE4">
        <w:rPr>
          <w:rFonts w:ascii="Arial" w:hAnsi="Arial" w:cs="Arial"/>
        </w:rPr>
        <w:t xml:space="preserve"> both weak and strong ties</w:t>
      </w:r>
      <w:r w:rsidR="00D53780">
        <w:rPr>
          <w:rFonts w:ascii="Arial" w:hAnsi="Arial" w:cs="Arial"/>
        </w:rPr>
        <w:t xml:space="preserve"> can be accessed </w:t>
      </w:r>
      <w:r w:rsidR="00360AE4">
        <w:rPr>
          <w:rFonts w:ascii="Arial" w:hAnsi="Arial" w:cs="Arial"/>
        </w:rPr>
        <w:t>(</w:t>
      </w:r>
      <w:r w:rsidR="000D3ADB">
        <w:rPr>
          <w:rFonts w:ascii="Arial" w:hAnsi="Arial" w:cs="Arial"/>
        </w:rPr>
        <w:t>Burke and Kraut, 2013; Ellison et al.</w:t>
      </w:r>
      <w:r w:rsidR="00360AE4">
        <w:rPr>
          <w:rFonts w:ascii="Arial" w:hAnsi="Arial" w:cs="Arial"/>
        </w:rPr>
        <w:t>, 2007).</w:t>
      </w:r>
    </w:p>
    <w:p w14:paraId="15BD0374" w14:textId="77777777" w:rsidR="00E02EF0" w:rsidRPr="00B121FA" w:rsidRDefault="00E02EF0" w:rsidP="006F1F6A">
      <w:pPr>
        <w:spacing w:after="280" w:line="480" w:lineRule="auto"/>
        <w:jc w:val="both"/>
        <w:rPr>
          <w:rFonts w:ascii="Arial" w:hAnsi="Arial" w:cs="Arial"/>
        </w:rPr>
      </w:pPr>
      <w:r w:rsidRPr="00B121FA">
        <w:rPr>
          <w:rFonts w:ascii="Arial" w:hAnsi="Arial" w:cs="Arial"/>
        </w:rPr>
        <w:t xml:space="preserve">This paper is part of a larger project which considers the information seeking behaviours of young jobseekers during the job search process, regarding their use of both offline and online social networks to source job information. The </w:t>
      </w:r>
      <w:r w:rsidR="00440E2D">
        <w:rPr>
          <w:rFonts w:ascii="Arial" w:hAnsi="Arial" w:cs="Arial"/>
        </w:rPr>
        <w:t xml:space="preserve">wider </w:t>
      </w:r>
      <w:r w:rsidRPr="00B121FA">
        <w:rPr>
          <w:rFonts w:ascii="Arial" w:hAnsi="Arial" w:cs="Arial"/>
        </w:rPr>
        <w:t xml:space="preserve">study uses Wilson’s (1997) general model of information seeking behaviour to analyse relevant concepts taken from information behaviour theory, job search theory, network theory and social media theory, including those mentioned above. Issues such as information literacy in the use of SNSs during job search are also addressed at length. </w:t>
      </w:r>
      <w:r w:rsidR="00440E2D">
        <w:rPr>
          <w:rFonts w:ascii="Arial" w:hAnsi="Arial" w:cs="Arial"/>
        </w:rPr>
        <w:t>F</w:t>
      </w:r>
      <w:r w:rsidRPr="00B121FA">
        <w:rPr>
          <w:rFonts w:ascii="Arial" w:hAnsi="Arial" w:cs="Arial"/>
        </w:rPr>
        <w:t>i</w:t>
      </w:r>
      <w:r w:rsidR="00440E2D">
        <w:rPr>
          <w:rFonts w:ascii="Arial" w:hAnsi="Arial" w:cs="Arial"/>
        </w:rPr>
        <w:t>ndings from the wider</w:t>
      </w:r>
      <w:r w:rsidRPr="00B121FA">
        <w:rPr>
          <w:rFonts w:ascii="Arial" w:hAnsi="Arial" w:cs="Arial"/>
        </w:rPr>
        <w:t xml:space="preserve"> study </w:t>
      </w:r>
      <w:r w:rsidR="00440E2D">
        <w:rPr>
          <w:rFonts w:ascii="Arial" w:hAnsi="Arial" w:cs="Arial"/>
        </w:rPr>
        <w:t>will be disseminated in due course</w:t>
      </w:r>
      <w:r w:rsidRPr="00B121FA">
        <w:rPr>
          <w:rFonts w:ascii="Arial" w:hAnsi="Arial" w:cs="Arial"/>
        </w:rPr>
        <w:t>.</w:t>
      </w:r>
    </w:p>
    <w:p w14:paraId="0F3A24FA" w14:textId="77777777" w:rsidR="00035C79" w:rsidRDefault="00256DA8" w:rsidP="00D83F2F">
      <w:pPr>
        <w:pStyle w:val="Heading2"/>
      </w:pPr>
      <w:r>
        <w:t xml:space="preserve">Employment, social exclusion </w:t>
      </w:r>
      <w:r w:rsidR="00035C79">
        <w:t xml:space="preserve">and </w:t>
      </w:r>
      <w:r w:rsidR="00BD042C">
        <w:t>the use of SNSs</w:t>
      </w:r>
    </w:p>
    <w:p w14:paraId="2D460A15" w14:textId="11A43F02" w:rsidR="00793B64" w:rsidRPr="006F1F6A" w:rsidRDefault="00307FF9" w:rsidP="006F1F6A">
      <w:pPr>
        <w:spacing w:after="280" w:line="480" w:lineRule="auto"/>
        <w:jc w:val="both"/>
        <w:rPr>
          <w:rFonts w:ascii="Arial" w:hAnsi="Arial" w:cs="Arial"/>
        </w:rPr>
      </w:pPr>
      <w:r w:rsidRPr="006F1F6A">
        <w:rPr>
          <w:rFonts w:ascii="Arial" w:hAnsi="Arial" w:cs="Arial"/>
        </w:rPr>
        <w:t xml:space="preserve">Social networks have an empirically demonstrable impact on the mobility of </w:t>
      </w:r>
      <w:r w:rsidR="00090C44" w:rsidRPr="006F1F6A">
        <w:rPr>
          <w:rFonts w:ascii="Arial" w:hAnsi="Arial" w:cs="Arial"/>
        </w:rPr>
        <w:t>labour markets</w:t>
      </w:r>
      <w:r w:rsidRPr="006F1F6A">
        <w:rPr>
          <w:rFonts w:ascii="Arial" w:hAnsi="Arial" w:cs="Arial"/>
        </w:rPr>
        <w:t xml:space="preserve">. </w:t>
      </w:r>
      <w:r w:rsidR="00751E78">
        <w:rPr>
          <w:rFonts w:ascii="Arial" w:hAnsi="Arial" w:cs="Arial"/>
        </w:rPr>
        <w:t xml:space="preserve">For example, Granovetter (1974) found </w:t>
      </w:r>
      <w:r w:rsidRPr="006F1F6A">
        <w:rPr>
          <w:rFonts w:ascii="Arial" w:hAnsi="Arial" w:cs="Arial"/>
        </w:rPr>
        <w:t xml:space="preserve">in a study of professionals and technical workers in Boston, US, that 56% of the sample reported </w:t>
      </w:r>
      <w:r w:rsidR="004F5414">
        <w:rPr>
          <w:rFonts w:ascii="Arial" w:hAnsi="Arial" w:cs="Arial"/>
        </w:rPr>
        <w:t>that they found</w:t>
      </w:r>
      <w:r w:rsidRPr="006F1F6A">
        <w:rPr>
          <w:rFonts w:ascii="Arial" w:hAnsi="Arial" w:cs="Arial"/>
        </w:rPr>
        <w:t xml:space="preserve"> their then current position through a network c</w:t>
      </w:r>
      <w:r w:rsidR="0034524F">
        <w:rPr>
          <w:rFonts w:ascii="Arial" w:hAnsi="Arial" w:cs="Arial"/>
        </w:rPr>
        <w:t>ontact. More recently, Franzen and</w:t>
      </w:r>
      <w:r w:rsidRPr="006F1F6A">
        <w:rPr>
          <w:rFonts w:ascii="Arial" w:hAnsi="Arial" w:cs="Arial"/>
        </w:rPr>
        <w:t xml:space="preserve"> Hangartner (2006, p.357) found that in a study of 27 different countries, the variation in jobs sourced via interpersonal relationships ranged from a low of 25.77% in Finland, to a hi</w:t>
      </w:r>
      <w:r w:rsidR="004F5414">
        <w:rPr>
          <w:rFonts w:ascii="Arial" w:hAnsi="Arial" w:cs="Arial"/>
        </w:rPr>
        <w:t>gh of 82.85% in the Philippines.</w:t>
      </w:r>
      <w:r w:rsidR="008E0114">
        <w:rPr>
          <w:rFonts w:ascii="Arial" w:hAnsi="Arial" w:cs="Arial"/>
        </w:rPr>
        <w:t xml:space="preserve"> </w:t>
      </w:r>
      <w:r w:rsidR="004F5414">
        <w:rPr>
          <w:rFonts w:ascii="Arial" w:hAnsi="Arial" w:cs="Arial"/>
        </w:rPr>
        <w:t>The figure</w:t>
      </w:r>
      <w:r w:rsidRPr="006F1F6A">
        <w:rPr>
          <w:rFonts w:ascii="Arial" w:hAnsi="Arial" w:cs="Arial"/>
        </w:rPr>
        <w:t xml:space="preserve"> in the UK</w:t>
      </w:r>
      <w:r w:rsidR="004F5414">
        <w:rPr>
          <w:rFonts w:ascii="Arial" w:hAnsi="Arial" w:cs="Arial"/>
        </w:rPr>
        <w:t xml:space="preserve"> was found to be</w:t>
      </w:r>
      <w:r w:rsidRPr="006F1F6A">
        <w:rPr>
          <w:rFonts w:ascii="Arial" w:hAnsi="Arial" w:cs="Arial"/>
        </w:rPr>
        <w:t xml:space="preserve"> just under a third</w:t>
      </w:r>
      <w:r w:rsidR="004F5414">
        <w:rPr>
          <w:rFonts w:ascii="Arial" w:hAnsi="Arial" w:cs="Arial"/>
        </w:rPr>
        <w:t>,</w:t>
      </w:r>
      <w:r w:rsidRPr="006F1F6A">
        <w:rPr>
          <w:rFonts w:ascii="Arial" w:hAnsi="Arial" w:cs="Arial"/>
        </w:rPr>
        <w:t xml:space="preserve"> at 31.06%.</w:t>
      </w:r>
      <w:r w:rsidR="008276F8" w:rsidRPr="006F1F6A">
        <w:rPr>
          <w:rFonts w:ascii="Arial" w:hAnsi="Arial" w:cs="Arial"/>
        </w:rPr>
        <w:t xml:space="preserve"> Web-based technologies have the capacity to extend</w:t>
      </w:r>
      <w:r w:rsidR="00D427B4" w:rsidRPr="006F1F6A">
        <w:rPr>
          <w:rFonts w:ascii="Arial" w:hAnsi="Arial" w:cs="Arial"/>
        </w:rPr>
        <w:t xml:space="preserve"> such</w:t>
      </w:r>
      <w:r w:rsidR="008276F8" w:rsidRPr="006F1F6A">
        <w:rPr>
          <w:rFonts w:ascii="Arial" w:hAnsi="Arial" w:cs="Arial"/>
        </w:rPr>
        <w:t xml:space="preserve"> networking opportunities for jobseekers, and can act as valuable information see</w:t>
      </w:r>
      <w:r w:rsidR="0034524F">
        <w:rPr>
          <w:rFonts w:ascii="Arial" w:hAnsi="Arial" w:cs="Arial"/>
        </w:rPr>
        <w:t>king tools (Foster, 2003; Meho and</w:t>
      </w:r>
      <w:r w:rsidR="008276F8" w:rsidRPr="006F1F6A">
        <w:rPr>
          <w:rFonts w:ascii="Arial" w:hAnsi="Arial" w:cs="Arial"/>
        </w:rPr>
        <w:t xml:space="preserve"> Tibbo, 2003)</w:t>
      </w:r>
      <w:r w:rsidR="00631DDD" w:rsidRPr="006F1F6A">
        <w:rPr>
          <w:rFonts w:ascii="Arial" w:hAnsi="Arial" w:cs="Arial"/>
        </w:rPr>
        <w:t xml:space="preserve">. This can be explained by the loosely-knit social circles that technologies such as </w:t>
      </w:r>
      <w:r w:rsidR="00793B64" w:rsidRPr="006F1F6A">
        <w:rPr>
          <w:rFonts w:ascii="Arial" w:hAnsi="Arial" w:cs="Arial"/>
        </w:rPr>
        <w:t>SNSs</w:t>
      </w:r>
      <w:r w:rsidR="00631DDD" w:rsidRPr="006F1F6A">
        <w:rPr>
          <w:rFonts w:ascii="Arial" w:hAnsi="Arial" w:cs="Arial"/>
        </w:rPr>
        <w:t xml:space="preserve"> can help to generate </w:t>
      </w:r>
      <w:r w:rsidR="004F5414">
        <w:rPr>
          <w:rFonts w:ascii="Arial" w:hAnsi="Arial" w:cs="Arial"/>
        </w:rPr>
        <w:t>across geographical boundaries. These also</w:t>
      </w:r>
      <w:r w:rsidR="00631DDD" w:rsidRPr="006F1F6A">
        <w:rPr>
          <w:rFonts w:ascii="Arial" w:hAnsi="Arial" w:cs="Arial"/>
        </w:rPr>
        <w:t xml:space="preserve"> facilitate membership of multiple networks and a more diverse set of relationships than would have bee</w:t>
      </w:r>
      <w:r w:rsidR="0034524F">
        <w:rPr>
          <w:rFonts w:ascii="Arial" w:hAnsi="Arial" w:cs="Arial"/>
        </w:rPr>
        <w:t>n feasible in the past (Rainie and</w:t>
      </w:r>
      <w:r w:rsidR="00631DDD" w:rsidRPr="006F1F6A">
        <w:rPr>
          <w:rFonts w:ascii="Arial" w:hAnsi="Arial" w:cs="Arial"/>
        </w:rPr>
        <w:t xml:space="preserve"> Wellman, 2012). </w:t>
      </w:r>
    </w:p>
    <w:p w14:paraId="72FD9600" w14:textId="6511F7CE" w:rsidR="00035C79" w:rsidRPr="006F1F6A" w:rsidRDefault="00793B64" w:rsidP="006F1F6A">
      <w:pPr>
        <w:spacing w:after="280" w:line="480" w:lineRule="auto"/>
        <w:jc w:val="both"/>
        <w:rPr>
          <w:rFonts w:ascii="Arial" w:hAnsi="Arial" w:cs="Arial"/>
        </w:rPr>
      </w:pPr>
      <w:r w:rsidRPr="006F1F6A">
        <w:rPr>
          <w:rFonts w:ascii="Arial" w:hAnsi="Arial" w:cs="Arial"/>
        </w:rPr>
        <w:t>Given the social and informational affordances of ICTs, early “digital divide” research focused on the physical access individuals have to computers</w:t>
      </w:r>
      <w:r w:rsidR="00D62AA5">
        <w:rPr>
          <w:rFonts w:ascii="Arial" w:hAnsi="Arial" w:cs="Arial"/>
        </w:rPr>
        <w:t>. H</w:t>
      </w:r>
      <w:r w:rsidRPr="006F1F6A">
        <w:rPr>
          <w:rFonts w:ascii="Arial" w:hAnsi="Arial" w:cs="Arial"/>
        </w:rPr>
        <w:t>owever, research has</w:t>
      </w:r>
      <w:r w:rsidR="00D62AA5">
        <w:rPr>
          <w:rFonts w:ascii="Arial" w:hAnsi="Arial" w:cs="Arial"/>
        </w:rPr>
        <w:t xml:space="preserve"> since</w:t>
      </w:r>
      <w:r w:rsidRPr="006F1F6A">
        <w:rPr>
          <w:rFonts w:ascii="Arial" w:hAnsi="Arial" w:cs="Arial"/>
        </w:rPr>
        <w:t xml:space="preserve"> shown that in developed countries</w:t>
      </w:r>
      <w:r w:rsidR="00E51F04">
        <w:rPr>
          <w:rFonts w:ascii="Arial" w:hAnsi="Arial" w:cs="Arial"/>
        </w:rPr>
        <w:t xml:space="preserve"> like the UK,</w:t>
      </w:r>
      <w:r w:rsidRPr="006F1F6A">
        <w:rPr>
          <w:rFonts w:ascii="Arial" w:hAnsi="Arial" w:cs="Arial"/>
        </w:rPr>
        <w:t xml:space="preserve"> such basic access (whether at home, school, or elsewhere) is near ubiquitous, particularly amongst young people (Livingstone</w:t>
      </w:r>
      <w:r w:rsidR="0034524F">
        <w:rPr>
          <w:rFonts w:ascii="Arial" w:hAnsi="Arial" w:cs="Arial"/>
        </w:rPr>
        <w:t xml:space="preserve"> and</w:t>
      </w:r>
      <w:r w:rsidRPr="006F1F6A">
        <w:rPr>
          <w:rFonts w:ascii="Arial" w:hAnsi="Arial" w:cs="Arial"/>
        </w:rPr>
        <w:t xml:space="preserve"> Helsper, 2007; van Dijk, 2006).</w:t>
      </w:r>
      <w:r w:rsidR="0089011F">
        <w:rPr>
          <w:rFonts w:ascii="Arial" w:hAnsi="Arial" w:cs="Arial"/>
        </w:rPr>
        <w:t xml:space="preserve"> Indeed, </w:t>
      </w:r>
      <w:r w:rsidR="0092333B">
        <w:rPr>
          <w:rFonts w:ascii="Arial" w:hAnsi="Arial" w:cs="Arial"/>
        </w:rPr>
        <w:t xml:space="preserve">evidence shows that </w:t>
      </w:r>
      <w:r w:rsidR="0089011F">
        <w:rPr>
          <w:rFonts w:ascii="Arial" w:hAnsi="Arial" w:cs="Arial"/>
        </w:rPr>
        <w:t xml:space="preserve">96% of </w:t>
      </w:r>
      <w:r w:rsidR="00E22841">
        <w:rPr>
          <w:rFonts w:ascii="Arial" w:hAnsi="Arial" w:cs="Arial"/>
        </w:rPr>
        <w:t>children</w:t>
      </w:r>
      <w:r w:rsidR="0089011F">
        <w:rPr>
          <w:rFonts w:ascii="Arial" w:hAnsi="Arial" w:cs="Arial"/>
        </w:rPr>
        <w:t xml:space="preserve"> in the UK </w:t>
      </w:r>
      <w:r w:rsidR="0092333B">
        <w:rPr>
          <w:rFonts w:ascii="Arial" w:hAnsi="Arial" w:cs="Arial"/>
        </w:rPr>
        <w:t>live in</w:t>
      </w:r>
      <w:r w:rsidR="00E22841">
        <w:rPr>
          <w:rFonts w:ascii="Arial" w:hAnsi="Arial" w:cs="Arial"/>
        </w:rPr>
        <w:t xml:space="preserve"> households with an internet connection (ONS, 2014</w:t>
      </w:r>
      <w:r w:rsidR="0089011F">
        <w:rPr>
          <w:rFonts w:ascii="Arial" w:hAnsi="Arial" w:cs="Arial"/>
        </w:rPr>
        <w:t>). Due to such a prevalence of ICT use</w:t>
      </w:r>
      <w:r w:rsidR="00E51F04">
        <w:rPr>
          <w:rFonts w:ascii="Arial" w:hAnsi="Arial" w:cs="Arial"/>
        </w:rPr>
        <w:t>,</w:t>
      </w:r>
      <w:r w:rsidR="004B2F7A">
        <w:rPr>
          <w:rFonts w:ascii="Arial" w:hAnsi="Arial" w:cs="Arial"/>
        </w:rPr>
        <w:t xml:space="preserve"> it may be</w:t>
      </w:r>
      <w:r w:rsidRPr="006F1F6A">
        <w:rPr>
          <w:rFonts w:ascii="Arial" w:hAnsi="Arial" w:cs="Arial"/>
        </w:rPr>
        <w:t xml:space="preserve"> expected that there </w:t>
      </w:r>
      <w:r w:rsidR="004B2F7A">
        <w:rPr>
          <w:rFonts w:ascii="Arial" w:hAnsi="Arial" w:cs="Arial"/>
        </w:rPr>
        <w:t xml:space="preserve">be </w:t>
      </w:r>
      <w:r w:rsidRPr="006F1F6A">
        <w:rPr>
          <w:rFonts w:ascii="Arial" w:hAnsi="Arial" w:cs="Arial"/>
        </w:rPr>
        <w:t xml:space="preserve">no significant difference in SNS membership between </w:t>
      </w:r>
      <w:r w:rsidR="00E51F04">
        <w:rPr>
          <w:rFonts w:ascii="Arial" w:hAnsi="Arial" w:cs="Arial"/>
        </w:rPr>
        <w:t>16-21 year olds</w:t>
      </w:r>
      <w:r w:rsidRPr="006F1F6A">
        <w:rPr>
          <w:rFonts w:ascii="Arial" w:hAnsi="Arial" w:cs="Arial"/>
        </w:rPr>
        <w:t xml:space="preserve"> who are in paid employment, and those who are unemployed.</w:t>
      </w:r>
      <w:r w:rsidR="00E51F04">
        <w:rPr>
          <w:rFonts w:ascii="Arial" w:hAnsi="Arial" w:cs="Arial"/>
        </w:rPr>
        <w:t xml:space="preserve"> To this end, </w:t>
      </w:r>
      <w:r w:rsidR="008533C1">
        <w:rPr>
          <w:rFonts w:ascii="Arial" w:hAnsi="Arial" w:cs="Arial"/>
        </w:rPr>
        <w:t>the following hypotheses were</w:t>
      </w:r>
      <w:r w:rsidR="00E51F04">
        <w:rPr>
          <w:rFonts w:ascii="Arial" w:hAnsi="Arial" w:cs="Arial"/>
        </w:rPr>
        <w:t xml:space="preserve"> tested</w:t>
      </w:r>
      <w:r w:rsidR="004B2F7A">
        <w:rPr>
          <w:rFonts w:ascii="Arial" w:hAnsi="Arial" w:cs="Arial"/>
        </w:rPr>
        <w:t xml:space="preserve"> as part of the study reported in this paper</w:t>
      </w:r>
      <w:r w:rsidR="00E51F04">
        <w:rPr>
          <w:rFonts w:ascii="Arial" w:hAnsi="Arial" w:cs="Arial"/>
        </w:rPr>
        <w:t>:</w:t>
      </w:r>
      <w:r w:rsidR="00D62AA5">
        <w:rPr>
          <w:rFonts w:ascii="Arial" w:hAnsi="Arial" w:cs="Arial"/>
        </w:rPr>
        <w:t xml:space="preserve"> </w:t>
      </w:r>
    </w:p>
    <w:p w14:paraId="05707E0E" w14:textId="77777777" w:rsidR="00AF5DE0" w:rsidRPr="006F1F6A" w:rsidRDefault="00AF5DE0" w:rsidP="0034524F">
      <w:pPr>
        <w:spacing w:after="280" w:line="480" w:lineRule="auto"/>
        <w:rPr>
          <w:rFonts w:ascii="Arial" w:hAnsi="Arial" w:cs="Arial"/>
          <w:i/>
        </w:rPr>
      </w:pPr>
      <w:r w:rsidRPr="006F1F6A">
        <w:rPr>
          <w:rFonts w:ascii="Arial" w:hAnsi="Arial" w:cs="Arial"/>
          <w:i/>
        </w:rPr>
        <w:t>Hypothesis 1o: Employment status is not associated with membership of SNSs.</w:t>
      </w:r>
    </w:p>
    <w:p w14:paraId="47A0A2E5" w14:textId="77777777" w:rsidR="00AF5DE0" w:rsidRPr="006F1F6A" w:rsidRDefault="00EA0943" w:rsidP="0034524F">
      <w:pPr>
        <w:spacing w:after="280" w:line="480" w:lineRule="auto"/>
        <w:rPr>
          <w:rFonts w:ascii="Arial" w:hAnsi="Arial" w:cs="Arial"/>
          <w:i/>
        </w:rPr>
      </w:pPr>
      <w:r w:rsidRPr="006F1F6A">
        <w:rPr>
          <w:rFonts w:ascii="Arial" w:hAnsi="Arial" w:cs="Arial"/>
          <w:i/>
        </w:rPr>
        <w:t>Vs.</w:t>
      </w:r>
    </w:p>
    <w:p w14:paraId="789613CA" w14:textId="77777777" w:rsidR="00035C79" w:rsidRPr="006F1F6A" w:rsidRDefault="00631DDD" w:rsidP="0034524F">
      <w:pPr>
        <w:spacing w:after="280" w:line="480" w:lineRule="auto"/>
        <w:rPr>
          <w:rFonts w:ascii="Arial" w:hAnsi="Arial" w:cs="Arial"/>
          <w:i/>
        </w:rPr>
      </w:pPr>
      <w:r w:rsidRPr="006F1F6A">
        <w:rPr>
          <w:rFonts w:ascii="Arial" w:hAnsi="Arial" w:cs="Arial"/>
          <w:i/>
        </w:rPr>
        <w:t>Hypothesis 1</w:t>
      </w:r>
      <w:r w:rsidR="00256DA8" w:rsidRPr="006F1F6A">
        <w:rPr>
          <w:rFonts w:ascii="Arial" w:hAnsi="Arial" w:cs="Arial"/>
          <w:i/>
        </w:rPr>
        <w:t>a</w:t>
      </w:r>
      <w:r w:rsidRPr="006F1F6A">
        <w:rPr>
          <w:rFonts w:ascii="Arial" w:hAnsi="Arial" w:cs="Arial"/>
          <w:i/>
        </w:rPr>
        <w:t xml:space="preserve">: </w:t>
      </w:r>
      <w:r w:rsidR="009F3C5A" w:rsidRPr="006F1F6A">
        <w:rPr>
          <w:rFonts w:ascii="Arial" w:hAnsi="Arial" w:cs="Arial"/>
          <w:i/>
        </w:rPr>
        <w:t xml:space="preserve">Employment status </w:t>
      </w:r>
      <w:r w:rsidR="00AF5DE0" w:rsidRPr="006F1F6A">
        <w:rPr>
          <w:rFonts w:ascii="Arial" w:hAnsi="Arial" w:cs="Arial"/>
          <w:i/>
        </w:rPr>
        <w:t>is positively</w:t>
      </w:r>
      <w:r w:rsidR="009F3C5A" w:rsidRPr="006F1F6A">
        <w:rPr>
          <w:rFonts w:ascii="Arial" w:hAnsi="Arial" w:cs="Arial"/>
          <w:i/>
        </w:rPr>
        <w:t xml:space="preserve"> associated with membership of SNSs.</w:t>
      </w:r>
    </w:p>
    <w:p w14:paraId="30821C1A" w14:textId="7D5C8FFF" w:rsidR="00793B64" w:rsidRPr="006F1F6A" w:rsidRDefault="00793B64" w:rsidP="006F1F6A">
      <w:pPr>
        <w:spacing w:after="280" w:line="480" w:lineRule="auto"/>
        <w:jc w:val="both"/>
        <w:rPr>
          <w:rFonts w:ascii="Arial" w:hAnsi="Arial" w:cs="Arial"/>
        </w:rPr>
      </w:pPr>
      <w:r w:rsidRPr="006F1F6A">
        <w:rPr>
          <w:rFonts w:ascii="Arial" w:hAnsi="Arial" w:cs="Arial"/>
        </w:rPr>
        <w:t xml:space="preserve">Despite the </w:t>
      </w:r>
      <w:r w:rsidR="001F525F">
        <w:rPr>
          <w:rFonts w:ascii="Arial" w:hAnsi="Arial" w:cs="Arial"/>
        </w:rPr>
        <w:t>contention</w:t>
      </w:r>
      <w:r w:rsidR="009F3C5A" w:rsidRPr="006F1F6A">
        <w:rPr>
          <w:rFonts w:ascii="Arial" w:hAnsi="Arial" w:cs="Arial"/>
        </w:rPr>
        <w:t xml:space="preserve"> outlined </w:t>
      </w:r>
      <w:r w:rsidRPr="006F1F6A">
        <w:rPr>
          <w:rFonts w:ascii="Arial" w:hAnsi="Arial" w:cs="Arial"/>
        </w:rPr>
        <w:t>above, research has also shown that</w:t>
      </w:r>
      <w:r w:rsidR="00AC6E5B">
        <w:rPr>
          <w:rFonts w:ascii="Arial" w:hAnsi="Arial" w:cs="Arial"/>
        </w:rPr>
        <w:t xml:space="preserve"> </w:t>
      </w:r>
      <w:r w:rsidR="004B2F7A" w:rsidRPr="006F1F6A">
        <w:rPr>
          <w:rFonts w:ascii="Arial" w:hAnsi="Arial" w:cs="Arial"/>
        </w:rPr>
        <w:t>as a direct result of having gr</w:t>
      </w:r>
      <w:r w:rsidR="004B2F7A">
        <w:rPr>
          <w:rFonts w:ascii="Arial" w:hAnsi="Arial" w:cs="Arial"/>
        </w:rPr>
        <w:t xml:space="preserve">eater home access, </w:t>
      </w:r>
      <w:r w:rsidR="00AC6E5B">
        <w:rPr>
          <w:rFonts w:ascii="Arial" w:hAnsi="Arial" w:cs="Arial"/>
        </w:rPr>
        <w:t>middle-class children use the I</w:t>
      </w:r>
      <w:r w:rsidRPr="006F1F6A">
        <w:rPr>
          <w:rFonts w:ascii="Arial" w:hAnsi="Arial" w:cs="Arial"/>
        </w:rPr>
        <w:t>nternet more frequently than t</w:t>
      </w:r>
      <w:r w:rsidR="00AC6E5B">
        <w:rPr>
          <w:rFonts w:ascii="Arial" w:hAnsi="Arial" w:cs="Arial"/>
        </w:rPr>
        <w:t>heir working-class counterparts</w:t>
      </w:r>
      <w:r w:rsidRPr="006F1F6A">
        <w:rPr>
          <w:rFonts w:ascii="Arial" w:hAnsi="Arial" w:cs="Arial"/>
        </w:rPr>
        <w:t xml:space="preserve"> </w:t>
      </w:r>
      <w:r w:rsidR="0034524F">
        <w:rPr>
          <w:rFonts w:ascii="Arial" w:hAnsi="Arial" w:cs="Arial"/>
        </w:rPr>
        <w:t>(Livingstone and</w:t>
      </w:r>
      <w:r w:rsidRPr="006F1F6A">
        <w:rPr>
          <w:rFonts w:ascii="Arial" w:hAnsi="Arial" w:cs="Arial"/>
        </w:rPr>
        <w:t xml:space="preserve"> Helsper, 2007). </w:t>
      </w:r>
      <w:r w:rsidR="00B35F9A">
        <w:rPr>
          <w:rFonts w:ascii="Arial" w:hAnsi="Arial" w:cs="Arial"/>
        </w:rPr>
        <w:t>Such a distinction could</w:t>
      </w:r>
      <w:r w:rsidR="004B2F7A">
        <w:rPr>
          <w:rFonts w:ascii="Arial" w:hAnsi="Arial" w:cs="Arial"/>
        </w:rPr>
        <w:t xml:space="preserve"> be crucial</w:t>
      </w:r>
      <w:r w:rsidRPr="006F1F6A">
        <w:rPr>
          <w:rFonts w:ascii="Arial" w:hAnsi="Arial" w:cs="Arial"/>
        </w:rPr>
        <w:t xml:space="preserve"> as evidence </w:t>
      </w:r>
      <w:r w:rsidR="00B35F9A">
        <w:rPr>
          <w:rFonts w:ascii="Arial" w:hAnsi="Arial" w:cs="Arial"/>
        </w:rPr>
        <w:t>indicates that there is a</w:t>
      </w:r>
      <w:r w:rsidR="00AC6E5B">
        <w:rPr>
          <w:rFonts w:ascii="Arial" w:hAnsi="Arial" w:cs="Arial"/>
        </w:rPr>
        <w:t xml:space="preserve"> link between higher levels of I</w:t>
      </w:r>
      <w:r w:rsidRPr="006F1F6A">
        <w:rPr>
          <w:rFonts w:ascii="Arial" w:hAnsi="Arial" w:cs="Arial"/>
        </w:rPr>
        <w:t>nternet use and educational attainment (Chowdry, 2010). Additionally, more frequent online activity</w:t>
      </w:r>
      <w:r w:rsidR="00AC6E5B">
        <w:rPr>
          <w:rFonts w:ascii="Arial" w:hAnsi="Arial" w:cs="Arial"/>
        </w:rPr>
        <w:t>,</w:t>
      </w:r>
      <w:r w:rsidRPr="006F1F6A">
        <w:rPr>
          <w:rFonts w:ascii="Arial" w:hAnsi="Arial" w:cs="Arial"/>
        </w:rPr>
        <w:t xml:space="preserve"> greater online skills and self-efficacy have been found to encourage young people to take</w:t>
      </w:r>
      <w:r w:rsidR="004B2F7A">
        <w:rPr>
          <w:rFonts w:ascii="Arial" w:hAnsi="Arial" w:cs="Arial"/>
        </w:rPr>
        <w:t xml:space="preserve"> up opportunities found on the I</w:t>
      </w:r>
      <w:r w:rsidRPr="006F1F6A">
        <w:rPr>
          <w:rFonts w:ascii="Arial" w:hAnsi="Arial" w:cs="Arial"/>
        </w:rPr>
        <w:t>nternet (East</w:t>
      </w:r>
      <w:r w:rsidR="0034524F">
        <w:rPr>
          <w:rFonts w:ascii="Arial" w:hAnsi="Arial" w:cs="Arial"/>
        </w:rPr>
        <w:t>in and LaRose, 2000; Livingstone and</w:t>
      </w:r>
      <w:r w:rsidRPr="006F1F6A">
        <w:rPr>
          <w:rFonts w:ascii="Arial" w:hAnsi="Arial" w:cs="Arial"/>
        </w:rPr>
        <w:t xml:space="preserve"> Helsper,</w:t>
      </w:r>
      <w:r w:rsidR="004B2F7A">
        <w:rPr>
          <w:rFonts w:ascii="Arial" w:hAnsi="Arial" w:cs="Arial"/>
        </w:rPr>
        <w:t xml:space="preserve"> 2007). Given this evidence, </w:t>
      </w:r>
      <w:r w:rsidR="008E0114">
        <w:rPr>
          <w:rFonts w:ascii="Arial" w:hAnsi="Arial" w:cs="Arial"/>
        </w:rPr>
        <w:t xml:space="preserve">it </w:t>
      </w:r>
      <w:r w:rsidR="004B2F7A">
        <w:rPr>
          <w:rFonts w:ascii="Arial" w:hAnsi="Arial" w:cs="Arial"/>
        </w:rPr>
        <w:t>would be anticipated</w:t>
      </w:r>
      <w:r w:rsidRPr="006F1F6A">
        <w:rPr>
          <w:rFonts w:ascii="Arial" w:hAnsi="Arial" w:cs="Arial"/>
        </w:rPr>
        <w:t xml:space="preserve"> that whilst membership of </w:t>
      </w:r>
      <w:r w:rsidR="00B35F9A">
        <w:rPr>
          <w:rFonts w:ascii="Arial" w:hAnsi="Arial" w:cs="Arial"/>
        </w:rPr>
        <w:t>SNSs</w:t>
      </w:r>
      <w:r w:rsidR="009F3C5A" w:rsidRPr="006F1F6A">
        <w:rPr>
          <w:rFonts w:ascii="Arial" w:hAnsi="Arial" w:cs="Arial"/>
        </w:rPr>
        <w:t xml:space="preserve"> </w:t>
      </w:r>
      <w:r w:rsidRPr="006F1F6A">
        <w:rPr>
          <w:rFonts w:ascii="Arial" w:hAnsi="Arial" w:cs="Arial"/>
        </w:rPr>
        <w:t xml:space="preserve">will not be associated with </w:t>
      </w:r>
      <w:r w:rsidR="009F3C5A" w:rsidRPr="006F1F6A">
        <w:rPr>
          <w:rFonts w:ascii="Arial" w:hAnsi="Arial" w:cs="Arial"/>
        </w:rPr>
        <w:t>employment or social exclusion</w:t>
      </w:r>
      <w:r w:rsidRPr="006F1F6A">
        <w:rPr>
          <w:rFonts w:ascii="Arial" w:hAnsi="Arial" w:cs="Arial"/>
        </w:rPr>
        <w:t xml:space="preserve">, frequent use of </w:t>
      </w:r>
      <w:r w:rsidR="009F3C5A" w:rsidRPr="006F1F6A">
        <w:rPr>
          <w:rFonts w:ascii="Arial" w:hAnsi="Arial" w:cs="Arial"/>
        </w:rPr>
        <w:t>SNSs</w:t>
      </w:r>
      <w:r w:rsidRPr="006F1F6A">
        <w:rPr>
          <w:rFonts w:ascii="Arial" w:hAnsi="Arial" w:cs="Arial"/>
        </w:rPr>
        <w:t xml:space="preserve"> will be</w:t>
      </w:r>
      <w:r w:rsidR="009F3C5A" w:rsidRPr="006F1F6A">
        <w:rPr>
          <w:rFonts w:ascii="Arial" w:hAnsi="Arial" w:cs="Arial"/>
        </w:rPr>
        <w:t xml:space="preserve"> closely associated with employment status.</w:t>
      </w:r>
      <w:r w:rsidR="00B35F9A">
        <w:rPr>
          <w:rFonts w:ascii="Arial" w:hAnsi="Arial" w:cs="Arial"/>
        </w:rPr>
        <w:t xml:space="preserve"> Therefore, </w:t>
      </w:r>
      <w:r w:rsidR="004B2F7A">
        <w:rPr>
          <w:rFonts w:ascii="Arial" w:hAnsi="Arial" w:cs="Arial"/>
        </w:rPr>
        <w:t xml:space="preserve">the following </w:t>
      </w:r>
      <w:r w:rsidR="008533C1">
        <w:rPr>
          <w:rFonts w:ascii="Arial" w:hAnsi="Arial" w:cs="Arial"/>
        </w:rPr>
        <w:t>hypothese</w:t>
      </w:r>
      <w:r w:rsidR="004B2F7A">
        <w:rPr>
          <w:rFonts w:ascii="Arial" w:hAnsi="Arial" w:cs="Arial"/>
        </w:rPr>
        <w:t>s were</w:t>
      </w:r>
      <w:r w:rsidR="00B35F9A">
        <w:rPr>
          <w:rFonts w:ascii="Arial" w:hAnsi="Arial" w:cs="Arial"/>
        </w:rPr>
        <w:t xml:space="preserve"> tested:</w:t>
      </w:r>
    </w:p>
    <w:p w14:paraId="0A7CE4B2" w14:textId="77777777" w:rsidR="00256DA8" w:rsidRPr="006F1F6A" w:rsidRDefault="001F525F" w:rsidP="0034524F">
      <w:pPr>
        <w:spacing w:after="280" w:line="480" w:lineRule="auto"/>
        <w:rPr>
          <w:rFonts w:ascii="Arial" w:hAnsi="Arial" w:cs="Arial"/>
          <w:i/>
        </w:rPr>
      </w:pPr>
      <w:r>
        <w:rPr>
          <w:rFonts w:ascii="Arial" w:hAnsi="Arial" w:cs="Arial"/>
          <w:i/>
        </w:rPr>
        <w:t>Hypothesis 2</w:t>
      </w:r>
      <w:r w:rsidR="009E37ED" w:rsidRPr="006F1F6A">
        <w:rPr>
          <w:rFonts w:ascii="Arial" w:hAnsi="Arial" w:cs="Arial"/>
          <w:i/>
        </w:rPr>
        <w:t>o</w:t>
      </w:r>
      <w:r w:rsidR="00256DA8" w:rsidRPr="006F1F6A">
        <w:rPr>
          <w:rFonts w:ascii="Arial" w:hAnsi="Arial" w:cs="Arial"/>
          <w:i/>
        </w:rPr>
        <w:t>:</w:t>
      </w:r>
      <w:r w:rsidR="009F3C5A" w:rsidRPr="006F1F6A">
        <w:rPr>
          <w:rFonts w:ascii="Arial" w:hAnsi="Arial" w:cs="Arial"/>
          <w:i/>
        </w:rPr>
        <w:t xml:space="preserve"> Employment status </w:t>
      </w:r>
      <w:r w:rsidR="009E7180" w:rsidRPr="006F1F6A">
        <w:rPr>
          <w:rFonts w:ascii="Arial" w:hAnsi="Arial" w:cs="Arial"/>
          <w:i/>
        </w:rPr>
        <w:t>is</w:t>
      </w:r>
      <w:r w:rsidR="009F3C5A" w:rsidRPr="006F1F6A">
        <w:rPr>
          <w:rFonts w:ascii="Arial" w:hAnsi="Arial" w:cs="Arial"/>
          <w:i/>
        </w:rPr>
        <w:t xml:space="preserve"> </w:t>
      </w:r>
      <w:r w:rsidR="009E37ED" w:rsidRPr="006F1F6A">
        <w:rPr>
          <w:rFonts w:ascii="Arial" w:hAnsi="Arial" w:cs="Arial"/>
          <w:i/>
        </w:rPr>
        <w:t xml:space="preserve">not </w:t>
      </w:r>
      <w:r w:rsidR="009F3C5A" w:rsidRPr="006F1F6A">
        <w:rPr>
          <w:rFonts w:ascii="Arial" w:hAnsi="Arial" w:cs="Arial"/>
          <w:i/>
        </w:rPr>
        <w:t xml:space="preserve">associated with </w:t>
      </w:r>
      <w:r w:rsidR="00BD042C" w:rsidRPr="006F1F6A">
        <w:rPr>
          <w:rFonts w:ascii="Arial" w:hAnsi="Arial" w:cs="Arial"/>
          <w:i/>
        </w:rPr>
        <w:t>frequency of SNS use.</w:t>
      </w:r>
    </w:p>
    <w:p w14:paraId="745E2C92" w14:textId="77777777" w:rsidR="009E37ED" w:rsidRPr="006F1F6A" w:rsidRDefault="00EA0943" w:rsidP="0034524F">
      <w:pPr>
        <w:spacing w:after="280" w:line="480" w:lineRule="auto"/>
        <w:rPr>
          <w:rFonts w:ascii="Arial" w:hAnsi="Arial" w:cs="Arial"/>
          <w:i/>
        </w:rPr>
      </w:pPr>
      <w:r w:rsidRPr="006F1F6A">
        <w:rPr>
          <w:rFonts w:ascii="Arial" w:hAnsi="Arial" w:cs="Arial"/>
          <w:i/>
        </w:rPr>
        <w:t>Vs.</w:t>
      </w:r>
    </w:p>
    <w:p w14:paraId="5BE0C7CF" w14:textId="77777777" w:rsidR="001F525F" w:rsidRDefault="001F525F" w:rsidP="0034524F">
      <w:pPr>
        <w:spacing w:after="280" w:line="480" w:lineRule="auto"/>
        <w:rPr>
          <w:rFonts w:ascii="Arial" w:hAnsi="Arial" w:cs="Arial"/>
          <w:i/>
        </w:rPr>
      </w:pPr>
      <w:r>
        <w:rPr>
          <w:rFonts w:ascii="Arial" w:hAnsi="Arial" w:cs="Arial"/>
          <w:i/>
        </w:rPr>
        <w:t>Hypothesis 2</w:t>
      </w:r>
      <w:r w:rsidR="009E37ED" w:rsidRPr="006F1F6A">
        <w:rPr>
          <w:rFonts w:ascii="Arial" w:hAnsi="Arial" w:cs="Arial"/>
          <w:i/>
        </w:rPr>
        <w:t xml:space="preserve">a: Employment status </w:t>
      </w:r>
      <w:r w:rsidR="00BE0AFE" w:rsidRPr="006F1F6A">
        <w:rPr>
          <w:rFonts w:ascii="Arial" w:hAnsi="Arial" w:cs="Arial"/>
          <w:i/>
        </w:rPr>
        <w:t>is associated</w:t>
      </w:r>
      <w:r w:rsidR="009E37ED" w:rsidRPr="006F1F6A">
        <w:rPr>
          <w:rFonts w:ascii="Arial" w:hAnsi="Arial" w:cs="Arial"/>
          <w:i/>
        </w:rPr>
        <w:t xml:space="preserve"> with frequency of SNS use.</w:t>
      </w:r>
    </w:p>
    <w:p w14:paraId="595E4A42" w14:textId="77777777" w:rsidR="001F525F" w:rsidRPr="006F1F6A" w:rsidRDefault="001F525F" w:rsidP="001F525F">
      <w:pPr>
        <w:spacing w:after="280" w:line="480" w:lineRule="auto"/>
        <w:jc w:val="both"/>
        <w:rPr>
          <w:rFonts w:ascii="Arial" w:hAnsi="Arial" w:cs="Arial"/>
        </w:rPr>
      </w:pPr>
      <w:r w:rsidRPr="006F1F6A">
        <w:rPr>
          <w:rFonts w:ascii="Arial" w:hAnsi="Arial" w:cs="Arial"/>
        </w:rPr>
        <w:t>In addition to the above, evidence has also suggested that whilst there is a relationship between un</w:t>
      </w:r>
      <w:r w:rsidR="004B2F7A">
        <w:rPr>
          <w:rFonts w:ascii="Arial" w:hAnsi="Arial" w:cs="Arial"/>
        </w:rPr>
        <w:t>employment and social exclusion -</w:t>
      </w:r>
      <w:r w:rsidRPr="006F1F6A">
        <w:rPr>
          <w:rFonts w:ascii="Arial" w:hAnsi="Arial" w:cs="Arial"/>
        </w:rPr>
        <w:t xml:space="preserve"> in that unemployment increases the risk of poverty (which in turn, is strongly associated to exclusion) </w:t>
      </w:r>
      <w:r w:rsidR="004B2F7A">
        <w:rPr>
          <w:rFonts w:ascii="Arial" w:hAnsi="Arial" w:cs="Arial"/>
        </w:rPr>
        <w:t xml:space="preserve">- </w:t>
      </w:r>
      <w:r w:rsidRPr="006F1F6A">
        <w:rPr>
          <w:rFonts w:ascii="Arial" w:hAnsi="Arial" w:cs="Arial"/>
        </w:rPr>
        <w:t>they cannot necessarily be equated (Atkinson, 1998; Gallie</w:t>
      </w:r>
      <w:r>
        <w:rPr>
          <w:rFonts w:ascii="Arial" w:hAnsi="Arial" w:cs="Arial"/>
        </w:rPr>
        <w:t xml:space="preserve"> et al.,</w:t>
      </w:r>
      <w:r w:rsidRPr="006F1F6A">
        <w:rPr>
          <w:rFonts w:ascii="Arial" w:hAnsi="Arial" w:cs="Arial"/>
        </w:rPr>
        <w:t xml:space="preserve"> 2010, Canduela et al.</w:t>
      </w:r>
      <w:r>
        <w:rPr>
          <w:rFonts w:ascii="Arial" w:hAnsi="Arial" w:cs="Arial"/>
        </w:rPr>
        <w:t>,</w:t>
      </w:r>
      <w:r w:rsidRPr="006F1F6A">
        <w:rPr>
          <w:rFonts w:ascii="Arial" w:hAnsi="Arial" w:cs="Arial"/>
        </w:rPr>
        <w:t xml:space="preserve"> 2015). </w:t>
      </w:r>
      <w:r w:rsidR="004B2F7A">
        <w:rPr>
          <w:rFonts w:ascii="Arial" w:hAnsi="Arial" w:cs="Arial"/>
        </w:rPr>
        <w:t xml:space="preserve">So </w:t>
      </w:r>
      <w:r w:rsidRPr="006F1F6A">
        <w:rPr>
          <w:rFonts w:ascii="Arial" w:hAnsi="Arial" w:cs="Arial"/>
        </w:rPr>
        <w:t>other economic, social and cultural factors have a bearing on whether individuals be</w:t>
      </w:r>
      <w:r>
        <w:rPr>
          <w:rFonts w:ascii="Arial" w:hAnsi="Arial" w:cs="Arial"/>
        </w:rPr>
        <w:t>come socially isolated, and this is</w:t>
      </w:r>
      <w:r w:rsidRPr="006F1F6A">
        <w:rPr>
          <w:rFonts w:ascii="Arial" w:hAnsi="Arial" w:cs="Arial"/>
        </w:rPr>
        <w:t xml:space="preserve"> not necessarily </w:t>
      </w:r>
      <w:r>
        <w:rPr>
          <w:rFonts w:ascii="Arial" w:hAnsi="Arial" w:cs="Arial"/>
        </w:rPr>
        <w:t>related</w:t>
      </w:r>
      <w:r w:rsidRPr="006F1F6A">
        <w:rPr>
          <w:rFonts w:ascii="Arial" w:hAnsi="Arial" w:cs="Arial"/>
        </w:rPr>
        <w:t xml:space="preserve"> </w:t>
      </w:r>
      <w:r>
        <w:rPr>
          <w:rFonts w:ascii="Arial" w:hAnsi="Arial" w:cs="Arial"/>
        </w:rPr>
        <w:t>to</w:t>
      </w:r>
      <w:r w:rsidRPr="006F1F6A">
        <w:rPr>
          <w:rFonts w:ascii="Arial" w:hAnsi="Arial" w:cs="Arial"/>
        </w:rPr>
        <w:t xml:space="preserve"> their emplo</w:t>
      </w:r>
      <w:r w:rsidR="004B2F7A">
        <w:rPr>
          <w:rFonts w:ascii="Arial" w:hAnsi="Arial" w:cs="Arial"/>
        </w:rPr>
        <w:t>yment status. To this end, it was expected that there would</w:t>
      </w:r>
      <w:r w:rsidRPr="006F1F6A">
        <w:rPr>
          <w:rFonts w:ascii="Arial" w:hAnsi="Arial" w:cs="Arial"/>
        </w:rPr>
        <w:t xml:space="preserve"> be no direct association between the number of close friends individuals have and their employment sta</w:t>
      </w:r>
      <w:r w:rsidR="008533C1">
        <w:rPr>
          <w:rFonts w:ascii="Arial" w:hAnsi="Arial" w:cs="Arial"/>
        </w:rPr>
        <w:t>tus. This leads to the hypothese</w:t>
      </w:r>
      <w:r w:rsidRPr="006F1F6A">
        <w:rPr>
          <w:rFonts w:ascii="Arial" w:hAnsi="Arial" w:cs="Arial"/>
        </w:rPr>
        <w:t>s:</w:t>
      </w:r>
    </w:p>
    <w:p w14:paraId="11539BB3" w14:textId="77777777" w:rsidR="001F525F" w:rsidRPr="006F1F6A" w:rsidRDefault="001F525F" w:rsidP="001F525F">
      <w:pPr>
        <w:spacing w:after="280" w:line="480" w:lineRule="auto"/>
        <w:rPr>
          <w:rFonts w:ascii="Arial" w:hAnsi="Arial" w:cs="Arial"/>
          <w:i/>
        </w:rPr>
      </w:pPr>
      <w:r w:rsidRPr="006F1F6A">
        <w:rPr>
          <w:rFonts w:ascii="Arial" w:hAnsi="Arial" w:cs="Arial"/>
          <w:i/>
        </w:rPr>
        <w:t xml:space="preserve">Hypothesis </w:t>
      </w:r>
      <w:r>
        <w:rPr>
          <w:rFonts w:ascii="Arial" w:hAnsi="Arial" w:cs="Arial"/>
          <w:i/>
        </w:rPr>
        <w:t>3</w:t>
      </w:r>
      <w:r w:rsidRPr="006F1F6A">
        <w:rPr>
          <w:rFonts w:ascii="Arial" w:hAnsi="Arial" w:cs="Arial"/>
          <w:i/>
        </w:rPr>
        <w:t>o: Employment status is not associated with number of close friends.</w:t>
      </w:r>
    </w:p>
    <w:p w14:paraId="4F88CDB6" w14:textId="77777777" w:rsidR="001F525F" w:rsidRPr="006F1F6A" w:rsidRDefault="001F525F" w:rsidP="001F525F">
      <w:pPr>
        <w:spacing w:after="280" w:line="480" w:lineRule="auto"/>
        <w:rPr>
          <w:rFonts w:ascii="Arial" w:hAnsi="Arial" w:cs="Arial"/>
          <w:i/>
        </w:rPr>
      </w:pPr>
      <w:r w:rsidRPr="006F1F6A">
        <w:rPr>
          <w:rFonts w:ascii="Arial" w:hAnsi="Arial" w:cs="Arial"/>
          <w:i/>
        </w:rPr>
        <w:t>Vs.</w:t>
      </w:r>
    </w:p>
    <w:p w14:paraId="47AE91C3" w14:textId="630D14A2" w:rsidR="00AE0013" w:rsidRPr="008E0114" w:rsidRDefault="001F525F" w:rsidP="008E0114">
      <w:pPr>
        <w:spacing w:after="280" w:line="480" w:lineRule="auto"/>
        <w:rPr>
          <w:rFonts w:ascii="Arial" w:hAnsi="Arial" w:cs="Arial"/>
          <w:i/>
        </w:rPr>
      </w:pPr>
      <w:r>
        <w:rPr>
          <w:rFonts w:ascii="Arial" w:hAnsi="Arial" w:cs="Arial"/>
          <w:i/>
        </w:rPr>
        <w:t>Hypothesis 3</w:t>
      </w:r>
      <w:r w:rsidRPr="006F1F6A">
        <w:rPr>
          <w:rFonts w:ascii="Arial" w:hAnsi="Arial" w:cs="Arial"/>
          <w:i/>
        </w:rPr>
        <w:t>a: Employment status is associated with number of close friends.</w:t>
      </w:r>
    </w:p>
    <w:p w14:paraId="51886787" w14:textId="77777777" w:rsidR="00035C79" w:rsidRDefault="00035C79" w:rsidP="00D83F2F">
      <w:pPr>
        <w:pStyle w:val="Heading2"/>
      </w:pPr>
      <w:r>
        <w:t xml:space="preserve">Age and </w:t>
      </w:r>
      <w:r w:rsidR="00BD042C">
        <w:t>the use of SNSs</w:t>
      </w:r>
    </w:p>
    <w:p w14:paraId="78F89A07" w14:textId="77777777" w:rsidR="002108DB" w:rsidRPr="006F1F6A" w:rsidRDefault="007F27F7" w:rsidP="006F1F6A">
      <w:pPr>
        <w:spacing w:after="280" w:line="480" w:lineRule="auto"/>
        <w:jc w:val="both"/>
        <w:rPr>
          <w:rFonts w:ascii="Arial" w:hAnsi="Arial" w:cs="Arial"/>
        </w:rPr>
      </w:pPr>
      <w:r w:rsidRPr="006F1F6A">
        <w:rPr>
          <w:rFonts w:ascii="Arial" w:hAnsi="Arial" w:cs="Arial"/>
        </w:rPr>
        <w:t>Younger generations entering the</w:t>
      </w:r>
      <w:r w:rsidR="00752EDB" w:rsidRPr="006F1F6A">
        <w:rPr>
          <w:rFonts w:ascii="Arial" w:hAnsi="Arial" w:cs="Arial"/>
        </w:rPr>
        <w:t xml:space="preserve"> labour market for the first time have been termed </w:t>
      </w:r>
      <w:r w:rsidR="000C76C4" w:rsidRPr="006F1F6A">
        <w:rPr>
          <w:rFonts w:ascii="Arial" w:hAnsi="Arial" w:cs="Arial"/>
        </w:rPr>
        <w:t>“</w:t>
      </w:r>
      <w:r w:rsidR="00752EDB" w:rsidRPr="006F1F6A">
        <w:rPr>
          <w:rFonts w:ascii="Arial" w:hAnsi="Arial" w:cs="Arial"/>
        </w:rPr>
        <w:t>digital natives</w:t>
      </w:r>
      <w:r w:rsidR="000C76C4" w:rsidRPr="006F1F6A">
        <w:rPr>
          <w:rFonts w:ascii="Arial" w:hAnsi="Arial" w:cs="Arial"/>
        </w:rPr>
        <w:t>”</w:t>
      </w:r>
      <w:r w:rsidR="00976AA7">
        <w:rPr>
          <w:rFonts w:ascii="Arial" w:hAnsi="Arial" w:cs="Arial"/>
        </w:rPr>
        <w:t>. This is</w:t>
      </w:r>
      <w:r w:rsidR="00752EDB" w:rsidRPr="006F1F6A">
        <w:rPr>
          <w:rFonts w:ascii="Arial" w:hAnsi="Arial" w:cs="Arial"/>
        </w:rPr>
        <w:t xml:space="preserve"> due to the embeddedness of information and communication technologies </w:t>
      </w:r>
      <w:r w:rsidR="00D304DB" w:rsidRPr="006F1F6A">
        <w:rPr>
          <w:rFonts w:ascii="Arial" w:hAnsi="Arial" w:cs="Arial"/>
        </w:rPr>
        <w:t>(ICTs) in</w:t>
      </w:r>
      <w:r w:rsidR="00824F13" w:rsidRPr="006F1F6A">
        <w:rPr>
          <w:rFonts w:ascii="Arial" w:hAnsi="Arial" w:cs="Arial"/>
        </w:rPr>
        <w:t xml:space="preserve"> their lives </w:t>
      </w:r>
      <w:r w:rsidR="00BD1A02" w:rsidRPr="006F1F6A">
        <w:rPr>
          <w:rFonts w:ascii="Arial" w:hAnsi="Arial" w:cs="Arial"/>
        </w:rPr>
        <w:t>(Bennett</w:t>
      </w:r>
      <w:r w:rsidR="0034524F">
        <w:rPr>
          <w:rFonts w:ascii="Arial" w:hAnsi="Arial" w:cs="Arial"/>
        </w:rPr>
        <w:t xml:space="preserve"> et al.,</w:t>
      </w:r>
      <w:r w:rsidR="00BD1A02" w:rsidRPr="006F1F6A">
        <w:rPr>
          <w:rFonts w:ascii="Arial" w:hAnsi="Arial" w:cs="Arial"/>
        </w:rPr>
        <w:t xml:space="preserve"> 2008).</w:t>
      </w:r>
      <w:r w:rsidR="00752EDB" w:rsidRPr="006F1F6A">
        <w:rPr>
          <w:rFonts w:ascii="Arial" w:hAnsi="Arial" w:cs="Arial"/>
        </w:rPr>
        <w:t xml:space="preserve"> </w:t>
      </w:r>
      <w:r w:rsidRPr="006F1F6A">
        <w:rPr>
          <w:rFonts w:ascii="Arial" w:hAnsi="Arial" w:cs="Arial"/>
        </w:rPr>
        <w:t>Indeed, much of the extant research on the adoption and usage of social media tools has focused on young people.</w:t>
      </w:r>
      <w:r w:rsidR="00976AA7">
        <w:rPr>
          <w:rFonts w:ascii="Arial" w:hAnsi="Arial" w:cs="Arial"/>
        </w:rPr>
        <w:t xml:space="preserve"> For example, w</w:t>
      </w:r>
      <w:r w:rsidR="00EF07E3" w:rsidRPr="006F1F6A">
        <w:rPr>
          <w:rFonts w:ascii="Arial" w:hAnsi="Arial" w:cs="Arial"/>
        </w:rPr>
        <w:t>ithin the field of information behaviour, there has been a focus on how students use social media tools to satisfy their information needs (Si</w:t>
      </w:r>
      <w:r w:rsidR="0034524F">
        <w:rPr>
          <w:rFonts w:ascii="Arial" w:hAnsi="Arial" w:cs="Arial"/>
        </w:rPr>
        <w:t>n and</w:t>
      </w:r>
      <w:r w:rsidR="00EF07E3" w:rsidRPr="006F1F6A">
        <w:rPr>
          <w:rFonts w:ascii="Arial" w:hAnsi="Arial" w:cs="Arial"/>
        </w:rPr>
        <w:t xml:space="preserve"> Kim</w:t>
      </w:r>
      <w:r w:rsidR="00761C27" w:rsidRPr="006F1F6A">
        <w:rPr>
          <w:rFonts w:ascii="Arial" w:hAnsi="Arial" w:cs="Arial"/>
        </w:rPr>
        <w:t>, 2013</w:t>
      </w:r>
      <w:r w:rsidR="00EF07E3" w:rsidRPr="006F1F6A">
        <w:rPr>
          <w:rFonts w:ascii="Arial" w:hAnsi="Arial" w:cs="Arial"/>
        </w:rPr>
        <w:t>; Kim</w:t>
      </w:r>
      <w:r w:rsidR="0034524F">
        <w:rPr>
          <w:rFonts w:ascii="Arial" w:hAnsi="Arial" w:cs="Arial"/>
        </w:rPr>
        <w:t xml:space="preserve"> et al.,</w:t>
      </w:r>
      <w:r w:rsidR="00EF07E3" w:rsidRPr="006F1F6A">
        <w:rPr>
          <w:rFonts w:ascii="Arial" w:hAnsi="Arial" w:cs="Arial"/>
        </w:rPr>
        <w:t xml:space="preserve"> 2014).</w:t>
      </w:r>
      <w:r w:rsidRPr="006F1F6A">
        <w:rPr>
          <w:rFonts w:ascii="Arial" w:hAnsi="Arial" w:cs="Arial"/>
        </w:rPr>
        <w:t xml:space="preserve"> </w:t>
      </w:r>
      <w:r w:rsidR="00D304DB" w:rsidRPr="006F1F6A">
        <w:rPr>
          <w:rFonts w:ascii="Arial" w:hAnsi="Arial" w:cs="Arial"/>
        </w:rPr>
        <w:t xml:space="preserve">In education research, attempts have been made to decipher the necessity of incorporating ICTs such as social media tools into modern teaching methods, in order </w:t>
      </w:r>
      <w:r w:rsidR="000F6991">
        <w:rPr>
          <w:rFonts w:ascii="Arial" w:hAnsi="Arial" w:cs="Arial"/>
        </w:rPr>
        <w:t xml:space="preserve">to </w:t>
      </w:r>
      <w:r w:rsidR="00D304DB" w:rsidRPr="006F1F6A">
        <w:rPr>
          <w:rFonts w:ascii="Arial" w:hAnsi="Arial" w:cs="Arial"/>
        </w:rPr>
        <w:t>disseminate information to students</w:t>
      </w:r>
      <w:r w:rsidR="00F9046C" w:rsidRPr="006F1F6A">
        <w:rPr>
          <w:rFonts w:ascii="Arial" w:hAnsi="Arial" w:cs="Arial"/>
        </w:rPr>
        <w:t xml:space="preserve"> </w:t>
      </w:r>
      <w:r w:rsidR="00D62AA5">
        <w:rPr>
          <w:rFonts w:ascii="Arial" w:hAnsi="Arial" w:cs="Arial"/>
        </w:rPr>
        <w:t xml:space="preserve">in </w:t>
      </w:r>
      <w:r w:rsidRPr="006F1F6A">
        <w:rPr>
          <w:rFonts w:ascii="Arial" w:hAnsi="Arial" w:cs="Arial"/>
        </w:rPr>
        <w:t>ways they would</w:t>
      </w:r>
      <w:r w:rsidR="00D304DB" w:rsidRPr="006F1F6A">
        <w:rPr>
          <w:rFonts w:ascii="Arial" w:hAnsi="Arial" w:cs="Arial"/>
        </w:rPr>
        <w:t xml:space="preserve"> find accessible </w:t>
      </w:r>
      <w:r w:rsidR="00F9046C" w:rsidRPr="006F1F6A">
        <w:rPr>
          <w:rFonts w:ascii="Arial" w:hAnsi="Arial" w:cs="Arial"/>
        </w:rPr>
        <w:t xml:space="preserve">(Ko, </w:t>
      </w:r>
      <w:r w:rsidR="0034524F">
        <w:rPr>
          <w:rFonts w:ascii="Arial" w:hAnsi="Arial" w:cs="Arial"/>
        </w:rPr>
        <w:t>et al.,</w:t>
      </w:r>
      <w:r w:rsidR="00F9046C" w:rsidRPr="006F1F6A">
        <w:rPr>
          <w:rFonts w:ascii="Arial" w:hAnsi="Arial" w:cs="Arial"/>
        </w:rPr>
        <w:t xml:space="preserve"> 2014</w:t>
      </w:r>
      <w:r w:rsidR="0034524F">
        <w:rPr>
          <w:rFonts w:ascii="Arial" w:hAnsi="Arial" w:cs="Arial"/>
        </w:rPr>
        <w:t>; Palfrey and</w:t>
      </w:r>
      <w:r w:rsidR="00526124" w:rsidRPr="006F1F6A">
        <w:rPr>
          <w:rFonts w:ascii="Arial" w:hAnsi="Arial" w:cs="Arial"/>
        </w:rPr>
        <w:t xml:space="preserve"> Gasser 2013</w:t>
      </w:r>
      <w:r w:rsidR="00F9046C" w:rsidRPr="006F1F6A">
        <w:rPr>
          <w:rFonts w:ascii="Arial" w:hAnsi="Arial" w:cs="Arial"/>
        </w:rPr>
        <w:t>)</w:t>
      </w:r>
      <w:r w:rsidR="00E60A54" w:rsidRPr="006F1F6A">
        <w:rPr>
          <w:rFonts w:ascii="Arial" w:hAnsi="Arial" w:cs="Arial"/>
        </w:rPr>
        <w:t xml:space="preserve">. </w:t>
      </w:r>
      <w:r w:rsidRPr="006F1F6A">
        <w:rPr>
          <w:rFonts w:ascii="Arial" w:hAnsi="Arial" w:cs="Arial"/>
        </w:rPr>
        <w:t>The careers guidance sector has also recognised the need to adapt its services for modern clients via the inclusion of social media tools, and attempts have been made to gauge the attitudes of careers professionals towards such ICTs (Kettunen</w:t>
      </w:r>
      <w:r w:rsidR="0034524F">
        <w:rPr>
          <w:rFonts w:ascii="Arial" w:hAnsi="Arial" w:cs="Arial"/>
        </w:rPr>
        <w:t xml:space="preserve"> et al.,</w:t>
      </w:r>
      <w:r w:rsidRPr="006F1F6A">
        <w:rPr>
          <w:rFonts w:ascii="Arial" w:hAnsi="Arial" w:cs="Arial"/>
        </w:rPr>
        <w:t xml:space="preserve"> 2015; Kettunen</w:t>
      </w:r>
      <w:r w:rsidR="0034524F">
        <w:rPr>
          <w:rFonts w:ascii="Arial" w:hAnsi="Arial" w:cs="Arial"/>
        </w:rPr>
        <w:t xml:space="preserve"> et al.,</w:t>
      </w:r>
      <w:r w:rsidRPr="006F1F6A">
        <w:rPr>
          <w:rFonts w:ascii="Arial" w:hAnsi="Arial" w:cs="Arial"/>
        </w:rPr>
        <w:t xml:space="preserve"> 2013). </w:t>
      </w:r>
      <w:r w:rsidR="00AC5ED0" w:rsidRPr="006F1F6A">
        <w:rPr>
          <w:rFonts w:ascii="Arial" w:hAnsi="Arial" w:cs="Arial"/>
        </w:rPr>
        <w:t>In lig</w:t>
      </w:r>
      <w:r w:rsidR="00976AA7">
        <w:rPr>
          <w:rFonts w:ascii="Arial" w:hAnsi="Arial" w:cs="Arial"/>
        </w:rPr>
        <w:t>ht of this, it was</w:t>
      </w:r>
      <w:r w:rsidR="00AD1169">
        <w:rPr>
          <w:rFonts w:ascii="Arial" w:hAnsi="Arial" w:cs="Arial"/>
        </w:rPr>
        <w:t xml:space="preserve"> expected that </w:t>
      </w:r>
      <w:r w:rsidR="00976AA7">
        <w:rPr>
          <w:rFonts w:ascii="Arial" w:hAnsi="Arial" w:cs="Arial"/>
        </w:rPr>
        <w:t xml:space="preserve">the analysis reported here would show that </w:t>
      </w:r>
      <w:r w:rsidR="00AD1169">
        <w:rPr>
          <w:rFonts w:ascii="Arial" w:hAnsi="Arial" w:cs="Arial"/>
        </w:rPr>
        <w:t xml:space="preserve">younger people </w:t>
      </w:r>
      <w:r w:rsidR="00976AA7">
        <w:rPr>
          <w:rFonts w:ascii="Arial" w:hAnsi="Arial" w:cs="Arial"/>
        </w:rPr>
        <w:t xml:space="preserve">are </w:t>
      </w:r>
      <w:r w:rsidR="00B14A17">
        <w:rPr>
          <w:rFonts w:ascii="Arial" w:hAnsi="Arial" w:cs="Arial"/>
        </w:rPr>
        <w:t>more likely to</w:t>
      </w:r>
      <w:r w:rsidR="00AD1169">
        <w:rPr>
          <w:rFonts w:ascii="Arial" w:hAnsi="Arial" w:cs="Arial"/>
        </w:rPr>
        <w:t xml:space="preserve"> be member</w:t>
      </w:r>
      <w:r w:rsidR="00B14A17">
        <w:rPr>
          <w:rFonts w:ascii="Arial" w:hAnsi="Arial" w:cs="Arial"/>
        </w:rPr>
        <w:t>s</w:t>
      </w:r>
      <w:r w:rsidR="00AD1169">
        <w:rPr>
          <w:rFonts w:ascii="Arial" w:hAnsi="Arial" w:cs="Arial"/>
        </w:rPr>
        <w:t xml:space="preserve"> of SNSs</w:t>
      </w:r>
      <w:r w:rsidR="00AC6E5B">
        <w:rPr>
          <w:rFonts w:ascii="Arial" w:hAnsi="Arial" w:cs="Arial"/>
        </w:rPr>
        <w:t xml:space="preserve"> than their older counterparts. This leads to the followi</w:t>
      </w:r>
      <w:r w:rsidR="008533C1">
        <w:rPr>
          <w:rFonts w:ascii="Arial" w:hAnsi="Arial" w:cs="Arial"/>
        </w:rPr>
        <w:t>ng hypothese</w:t>
      </w:r>
      <w:r w:rsidR="00AC6E5B">
        <w:rPr>
          <w:rFonts w:ascii="Arial" w:hAnsi="Arial" w:cs="Arial"/>
        </w:rPr>
        <w:t>s</w:t>
      </w:r>
      <w:r w:rsidR="00780CD6" w:rsidRPr="006F1F6A">
        <w:rPr>
          <w:rFonts w:ascii="Arial" w:hAnsi="Arial" w:cs="Arial"/>
        </w:rPr>
        <w:t>:</w:t>
      </w:r>
    </w:p>
    <w:p w14:paraId="743A05A3" w14:textId="77777777" w:rsidR="00AC5ED0" w:rsidRPr="006F1F6A" w:rsidRDefault="00631DDD" w:rsidP="0034524F">
      <w:pPr>
        <w:spacing w:after="280" w:line="480" w:lineRule="auto"/>
        <w:rPr>
          <w:rFonts w:ascii="Arial" w:hAnsi="Arial" w:cs="Arial"/>
          <w:i/>
        </w:rPr>
      </w:pPr>
      <w:r w:rsidRPr="006F1F6A">
        <w:rPr>
          <w:rFonts w:ascii="Arial" w:hAnsi="Arial" w:cs="Arial"/>
          <w:i/>
        </w:rPr>
        <w:t xml:space="preserve">Hypothesis </w:t>
      </w:r>
      <w:r w:rsidR="009E37ED" w:rsidRPr="006F1F6A">
        <w:rPr>
          <w:rFonts w:ascii="Arial" w:hAnsi="Arial" w:cs="Arial"/>
          <w:i/>
        </w:rPr>
        <w:t>4o</w:t>
      </w:r>
      <w:r w:rsidR="00AC5ED0" w:rsidRPr="006F1F6A">
        <w:rPr>
          <w:rFonts w:ascii="Arial" w:hAnsi="Arial" w:cs="Arial"/>
          <w:i/>
        </w:rPr>
        <w:t xml:space="preserve">: </w:t>
      </w:r>
      <w:r w:rsidR="00AD1169" w:rsidRPr="006F1F6A">
        <w:rPr>
          <w:rFonts w:ascii="Arial" w:hAnsi="Arial" w:cs="Arial"/>
          <w:i/>
        </w:rPr>
        <w:t xml:space="preserve">Age </w:t>
      </w:r>
      <w:r w:rsidR="00AD1169">
        <w:rPr>
          <w:rFonts w:ascii="Arial" w:hAnsi="Arial" w:cs="Arial"/>
          <w:i/>
        </w:rPr>
        <w:t xml:space="preserve">is </w:t>
      </w:r>
      <w:r w:rsidR="00B14A17">
        <w:rPr>
          <w:rFonts w:ascii="Arial" w:hAnsi="Arial" w:cs="Arial"/>
          <w:i/>
        </w:rPr>
        <w:t xml:space="preserve">not </w:t>
      </w:r>
      <w:r w:rsidR="00AD1169" w:rsidRPr="006F1F6A">
        <w:rPr>
          <w:rFonts w:ascii="Arial" w:hAnsi="Arial" w:cs="Arial"/>
          <w:i/>
        </w:rPr>
        <w:t xml:space="preserve">associated with </w:t>
      </w:r>
      <w:r w:rsidR="00B14A17">
        <w:rPr>
          <w:rFonts w:ascii="Arial" w:hAnsi="Arial" w:cs="Arial"/>
          <w:i/>
        </w:rPr>
        <w:t>membership of SNSs</w:t>
      </w:r>
    </w:p>
    <w:p w14:paraId="70F72B3C" w14:textId="77777777" w:rsidR="009E7180" w:rsidRPr="006F1F6A" w:rsidRDefault="009E7180" w:rsidP="0034524F">
      <w:pPr>
        <w:spacing w:after="280" w:line="480" w:lineRule="auto"/>
        <w:rPr>
          <w:rFonts w:ascii="Arial" w:hAnsi="Arial" w:cs="Arial"/>
          <w:i/>
        </w:rPr>
      </w:pPr>
      <w:r w:rsidRPr="006F1F6A">
        <w:rPr>
          <w:rFonts w:ascii="Arial" w:hAnsi="Arial" w:cs="Arial"/>
          <w:i/>
        </w:rPr>
        <w:t>Vs.</w:t>
      </w:r>
    </w:p>
    <w:p w14:paraId="554281B9" w14:textId="77777777" w:rsidR="009E37ED" w:rsidRPr="0034524F" w:rsidRDefault="009E37ED" w:rsidP="0034524F">
      <w:pPr>
        <w:spacing w:after="280" w:line="480" w:lineRule="auto"/>
        <w:rPr>
          <w:rFonts w:ascii="Arial" w:hAnsi="Arial" w:cs="Arial"/>
          <w:i/>
        </w:rPr>
      </w:pPr>
      <w:r w:rsidRPr="006F1F6A">
        <w:rPr>
          <w:rFonts w:ascii="Arial" w:hAnsi="Arial" w:cs="Arial"/>
          <w:i/>
        </w:rPr>
        <w:t xml:space="preserve">Hypothesis 4a: </w:t>
      </w:r>
      <w:r w:rsidR="00AD1169" w:rsidRPr="006F1F6A">
        <w:rPr>
          <w:rFonts w:ascii="Arial" w:hAnsi="Arial" w:cs="Arial"/>
          <w:i/>
        </w:rPr>
        <w:t xml:space="preserve">Age </w:t>
      </w:r>
      <w:r w:rsidR="00AD1169">
        <w:rPr>
          <w:rFonts w:ascii="Arial" w:hAnsi="Arial" w:cs="Arial"/>
          <w:i/>
        </w:rPr>
        <w:t>is</w:t>
      </w:r>
      <w:r w:rsidR="00AD1169" w:rsidRPr="006F1F6A">
        <w:rPr>
          <w:rFonts w:ascii="Arial" w:hAnsi="Arial" w:cs="Arial"/>
          <w:i/>
        </w:rPr>
        <w:t xml:space="preserve"> </w:t>
      </w:r>
      <w:r w:rsidR="00B14A17">
        <w:rPr>
          <w:rFonts w:ascii="Arial" w:hAnsi="Arial" w:cs="Arial"/>
          <w:i/>
        </w:rPr>
        <w:t xml:space="preserve">not </w:t>
      </w:r>
      <w:r w:rsidR="00AD1169" w:rsidRPr="006F1F6A">
        <w:rPr>
          <w:rFonts w:ascii="Arial" w:hAnsi="Arial" w:cs="Arial"/>
          <w:i/>
        </w:rPr>
        <w:t xml:space="preserve">positively associated with </w:t>
      </w:r>
      <w:r w:rsidR="00B14A17">
        <w:rPr>
          <w:rFonts w:ascii="Arial" w:hAnsi="Arial" w:cs="Arial"/>
          <w:i/>
        </w:rPr>
        <w:t>membership of SNSs</w:t>
      </w:r>
      <w:r w:rsidR="00AD1169" w:rsidRPr="006F1F6A">
        <w:rPr>
          <w:rFonts w:ascii="Arial" w:hAnsi="Arial" w:cs="Arial"/>
          <w:i/>
        </w:rPr>
        <w:t>.</w:t>
      </w:r>
    </w:p>
    <w:p w14:paraId="737789D2" w14:textId="77777777" w:rsidR="00035C79" w:rsidRDefault="00BE0AFE" w:rsidP="00D83F2F">
      <w:pPr>
        <w:pStyle w:val="Heading2"/>
      </w:pPr>
      <w:r>
        <w:t>Sex</w:t>
      </w:r>
      <w:r w:rsidR="00035C79">
        <w:t xml:space="preserve"> and </w:t>
      </w:r>
      <w:r w:rsidR="00BD042C">
        <w:t>the use of SNSs</w:t>
      </w:r>
    </w:p>
    <w:p w14:paraId="4BEF218B" w14:textId="77777777" w:rsidR="002108DB" w:rsidRPr="006F1F6A" w:rsidRDefault="00BE0AFE" w:rsidP="006F1F6A">
      <w:pPr>
        <w:spacing w:after="280" w:line="480" w:lineRule="auto"/>
        <w:jc w:val="both"/>
        <w:rPr>
          <w:rFonts w:ascii="Arial" w:hAnsi="Arial" w:cs="Arial"/>
        </w:rPr>
      </w:pPr>
      <w:r w:rsidRPr="006F1F6A">
        <w:rPr>
          <w:rFonts w:ascii="Arial" w:hAnsi="Arial" w:cs="Arial"/>
        </w:rPr>
        <w:t>Sex</w:t>
      </w:r>
      <w:r w:rsidR="00AC5ED0" w:rsidRPr="006F1F6A">
        <w:rPr>
          <w:rFonts w:ascii="Arial" w:hAnsi="Arial" w:cs="Arial"/>
        </w:rPr>
        <w:t xml:space="preserve"> has been found to be a key variable in the adoption of social media tools. </w:t>
      </w:r>
      <w:r w:rsidR="003968C1" w:rsidRPr="006F1F6A">
        <w:rPr>
          <w:rFonts w:ascii="Arial" w:hAnsi="Arial" w:cs="Arial"/>
        </w:rPr>
        <w:t xml:space="preserve">For example, males tend to </w:t>
      </w:r>
      <w:r w:rsidR="00AC5ED0" w:rsidRPr="006F1F6A">
        <w:rPr>
          <w:rFonts w:ascii="Arial" w:hAnsi="Arial" w:cs="Arial"/>
        </w:rPr>
        <w:t xml:space="preserve">use a broader range of social media tools in order to complete tasks which involve sourcing </w:t>
      </w:r>
      <w:r w:rsidR="003968C1" w:rsidRPr="006F1F6A">
        <w:rPr>
          <w:rFonts w:ascii="Arial" w:hAnsi="Arial" w:cs="Arial"/>
        </w:rPr>
        <w:t>information</w:t>
      </w:r>
      <w:r w:rsidR="00AC5ED0" w:rsidRPr="006F1F6A">
        <w:rPr>
          <w:rFonts w:ascii="Arial" w:hAnsi="Arial" w:cs="Arial"/>
        </w:rPr>
        <w:t xml:space="preserve"> (Sin &amp; Kim, 2013; Kim et al, 2014). </w:t>
      </w:r>
      <w:r w:rsidR="003968C1" w:rsidRPr="006F1F6A">
        <w:rPr>
          <w:rFonts w:ascii="Arial" w:hAnsi="Arial" w:cs="Arial"/>
        </w:rPr>
        <w:t>This reflects rese</w:t>
      </w:r>
      <w:r w:rsidR="00AC6E5B">
        <w:rPr>
          <w:rFonts w:ascii="Arial" w:hAnsi="Arial" w:cs="Arial"/>
        </w:rPr>
        <w:t>arch which pertains to general I</w:t>
      </w:r>
      <w:r w:rsidR="003968C1" w:rsidRPr="006F1F6A">
        <w:rPr>
          <w:rFonts w:ascii="Arial" w:hAnsi="Arial" w:cs="Arial"/>
        </w:rPr>
        <w:t xml:space="preserve">nternet use, wherein it has been found that males engage in a broader range </w:t>
      </w:r>
      <w:r w:rsidR="00AC6E5B">
        <w:rPr>
          <w:rFonts w:ascii="Arial" w:hAnsi="Arial" w:cs="Arial"/>
        </w:rPr>
        <w:t>of activities online, and use the Internet</w:t>
      </w:r>
      <w:r w:rsidR="003968C1" w:rsidRPr="006F1F6A">
        <w:rPr>
          <w:rFonts w:ascii="Arial" w:hAnsi="Arial" w:cs="Arial"/>
        </w:rPr>
        <w:t xml:space="preserve"> more frequently than females (Li &amp; Kirkup, 2007; Fallows, 2</w:t>
      </w:r>
      <w:r w:rsidR="002D700A" w:rsidRPr="006F1F6A">
        <w:rPr>
          <w:rFonts w:ascii="Arial" w:hAnsi="Arial" w:cs="Arial"/>
        </w:rPr>
        <w:t>005; Jones Johnson-Yale, Millerm</w:t>
      </w:r>
      <w:r w:rsidR="003968C1" w:rsidRPr="006F1F6A">
        <w:rPr>
          <w:rFonts w:ascii="Arial" w:hAnsi="Arial" w:cs="Arial"/>
        </w:rPr>
        <w:t xml:space="preserve">aier &amp; Perez, 2009). </w:t>
      </w:r>
      <w:r w:rsidR="00033E00" w:rsidRPr="006F1F6A">
        <w:rPr>
          <w:rFonts w:ascii="Arial" w:hAnsi="Arial" w:cs="Arial"/>
        </w:rPr>
        <w:t xml:space="preserve">However, evidence suggests that females are more likely to use SNSs for social </w:t>
      </w:r>
      <w:r w:rsidR="003968C1" w:rsidRPr="006F1F6A">
        <w:rPr>
          <w:rFonts w:ascii="Arial" w:hAnsi="Arial" w:cs="Arial"/>
        </w:rPr>
        <w:t xml:space="preserve">rather than task-oriented purposes (Lin &amp; Lu, 2011). Additionally, </w:t>
      </w:r>
      <w:r w:rsidR="00033E00" w:rsidRPr="006F1F6A">
        <w:rPr>
          <w:rFonts w:ascii="Arial" w:hAnsi="Arial" w:cs="Arial"/>
        </w:rPr>
        <w:t>whilst males</w:t>
      </w:r>
      <w:r w:rsidR="003968C1" w:rsidRPr="006F1F6A">
        <w:rPr>
          <w:rFonts w:ascii="Arial" w:hAnsi="Arial" w:cs="Arial"/>
        </w:rPr>
        <w:t xml:space="preserve"> tend to use social media tools to generate new social contacts, females </w:t>
      </w:r>
      <w:r w:rsidR="00033E00" w:rsidRPr="006F1F6A">
        <w:rPr>
          <w:rFonts w:ascii="Arial" w:hAnsi="Arial" w:cs="Arial"/>
        </w:rPr>
        <w:t xml:space="preserve">use them to </w:t>
      </w:r>
      <w:r w:rsidR="003968C1" w:rsidRPr="006F1F6A">
        <w:rPr>
          <w:rFonts w:ascii="Arial" w:hAnsi="Arial" w:cs="Arial"/>
        </w:rPr>
        <w:t>build upon existing relationships (Muscanell &amp; Guadagno, 2012). Given such fundamental differences in ap</w:t>
      </w:r>
      <w:r w:rsidR="008533C1">
        <w:rPr>
          <w:rFonts w:ascii="Arial" w:hAnsi="Arial" w:cs="Arial"/>
        </w:rPr>
        <w:t>proach to the use of ICTs, it was</w:t>
      </w:r>
      <w:r w:rsidR="003968C1" w:rsidRPr="006F1F6A">
        <w:rPr>
          <w:rFonts w:ascii="Arial" w:hAnsi="Arial" w:cs="Arial"/>
        </w:rPr>
        <w:t xml:space="preserve"> expected </w:t>
      </w:r>
      <w:r w:rsidR="008533C1">
        <w:rPr>
          <w:rFonts w:ascii="Arial" w:hAnsi="Arial" w:cs="Arial"/>
        </w:rPr>
        <w:t>that females would</w:t>
      </w:r>
      <w:r w:rsidR="00033E00" w:rsidRPr="006F1F6A">
        <w:rPr>
          <w:rFonts w:ascii="Arial" w:hAnsi="Arial" w:cs="Arial"/>
        </w:rPr>
        <w:t xml:space="preserve"> enga</w:t>
      </w:r>
      <w:r w:rsidR="008533C1">
        <w:rPr>
          <w:rFonts w:ascii="Arial" w:hAnsi="Arial" w:cs="Arial"/>
        </w:rPr>
        <w:t>ge in more frequent use of SNSs, leading to the following hypotheses:</w:t>
      </w:r>
    </w:p>
    <w:p w14:paraId="2FE6ACD6" w14:textId="77777777" w:rsidR="003968C1" w:rsidRPr="006F1F6A" w:rsidRDefault="009D17AD" w:rsidP="0034524F">
      <w:pPr>
        <w:spacing w:after="280" w:line="480" w:lineRule="auto"/>
        <w:jc w:val="both"/>
        <w:rPr>
          <w:rFonts w:ascii="Arial" w:hAnsi="Arial" w:cs="Arial"/>
          <w:i/>
        </w:rPr>
      </w:pPr>
      <w:r w:rsidRPr="006F1F6A">
        <w:rPr>
          <w:rFonts w:ascii="Arial" w:hAnsi="Arial" w:cs="Arial"/>
          <w:i/>
        </w:rPr>
        <w:t xml:space="preserve">Hypothesis </w:t>
      </w:r>
      <w:r w:rsidR="00DC345D" w:rsidRPr="006F1F6A">
        <w:rPr>
          <w:rFonts w:ascii="Arial" w:hAnsi="Arial" w:cs="Arial"/>
          <w:i/>
        </w:rPr>
        <w:t>5</w:t>
      </w:r>
      <w:r w:rsidR="009E37ED" w:rsidRPr="006F1F6A">
        <w:rPr>
          <w:rFonts w:ascii="Arial" w:hAnsi="Arial" w:cs="Arial"/>
          <w:i/>
        </w:rPr>
        <w:t>o</w:t>
      </w:r>
      <w:r w:rsidR="003968C1" w:rsidRPr="006F1F6A">
        <w:rPr>
          <w:rFonts w:ascii="Arial" w:hAnsi="Arial" w:cs="Arial"/>
          <w:i/>
        </w:rPr>
        <w:t xml:space="preserve">: </w:t>
      </w:r>
      <w:r w:rsidR="00BE0AFE" w:rsidRPr="006F1F6A">
        <w:rPr>
          <w:rFonts w:ascii="Arial" w:hAnsi="Arial" w:cs="Arial"/>
          <w:i/>
        </w:rPr>
        <w:t>Sex</w:t>
      </w:r>
      <w:r w:rsidR="003968C1" w:rsidRPr="006F1F6A">
        <w:rPr>
          <w:rFonts w:ascii="Arial" w:hAnsi="Arial" w:cs="Arial"/>
          <w:i/>
        </w:rPr>
        <w:t xml:space="preserve"> </w:t>
      </w:r>
      <w:r w:rsidR="009E37ED" w:rsidRPr="006F1F6A">
        <w:rPr>
          <w:rFonts w:ascii="Arial" w:hAnsi="Arial" w:cs="Arial"/>
          <w:i/>
        </w:rPr>
        <w:t>is not</w:t>
      </w:r>
      <w:r w:rsidR="003968C1" w:rsidRPr="006F1F6A">
        <w:rPr>
          <w:rFonts w:ascii="Arial" w:hAnsi="Arial" w:cs="Arial"/>
          <w:i/>
        </w:rPr>
        <w:t xml:space="preserve"> </w:t>
      </w:r>
      <w:r w:rsidR="00E27AA7" w:rsidRPr="006F1F6A">
        <w:rPr>
          <w:rFonts w:ascii="Arial" w:hAnsi="Arial" w:cs="Arial"/>
          <w:i/>
        </w:rPr>
        <w:t>associated</w:t>
      </w:r>
      <w:r w:rsidR="003968C1" w:rsidRPr="006F1F6A">
        <w:rPr>
          <w:rFonts w:ascii="Arial" w:hAnsi="Arial" w:cs="Arial"/>
          <w:i/>
        </w:rPr>
        <w:t xml:space="preserve"> with the use of </w:t>
      </w:r>
      <w:r w:rsidR="00033E00" w:rsidRPr="006F1F6A">
        <w:rPr>
          <w:rFonts w:ascii="Arial" w:hAnsi="Arial" w:cs="Arial"/>
          <w:i/>
        </w:rPr>
        <w:t>SNSs</w:t>
      </w:r>
      <w:r w:rsidR="003968C1" w:rsidRPr="006F1F6A">
        <w:rPr>
          <w:rFonts w:ascii="Arial" w:hAnsi="Arial" w:cs="Arial"/>
          <w:i/>
        </w:rPr>
        <w:t>.</w:t>
      </w:r>
    </w:p>
    <w:p w14:paraId="3F815154" w14:textId="77777777" w:rsidR="009E7180" w:rsidRPr="006F1F6A" w:rsidRDefault="009E7180" w:rsidP="0034524F">
      <w:pPr>
        <w:spacing w:after="280" w:line="480" w:lineRule="auto"/>
        <w:jc w:val="both"/>
        <w:rPr>
          <w:rFonts w:ascii="Arial" w:hAnsi="Arial" w:cs="Arial"/>
          <w:i/>
        </w:rPr>
      </w:pPr>
      <w:r w:rsidRPr="006F1F6A">
        <w:rPr>
          <w:rFonts w:ascii="Arial" w:hAnsi="Arial" w:cs="Arial"/>
          <w:i/>
        </w:rPr>
        <w:t>Vs.</w:t>
      </w:r>
    </w:p>
    <w:p w14:paraId="5F19D735" w14:textId="77777777" w:rsidR="009E37ED" w:rsidRPr="006F1F6A" w:rsidRDefault="00DC345D" w:rsidP="0034524F">
      <w:pPr>
        <w:spacing w:after="280" w:line="480" w:lineRule="auto"/>
        <w:jc w:val="both"/>
        <w:rPr>
          <w:rFonts w:ascii="Arial" w:hAnsi="Arial" w:cs="Arial"/>
          <w:i/>
        </w:rPr>
      </w:pPr>
      <w:r w:rsidRPr="006F1F6A">
        <w:rPr>
          <w:rFonts w:ascii="Arial" w:hAnsi="Arial" w:cs="Arial"/>
          <w:i/>
        </w:rPr>
        <w:t>Hypothesis 5</w:t>
      </w:r>
      <w:r w:rsidR="009E37ED" w:rsidRPr="006F1F6A">
        <w:rPr>
          <w:rFonts w:ascii="Arial" w:hAnsi="Arial" w:cs="Arial"/>
          <w:i/>
        </w:rPr>
        <w:t xml:space="preserve">a: </w:t>
      </w:r>
      <w:r w:rsidR="00BE0AFE" w:rsidRPr="006F1F6A">
        <w:rPr>
          <w:rFonts w:ascii="Arial" w:hAnsi="Arial" w:cs="Arial"/>
          <w:i/>
        </w:rPr>
        <w:t xml:space="preserve">Sex </w:t>
      </w:r>
      <w:r w:rsidR="009E37ED" w:rsidRPr="006F1F6A">
        <w:rPr>
          <w:rFonts w:ascii="Arial" w:hAnsi="Arial" w:cs="Arial"/>
          <w:i/>
        </w:rPr>
        <w:t>is associated with the use of SNSs</w:t>
      </w:r>
    </w:p>
    <w:p w14:paraId="7D620855" w14:textId="77777777" w:rsidR="00A71F16" w:rsidRPr="00A14436" w:rsidRDefault="00554E14" w:rsidP="006F1F6A">
      <w:pPr>
        <w:pStyle w:val="Heading1"/>
        <w:rPr>
          <w:i/>
        </w:rPr>
      </w:pPr>
      <w:r w:rsidRPr="00A14436">
        <w:t>Method</w:t>
      </w:r>
    </w:p>
    <w:p w14:paraId="34E69D4A" w14:textId="77777777" w:rsidR="009F75A5" w:rsidRDefault="008533C1" w:rsidP="0034524F">
      <w:pPr>
        <w:spacing w:after="280" w:line="480" w:lineRule="auto"/>
        <w:jc w:val="both"/>
        <w:rPr>
          <w:rFonts w:ascii="Arial" w:hAnsi="Arial" w:cs="Arial"/>
        </w:rPr>
      </w:pPr>
      <w:r>
        <w:rPr>
          <w:rFonts w:ascii="Arial" w:hAnsi="Arial" w:cs="Arial"/>
        </w:rPr>
        <w:t xml:space="preserve">Having identified five hypotheses related to SNS, employment status, age and gender, a </w:t>
      </w:r>
      <w:r w:rsidR="003A3018" w:rsidRPr="006F1F6A">
        <w:rPr>
          <w:rFonts w:ascii="Arial" w:hAnsi="Arial" w:cs="Arial"/>
        </w:rPr>
        <w:t xml:space="preserve">secondary data analysis </w:t>
      </w:r>
      <w:r w:rsidR="00AC6E5B">
        <w:rPr>
          <w:rFonts w:ascii="Arial" w:hAnsi="Arial" w:cs="Arial"/>
        </w:rPr>
        <w:t>was</w:t>
      </w:r>
      <w:r w:rsidR="003A3018" w:rsidRPr="006F1F6A">
        <w:rPr>
          <w:rFonts w:ascii="Arial" w:hAnsi="Arial" w:cs="Arial"/>
        </w:rPr>
        <w:t xml:space="preserve"> conducted using</w:t>
      </w:r>
      <w:r w:rsidR="00701888" w:rsidRPr="006F1F6A">
        <w:rPr>
          <w:rFonts w:ascii="Arial" w:hAnsi="Arial" w:cs="Arial"/>
        </w:rPr>
        <w:t xml:space="preserve"> </w:t>
      </w:r>
      <w:r w:rsidR="003A3018" w:rsidRPr="006F1F6A">
        <w:rPr>
          <w:rFonts w:ascii="Arial" w:hAnsi="Arial" w:cs="Arial"/>
        </w:rPr>
        <w:t>data sourced from</w:t>
      </w:r>
      <w:r w:rsidR="00701888" w:rsidRPr="006F1F6A">
        <w:rPr>
          <w:rFonts w:ascii="Arial" w:hAnsi="Arial" w:cs="Arial"/>
        </w:rPr>
        <w:t xml:space="preserve"> </w:t>
      </w:r>
      <w:r w:rsidR="00701888" w:rsidRPr="006F1F6A">
        <w:rPr>
          <w:rFonts w:ascii="Arial" w:hAnsi="Arial" w:cs="Arial"/>
          <w:i/>
        </w:rPr>
        <w:t xml:space="preserve">Understanding Society: The UK household longitudinal study. </w:t>
      </w:r>
      <w:r w:rsidR="003A3018" w:rsidRPr="006F1F6A">
        <w:rPr>
          <w:rFonts w:ascii="Arial" w:hAnsi="Arial" w:cs="Arial"/>
        </w:rPr>
        <w:t>The purpose of the survey is to understand 21</w:t>
      </w:r>
      <w:r w:rsidR="003A3018" w:rsidRPr="006F1F6A">
        <w:rPr>
          <w:rFonts w:ascii="Arial" w:hAnsi="Arial" w:cs="Arial"/>
          <w:vertAlign w:val="superscript"/>
        </w:rPr>
        <w:t>st</w:t>
      </w:r>
      <w:r>
        <w:rPr>
          <w:rFonts w:ascii="Arial" w:hAnsi="Arial" w:cs="Arial"/>
        </w:rPr>
        <w:t xml:space="preserve"> c</w:t>
      </w:r>
      <w:r w:rsidR="003A3018" w:rsidRPr="006F1F6A">
        <w:rPr>
          <w:rFonts w:ascii="Arial" w:hAnsi="Arial" w:cs="Arial"/>
        </w:rPr>
        <w:t xml:space="preserve">entury life in the UK, and the nature of people’s social and economic circumstances, as well as </w:t>
      </w:r>
      <w:r w:rsidR="009E37ED" w:rsidRPr="006F1F6A">
        <w:rPr>
          <w:rFonts w:ascii="Arial" w:hAnsi="Arial" w:cs="Arial"/>
        </w:rPr>
        <w:t>their attitudes and behaviours</w:t>
      </w:r>
      <w:r>
        <w:rPr>
          <w:rFonts w:ascii="Arial" w:hAnsi="Arial" w:cs="Arial"/>
        </w:rPr>
        <w:t xml:space="preserve"> (Understanding Society, 2015)</w:t>
      </w:r>
      <w:r w:rsidR="009E37ED" w:rsidRPr="006F1F6A">
        <w:rPr>
          <w:rFonts w:ascii="Arial" w:hAnsi="Arial" w:cs="Arial"/>
        </w:rPr>
        <w:t xml:space="preserve">. </w:t>
      </w:r>
      <w:r w:rsidR="00AB2A09">
        <w:rPr>
          <w:rFonts w:ascii="Arial" w:hAnsi="Arial" w:cs="Arial"/>
        </w:rPr>
        <w:t xml:space="preserve">The survey </w:t>
      </w:r>
      <w:r w:rsidR="009E37ED" w:rsidRPr="006F1F6A">
        <w:rPr>
          <w:rFonts w:ascii="Arial" w:hAnsi="Arial" w:cs="Arial"/>
        </w:rPr>
        <w:t>allows cohorts to be followed over</w:t>
      </w:r>
      <w:r w:rsidR="00E14EEE">
        <w:rPr>
          <w:rFonts w:ascii="Arial" w:hAnsi="Arial" w:cs="Arial"/>
        </w:rPr>
        <w:t xml:space="preserve"> time, thus</w:t>
      </w:r>
      <w:r w:rsidR="009E37ED" w:rsidRPr="006F1F6A">
        <w:rPr>
          <w:rFonts w:ascii="Arial" w:hAnsi="Arial" w:cs="Arial"/>
        </w:rPr>
        <w:t xml:space="preserve"> permitting longitudinal analysis. </w:t>
      </w:r>
      <w:r w:rsidR="00701888" w:rsidRPr="006F1F6A">
        <w:rPr>
          <w:rFonts w:ascii="Arial" w:hAnsi="Arial" w:cs="Arial"/>
        </w:rPr>
        <w:t>Specifically, the data</w:t>
      </w:r>
      <w:r w:rsidR="007F1E97" w:rsidRPr="006F1F6A">
        <w:rPr>
          <w:rFonts w:ascii="Arial" w:hAnsi="Arial" w:cs="Arial"/>
        </w:rPr>
        <w:t xml:space="preserve"> for this </w:t>
      </w:r>
      <w:r w:rsidR="00AC6E5B">
        <w:rPr>
          <w:rFonts w:ascii="Arial" w:hAnsi="Arial" w:cs="Arial"/>
        </w:rPr>
        <w:t>study was taken</w:t>
      </w:r>
      <w:r w:rsidR="009F75A5">
        <w:rPr>
          <w:rFonts w:ascii="Arial" w:hAnsi="Arial" w:cs="Arial"/>
        </w:rPr>
        <w:t xml:space="preserve"> from Wave 6 of the</w:t>
      </w:r>
      <w:r w:rsidR="00701888" w:rsidRPr="006F1F6A">
        <w:rPr>
          <w:rFonts w:ascii="Arial" w:hAnsi="Arial" w:cs="Arial"/>
        </w:rPr>
        <w:t xml:space="preserve"> </w:t>
      </w:r>
      <w:r w:rsidR="00701888" w:rsidRPr="006F1F6A">
        <w:rPr>
          <w:rFonts w:ascii="Arial" w:hAnsi="Arial" w:cs="Arial"/>
          <w:i/>
        </w:rPr>
        <w:t>Innovation Panel</w:t>
      </w:r>
      <w:r w:rsidR="009F75A5">
        <w:rPr>
          <w:rFonts w:ascii="Arial" w:hAnsi="Arial" w:cs="Arial"/>
          <w:i/>
        </w:rPr>
        <w:t>,</w:t>
      </w:r>
      <w:r w:rsidR="00E14EEE">
        <w:rPr>
          <w:rFonts w:ascii="Arial" w:hAnsi="Arial" w:cs="Arial"/>
          <w:i/>
        </w:rPr>
        <w:t xml:space="preserve"> </w:t>
      </w:r>
      <w:r w:rsidR="009F75A5">
        <w:rPr>
          <w:rFonts w:ascii="Arial" w:hAnsi="Arial" w:cs="Arial"/>
        </w:rPr>
        <w:t xml:space="preserve">which was </w:t>
      </w:r>
      <w:r w:rsidR="00E14EEE">
        <w:rPr>
          <w:rFonts w:ascii="Arial" w:hAnsi="Arial" w:cs="Arial"/>
        </w:rPr>
        <w:t>conducted in 2012</w:t>
      </w:r>
      <w:r w:rsidR="00AB2A09">
        <w:rPr>
          <w:rFonts w:ascii="Arial" w:hAnsi="Arial" w:cs="Arial"/>
        </w:rPr>
        <w:t xml:space="preserve">, </w:t>
      </w:r>
      <w:r w:rsidR="009F75A5">
        <w:rPr>
          <w:rFonts w:ascii="Arial" w:hAnsi="Arial" w:cs="Arial"/>
        </w:rPr>
        <w:t xml:space="preserve">and </w:t>
      </w:r>
      <w:r w:rsidR="00AB2A09">
        <w:rPr>
          <w:rFonts w:ascii="Arial" w:hAnsi="Arial" w:cs="Arial"/>
        </w:rPr>
        <w:t>consists of a</w:t>
      </w:r>
      <w:r w:rsidR="00701888" w:rsidRPr="006F1F6A">
        <w:rPr>
          <w:rFonts w:ascii="Arial" w:hAnsi="Arial" w:cs="Arial"/>
        </w:rPr>
        <w:t xml:space="preserve"> sample of </w:t>
      </w:r>
      <w:r w:rsidR="009F75A5">
        <w:rPr>
          <w:rFonts w:ascii="Arial" w:hAnsi="Arial" w:cs="Arial"/>
        </w:rPr>
        <w:t>2,760 addresses</w:t>
      </w:r>
      <w:r w:rsidR="00701888" w:rsidRPr="006F1F6A">
        <w:rPr>
          <w:rFonts w:ascii="Arial" w:hAnsi="Arial" w:cs="Arial"/>
        </w:rPr>
        <w:t xml:space="preserve"> in the UK</w:t>
      </w:r>
      <w:r w:rsidR="009F75A5">
        <w:rPr>
          <w:rFonts w:ascii="Arial" w:hAnsi="Arial" w:cs="Arial"/>
        </w:rPr>
        <w:t>.</w:t>
      </w:r>
    </w:p>
    <w:p w14:paraId="0E2CF5D4" w14:textId="77777777" w:rsidR="007419EE" w:rsidRDefault="009F75A5" w:rsidP="00E14EEE">
      <w:pPr>
        <w:spacing w:after="280" w:line="480" w:lineRule="auto"/>
        <w:jc w:val="both"/>
        <w:rPr>
          <w:rFonts w:ascii="Arial" w:hAnsi="Arial" w:cs="Arial"/>
        </w:rPr>
      </w:pPr>
      <w:r>
        <w:rPr>
          <w:rFonts w:ascii="Arial" w:hAnsi="Arial" w:cs="Arial"/>
        </w:rPr>
        <w:t xml:space="preserve">Wave 6 of the </w:t>
      </w:r>
      <w:r>
        <w:rPr>
          <w:rFonts w:ascii="Arial" w:hAnsi="Arial" w:cs="Arial"/>
          <w:i/>
        </w:rPr>
        <w:t xml:space="preserve">Innovation Panel </w:t>
      </w:r>
      <w:r w:rsidR="007F1E97" w:rsidRPr="006F1F6A">
        <w:rPr>
          <w:rFonts w:ascii="Arial" w:hAnsi="Arial" w:cs="Arial"/>
        </w:rPr>
        <w:t xml:space="preserve">asked questions on </w:t>
      </w:r>
      <w:r w:rsidR="0041032B" w:rsidRPr="006F1F6A">
        <w:rPr>
          <w:rFonts w:ascii="Arial" w:hAnsi="Arial" w:cs="Arial"/>
        </w:rPr>
        <w:t>the use of SNSs amongst 16-21 year olds</w:t>
      </w:r>
      <w:r>
        <w:rPr>
          <w:rFonts w:ascii="Arial" w:hAnsi="Arial" w:cs="Arial"/>
        </w:rPr>
        <w:t xml:space="preserve"> resident at the interviewed households</w:t>
      </w:r>
      <w:r w:rsidR="00D65157" w:rsidRPr="006F1F6A">
        <w:rPr>
          <w:rFonts w:ascii="Arial" w:hAnsi="Arial" w:cs="Arial"/>
        </w:rPr>
        <w:t>.</w:t>
      </w:r>
      <w:r w:rsidR="00D907F5" w:rsidRPr="006F1F6A">
        <w:rPr>
          <w:rFonts w:ascii="Arial" w:hAnsi="Arial" w:cs="Arial"/>
        </w:rPr>
        <w:t xml:space="preserve"> This </w:t>
      </w:r>
      <w:r w:rsidR="007419EE">
        <w:rPr>
          <w:rFonts w:ascii="Arial" w:hAnsi="Arial" w:cs="Arial"/>
        </w:rPr>
        <w:t>produced</w:t>
      </w:r>
      <w:r w:rsidR="00D907F5" w:rsidRPr="006F1F6A">
        <w:rPr>
          <w:rFonts w:ascii="Arial" w:hAnsi="Arial" w:cs="Arial"/>
        </w:rPr>
        <w:t xml:space="preserve"> a sample </w:t>
      </w:r>
      <w:r w:rsidR="00A64D94" w:rsidRPr="006F1F6A">
        <w:rPr>
          <w:rFonts w:ascii="Arial" w:hAnsi="Arial" w:cs="Arial"/>
        </w:rPr>
        <w:t>of 3,616</w:t>
      </w:r>
      <w:r w:rsidR="0041032B" w:rsidRPr="006F1F6A">
        <w:rPr>
          <w:rFonts w:ascii="Arial" w:hAnsi="Arial" w:cs="Arial"/>
        </w:rPr>
        <w:t>,</w:t>
      </w:r>
      <w:r w:rsidR="00D97D38" w:rsidRPr="006F1F6A">
        <w:rPr>
          <w:rFonts w:ascii="Arial" w:hAnsi="Arial" w:cs="Arial"/>
        </w:rPr>
        <w:t xml:space="preserve"> </w:t>
      </w:r>
      <w:r w:rsidR="00122754" w:rsidRPr="006F1F6A">
        <w:rPr>
          <w:rFonts w:ascii="Arial" w:hAnsi="Arial" w:cs="Arial"/>
        </w:rPr>
        <w:t>of</w:t>
      </w:r>
      <w:r w:rsidR="00D97D38" w:rsidRPr="006F1F6A">
        <w:rPr>
          <w:rFonts w:ascii="Arial" w:hAnsi="Arial" w:cs="Arial"/>
        </w:rPr>
        <w:t xml:space="preserve"> </w:t>
      </w:r>
      <w:r w:rsidR="0041032B" w:rsidRPr="006F1F6A">
        <w:rPr>
          <w:rFonts w:ascii="Arial" w:hAnsi="Arial" w:cs="Arial"/>
        </w:rPr>
        <w:t xml:space="preserve">whom </w:t>
      </w:r>
      <w:r w:rsidR="00D97D38" w:rsidRPr="006F1F6A">
        <w:rPr>
          <w:rFonts w:ascii="Arial" w:hAnsi="Arial" w:cs="Arial"/>
        </w:rPr>
        <w:t>52.5%</w:t>
      </w:r>
      <w:r w:rsidR="00122754" w:rsidRPr="006F1F6A">
        <w:rPr>
          <w:rFonts w:ascii="Arial" w:hAnsi="Arial" w:cs="Arial"/>
        </w:rPr>
        <w:t xml:space="preserve"> were f</w:t>
      </w:r>
      <w:r w:rsidR="0041032B" w:rsidRPr="006F1F6A">
        <w:rPr>
          <w:rFonts w:ascii="Arial" w:hAnsi="Arial" w:cs="Arial"/>
        </w:rPr>
        <w:t>emale, 24.0% employed, 11.0</w:t>
      </w:r>
      <w:r w:rsidR="00122754" w:rsidRPr="006F1F6A">
        <w:rPr>
          <w:rFonts w:ascii="Arial" w:hAnsi="Arial" w:cs="Arial"/>
        </w:rPr>
        <w:t>% unemployed</w:t>
      </w:r>
      <w:r>
        <w:rPr>
          <w:rFonts w:ascii="Arial" w:hAnsi="Arial" w:cs="Arial"/>
        </w:rPr>
        <w:t>,</w:t>
      </w:r>
      <w:r w:rsidR="00122754" w:rsidRPr="006F1F6A">
        <w:rPr>
          <w:rFonts w:ascii="Arial" w:hAnsi="Arial" w:cs="Arial"/>
        </w:rPr>
        <w:t xml:space="preserve"> and 65.0% students. </w:t>
      </w:r>
      <w:r>
        <w:rPr>
          <w:rFonts w:ascii="Arial" w:hAnsi="Arial" w:cs="Arial"/>
        </w:rPr>
        <w:t xml:space="preserve">Additionally, </w:t>
      </w:r>
      <w:r w:rsidR="00D97D38" w:rsidRPr="006F1F6A">
        <w:rPr>
          <w:rFonts w:ascii="Arial" w:hAnsi="Arial" w:cs="Arial"/>
        </w:rPr>
        <w:t xml:space="preserve">90.8% were members of </w:t>
      </w:r>
      <w:r>
        <w:rPr>
          <w:rFonts w:ascii="Arial" w:hAnsi="Arial" w:cs="Arial"/>
        </w:rPr>
        <w:t>SNSs</w:t>
      </w:r>
      <w:r w:rsidR="004F5567">
        <w:rPr>
          <w:rFonts w:ascii="Arial" w:hAnsi="Arial" w:cs="Arial"/>
        </w:rPr>
        <w:t xml:space="preserve">, whilst the average number of friends </w:t>
      </w:r>
      <w:r w:rsidR="00AE0341">
        <w:rPr>
          <w:rFonts w:ascii="Arial" w:hAnsi="Arial" w:cs="Arial"/>
        </w:rPr>
        <w:t xml:space="preserve">reported by the sample was </w:t>
      </w:r>
      <w:r w:rsidR="004F5567">
        <w:rPr>
          <w:rFonts w:ascii="Arial" w:hAnsi="Arial" w:cs="Arial"/>
        </w:rPr>
        <w:t>6.3</w:t>
      </w:r>
      <w:r>
        <w:rPr>
          <w:rFonts w:ascii="Arial" w:hAnsi="Arial" w:cs="Arial"/>
        </w:rPr>
        <w:t xml:space="preserve">. In terms of intensity of social media use, </w:t>
      </w:r>
      <w:r w:rsidR="00A64D94" w:rsidRPr="006F1F6A">
        <w:rPr>
          <w:rFonts w:ascii="Arial" w:hAnsi="Arial" w:cs="Arial"/>
        </w:rPr>
        <w:t>26.9%</w:t>
      </w:r>
      <w:r w:rsidR="00D97D38" w:rsidRPr="006F1F6A">
        <w:rPr>
          <w:rFonts w:ascii="Arial" w:hAnsi="Arial" w:cs="Arial"/>
        </w:rPr>
        <w:t xml:space="preserve"> </w:t>
      </w:r>
      <w:r>
        <w:rPr>
          <w:rFonts w:ascii="Arial" w:hAnsi="Arial" w:cs="Arial"/>
        </w:rPr>
        <w:t>of the sample</w:t>
      </w:r>
      <w:r w:rsidR="00D97D38" w:rsidRPr="006F1F6A">
        <w:rPr>
          <w:rFonts w:ascii="Arial" w:hAnsi="Arial" w:cs="Arial"/>
        </w:rPr>
        <w:t xml:space="preserve"> </w:t>
      </w:r>
      <w:r>
        <w:rPr>
          <w:rFonts w:ascii="Arial" w:hAnsi="Arial" w:cs="Arial"/>
        </w:rPr>
        <w:t xml:space="preserve">used SNSs for </w:t>
      </w:r>
      <w:r w:rsidR="008533C1">
        <w:rPr>
          <w:rFonts w:ascii="Arial" w:hAnsi="Arial" w:cs="Arial"/>
        </w:rPr>
        <w:t>under</w:t>
      </w:r>
      <w:r>
        <w:rPr>
          <w:rFonts w:ascii="Arial" w:hAnsi="Arial" w:cs="Arial"/>
        </w:rPr>
        <w:t xml:space="preserve"> one hour per day</w:t>
      </w:r>
      <w:r w:rsidR="004F5567">
        <w:rPr>
          <w:rFonts w:ascii="Arial" w:hAnsi="Arial" w:cs="Arial"/>
        </w:rPr>
        <w:t xml:space="preserve">, </w:t>
      </w:r>
      <w:r w:rsidR="007419EE">
        <w:rPr>
          <w:rFonts w:ascii="Arial" w:hAnsi="Arial" w:cs="Arial"/>
        </w:rPr>
        <w:t>13.3% seven hours or more per day, and 38.7%</w:t>
      </w:r>
      <w:r w:rsidR="004F5567">
        <w:rPr>
          <w:rFonts w:ascii="Arial" w:hAnsi="Arial" w:cs="Arial"/>
        </w:rPr>
        <w:t xml:space="preserve"> from</w:t>
      </w:r>
      <w:r w:rsidR="00A64D94" w:rsidRPr="006F1F6A">
        <w:rPr>
          <w:rFonts w:ascii="Arial" w:hAnsi="Arial" w:cs="Arial"/>
        </w:rPr>
        <w:t xml:space="preserve"> </w:t>
      </w:r>
      <w:r w:rsidR="004F5567">
        <w:rPr>
          <w:rFonts w:ascii="Arial" w:hAnsi="Arial" w:cs="Arial"/>
        </w:rPr>
        <w:t xml:space="preserve">one to three hours per day. </w:t>
      </w:r>
    </w:p>
    <w:p w14:paraId="6DDF869A" w14:textId="77777777" w:rsidR="00C75ABD" w:rsidRPr="00B743C0" w:rsidRDefault="00DC345D" w:rsidP="00B743C0">
      <w:pPr>
        <w:spacing w:after="280" w:line="480" w:lineRule="auto"/>
        <w:jc w:val="both"/>
        <w:rPr>
          <w:rFonts w:ascii="Arial" w:hAnsi="Arial" w:cs="Arial"/>
        </w:rPr>
      </w:pPr>
      <w:r w:rsidRPr="007419EE">
        <w:rPr>
          <w:rFonts w:ascii="Arial" w:hAnsi="Arial" w:cs="Arial"/>
        </w:rPr>
        <w:t>The hypothe</w:t>
      </w:r>
      <w:r w:rsidR="00AE0341" w:rsidRPr="007419EE">
        <w:rPr>
          <w:rFonts w:ascii="Arial" w:hAnsi="Arial" w:cs="Arial"/>
        </w:rPr>
        <w:t>ses outlined in the previous section</w:t>
      </w:r>
      <w:r w:rsidRPr="007419EE">
        <w:rPr>
          <w:rFonts w:ascii="Arial" w:hAnsi="Arial" w:cs="Arial"/>
        </w:rPr>
        <w:t xml:space="preserve"> </w:t>
      </w:r>
      <w:r w:rsidR="00AE0341" w:rsidRPr="007419EE">
        <w:rPr>
          <w:rFonts w:ascii="Arial" w:hAnsi="Arial" w:cs="Arial"/>
        </w:rPr>
        <w:t>were</w:t>
      </w:r>
      <w:r w:rsidRPr="007419EE">
        <w:rPr>
          <w:rFonts w:ascii="Arial" w:hAnsi="Arial" w:cs="Arial"/>
        </w:rPr>
        <w:t xml:space="preserve"> tested using Chi square analysis and independent t-tests. To understand multivariate effects and to control for gender and age</w:t>
      </w:r>
      <w:r w:rsidR="00AE0341" w:rsidRPr="007419EE">
        <w:rPr>
          <w:rFonts w:ascii="Arial" w:hAnsi="Arial" w:cs="Arial"/>
        </w:rPr>
        <w:t>,</w:t>
      </w:r>
      <w:r w:rsidRPr="007419EE">
        <w:rPr>
          <w:rFonts w:ascii="Arial" w:hAnsi="Arial" w:cs="Arial"/>
        </w:rPr>
        <w:t xml:space="preserve"> a bin</w:t>
      </w:r>
      <w:r w:rsidR="00AE0341" w:rsidRPr="007419EE">
        <w:rPr>
          <w:rFonts w:ascii="Arial" w:hAnsi="Arial" w:cs="Arial"/>
        </w:rPr>
        <w:t>ary logistic regression model was</w:t>
      </w:r>
      <w:r w:rsidRPr="007419EE">
        <w:rPr>
          <w:rFonts w:ascii="Arial" w:hAnsi="Arial" w:cs="Arial"/>
        </w:rPr>
        <w:t xml:space="preserve"> fitted </w:t>
      </w:r>
      <w:r w:rsidR="002815E1" w:rsidRPr="007419EE">
        <w:rPr>
          <w:rFonts w:ascii="Arial" w:hAnsi="Arial" w:cs="Arial"/>
        </w:rPr>
        <w:t xml:space="preserve">to </w:t>
      </w:r>
      <w:r w:rsidR="007419EE">
        <w:rPr>
          <w:rFonts w:ascii="Arial" w:hAnsi="Arial" w:cs="Arial"/>
        </w:rPr>
        <w:t>determine</w:t>
      </w:r>
      <w:r w:rsidRPr="007419EE">
        <w:rPr>
          <w:rFonts w:ascii="Arial" w:hAnsi="Arial" w:cs="Arial"/>
        </w:rPr>
        <w:t xml:space="preserve"> the </w:t>
      </w:r>
      <w:r w:rsidR="007419EE">
        <w:rPr>
          <w:rFonts w:ascii="Arial" w:hAnsi="Arial" w:cs="Arial"/>
        </w:rPr>
        <w:t>relationship between both SNS membership and</w:t>
      </w:r>
      <w:r w:rsidRPr="007419EE">
        <w:rPr>
          <w:rFonts w:ascii="Arial" w:hAnsi="Arial" w:cs="Arial"/>
        </w:rPr>
        <w:t xml:space="preserve"> number of close friends</w:t>
      </w:r>
      <w:r w:rsidR="007419EE">
        <w:rPr>
          <w:rFonts w:ascii="Arial" w:hAnsi="Arial" w:cs="Arial"/>
        </w:rPr>
        <w:t>,</w:t>
      </w:r>
      <w:r w:rsidRPr="007419EE">
        <w:rPr>
          <w:rFonts w:ascii="Arial" w:hAnsi="Arial" w:cs="Arial"/>
        </w:rPr>
        <w:t xml:space="preserve"> to employment status.</w:t>
      </w:r>
      <w:r w:rsidR="007419EE">
        <w:rPr>
          <w:rFonts w:ascii="Arial" w:hAnsi="Arial" w:cs="Arial"/>
        </w:rPr>
        <w:t xml:space="preserve"> The results of the analysis are detailed in the following section.</w:t>
      </w:r>
    </w:p>
    <w:p w14:paraId="333BB1D0" w14:textId="77777777" w:rsidR="00A71F16" w:rsidRPr="00A14436" w:rsidRDefault="00E83600" w:rsidP="006F1F6A">
      <w:pPr>
        <w:pStyle w:val="Heading1"/>
      </w:pPr>
      <w:r w:rsidRPr="00A14436">
        <w:t>Results</w:t>
      </w:r>
      <w:r w:rsidR="00A14436" w:rsidRPr="00A14436">
        <w:tab/>
      </w:r>
    </w:p>
    <w:p w14:paraId="142159BF" w14:textId="77777777" w:rsidR="00C75ABD" w:rsidRDefault="001F135C" w:rsidP="006F1F6A">
      <w:pPr>
        <w:autoSpaceDE w:val="0"/>
        <w:autoSpaceDN w:val="0"/>
        <w:adjustRightInd w:val="0"/>
        <w:spacing w:after="280" w:line="480" w:lineRule="auto"/>
        <w:jc w:val="both"/>
        <w:rPr>
          <w:rFonts w:ascii="Arial" w:hAnsi="Arial" w:cs="Arial"/>
        </w:rPr>
      </w:pPr>
      <w:r>
        <w:rPr>
          <w:rFonts w:ascii="Arial" w:hAnsi="Arial" w:cs="Arial"/>
        </w:rPr>
        <w:t>Hypothesis 1</w:t>
      </w:r>
      <w:r w:rsidRPr="006F1F6A">
        <w:rPr>
          <w:rFonts w:ascii="Arial" w:hAnsi="Arial" w:cs="Arial"/>
          <w:i/>
        </w:rPr>
        <w:t>o</w:t>
      </w:r>
      <w:r w:rsidR="00BD78F7">
        <w:rPr>
          <w:rFonts w:ascii="Arial" w:hAnsi="Arial" w:cs="Arial"/>
        </w:rPr>
        <w:t xml:space="preserve"> addresses</w:t>
      </w:r>
      <w:r w:rsidR="009354BB" w:rsidRPr="006F1F6A">
        <w:rPr>
          <w:rFonts w:ascii="Arial" w:hAnsi="Arial" w:cs="Arial"/>
        </w:rPr>
        <w:t xml:space="preserve"> the relationship between employment status and </w:t>
      </w:r>
      <w:r w:rsidR="00BD042C" w:rsidRPr="006F1F6A">
        <w:rPr>
          <w:rFonts w:ascii="Arial" w:hAnsi="Arial" w:cs="Arial"/>
        </w:rPr>
        <w:t xml:space="preserve">membership of SNSs, and asserts that there </w:t>
      </w:r>
      <w:r>
        <w:rPr>
          <w:rFonts w:ascii="Arial" w:hAnsi="Arial" w:cs="Arial"/>
        </w:rPr>
        <w:t>is</w:t>
      </w:r>
      <w:r w:rsidR="00BD042C" w:rsidRPr="006F1F6A">
        <w:rPr>
          <w:rFonts w:ascii="Arial" w:hAnsi="Arial" w:cs="Arial"/>
        </w:rPr>
        <w:t xml:space="preserve"> </w:t>
      </w:r>
      <w:r>
        <w:rPr>
          <w:rFonts w:ascii="Arial" w:hAnsi="Arial" w:cs="Arial"/>
        </w:rPr>
        <w:t xml:space="preserve">no association </w:t>
      </w:r>
      <w:r w:rsidR="00BD042C" w:rsidRPr="006F1F6A">
        <w:rPr>
          <w:rFonts w:ascii="Arial" w:hAnsi="Arial" w:cs="Arial"/>
        </w:rPr>
        <w:t>between employment status and membership of SNSs.</w:t>
      </w:r>
      <w:r>
        <w:rPr>
          <w:rFonts w:ascii="Arial" w:hAnsi="Arial" w:cs="Arial"/>
        </w:rPr>
        <w:t xml:space="preserve"> An alternative hypothesis</w:t>
      </w:r>
      <w:r w:rsidR="00BD78F7">
        <w:rPr>
          <w:rFonts w:ascii="Arial" w:hAnsi="Arial" w:cs="Arial"/>
        </w:rPr>
        <w:t xml:space="preserve"> 1a</w:t>
      </w:r>
      <w:r>
        <w:rPr>
          <w:rFonts w:ascii="Arial" w:hAnsi="Arial" w:cs="Arial"/>
        </w:rPr>
        <w:t xml:space="preserve"> is also provided, </w:t>
      </w:r>
      <w:r w:rsidR="008533C1">
        <w:rPr>
          <w:rFonts w:ascii="Arial" w:hAnsi="Arial" w:cs="Arial"/>
        </w:rPr>
        <w:t>this</w:t>
      </w:r>
      <w:r>
        <w:rPr>
          <w:rFonts w:ascii="Arial" w:hAnsi="Arial" w:cs="Arial"/>
        </w:rPr>
        <w:t xml:space="preserve"> asserts that there </w:t>
      </w:r>
      <w:r w:rsidRPr="001F525F">
        <w:rPr>
          <w:rFonts w:ascii="Arial" w:hAnsi="Arial" w:cs="Arial"/>
          <w:i/>
        </w:rPr>
        <w:t>is</w:t>
      </w:r>
      <w:r>
        <w:rPr>
          <w:rFonts w:ascii="Arial" w:hAnsi="Arial" w:cs="Arial"/>
        </w:rPr>
        <w:t xml:space="preserve"> a relationship between employment status and membership of an SNS.</w:t>
      </w:r>
      <w:r w:rsidR="00BD042C" w:rsidRPr="006F1F6A">
        <w:rPr>
          <w:rFonts w:ascii="Arial" w:hAnsi="Arial" w:cs="Arial"/>
        </w:rPr>
        <w:t xml:space="preserve"> </w:t>
      </w:r>
      <w:r w:rsidR="009354BB" w:rsidRPr="006F1F6A">
        <w:rPr>
          <w:rFonts w:ascii="Arial" w:hAnsi="Arial" w:cs="Arial"/>
        </w:rPr>
        <w:t xml:space="preserve">The data </w:t>
      </w:r>
      <w:r w:rsidR="00D7749C">
        <w:rPr>
          <w:rFonts w:ascii="Arial" w:hAnsi="Arial" w:cs="Arial"/>
        </w:rPr>
        <w:t xml:space="preserve">from the survey </w:t>
      </w:r>
      <w:r w:rsidR="009354BB" w:rsidRPr="006F1F6A">
        <w:rPr>
          <w:rFonts w:ascii="Arial" w:hAnsi="Arial" w:cs="Arial"/>
        </w:rPr>
        <w:t>show that</w:t>
      </w:r>
      <w:r w:rsidR="00BD042C" w:rsidRPr="006F1F6A">
        <w:rPr>
          <w:rFonts w:ascii="Arial" w:hAnsi="Arial" w:cs="Arial"/>
        </w:rPr>
        <w:t xml:space="preserve"> </w:t>
      </w:r>
      <w:r>
        <w:rPr>
          <w:rFonts w:ascii="Arial" w:hAnsi="Arial" w:cs="Arial"/>
        </w:rPr>
        <w:t>a higher proportion of those</w:t>
      </w:r>
      <w:r w:rsidR="00BD042C" w:rsidRPr="006F1F6A">
        <w:rPr>
          <w:rFonts w:ascii="Arial" w:hAnsi="Arial" w:cs="Arial"/>
        </w:rPr>
        <w:t xml:space="preserve"> who </w:t>
      </w:r>
      <w:r>
        <w:rPr>
          <w:rFonts w:ascii="Arial" w:hAnsi="Arial" w:cs="Arial"/>
        </w:rPr>
        <w:t xml:space="preserve">were in paid employment </w:t>
      </w:r>
      <w:r w:rsidR="008533C1">
        <w:rPr>
          <w:rFonts w:ascii="Arial" w:hAnsi="Arial" w:cs="Arial"/>
        </w:rPr>
        <w:t xml:space="preserve">in 2012 </w:t>
      </w:r>
      <w:r>
        <w:rPr>
          <w:rFonts w:ascii="Arial" w:hAnsi="Arial" w:cs="Arial"/>
        </w:rPr>
        <w:t>were</w:t>
      </w:r>
      <w:r w:rsidR="00BD042C" w:rsidRPr="006F1F6A">
        <w:rPr>
          <w:rFonts w:ascii="Arial" w:hAnsi="Arial" w:cs="Arial"/>
        </w:rPr>
        <w:t xml:space="preserve"> members of a SNS (</w:t>
      </w:r>
      <w:r w:rsidR="00A64D94" w:rsidRPr="006F1F6A">
        <w:rPr>
          <w:rFonts w:ascii="Arial" w:hAnsi="Arial" w:cs="Arial"/>
        </w:rPr>
        <w:t>92.0</w:t>
      </w:r>
      <w:r w:rsidR="00BD042C" w:rsidRPr="006F1F6A">
        <w:rPr>
          <w:rFonts w:ascii="Arial" w:hAnsi="Arial" w:cs="Arial"/>
        </w:rPr>
        <w:t xml:space="preserve">% as compared to </w:t>
      </w:r>
      <w:r w:rsidR="00A64D94" w:rsidRPr="006F1F6A">
        <w:rPr>
          <w:rFonts w:ascii="Arial" w:hAnsi="Arial" w:cs="Arial"/>
        </w:rPr>
        <w:t>83.2</w:t>
      </w:r>
      <w:r w:rsidR="00BD042C" w:rsidRPr="006F1F6A">
        <w:rPr>
          <w:rFonts w:ascii="Arial" w:hAnsi="Arial" w:cs="Arial"/>
        </w:rPr>
        <w:t>%</w:t>
      </w:r>
      <w:r>
        <w:rPr>
          <w:rFonts w:ascii="Arial" w:hAnsi="Arial" w:cs="Arial"/>
        </w:rPr>
        <w:t xml:space="preserve"> </w:t>
      </w:r>
      <w:r w:rsidR="00DF6E8B">
        <w:rPr>
          <w:rFonts w:ascii="Arial" w:hAnsi="Arial" w:cs="Arial"/>
        </w:rPr>
        <w:t xml:space="preserve">of those </w:t>
      </w:r>
      <w:r>
        <w:rPr>
          <w:rFonts w:ascii="Arial" w:hAnsi="Arial" w:cs="Arial"/>
        </w:rPr>
        <w:t>who were unemployed</w:t>
      </w:r>
      <w:r w:rsidR="00BD042C" w:rsidRPr="006F1F6A">
        <w:rPr>
          <w:rFonts w:ascii="Arial" w:hAnsi="Arial" w:cs="Arial"/>
        </w:rPr>
        <w:t>),</w:t>
      </w:r>
      <w:r>
        <w:rPr>
          <w:rFonts w:ascii="Arial" w:hAnsi="Arial" w:cs="Arial"/>
        </w:rPr>
        <w:t xml:space="preserve"> whilst</w:t>
      </w:r>
      <w:r w:rsidR="00BD042C" w:rsidRPr="006F1F6A">
        <w:rPr>
          <w:rFonts w:ascii="Arial" w:hAnsi="Arial" w:cs="Arial"/>
        </w:rPr>
        <w:t xml:space="preserve"> </w:t>
      </w:r>
      <w:r w:rsidR="00A64D94" w:rsidRPr="006F1F6A">
        <w:rPr>
          <w:rFonts w:ascii="Arial" w:hAnsi="Arial" w:cs="Arial"/>
        </w:rPr>
        <w:t xml:space="preserve">the rate of </w:t>
      </w:r>
      <w:r w:rsidR="009359F4" w:rsidRPr="006F1F6A">
        <w:rPr>
          <w:rFonts w:ascii="Arial" w:hAnsi="Arial" w:cs="Arial"/>
        </w:rPr>
        <w:t xml:space="preserve">not being </w:t>
      </w:r>
      <w:r>
        <w:rPr>
          <w:rFonts w:ascii="Arial" w:hAnsi="Arial" w:cs="Arial"/>
        </w:rPr>
        <w:t xml:space="preserve">a member of an </w:t>
      </w:r>
      <w:r w:rsidR="009359F4" w:rsidRPr="006F1F6A">
        <w:rPr>
          <w:rFonts w:ascii="Arial" w:hAnsi="Arial" w:cs="Arial"/>
        </w:rPr>
        <w:t>SNS</w:t>
      </w:r>
      <w:r w:rsidR="00A64D94" w:rsidRPr="006F1F6A">
        <w:rPr>
          <w:rFonts w:ascii="Arial" w:hAnsi="Arial" w:cs="Arial"/>
        </w:rPr>
        <w:t xml:space="preserve"> amongst</w:t>
      </w:r>
      <w:r w:rsidR="009359F4" w:rsidRPr="006F1F6A">
        <w:rPr>
          <w:rFonts w:ascii="Arial" w:hAnsi="Arial" w:cs="Arial"/>
        </w:rPr>
        <w:t xml:space="preserve"> those who </w:t>
      </w:r>
      <w:r>
        <w:rPr>
          <w:rFonts w:ascii="Arial" w:hAnsi="Arial" w:cs="Arial"/>
        </w:rPr>
        <w:t>were</w:t>
      </w:r>
      <w:r w:rsidR="009359F4" w:rsidRPr="006F1F6A">
        <w:rPr>
          <w:rFonts w:ascii="Arial" w:hAnsi="Arial" w:cs="Arial"/>
        </w:rPr>
        <w:t xml:space="preserve"> unemployed </w:t>
      </w:r>
      <w:r w:rsidR="001F525F">
        <w:rPr>
          <w:rFonts w:ascii="Arial" w:hAnsi="Arial" w:cs="Arial"/>
        </w:rPr>
        <w:t xml:space="preserve">(16.8%) </w:t>
      </w:r>
      <w:r w:rsidR="00A64D94" w:rsidRPr="006F1F6A">
        <w:rPr>
          <w:rFonts w:ascii="Arial" w:hAnsi="Arial" w:cs="Arial"/>
        </w:rPr>
        <w:t xml:space="preserve">was double </w:t>
      </w:r>
      <w:r w:rsidR="00BD78F7">
        <w:rPr>
          <w:rFonts w:ascii="Arial" w:hAnsi="Arial" w:cs="Arial"/>
        </w:rPr>
        <w:t>that of</w:t>
      </w:r>
      <w:r w:rsidR="009359F4" w:rsidRPr="006F1F6A">
        <w:rPr>
          <w:rFonts w:ascii="Arial" w:hAnsi="Arial" w:cs="Arial"/>
        </w:rPr>
        <w:t xml:space="preserve"> those in paid employment</w:t>
      </w:r>
      <w:r w:rsidR="001F525F">
        <w:rPr>
          <w:rFonts w:ascii="Arial" w:hAnsi="Arial" w:cs="Arial"/>
        </w:rPr>
        <w:t xml:space="preserve"> (8.0%)</w:t>
      </w:r>
      <w:r w:rsidR="009359F4" w:rsidRPr="006F1F6A">
        <w:rPr>
          <w:rFonts w:ascii="Arial" w:hAnsi="Arial" w:cs="Arial"/>
        </w:rPr>
        <w:t xml:space="preserve">. Using a Chi Square test the </w:t>
      </w:r>
      <w:r w:rsidR="00BD042C" w:rsidRPr="006F1F6A">
        <w:rPr>
          <w:rFonts w:ascii="Arial" w:hAnsi="Arial" w:cs="Arial"/>
        </w:rPr>
        <w:t xml:space="preserve">association </w:t>
      </w:r>
      <w:r w:rsidR="009359F4" w:rsidRPr="006F1F6A">
        <w:rPr>
          <w:rFonts w:ascii="Arial" w:hAnsi="Arial" w:cs="Arial"/>
        </w:rPr>
        <w:t>was</w:t>
      </w:r>
      <w:r w:rsidR="00BD78F7">
        <w:rPr>
          <w:rFonts w:ascii="Arial" w:hAnsi="Arial" w:cs="Arial"/>
        </w:rPr>
        <w:t xml:space="preserve"> found to be</w:t>
      </w:r>
      <w:r w:rsidR="00BD042C" w:rsidRPr="006F1F6A">
        <w:rPr>
          <w:rFonts w:ascii="Arial" w:hAnsi="Arial" w:cs="Arial"/>
        </w:rPr>
        <w:t xml:space="preserve"> </w:t>
      </w:r>
      <w:r w:rsidR="00A64D94" w:rsidRPr="006F1F6A">
        <w:rPr>
          <w:rFonts w:ascii="Arial" w:hAnsi="Arial" w:cs="Arial"/>
        </w:rPr>
        <w:t xml:space="preserve">statistically </w:t>
      </w:r>
      <w:r w:rsidR="00BD042C" w:rsidRPr="006F1F6A">
        <w:rPr>
          <w:rFonts w:ascii="Arial" w:hAnsi="Arial" w:cs="Arial"/>
        </w:rPr>
        <w:t>significant</w:t>
      </w:r>
      <w:r w:rsidR="009359F4" w:rsidRPr="006F1F6A">
        <w:rPr>
          <w:rFonts w:ascii="Arial" w:hAnsi="Arial" w:cs="Arial"/>
        </w:rPr>
        <w:t xml:space="preserve"> (p &lt;0.001), thus providing support for </w:t>
      </w:r>
      <w:r w:rsidR="00BD042C" w:rsidRPr="006F1F6A">
        <w:rPr>
          <w:rFonts w:ascii="Arial" w:hAnsi="Arial" w:cs="Arial"/>
        </w:rPr>
        <w:t xml:space="preserve">hypothesis </w:t>
      </w:r>
      <w:r w:rsidR="009359F4" w:rsidRPr="006F1F6A">
        <w:rPr>
          <w:rFonts w:ascii="Arial" w:hAnsi="Arial" w:cs="Arial"/>
        </w:rPr>
        <w:t xml:space="preserve">1a </w:t>
      </w:r>
      <w:r w:rsidR="00BD042C" w:rsidRPr="006F1F6A">
        <w:rPr>
          <w:rFonts w:ascii="Arial" w:hAnsi="Arial" w:cs="Arial"/>
        </w:rPr>
        <w:t xml:space="preserve">(see Table 1). </w:t>
      </w:r>
    </w:p>
    <w:p w14:paraId="5E7CBE6A" w14:textId="77777777" w:rsidR="009D40BC" w:rsidRDefault="00780CD6" w:rsidP="009D40BC">
      <w:pPr>
        <w:spacing w:after="280" w:line="480" w:lineRule="auto"/>
        <w:jc w:val="both"/>
        <w:rPr>
          <w:rFonts w:ascii="Arial" w:hAnsi="Arial" w:cs="Arial"/>
        </w:rPr>
      </w:pPr>
      <w:r w:rsidRPr="006F1F6A">
        <w:rPr>
          <w:rFonts w:ascii="Arial" w:hAnsi="Arial" w:cs="Arial"/>
        </w:rPr>
        <w:t>In Table</w:t>
      </w:r>
      <w:r w:rsidR="00F93C00" w:rsidRPr="006F1F6A">
        <w:rPr>
          <w:rFonts w:ascii="Arial" w:hAnsi="Arial" w:cs="Arial"/>
        </w:rPr>
        <w:t xml:space="preserve"> </w:t>
      </w:r>
      <w:r w:rsidR="00BE0AFE" w:rsidRPr="006F1F6A">
        <w:rPr>
          <w:rFonts w:ascii="Arial" w:hAnsi="Arial" w:cs="Arial"/>
        </w:rPr>
        <w:t>1</w:t>
      </w:r>
      <w:r w:rsidR="00191269">
        <w:rPr>
          <w:rFonts w:ascii="Arial" w:hAnsi="Arial" w:cs="Arial"/>
        </w:rPr>
        <w:t>,</w:t>
      </w:r>
      <w:r w:rsidR="00BE0AFE" w:rsidRPr="006F1F6A">
        <w:rPr>
          <w:rFonts w:ascii="Arial" w:hAnsi="Arial" w:cs="Arial"/>
        </w:rPr>
        <w:t xml:space="preserve"> </w:t>
      </w:r>
      <w:r w:rsidRPr="006F1F6A">
        <w:rPr>
          <w:rFonts w:ascii="Arial" w:hAnsi="Arial" w:cs="Arial"/>
        </w:rPr>
        <w:t xml:space="preserve">the association between </w:t>
      </w:r>
      <w:r w:rsidR="002815E1" w:rsidRPr="006F1F6A">
        <w:rPr>
          <w:rFonts w:ascii="Arial" w:hAnsi="Arial" w:cs="Arial"/>
        </w:rPr>
        <w:t>employment</w:t>
      </w:r>
      <w:r w:rsidRPr="006F1F6A">
        <w:rPr>
          <w:rFonts w:ascii="Arial" w:hAnsi="Arial" w:cs="Arial"/>
        </w:rPr>
        <w:t xml:space="preserve"> status and intensity of </w:t>
      </w:r>
      <w:r w:rsidR="00533BCC">
        <w:rPr>
          <w:rFonts w:ascii="Arial" w:hAnsi="Arial" w:cs="Arial"/>
        </w:rPr>
        <w:t>SNS use</w:t>
      </w:r>
      <w:r w:rsidR="00CC6ABD">
        <w:rPr>
          <w:rFonts w:ascii="Arial" w:hAnsi="Arial" w:cs="Arial"/>
        </w:rPr>
        <w:t xml:space="preserve"> </w:t>
      </w:r>
      <w:r w:rsidRPr="006F1F6A">
        <w:rPr>
          <w:rFonts w:ascii="Arial" w:hAnsi="Arial" w:cs="Arial"/>
        </w:rPr>
        <w:t>is documented</w:t>
      </w:r>
      <w:r w:rsidR="00191269">
        <w:rPr>
          <w:rFonts w:ascii="Arial" w:hAnsi="Arial" w:cs="Arial"/>
        </w:rPr>
        <w:t>,</w:t>
      </w:r>
      <w:r w:rsidR="00CC6ABD">
        <w:rPr>
          <w:rFonts w:ascii="Arial" w:hAnsi="Arial" w:cs="Arial"/>
        </w:rPr>
        <w:t xml:space="preserve"> </w:t>
      </w:r>
      <w:r w:rsidR="00CC6ABD" w:rsidRPr="006F1F6A">
        <w:rPr>
          <w:rFonts w:ascii="Arial" w:hAnsi="Arial" w:cs="Arial"/>
        </w:rPr>
        <w:t xml:space="preserve">as measured by hours per </w:t>
      </w:r>
      <w:r w:rsidR="00CC6ABD">
        <w:rPr>
          <w:rFonts w:ascii="Arial" w:hAnsi="Arial" w:cs="Arial"/>
        </w:rPr>
        <w:t>day</w:t>
      </w:r>
      <w:r w:rsidR="00CC6ABD" w:rsidRPr="006F1F6A">
        <w:rPr>
          <w:rFonts w:ascii="Arial" w:hAnsi="Arial" w:cs="Arial"/>
        </w:rPr>
        <w:t xml:space="preserve"> interacting with friends</w:t>
      </w:r>
      <w:r w:rsidR="00593932">
        <w:rPr>
          <w:rFonts w:ascii="Arial" w:hAnsi="Arial" w:cs="Arial"/>
        </w:rPr>
        <w:t>. A</w:t>
      </w:r>
      <w:r w:rsidR="002815E1" w:rsidRPr="006F1F6A">
        <w:rPr>
          <w:rFonts w:ascii="Arial" w:hAnsi="Arial" w:cs="Arial"/>
        </w:rPr>
        <w:t xml:space="preserve"> signif</w:t>
      </w:r>
      <w:r w:rsidR="00CC6ABD">
        <w:rPr>
          <w:rFonts w:ascii="Arial" w:hAnsi="Arial" w:cs="Arial"/>
        </w:rPr>
        <w:t>icant association is found (p=</w:t>
      </w:r>
      <w:r w:rsidR="002815E1" w:rsidRPr="006F1F6A">
        <w:rPr>
          <w:rFonts w:ascii="Arial" w:hAnsi="Arial" w:cs="Arial"/>
        </w:rPr>
        <w:t>0.02)</w:t>
      </w:r>
      <w:r w:rsidR="00CC6ABD">
        <w:rPr>
          <w:rFonts w:ascii="Arial" w:hAnsi="Arial" w:cs="Arial"/>
        </w:rPr>
        <w:t>,</w:t>
      </w:r>
      <w:r w:rsidR="002815E1" w:rsidRPr="006F1F6A">
        <w:rPr>
          <w:rFonts w:ascii="Arial" w:hAnsi="Arial" w:cs="Arial"/>
        </w:rPr>
        <w:t xml:space="preserve"> </w:t>
      </w:r>
      <w:r w:rsidR="00026369">
        <w:rPr>
          <w:rFonts w:ascii="Arial" w:hAnsi="Arial" w:cs="Arial"/>
        </w:rPr>
        <w:t xml:space="preserve">which confirms hypothesis 2a, that there is an association between frequency of SNS use and employment status. </w:t>
      </w:r>
      <w:r w:rsidR="00593932">
        <w:rPr>
          <w:rFonts w:ascii="Arial" w:hAnsi="Arial" w:cs="Arial"/>
        </w:rPr>
        <w:t xml:space="preserve">This result was achieved by performing an independent </w:t>
      </w:r>
      <w:r w:rsidR="00593932" w:rsidRPr="004B28FB">
        <w:rPr>
          <w:rFonts w:ascii="Arial" w:hAnsi="Arial" w:cs="Arial"/>
          <w:i/>
        </w:rPr>
        <w:t>t</w:t>
      </w:r>
      <w:r w:rsidR="00593932">
        <w:rPr>
          <w:rFonts w:ascii="Arial" w:hAnsi="Arial" w:cs="Arial"/>
        </w:rPr>
        <w:t>–</w:t>
      </w:r>
      <w:r w:rsidR="00593932" w:rsidRPr="006F1F6A">
        <w:rPr>
          <w:rFonts w:ascii="Arial" w:hAnsi="Arial" w:cs="Arial"/>
        </w:rPr>
        <w:t>test</w:t>
      </w:r>
      <w:r w:rsidR="00593932">
        <w:rPr>
          <w:rFonts w:ascii="Arial" w:hAnsi="Arial" w:cs="Arial"/>
        </w:rPr>
        <w:t xml:space="preserve">. </w:t>
      </w:r>
      <w:r w:rsidR="00026369" w:rsidRPr="00593932">
        <w:rPr>
          <w:rFonts w:ascii="Arial" w:hAnsi="Arial" w:cs="Arial"/>
        </w:rPr>
        <w:t>However</w:t>
      </w:r>
      <w:r w:rsidR="00026369">
        <w:rPr>
          <w:rFonts w:ascii="Arial" w:hAnsi="Arial" w:cs="Arial"/>
        </w:rPr>
        <w:t>, t</w:t>
      </w:r>
      <w:r w:rsidR="002815E1" w:rsidRPr="006F1F6A">
        <w:rPr>
          <w:rFonts w:ascii="Arial" w:hAnsi="Arial" w:cs="Arial"/>
        </w:rPr>
        <w:t xml:space="preserve">he relationship is </w:t>
      </w:r>
      <w:r w:rsidR="009D40BC">
        <w:rPr>
          <w:rFonts w:ascii="Arial" w:hAnsi="Arial" w:cs="Arial"/>
        </w:rPr>
        <w:t>a complex one;</w:t>
      </w:r>
      <w:r w:rsidR="00191269">
        <w:rPr>
          <w:rFonts w:ascii="Arial" w:hAnsi="Arial" w:cs="Arial"/>
        </w:rPr>
        <w:t xml:space="preserve"> whilst proportionately more unemployed participants reported spending no hours</w:t>
      </w:r>
      <w:r w:rsidR="00DF6E8B">
        <w:rPr>
          <w:rFonts w:ascii="Arial" w:hAnsi="Arial" w:cs="Arial"/>
        </w:rPr>
        <w:t xml:space="preserve"> per day</w:t>
      </w:r>
      <w:r w:rsidR="00191269">
        <w:rPr>
          <w:rFonts w:ascii="Arial" w:hAnsi="Arial" w:cs="Arial"/>
        </w:rPr>
        <w:t xml:space="preserve"> using SNSs than those in paid employment, conversely, significantly more unemployed participants reported using SNSs for one hour or more per day (72.50% as compared to 65.30%</w:t>
      </w:r>
      <w:r w:rsidR="00DF6E8B">
        <w:rPr>
          <w:rFonts w:ascii="Arial" w:hAnsi="Arial" w:cs="Arial"/>
        </w:rPr>
        <w:t xml:space="preserve"> of those</w:t>
      </w:r>
      <w:r w:rsidR="00191269">
        <w:rPr>
          <w:rFonts w:ascii="Arial" w:hAnsi="Arial" w:cs="Arial"/>
        </w:rPr>
        <w:t xml:space="preserve"> who were in paid employment).</w:t>
      </w:r>
      <w:r w:rsidR="009D40BC">
        <w:rPr>
          <w:rFonts w:ascii="Arial" w:hAnsi="Arial" w:cs="Arial"/>
        </w:rPr>
        <w:t xml:space="preserve"> Therefore, the relationship between frequency of SNS use and employment status is not a linear one.</w:t>
      </w:r>
    </w:p>
    <w:p w14:paraId="72A1D407" w14:textId="77777777" w:rsidR="00CB7791" w:rsidRPr="009D40BC" w:rsidRDefault="0035398E" w:rsidP="00FF4385">
      <w:pPr>
        <w:spacing w:after="280" w:line="480" w:lineRule="auto"/>
        <w:jc w:val="both"/>
        <w:rPr>
          <w:rFonts w:ascii="Arial" w:hAnsi="Arial" w:cs="Arial"/>
        </w:rPr>
      </w:pPr>
      <w:r w:rsidRPr="001F525F">
        <w:rPr>
          <w:rFonts w:ascii="Arial" w:hAnsi="Arial" w:cs="Arial"/>
        </w:rPr>
        <w:t xml:space="preserve">To test hypothesis </w:t>
      </w:r>
      <w:r>
        <w:rPr>
          <w:rFonts w:ascii="Arial" w:hAnsi="Arial" w:cs="Arial"/>
        </w:rPr>
        <w:t>3</w:t>
      </w:r>
      <w:r w:rsidRPr="001F525F">
        <w:rPr>
          <w:rFonts w:ascii="Arial" w:hAnsi="Arial" w:cs="Arial"/>
          <w:i/>
        </w:rPr>
        <w:t>o</w:t>
      </w:r>
      <w:r>
        <w:rPr>
          <w:rFonts w:ascii="Arial" w:hAnsi="Arial" w:cs="Arial"/>
          <w:i/>
        </w:rPr>
        <w:t xml:space="preserve"> - </w:t>
      </w:r>
      <w:r w:rsidRPr="001F525F">
        <w:rPr>
          <w:rFonts w:ascii="Arial" w:hAnsi="Arial" w:cs="Arial"/>
        </w:rPr>
        <w:t>that a greater number of close friends is</w:t>
      </w:r>
      <w:r w:rsidRPr="006F1F6A">
        <w:rPr>
          <w:rFonts w:ascii="Arial" w:hAnsi="Arial" w:cs="Arial"/>
        </w:rPr>
        <w:t xml:space="preserve"> </w:t>
      </w:r>
      <w:r>
        <w:rPr>
          <w:rFonts w:ascii="Arial" w:hAnsi="Arial" w:cs="Arial"/>
        </w:rPr>
        <w:t xml:space="preserve">not </w:t>
      </w:r>
      <w:r w:rsidRPr="006F1F6A">
        <w:rPr>
          <w:rFonts w:ascii="Arial" w:hAnsi="Arial" w:cs="Arial"/>
        </w:rPr>
        <w:t xml:space="preserve">positively associated with </w:t>
      </w:r>
      <w:r>
        <w:rPr>
          <w:rFonts w:ascii="Arial" w:hAnsi="Arial" w:cs="Arial"/>
        </w:rPr>
        <w:t xml:space="preserve">being in paid employment - an independent </w:t>
      </w:r>
      <w:r w:rsidRPr="004B28FB">
        <w:rPr>
          <w:rFonts w:ascii="Arial" w:hAnsi="Arial" w:cs="Arial"/>
          <w:i/>
        </w:rPr>
        <w:t>t</w:t>
      </w:r>
      <w:r>
        <w:rPr>
          <w:rFonts w:ascii="Arial" w:hAnsi="Arial" w:cs="Arial"/>
        </w:rPr>
        <w:t>–</w:t>
      </w:r>
      <w:r w:rsidRPr="006F1F6A">
        <w:rPr>
          <w:rFonts w:ascii="Arial" w:hAnsi="Arial" w:cs="Arial"/>
        </w:rPr>
        <w:t xml:space="preserve">test was performed. </w:t>
      </w:r>
      <w:r>
        <w:rPr>
          <w:rFonts w:ascii="Arial" w:hAnsi="Arial" w:cs="Arial"/>
        </w:rPr>
        <w:t>In doing so it was found that the</w:t>
      </w:r>
      <w:r w:rsidRPr="006F1F6A">
        <w:rPr>
          <w:rFonts w:ascii="Arial" w:hAnsi="Arial" w:cs="Arial"/>
        </w:rPr>
        <w:t xml:space="preserve"> mean number of friends of those in </w:t>
      </w:r>
      <w:r>
        <w:rPr>
          <w:rFonts w:ascii="Arial" w:hAnsi="Arial" w:cs="Arial"/>
        </w:rPr>
        <w:t xml:space="preserve">paid </w:t>
      </w:r>
      <w:r w:rsidRPr="006F1F6A">
        <w:rPr>
          <w:rFonts w:ascii="Arial" w:hAnsi="Arial" w:cs="Arial"/>
        </w:rPr>
        <w:t xml:space="preserve">employment was </w:t>
      </w:r>
      <w:r>
        <w:rPr>
          <w:rFonts w:ascii="Arial" w:hAnsi="Arial" w:cs="Arial"/>
        </w:rPr>
        <w:t xml:space="preserve">6.05, </w:t>
      </w:r>
      <w:r w:rsidRPr="006F1F6A">
        <w:rPr>
          <w:rFonts w:ascii="Arial" w:hAnsi="Arial" w:cs="Arial"/>
        </w:rPr>
        <w:t>compare</w:t>
      </w:r>
      <w:r>
        <w:rPr>
          <w:rFonts w:ascii="Arial" w:hAnsi="Arial" w:cs="Arial"/>
        </w:rPr>
        <w:t>d to 5.88 for those unemployed. T</w:t>
      </w:r>
      <w:r w:rsidRPr="006F1F6A">
        <w:rPr>
          <w:rFonts w:ascii="Arial" w:hAnsi="Arial" w:cs="Arial"/>
        </w:rPr>
        <w:t xml:space="preserve">his difference was not found to be statistically significant (p = 0.674), </w:t>
      </w:r>
      <w:r>
        <w:rPr>
          <w:rFonts w:ascii="Arial" w:hAnsi="Arial" w:cs="Arial"/>
        </w:rPr>
        <w:t xml:space="preserve">and as such </w:t>
      </w:r>
      <w:r w:rsidR="00CB7791">
        <w:rPr>
          <w:rFonts w:ascii="Arial" w:hAnsi="Arial" w:cs="Arial"/>
        </w:rPr>
        <w:t>the</w:t>
      </w:r>
      <w:r w:rsidR="00CB7791" w:rsidRPr="006F1F6A">
        <w:rPr>
          <w:rFonts w:ascii="Arial" w:hAnsi="Arial" w:cs="Arial"/>
        </w:rPr>
        <w:t xml:space="preserve"> null hypothesis is accepted</w:t>
      </w:r>
      <w:r w:rsidR="004100FF">
        <w:rPr>
          <w:rFonts w:ascii="Arial" w:hAnsi="Arial" w:cs="Arial"/>
        </w:rPr>
        <w:t xml:space="preserve">: </w:t>
      </w:r>
      <w:r w:rsidR="00CB7791" w:rsidRPr="006F1F6A">
        <w:rPr>
          <w:rFonts w:ascii="Arial" w:hAnsi="Arial" w:cs="Arial"/>
        </w:rPr>
        <w:t xml:space="preserve">there is no </w:t>
      </w:r>
      <w:r w:rsidR="00CB7791">
        <w:rPr>
          <w:rFonts w:ascii="Arial" w:hAnsi="Arial" w:cs="Arial"/>
        </w:rPr>
        <w:t>association</w:t>
      </w:r>
      <w:r w:rsidR="00CB7791" w:rsidRPr="006F1F6A">
        <w:rPr>
          <w:rFonts w:ascii="Arial" w:hAnsi="Arial" w:cs="Arial"/>
        </w:rPr>
        <w:t xml:space="preserve"> between employment status and</w:t>
      </w:r>
      <w:r w:rsidR="00CB7791">
        <w:rPr>
          <w:rFonts w:ascii="Arial" w:hAnsi="Arial" w:cs="Arial"/>
        </w:rPr>
        <w:t xml:space="preserve"> </w:t>
      </w:r>
      <w:r w:rsidR="00CB7791" w:rsidRPr="006F1F6A">
        <w:rPr>
          <w:rFonts w:ascii="Arial" w:hAnsi="Arial" w:cs="Arial"/>
        </w:rPr>
        <w:t>number of close friends.</w:t>
      </w:r>
      <w:r w:rsidR="00CB7791">
        <w:rPr>
          <w:rFonts w:ascii="Arial" w:hAnsi="Arial" w:cs="Arial"/>
        </w:rPr>
        <w:t xml:space="preserve"> However, it is notable from the analysis that males</w:t>
      </w:r>
      <w:r w:rsidR="00CB7791" w:rsidRPr="0034524F">
        <w:rPr>
          <w:rFonts w:ascii="Arial" w:hAnsi="Arial" w:cs="Arial"/>
        </w:rPr>
        <w:t xml:space="preserve"> reported having</w:t>
      </w:r>
      <w:r w:rsidR="00CB7791">
        <w:rPr>
          <w:rFonts w:ascii="Arial" w:hAnsi="Arial" w:cs="Arial"/>
        </w:rPr>
        <w:t xml:space="preserve"> </w:t>
      </w:r>
      <w:r w:rsidR="00FF4385" w:rsidRPr="0034524F">
        <w:rPr>
          <w:rFonts w:ascii="Arial" w:hAnsi="Arial" w:cs="Arial"/>
        </w:rPr>
        <w:t>significantly more close friends than f</w:t>
      </w:r>
      <w:r w:rsidR="00FF4385">
        <w:rPr>
          <w:rFonts w:ascii="Arial" w:hAnsi="Arial" w:cs="Arial"/>
        </w:rPr>
        <w:t>emales (7.22 compared with 5.47;</w:t>
      </w:r>
      <w:r w:rsidR="00FF4385" w:rsidRPr="0034524F">
        <w:rPr>
          <w:rFonts w:ascii="Arial" w:hAnsi="Arial" w:cs="Arial"/>
        </w:rPr>
        <w:t xml:space="preserve"> p &lt;0.001).</w:t>
      </w:r>
    </w:p>
    <w:p w14:paraId="4550037C" w14:textId="77777777" w:rsidR="00E95F42" w:rsidRPr="00E95F42" w:rsidRDefault="00E95F42" w:rsidP="00E95F42">
      <w:pPr>
        <w:pStyle w:val="Caption"/>
        <w:keepNext/>
        <w:rPr>
          <w:rFonts w:ascii="Arial" w:hAnsi="Arial" w:cs="Arial"/>
          <w:color w:val="auto"/>
          <w:sz w:val="20"/>
          <w:szCs w:val="20"/>
        </w:rPr>
      </w:pPr>
      <w:r w:rsidRPr="00E95F42">
        <w:rPr>
          <w:rFonts w:ascii="Arial" w:hAnsi="Arial" w:cs="Arial"/>
          <w:color w:val="auto"/>
          <w:sz w:val="20"/>
          <w:szCs w:val="20"/>
        </w:rPr>
        <w:t xml:space="preserve">Table </w:t>
      </w:r>
      <w:r w:rsidRPr="00E95F42">
        <w:rPr>
          <w:rFonts w:ascii="Arial" w:hAnsi="Arial" w:cs="Arial"/>
          <w:color w:val="auto"/>
          <w:sz w:val="20"/>
          <w:szCs w:val="20"/>
        </w:rPr>
        <w:fldChar w:fldCharType="begin"/>
      </w:r>
      <w:r w:rsidRPr="00E95F42">
        <w:rPr>
          <w:rFonts w:ascii="Arial" w:hAnsi="Arial" w:cs="Arial"/>
          <w:color w:val="auto"/>
          <w:sz w:val="20"/>
          <w:szCs w:val="20"/>
        </w:rPr>
        <w:instrText xml:space="preserve"> SEQ Table \* ARABIC </w:instrText>
      </w:r>
      <w:r w:rsidRPr="00E95F42">
        <w:rPr>
          <w:rFonts w:ascii="Arial" w:hAnsi="Arial" w:cs="Arial"/>
          <w:color w:val="auto"/>
          <w:sz w:val="20"/>
          <w:szCs w:val="20"/>
        </w:rPr>
        <w:fldChar w:fldCharType="separate"/>
      </w:r>
      <w:r w:rsidR="00F65C94">
        <w:rPr>
          <w:rFonts w:ascii="Arial" w:hAnsi="Arial" w:cs="Arial"/>
          <w:noProof/>
          <w:color w:val="auto"/>
          <w:sz w:val="20"/>
          <w:szCs w:val="20"/>
        </w:rPr>
        <w:t>1</w:t>
      </w:r>
      <w:r w:rsidRPr="00E95F42">
        <w:rPr>
          <w:rFonts w:ascii="Arial" w:hAnsi="Arial" w:cs="Arial"/>
          <w:color w:val="auto"/>
          <w:sz w:val="20"/>
          <w:szCs w:val="20"/>
        </w:rPr>
        <w:fldChar w:fldCharType="end"/>
      </w:r>
      <w:r w:rsidRPr="00E95F42">
        <w:rPr>
          <w:rFonts w:ascii="Arial" w:hAnsi="Arial" w:cs="Arial"/>
          <w:color w:val="auto"/>
          <w:sz w:val="20"/>
          <w:szCs w:val="20"/>
        </w:rPr>
        <w:t>: The relationship between paid employment and membership and use of social websites</w:t>
      </w:r>
      <w:r w:rsidR="00FB6B0C">
        <w:rPr>
          <w:rFonts w:ascii="Arial" w:hAnsi="Arial" w:cs="Arial"/>
          <w:color w:val="auto"/>
          <w:sz w:val="20"/>
          <w:szCs w:val="20"/>
        </w:rPr>
        <w:t xml:space="preserve"> (n=3,616)</w:t>
      </w:r>
    </w:p>
    <w:tbl>
      <w:tblPr>
        <w:tblW w:w="494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75"/>
        <w:gridCol w:w="992"/>
        <w:gridCol w:w="1152"/>
        <w:gridCol w:w="992"/>
        <w:gridCol w:w="992"/>
        <w:gridCol w:w="992"/>
        <w:gridCol w:w="992"/>
        <w:gridCol w:w="1331"/>
      </w:tblGrid>
      <w:tr w:rsidR="004B23B3" w:rsidRPr="004B23B3" w14:paraId="3E328BBA" w14:textId="77777777" w:rsidTr="00E95F42">
        <w:tc>
          <w:tcPr>
            <w:tcW w:w="1775" w:type="dxa"/>
            <w:tcBorders>
              <w:bottom w:val="single" w:sz="4" w:space="0" w:color="auto"/>
              <w:right w:val="single" w:sz="12" w:space="0" w:color="auto"/>
            </w:tcBorders>
            <w:shd w:val="clear" w:color="auto" w:fill="auto"/>
            <w:noWrap/>
            <w:vAlign w:val="bottom"/>
            <w:hideMark/>
          </w:tcPr>
          <w:p w14:paraId="29A2781A" w14:textId="77777777" w:rsidR="004B23B3" w:rsidRPr="004B23B3" w:rsidRDefault="004B23B3" w:rsidP="006D1A59">
            <w:pPr>
              <w:pStyle w:val="Tabletext"/>
            </w:pPr>
          </w:p>
        </w:tc>
        <w:tc>
          <w:tcPr>
            <w:tcW w:w="2144" w:type="dxa"/>
            <w:gridSpan w:val="2"/>
            <w:tcBorders>
              <w:top w:val="double" w:sz="4" w:space="0" w:color="auto"/>
              <w:left w:val="single" w:sz="12" w:space="0" w:color="auto"/>
              <w:bottom w:val="single" w:sz="4" w:space="0" w:color="auto"/>
              <w:right w:val="single" w:sz="12" w:space="0" w:color="auto"/>
            </w:tcBorders>
            <w:shd w:val="clear" w:color="auto" w:fill="auto"/>
            <w:hideMark/>
          </w:tcPr>
          <w:p w14:paraId="58E63EEE" w14:textId="77777777" w:rsidR="004B23B3" w:rsidRPr="006D1A59" w:rsidRDefault="00F93C00" w:rsidP="006D1A59">
            <w:pPr>
              <w:pStyle w:val="TableHead"/>
            </w:pPr>
            <w:r w:rsidRPr="006D1A59">
              <w:t>Member of SNS</w:t>
            </w:r>
          </w:p>
        </w:tc>
        <w:tc>
          <w:tcPr>
            <w:tcW w:w="5299" w:type="dxa"/>
            <w:gridSpan w:val="5"/>
            <w:tcBorders>
              <w:top w:val="double" w:sz="4" w:space="0" w:color="auto"/>
              <w:left w:val="single" w:sz="12" w:space="0" w:color="auto"/>
              <w:bottom w:val="single" w:sz="4" w:space="0" w:color="auto"/>
            </w:tcBorders>
            <w:shd w:val="clear" w:color="auto" w:fill="auto"/>
            <w:hideMark/>
          </w:tcPr>
          <w:p w14:paraId="1409273A" w14:textId="77777777" w:rsidR="004B23B3" w:rsidRPr="006D1A59" w:rsidRDefault="00F93C00" w:rsidP="006D1A59">
            <w:pPr>
              <w:pStyle w:val="TableHead"/>
            </w:pPr>
            <w:r w:rsidRPr="006D1A59">
              <w:t>H</w:t>
            </w:r>
            <w:r w:rsidR="004B23B3" w:rsidRPr="006D1A59">
              <w:t xml:space="preserve">ours </w:t>
            </w:r>
            <w:r w:rsidR="00D66996" w:rsidRPr="006D1A59">
              <w:t xml:space="preserve">per day </w:t>
            </w:r>
            <w:r w:rsidR="004B23B3" w:rsidRPr="006D1A59">
              <w:t xml:space="preserve">spent interacting with friends through </w:t>
            </w:r>
            <w:r w:rsidRPr="006D1A59">
              <w:t>SNSs</w:t>
            </w:r>
          </w:p>
        </w:tc>
      </w:tr>
      <w:tr w:rsidR="004B23B3" w:rsidRPr="004B23B3" w14:paraId="6D46AFA8" w14:textId="77777777" w:rsidTr="00E95F42">
        <w:tc>
          <w:tcPr>
            <w:tcW w:w="1775" w:type="dxa"/>
            <w:tcBorders>
              <w:top w:val="single" w:sz="4" w:space="0" w:color="auto"/>
              <w:bottom w:val="single" w:sz="12" w:space="0" w:color="auto"/>
              <w:right w:val="single" w:sz="12" w:space="0" w:color="auto"/>
            </w:tcBorders>
            <w:shd w:val="clear" w:color="auto" w:fill="auto"/>
            <w:vAlign w:val="bottom"/>
            <w:hideMark/>
          </w:tcPr>
          <w:p w14:paraId="34272621" w14:textId="77777777" w:rsidR="004B23B3" w:rsidRPr="004B23B3" w:rsidRDefault="004B23B3" w:rsidP="006D1A59">
            <w:pPr>
              <w:pStyle w:val="TableHead"/>
              <w:jc w:val="left"/>
            </w:pPr>
            <w:r w:rsidRPr="004B23B3">
              <w:t>Economic Status</w:t>
            </w:r>
          </w:p>
        </w:tc>
        <w:tc>
          <w:tcPr>
            <w:tcW w:w="992" w:type="dxa"/>
            <w:tcBorders>
              <w:top w:val="single" w:sz="4" w:space="0" w:color="auto"/>
              <w:left w:val="single" w:sz="12" w:space="0" w:color="auto"/>
              <w:bottom w:val="single" w:sz="12" w:space="0" w:color="auto"/>
            </w:tcBorders>
            <w:shd w:val="clear" w:color="auto" w:fill="auto"/>
            <w:noWrap/>
            <w:vAlign w:val="bottom"/>
            <w:hideMark/>
          </w:tcPr>
          <w:p w14:paraId="5CEE855F" w14:textId="77777777" w:rsidR="004B23B3" w:rsidRPr="006D1A59" w:rsidRDefault="004B23B3" w:rsidP="006D1A59">
            <w:pPr>
              <w:pStyle w:val="tablesubhead"/>
            </w:pPr>
            <w:r w:rsidRPr="006D1A59">
              <w:t>Yes</w:t>
            </w:r>
          </w:p>
        </w:tc>
        <w:tc>
          <w:tcPr>
            <w:tcW w:w="1152" w:type="dxa"/>
            <w:tcBorders>
              <w:top w:val="single" w:sz="4" w:space="0" w:color="auto"/>
              <w:bottom w:val="single" w:sz="12" w:space="0" w:color="auto"/>
              <w:right w:val="single" w:sz="12" w:space="0" w:color="auto"/>
            </w:tcBorders>
            <w:shd w:val="clear" w:color="auto" w:fill="auto"/>
            <w:noWrap/>
            <w:vAlign w:val="bottom"/>
            <w:hideMark/>
          </w:tcPr>
          <w:p w14:paraId="457F6EFE" w14:textId="77777777" w:rsidR="004B23B3" w:rsidRPr="006D1A59" w:rsidRDefault="004B23B3" w:rsidP="006D1A59">
            <w:pPr>
              <w:pStyle w:val="tablesubhead"/>
            </w:pPr>
            <w:r w:rsidRPr="006D1A59">
              <w:t>No</w:t>
            </w:r>
          </w:p>
        </w:tc>
        <w:tc>
          <w:tcPr>
            <w:tcW w:w="992" w:type="dxa"/>
            <w:tcBorders>
              <w:top w:val="single" w:sz="4" w:space="0" w:color="auto"/>
              <w:left w:val="single" w:sz="12" w:space="0" w:color="auto"/>
              <w:bottom w:val="single" w:sz="12" w:space="0" w:color="auto"/>
            </w:tcBorders>
            <w:shd w:val="clear" w:color="auto" w:fill="auto"/>
            <w:vAlign w:val="bottom"/>
            <w:hideMark/>
          </w:tcPr>
          <w:p w14:paraId="44D1EC2D" w14:textId="77777777" w:rsidR="004B23B3" w:rsidRPr="006D1A59" w:rsidRDefault="004B23B3" w:rsidP="006D1A59">
            <w:pPr>
              <w:pStyle w:val="tablesubhead"/>
              <w:rPr>
                <w:sz w:val="18"/>
                <w:szCs w:val="18"/>
              </w:rPr>
            </w:pPr>
            <w:r w:rsidRPr="006D1A59">
              <w:rPr>
                <w:sz w:val="18"/>
                <w:szCs w:val="18"/>
              </w:rPr>
              <w:t>none</w:t>
            </w:r>
          </w:p>
        </w:tc>
        <w:tc>
          <w:tcPr>
            <w:tcW w:w="992" w:type="dxa"/>
            <w:tcBorders>
              <w:top w:val="single" w:sz="4" w:space="0" w:color="auto"/>
              <w:bottom w:val="single" w:sz="12" w:space="0" w:color="auto"/>
            </w:tcBorders>
            <w:shd w:val="clear" w:color="auto" w:fill="auto"/>
            <w:vAlign w:val="bottom"/>
            <w:hideMark/>
          </w:tcPr>
          <w:p w14:paraId="445E5563" w14:textId="77777777" w:rsidR="004B23B3" w:rsidRPr="006D1A59" w:rsidRDefault="004100FF" w:rsidP="006D1A59">
            <w:pPr>
              <w:pStyle w:val="tablesubhead"/>
              <w:rPr>
                <w:sz w:val="18"/>
                <w:szCs w:val="18"/>
              </w:rPr>
            </w:pPr>
            <w:r>
              <w:rPr>
                <w:sz w:val="18"/>
                <w:szCs w:val="18"/>
              </w:rPr>
              <w:t>under</w:t>
            </w:r>
            <w:r w:rsidR="004B23B3" w:rsidRPr="006D1A59">
              <w:rPr>
                <w:sz w:val="18"/>
                <w:szCs w:val="18"/>
              </w:rPr>
              <w:t xml:space="preserve"> an hour</w:t>
            </w:r>
          </w:p>
        </w:tc>
        <w:tc>
          <w:tcPr>
            <w:tcW w:w="992" w:type="dxa"/>
            <w:tcBorders>
              <w:top w:val="single" w:sz="4" w:space="0" w:color="auto"/>
              <w:bottom w:val="single" w:sz="12" w:space="0" w:color="auto"/>
            </w:tcBorders>
            <w:shd w:val="clear" w:color="auto" w:fill="auto"/>
            <w:vAlign w:val="bottom"/>
            <w:hideMark/>
          </w:tcPr>
          <w:p w14:paraId="71FE850A" w14:textId="77777777" w:rsidR="004B23B3" w:rsidRPr="006D1A59" w:rsidRDefault="004B23B3" w:rsidP="006D1A59">
            <w:pPr>
              <w:pStyle w:val="tablesubhead"/>
              <w:rPr>
                <w:sz w:val="18"/>
                <w:szCs w:val="18"/>
              </w:rPr>
            </w:pPr>
            <w:r w:rsidRPr="006D1A59">
              <w:rPr>
                <w:sz w:val="18"/>
                <w:szCs w:val="18"/>
              </w:rPr>
              <w:t>1-3 hours</w:t>
            </w:r>
          </w:p>
        </w:tc>
        <w:tc>
          <w:tcPr>
            <w:tcW w:w="992" w:type="dxa"/>
            <w:tcBorders>
              <w:top w:val="single" w:sz="4" w:space="0" w:color="auto"/>
              <w:bottom w:val="single" w:sz="12" w:space="0" w:color="auto"/>
            </w:tcBorders>
            <w:shd w:val="clear" w:color="auto" w:fill="auto"/>
            <w:vAlign w:val="bottom"/>
            <w:hideMark/>
          </w:tcPr>
          <w:p w14:paraId="4C42B4D0" w14:textId="77777777" w:rsidR="004B23B3" w:rsidRPr="006D1A59" w:rsidRDefault="004B23B3" w:rsidP="006D1A59">
            <w:pPr>
              <w:pStyle w:val="tablesubhead"/>
              <w:rPr>
                <w:sz w:val="18"/>
                <w:szCs w:val="18"/>
              </w:rPr>
            </w:pPr>
            <w:r w:rsidRPr="006D1A59">
              <w:rPr>
                <w:sz w:val="18"/>
                <w:szCs w:val="18"/>
              </w:rPr>
              <w:t>4-6 hours</w:t>
            </w:r>
          </w:p>
        </w:tc>
        <w:tc>
          <w:tcPr>
            <w:tcW w:w="1331" w:type="dxa"/>
            <w:tcBorders>
              <w:top w:val="single" w:sz="4" w:space="0" w:color="auto"/>
              <w:bottom w:val="single" w:sz="12" w:space="0" w:color="auto"/>
            </w:tcBorders>
            <w:shd w:val="clear" w:color="auto" w:fill="auto"/>
            <w:vAlign w:val="bottom"/>
            <w:hideMark/>
          </w:tcPr>
          <w:p w14:paraId="361F63DC" w14:textId="77777777" w:rsidR="004B23B3" w:rsidRPr="006D1A59" w:rsidRDefault="004B23B3" w:rsidP="006D1A59">
            <w:pPr>
              <w:pStyle w:val="tablesubhead"/>
              <w:rPr>
                <w:sz w:val="18"/>
                <w:szCs w:val="18"/>
              </w:rPr>
            </w:pPr>
            <w:r w:rsidRPr="006D1A59">
              <w:rPr>
                <w:sz w:val="18"/>
                <w:szCs w:val="18"/>
              </w:rPr>
              <w:t>7 or more hours</w:t>
            </w:r>
          </w:p>
        </w:tc>
      </w:tr>
      <w:tr w:rsidR="004B23B3" w:rsidRPr="006D1A59" w14:paraId="0CF2548F" w14:textId="77777777" w:rsidTr="00E95F42">
        <w:tc>
          <w:tcPr>
            <w:tcW w:w="1775" w:type="dxa"/>
            <w:tcBorders>
              <w:top w:val="single" w:sz="12" w:space="0" w:color="auto"/>
              <w:right w:val="single" w:sz="12" w:space="0" w:color="auto"/>
            </w:tcBorders>
            <w:shd w:val="clear" w:color="auto" w:fill="auto"/>
            <w:noWrap/>
            <w:hideMark/>
          </w:tcPr>
          <w:p w14:paraId="4BCDBDD6" w14:textId="77777777" w:rsidR="004B23B3" w:rsidRPr="006D1A59" w:rsidRDefault="004B23B3" w:rsidP="006D1A59">
            <w:pPr>
              <w:pStyle w:val="TableHead"/>
              <w:jc w:val="left"/>
            </w:pPr>
            <w:r w:rsidRPr="006D1A59">
              <w:t>Employed</w:t>
            </w:r>
          </w:p>
        </w:tc>
        <w:tc>
          <w:tcPr>
            <w:tcW w:w="992" w:type="dxa"/>
            <w:tcBorders>
              <w:top w:val="single" w:sz="12" w:space="0" w:color="auto"/>
              <w:left w:val="single" w:sz="12" w:space="0" w:color="auto"/>
              <w:bottom w:val="single" w:sz="4" w:space="0" w:color="auto"/>
            </w:tcBorders>
            <w:shd w:val="clear" w:color="auto" w:fill="auto"/>
            <w:noWrap/>
            <w:hideMark/>
          </w:tcPr>
          <w:p w14:paraId="2EF893AF" w14:textId="77777777" w:rsidR="004B23B3" w:rsidRPr="006D1A59" w:rsidRDefault="004B23B3" w:rsidP="006D1A59">
            <w:pPr>
              <w:pStyle w:val="Tabletext"/>
            </w:pPr>
            <w:r w:rsidRPr="006D1A59">
              <w:t>92.0%</w:t>
            </w:r>
          </w:p>
        </w:tc>
        <w:tc>
          <w:tcPr>
            <w:tcW w:w="1152" w:type="dxa"/>
            <w:tcBorders>
              <w:top w:val="single" w:sz="12" w:space="0" w:color="auto"/>
              <w:bottom w:val="single" w:sz="4" w:space="0" w:color="auto"/>
              <w:right w:val="single" w:sz="12" w:space="0" w:color="auto"/>
            </w:tcBorders>
            <w:shd w:val="clear" w:color="auto" w:fill="auto"/>
            <w:noWrap/>
            <w:hideMark/>
          </w:tcPr>
          <w:p w14:paraId="11466B5B" w14:textId="77777777" w:rsidR="004B23B3" w:rsidRPr="006D1A59" w:rsidRDefault="004B23B3" w:rsidP="006D1A59">
            <w:pPr>
              <w:pStyle w:val="Tabletext"/>
            </w:pPr>
            <w:r w:rsidRPr="006D1A59">
              <w:t>8.0%</w:t>
            </w:r>
          </w:p>
        </w:tc>
        <w:tc>
          <w:tcPr>
            <w:tcW w:w="992" w:type="dxa"/>
            <w:tcBorders>
              <w:top w:val="single" w:sz="12" w:space="0" w:color="auto"/>
              <w:left w:val="single" w:sz="12" w:space="0" w:color="auto"/>
              <w:bottom w:val="single" w:sz="4" w:space="0" w:color="auto"/>
            </w:tcBorders>
            <w:shd w:val="clear" w:color="auto" w:fill="auto"/>
            <w:noWrap/>
            <w:hideMark/>
          </w:tcPr>
          <w:p w14:paraId="5591402C" w14:textId="77777777" w:rsidR="004B23B3" w:rsidRPr="006D1A59" w:rsidRDefault="004B23B3" w:rsidP="006D1A59">
            <w:pPr>
              <w:pStyle w:val="Tabletext"/>
            </w:pPr>
            <w:r w:rsidRPr="006D1A59">
              <w:t>4.5%</w:t>
            </w:r>
          </w:p>
        </w:tc>
        <w:tc>
          <w:tcPr>
            <w:tcW w:w="992" w:type="dxa"/>
            <w:tcBorders>
              <w:top w:val="single" w:sz="12" w:space="0" w:color="auto"/>
            </w:tcBorders>
            <w:shd w:val="clear" w:color="auto" w:fill="auto"/>
            <w:noWrap/>
            <w:hideMark/>
          </w:tcPr>
          <w:p w14:paraId="4057C814" w14:textId="77777777" w:rsidR="004B23B3" w:rsidRPr="006D1A59" w:rsidRDefault="004B23B3" w:rsidP="006D1A59">
            <w:pPr>
              <w:pStyle w:val="Tabletext"/>
            </w:pPr>
            <w:r w:rsidRPr="006D1A59">
              <w:t>30.3%</w:t>
            </w:r>
          </w:p>
        </w:tc>
        <w:tc>
          <w:tcPr>
            <w:tcW w:w="992" w:type="dxa"/>
            <w:tcBorders>
              <w:top w:val="single" w:sz="12" w:space="0" w:color="auto"/>
            </w:tcBorders>
            <w:shd w:val="clear" w:color="auto" w:fill="auto"/>
            <w:noWrap/>
            <w:hideMark/>
          </w:tcPr>
          <w:p w14:paraId="02A376EB" w14:textId="77777777" w:rsidR="004B23B3" w:rsidRPr="006D1A59" w:rsidRDefault="004B23B3" w:rsidP="006D1A59">
            <w:pPr>
              <w:pStyle w:val="Tabletext"/>
            </w:pPr>
            <w:r w:rsidRPr="006D1A59">
              <w:t>36.9%</w:t>
            </w:r>
          </w:p>
        </w:tc>
        <w:tc>
          <w:tcPr>
            <w:tcW w:w="992" w:type="dxa"/>
            <w:tcBorders>
              <w:top w:val="single" w:sz="12" w:space="0" w:color="auto"/>
            </w:tcBorders>
            <w:shd w:val="clear" w:color="auto" w:fill="auto"/>
            <w:noWrap/>
            <w:hideMark/>
          </w:tcPr>
          <w:p w14:paraId="5415CC11" w14:textId="77777777" w:rsidR="004B23B3" w:rsidRPr="006D1A59" w:rsidRDefault="004B23B3" w:rsidP="006D1A59">
            <w:pPr>
              <w:pStyle w:val="Tabletext"/>
            </w:pPr>
            <w:r w:rsidRPr="006D1A59">
              <w:t>16.1%</w:t>
            </w:r>
          </w:p>
        </w:tc>
        <w:tc>
          <w:tcPr>
            <w:tcW w:w="1331" w:type="dxa"/>
            <w:tcBorders>
              <w:top w:val="single" w:sz="12" w:space="0" w:color="auto"/>
            </w:tcBorders>
            <w:shd w:val="clear" w:color="auto" w:fill="auto"/>
            <w:noWrap/>
            <w:hideMark/>
          </w:tcPr>
          <w:p w14:paraId="634298F2" w14:textId="77777777" w:rsidR="004B23B3" w:rsidRPr="006D1A59" w:rsidRDefault="004B23B3" w:rsidP="006D1A59">
            <w:pPr>
              <w:pStyle w:val="Tabletext"/>
            </w:pPr>
            <w:r w:rsidRPr="006D1A59">
              <w:t>12.3%</w:t>
            </w:r>
          </w:p>
        </w:tc>
      </w:tr>
      <w:tr w:rsidR="004B23B3" w:rsidRPr="006D1A59" w14:paraId="289DEB9F" w14:textId="77777777" w:rsidTr="00E95F42">
        <w:tc>
          <w:tcPr>
            <w:tcW w:w="1775" w:type="dxa"/>
            <w:tcBorders>
              <w:right w:val="single" w:sz="12" w:space="0" w:color="auto"/>
            </w:tcBorders>
            <w:shd w:val="clear" w:color="auto" w:fill="auto"/>
            <w:noWrap/>
            <w:hideMark/>
          </w:tcPr>
          <w:p w14:paraId="47A2A0DB" w14:textId="77777777" w:rsidR="004B23B3" w:rsidRPr="006D1A59" w:rsidRDefault="004B23B3" w:rsidP="006D1A59">
            <w:pPr>
              <w:pStyle w:val="TableHead"/>
              <w:jc w:val="left"/>
            </w:pPr>
            <w:r w:rsidRPr="006D1A59">
              <w:t>Unemployed</w:t>
            </w:r>
          </w:p>
        </w:tc>
        <w:tc>
          <w:tcPr>
            <w:tcW w:w="992" w:type="dxa"/>
            <w:tcBorders>
              <w:top w:val="single" w:sz="4" w:space="0" w:color="auto"/>
              <w:left w:val="single" w:sz="12" w:space="0" w:color="auto"/>
              <w:bottom w:val="single" w:sz="4" w:space="0" w:color="auto"/>
            </w:tcBorders>
            <w:shd w:val="clear" w:color="auto" w:fill="auto"/>
            <w:noWrap/>
            <w:hideMark/>
          </w:tcPr>
          <w:p w14:paraId="4501C029" w14:textId="77777777" w:rsidR="004B23B3" w:rsidRPr="006D1A59" w:rsidRDefault="004B23B3" w:rsidP="006D1A59">
            <w:pPr>
              <w:pStyle w:val="Tabletext"/>
            </w:pPr>
            <w:r w:rsidRPr="006D1A59">
              <w:t>83.2%</w:t>
            </w:r>
          </w:p>
        </w:tc>
        <w:tc>
          <w:tcPr>
            <w:tcW w:w="1152" w:type="dxa"/>
            <w:tcBorders>
              <w:top w:val="single" w:sz="4" w:space="0" w:color="auto"/>
              <w:bottom w:val="single" w:sz="4" w:space="0" w:color="auto"/>
              <w:right w:val="single" w:sz="12" w:space="0" w:color="auto"/>
            </w:tcBorders>
            <w:shd w:val="clear" w:color="auto" w:fill="auto"/>
            <w:noWrap/>
            <w:hideMark/>
          </w:tcPr>
          <w:p w14:paraId="6F35AD1F" w14:textId="77777777" w:rsidR="004B23B3" w:rsidRPr="006D1A59" w:rsidRDefault="004B23B3" w:rsidP="006D1A59">
            <w:pPr>
              <w:pStyle w:val="Tabletext"/>
            </w:pPr>
            <w:r w:rsidRPr="006D1A59">
              <w:t>16.8%</w:t>
            </w:r>
          </w:p>
        </w:tc>
        <w:tc>
          <w:tcPr>
            <w:tcW w:w="992" w:type="dxa"/>
            <w:tcBorders>
              <w:top w:val="single" w:sz="4" w:space="0" w:color="auto"/>
              <w:left w:val="single" w:sz="12" w:space="0" w:color="auto"/>
              <w:bottom w:val="single" w:sz="4" w:space="0" w:color="auto"/>
            </w:tcBorders>
            <w:shd w:val="clear" w:color="auto" w:fill="auto"/>
            <w:noWrap/>
            <w:hideMark/>
          </w:tcPr>
          <w:p w14:paraId="793F825B" w14:textId="77777777" w:rsidR="004B23B3" w:rsidRPr="006D1A59" w:rsidRDefault="004B23B3" w:rsidP="006D1A59">
            <w:pPr>
              <w:pStyle w:val="Tabletext"/>
            </w:pPr>
            <w:r w:rsidRPr="006D1A59">
              <w:t>6.3%</w:t>
            </w:r>
          </w:p>
        </w:tc>
        <w:tc>
          <w:tcPr>
            <w:tcW w:w="992" w:type="dxa"/>
            <w:shd w:val="clear" w:color="auto" w:fill="auto"/>
            <w:noWrap/>
            <w:hideMark/>
          </w:tcPr>
          <w:p w14:paraId="1478E641" w14:textId="77777777" w:rsidR="004B23B3" w:rsidRPr="006D1A59" w:rsidRDefault="004B23B3" w:rsidP="006D1A59">
            <w:pPr>
              <w:pStyle w:val="Tabletext"/>
            </w:pPr>
            <w:r w:rsidRPr="006D1A59">
              <w:t>21.2%</w:t>
            </w:r>
          </w:p>
        </w:tc>
        <w:tc>
          <w:tcPr>
            <w:tcW w:w="992" w:type="dxa"/>
            <w:shd w:val="clear" w:color="auto" w:fill="auto"/>
            <w:noWrap/>
            <w:hideMark/>
          </w:tcPr>
          <w:p w14:paraId="7D261590" w14:textId="77777777" w:rsidR="004B23B3" w:rsidRPr="006D1A59" w:rsidRDefault="004B23B3" w:rsidP="006D1A59">
            <w:pPr>
              <w:pStyle w:val="Tabletext"/>
            </w:pPr>
            <w:r w:rsidRPr="006D1A59">
              <w:t>33.9%</w:t>
            </w:r>
          </w:p>
        </w:tc>
        <w:tc>
          <w:tcPr>
            <w:tcW w:w="992" w:type="dxa"/>
            <w:shd w:val="clear" w:color="auto" w:fill="auto"/>
            <w:noWrap/>
            <w:hideMark/>
          </w:tcPr>
          <w:p w14:paraId="3916403B" w14:textId="77777777" w:rsidR="004B23B3" w:rsidRPr="006D1A59" w:rsidRDefault="004B23B3" w:rsidP="006D1A59">
            <w:pPr>
              <w:pStyle w:val="Tabletext"/>
            </w:pPr>
            <w:r w:rsidRPr="006D1A59">
              <w:t>20.6%</w:t>
            </w:r>
          </w:p>
        </w:tc>
        <w:tc>
          <w:tcPr>
            <w:tcW w:w="1331" w:type="dxa"/>
            <w:shd w:val="clear" w:color="auto" w:fill="auto"/>
            <w:noWrap/>
            <w:hideMark/>
          </w:tcPr>
          <w:p w14:paraId="25AAE848" w14:textId="77777777" w:rsidR="004B23B3" w:rsidRPr="006D1A59" w:rsidRDefault="004B23B3" w:rsidP="006D1A59">
            <w:pPr>
              <w:pStyle w:val="Tabletext"/>
            </w:pPr>
            <w:r w:rsidRPr="006D1A59">
              <w:t>18.0%</w:t>
            </w:r>
          </w:p>
        </w:tc>
      </w:tr>
      <w:tr w:rsidR="004B23B3" w:rsidRPr="006D1A59" w14:paraId="7E43F9CF" w14:textId="77777777" w:rsidTr="00E95F42">
        <w:tc>
          <w:tcPr>
            <w:tcW w:w="1775" w:type="dxa"/>
            <w:tcBorders>
              <w:right w:val="single" w:sz="12" w:space="0" w:color="auto"/>
            </w:tcBorders>
            <w:shd w:val="clear" w:color="auto" w:fill="auto"/>
            <w:noWrap/>
            <w:hideMark/>
          </w:tcPr>
          <w:p w14:paraId="4D6507F4" w14:textId="77777777" w:rsidR="004B23B3" w:rsidRPr="006D1A59" w:rsidRDefault="004B23B3" w:rsidP="006D1A59">
            <w:pPr>
              <w:pStyle w:val="TableHead"/>
              <w:jc w:val="left"/>
            </w:pPr>
            <w:r w:rsidRPr="006D1A59">
              <w:t>Student</w:t>
            </w:r>
          </w:p>
        </w:tc>
        <w:tc>
          <w:tcPr>
            <w:tcW w:w="992" w:type="dxa"/>
            <w:tcBorders>
              <w:top w:val="single" w:sz="4" w:space="0" w:color="auto"/>
              <w:left w:val="single" w:sz="12" w:space="0" w:color="auto"/>
              <w:bottom w:val="single" w:sz="4" w:space="0" w:color="auto"/>
            </w:tcBorders>
            <w:shd w:val="clear" w:color="auto" w:fill="auto"/>
            <w:noWrap/>
            <w:hideMark/>
          </w:tcPr>
          <w:p w14:paraId="37EF09A3" w14:textId="77777777" w:rsidR="004B23B3" w:rsidRPr="006D1A59" w:rsidRDefault="004B23B3" w:rsidP="006D1A59">
            <w:pPr>
              <w:pStyle w:val="Tabletext"/>
            </w:pPr>
            <w:r w:rsidRPr="006D1A59">
              <w:t>91.6%</w:t>
            </w:r>
          </w:p>
        </w:tc>
        <w:tc>
          <w:tcPr>
            <w:tcW w:w="1152" w:type="dxa"/>
            <w:tcBorders>
              <w:top w:val="single" w:sz="4" w:space="0" w:color="auto"/>
              <w:bottom w:val="single" w:sz="4" w:space="0" w:color="auto"/>
              <w:right w:val="single" w:sz="12" w:space="0" w:color="auto"/>
            </w:tcBorders>
            <w:shd w:val="clear" w:color="auto" w:fill="auto"/>
            <w:noWrap/>
            <w:hideMark/>
          </w:tcPr>
          <w:p w14:paraId="68517E91" w14:textId="77777777" w:rsidR="004B23B3" w:rsidRPr="006D1A59" w:rsidRDefault="004B23B3" w:rsidP="006D1A59">
            <w:pPr>
              <w:pStyle w:val="Tabletext"/>
            </w:pPr>
            <w:r w:rsidRPr="006D1A59">
              <w:t>8.4%</w:t>
            </w:r>
          </w:p>
        </w:tc>
        <w:tc>
          <w:tcPr>
            <w:tcW w:w="992" w:type="dxa"/>
            <w:tcBorders>
              <w:top w:val="single" w:sz="4" w:space="0" w:color="auto"/>
              <w:left w:val="single" w:sz="12" w:space="0" w:color="auto"/>
              <w:bottom w:val="single" w:sz="4" w:space="0" w:color="auto"/>
            </w:tcBorders>
            <w:shd w:val="clear" w:color="auto" w:fill="auto"/>
            <w:noWrap/>
            <w:hideMark/>
          </w:tcPr>
          <w:p w14:paraId="19715E0A" w14:textId="77777777" w:rsidR="004B23B3" w:rsidRPr="006D1A59" w:rsidRDefault="004B23B3" w:rsidP="006D1A59">
            <w:pPr>
              <w:pStyle w:val="Tabletext"/>
            </w:pPr>
            <w:r w:rsidRPr="006D1A59">
              <w:t>3.4%</w:t>
            </w:r>
          </w:p>
        </w:tc>
        <w:tc>
          <w:tcPr>
            <w:tcW w:w="992" w:type="dxa"/>
            <w:shd w:val="clear" w:color="auto" w:fill="auto"/>
            <w:noWrap/>
            <w:hideMark/>
          </w:tcPr>
          <w:p w14:paraId="2D31658C" w14:textId="77777777" w:rsidR="004B23B3" w:rsidRPr="006D1A59" w:rsidRDefault="004B23B3" w:rsidP="006D1A59">
            <w:pPr>
              <w:pStyle w:val="Tabletext"/>
            </w:pPr>
            <w:r w:rsidRPr="006D1A59">
              <w:t>26.5%</w:t>
            </w:r>
          </w:p>
        </w:tc>
        <w:tc>
          <w:tcPr>
            <w:tcW w:w="992" w:type="dxa"/>
            <w:shd w:val="clear" w:color="auto" w:fill="auto"/>
            <w:noWrap/>
            <w:hideMark/>
          </w:tcPr>
          <w:p w14:paraId="5B118360" w14:textId="77777777" w:rsidR="004B23B3" w:rsidRPr="006D1A59" w:rsidRDefault="004B23B3" w:rsidP="006D1A59">
            <w:pPr>
              <w:pStyle w:val="Tabletext"/>
            </w:pPr>
            <w:r w:rsidRPr="006D1A59">
              <w:t>40.1%</w:t>
            </w:r>
          </w:p>
        </w:tc>
        <w:tc>
          <w:tcPr>
            <w:tcW w:w="992" w:type="dxa"/>
            <w:shd w:val="clear" w:color="auto" w:fill="auto"/>
            <w:noWrap/>
            <w:hideMark/>
          </w:tcPr>
          <w:p w14:paraId="49E9D9B5" w14:textId="77777777" w:rsidR="004B23B3" w:rsidRPr="006D1A59" w:rsidRDefault="004B23B3" w:rsidP="006D1A59">
            <w:pPr>
              <w:pStyle w:val="Tabletext"/>
            </w:pPr>
            <w:r w:rsidRPr="006D1A59">
              <w:t>17.0%</w:t>
            </w:r>
          </w:p>
        </w:tc>
        <w:tc>
          <w:tcPr>
            <w:tcW w:w="1331" w:type="dxa"/>
            <w:shd w:val="clear" w:color="auto" w:fill="auto"/>
            <w:noWrap/>
            <w:hideMark/>
          </w:tcPr>
          <w:p w14:paraId="2B51DACF" w14:textId="77777777" w:rsidR="004B23B3" w:rsidRPr="006D1A59" w:rsidRDefault="004B23B3" w:rsidP="006D1A59">
            <w:pPr>
              <w:pStyle w:val="Tabletext"/>
            </w:pPr>
            <w:r w:rsidRPr="006D1A59">
              <w:t>12.9%</w:t>
            </w:r>
          </w:p>
        </w:tc>
      </w:tr>
      <w:tr w:rsidR="004B23B3" w:rsidRPr="006D1A59" w14:paraId="16DDD28E" w14:textId="77777777" w:rsidTr="00E95F42">
        <w:tc>
          <w:tcPr>
            <w:tcW w:w="1775" w:type="dxa"/>
            <w:tcBorders>
              <w:right w:val="single" w:sz="12" w:space="0" w:color="auto"/>
            </w:tcBorders>
            <w:shd w:val="clear" w:color="auto" w:fill="auto"/>
            <w:noWrap/>
            <w:hideMark/>
          </w:tcPr>
          <w:p w14:paraId="10D36666" w14:textId="77777777" w:rsidR="004B23B3" w:rsidRPr="006D1A59" w:rsidRDefault="004100FF" w:rsidP="006D1A59">
            <w:pPr>
              <w:pStyle w:val="TableHead"/>
              <w:jc w:val="left"/>
            </w:pPr>
            <w:r>
              <w:t>All respondents</w:t>
            </w:r>
          </w:p>
        </w:tc>
        <w:tc>
          <w:tcPr>
            <w:tcW w:w="992" w:type="dxa"/>
            <w:tcBorders>
              <w:top w:val="single" w:sz="4" w:space="0" w:color="auto"/>
              <w:left w:val="single" w:sz="12" w:space="0" w:color="auto"/>
              <w:bottom w:val="double" w:sz="4" w:space="0" w:color="auto"/>
            </w:tcBorders>
            <w:shd w:val="clear" w:color="auto" w:fill="auto"/>
            <w:noWrap/>
            <w:hideMark/>
          </w:tcPr>
          <w:p w14:paraId="190C159F" w14:textId="77777777" w:rsidR="004B23B3" w:rsidRPr="006D1A59" w:rsidRDefault="004B23B3" w:rsidP="006D1A59">
            <w:pPr>
              <w:pStyle w:val="Tabletext"/>
            </w:pPr>
            <w:r w:rsidRPr="006D1A59">
              <w:t>90.8%</w:t>
            </w:r>
          </w:p>
        </w:tc>
        <w:tc>
          <w:tcPr>
            <w:tcW w:w="1152" w:type="dxa"/>
            <w:tcBorders>
              <w:top w:val="single" w:sz="4" w:space="0" w:color="auto"/>
              <w:bottom w:val="double" w:sz="4" w:space="0" w:color="auto"/>
              <w:right w:val="single" w:sz="12" w:space="0" w:color="auto"/>
            </w:tcBorders>
            <w:shd w:val="clear" w:color="auto" w:fill="auto"/>
            <w:noWrap/>
            <w:hideMark/>
          </w:tcPr>
          <w:p w14:paraId="7FA641EF" w14:textId="77777777" w:rsidR="004B23B3" w:rsidRPr="006D1A59" w:rsidRDefault="004B23B3" w:rsidP="006D1A59">
            <w:pPr>
              <w:pStyle w:val="Tabletext"/>
            </w:pPr>
            <w:r w:rsidRPr="006D1A59">
              <w:t>9.2%</w:t>
            </w:r>
          </w:p>
        </w:tc>
        <w:tc>
          <w:tcPr>
            <w:tcW w:w="992" w:type="dxa"/>
            <w:tcBorders>
              <w:top w:val="single" w:sz="4" w:space="0" w:color="auto"/>
              <w:left w:val="single" w:sz="12" w:space="0" w:color="auto"/>
              <w:bottom w:val="double" w:sz="4" w:space="0" w:color="auto"/>
            </w:tcBorders>
            <w:shd w:val="clear" w:color="auto" w:fill="auto"/>
            <w:noWrap/>
            <w:hideMark/>
          </w:tcPr>
          <w:p w14:paraId="283C717A" w14:textId="77777777" w:rsidR="004B23B3" w:rsidRPr="006D1A59" w:rsidRDefault="004B23B3" w:rsidP="006D1A59">
            <w:pPr>
              <w:pStyle w:val="Tabletext"/>
            </w:pPr>
            <w:r w:rsidRPr="006D1A59">
              <w:t>4.0%</w:t>
            </w:r>
          </w:p>
        </w:tc>
        <w:tc>
          <w:tcPr>
            <w:tcW w:w="992" w:type="dxa"/>
            <w:shd w:val="clear" w:color="auto" w:fill="auto"/>
            <w:noWrap/>
            <w:hideMark/>
          </w:tcPr>
          <w:p w14:paraId="31DA0E58" w14:textId="77777777" w:rsidR="004B23B3" w:rsidRPr="006D1A59" w:rsidRDefault="004B23B3" w:rsidP="006D1A59">
            <w:pPr>
              <w:pStyle w:val="Tabletext"/>
            </w:pPr>
            <w:r w:rsidRPr="006D1A59">
              <w:t>26.9%</w:t>
            </w:r>
          </w:p>
        </w:tc>
        <w:tc>
          <w:tcPr>
            <w:tcW w:w="992" w:type="dxa"/>
            <w:shd w:val="clear" w:color="auto" w:fill="auto"/>
            <w:noWrap/>
            <w:hideMark/>
          </w:tcPr>
          <w:p w14:paraId="15650237" w14:textId="77777777" w:rsidR="004B23B3" w:rsidRPr="006D1A59" w:rsidRDefault="004B23B3" w:rsidP="006D1A59">
            <w:pPr>
              <w:pStyle w:val="Tabletext"/>
            </w:pPr>
            <w:r w:rsidRPr="006D1A59">
              <w:t>38.7%</w:t>
            </w:r>
          </w:p>
        </w:tc>
        <w:tc>
          <w:tcPr>
            <w:tcW w:w="992" w:type="dxa"/>
            <w:shd w:val="clear" w:color="auto" w:fill="auto"/>
            <w:noWrap/>
            <w:hideMark/>
          </w:tcPr>
          <w:p w14:paraId="5F12ACF4" w14:textId="77777777" w:rsidR="004B23B3" w:rsidRPr="006D1A59" w:rsidRDefault="004B23B3" w:rsidP="006D1A59">
            <w:pPr>
              <w:pStyle w:val="Tabletext"/>
            </w:pPr>
            <w:r w:rsidRPr="006D1A59">
              <w:t>17.2%</w:t>
            </w:r>
          </w:p>
        </w:tc>
        <w:tc>
          <w:tcPr>
            <w:tcW w:w="1331" w:type="dxa"/>
            <w:shd w:val="clear" w:color="auto" w:fill="auto"/>
            <w:noWrap/>
            <w:hideMark/>
          </w:tcPr>
          <w:p w14:paraId="6A81F696" w14:textId="77777777" w:rsidR="004B23B3" w:rsidRPr="006D1A59" w:rsidRDefault="004B23B3" w:rsidP="006D1A59">
            <w:pPr>
              <w:pStyle w:val="Tabletext"/>
            </w:pPr>
            <w:r w:rsidRPr="006D1A59">
              <w:t>13.3%</w:t>
            </w:r>
          </w:p>
        </w:tc>
      </w:tr>
    </w:tbl>
    <w:p w14:paraId="56E340F1" w14:textId="77777777" w:rsidR="00AF13EA" w:rsidRDefault="00AF13EA" w:rsidP="00256DA8">
      <w:pPr>
        <w:autoSpaceDE w:val="0"/>
        <w:autoSpaceDN w:val="0"/>
        <w:adjustRightInd w:val="0"/>
        <w:spacing w:after="0" w:line="360" w:lineRule="auto"/>
        <w:jc w:val="both"/>
        <w:rPr>
          <w:rFonts w:cs="Times New Roman"/>
        </w:rPr>
      </w:pPr>
    </w:p>
    <w:p w14:paraId="673F2F98" w14:textId="77777777" w:rsidR="00BE0AFE" w:rsidRPr="004B28FB" w:rsidRDefault="001D0D02" w:rsidP="004B28FB">
      <w:pPr>
        <w:autoSpaceDE w:val="0"/>
        <w:autoSpaceDN w:val="0"/>
        <w:adjustRightInd w:val="0"/>
        <w:spacing w:after="280" w:line="480" w:lineRule="auto"/>
        <w:jc w:val="both"/>
        <w:rPr>
          <w:rFonts w:ascii="Arial" w:hAnsi="Arial" w:cs="Arial"/>
        </w:rPr>
      </w:pPr>
      <w:r>
        <w:rPr>
          <w:rFonts w:ascii="Arial" w:hAnsi="Arial" w:cs="Arial"/>
        </w:rPr>
        <w:t>For the age demographic,</w:t>
      </w:r>
      <w:r w:rsidR="00AD1169">
        <w:rPr>
          <w:rFonts w:ascii="Arial" w:hAnsi="Arial" w:cs="Arial"/>
        </w:rPr>
        <w:t xml:space="preserve"> it was found that members of SNSs had a younger mean age (18.34 years) than </w:t>
      </w:r>
      <w:r w:rsidR="00B14A17">
        <w:rPr>
          <w:rFonts w:ascii="Arial" w:hAnsi="Arial" w:cs="Arial"/>
        </w:rPr>
        <w:t>those who were</w:t>
      </w:r>
      <w:r w:rsidR="00AD1169">
        <w:rPr>
          <w:rFonts w:ascii="Arial" w:hAnsi="Arial" w:cs="Arial"/>
        </w:rPr>
        <w:t xml:space="preserve"> not members of SNSs (18.68 years)</w:t>
      </w:r>
      <w:r>
        <w:rPr>
          <w:rFonts w:ascii="Arial" w:hAnsi="Arial" w:cs="Arial"/>
        </w:rPr>
        <w:t xml:space="preserve"> amongst the 16-21 year old sample</w:t>
      </w:r>
      <w:r w:rsidR="00AD1169">
        <w:rPr>
          <w:rFonts w:ascii="Arial" w:hAnsi="Arial" w:cs="Arial"/>
        </w:rPr>
        <w:t xml:space="preserve">. This difference is statistically significant (p=0.001), meaning that hypothesis </w:t>
      </w:r>
      <w:r w:rsidR="00AD1169" w:rsidRPr="0034524F">
        <w:rPr>
          <w:rFonts w:ascii="Arial" w:hAnsi="Arial" w:cs="Arial"/>
          <w:i/>
        </w:rPr>
        <w:t>4a</w:t>
      </w:r>
      <w:r w:rsidR="00C7005F">
        <w:rPr>
          <w:rFonts w:ascii="Arial" w:hAnsi="Arial" w:cs="Arial"/>
          <w:i/>
        </w:rPr>
        <w:t xml:space="preserve"> -</w:t>
      </w:r>
      <w:r w:rsidR="00B14A17">
        <w:rPr>
          <w:rFonts w:ascii="Arial" w:hAnsi="Arial" w:cs="Arial"/>
          <w:i/>
        </w:rPr>
        <w:t xml:space="preserve"> </w:t>
      </w:r>
      <w:r w:rsidR="00AD1169">
        <w:rPr>
          <w:rFonts w:ascii="Arial" w:hAnsi="Arial" w:cs="Arial"/>
        </w:rPr>
        <w:t xml:space="preserve">age </w:t>
      </w:r>
      <w:r w:rsidR="00B14A17">
        <w:rPr>
          <w:rFonts w:ascii="Arial" w:hAnsi="Arial" w:cs="Arial"/>
        </w:rPr>
        <w:t>is not positively associated with membership of SNSs</w:t>
      </w:r>
      <w:r w:rsidR="00C7005F">
        <w:rPr>
          <w:rFonts w:ascii="Arial" w:hAnsi="Arial" w:cs="Arial"/>
        </w:rPr>
        <w:t xml:space="preserve"> -</w:t>
      </w:r>
      <w:r w:rsidR="00B14A17">
        <w:rPr>
          <w:rFonts w:ascii="Arial" w:hAnsi="Arial" w:cs="Arial"/>
        </w:rPr>
        <w:t xml:space="preserve"> is accepted. </w:t>
      </w:r>
      <w:r w:rsidR="002815E1" w:rsidRPr="0034524F">
        <w:rPr>
          <w:rFonts w:ascii="Arial" w:hAnsi="Arial" w:cs="Arial"/>
        </w:rPr>
        <w:t>For the demographic variable</w:t>
      </w:r>
      <w:r w:rsidR="004100FF">
        <w:rPr>
          <w:rFonts w:ascii="Arial" w:hAnsi="Arial" w:cs="Arial"/>
        </w:rPr>
        <w:t xml:space="preserve"> of</w:t>
      </w:r>
      <w:r w:rsidR="00EF0311" w:rsidRPr="0034524F">
        <w:rPr>
          <w:rFonts w:ascii="Arial" w:hAnsi="Arial" w:cs="Arial"/>
        </w:rPr>
        <w:t xml:space="preserve"> sex</w:t>
      </w:r>
      <w:r w:rsidR="002815E1" w:rsidRPr="0034524F">
        <w:rPr>
          <w:rFonts w:ascii="Arial" w:hAnsi="Arial" w:cs="Arial"/>
        </w:rPr>
        <w:t xml:space="preserve">, females were found to be proportionately higher users of </w:t>
      </w:r>
      <w:r w:rsidR="007C3ACD">
        <w:rPr>
          <w:rFonts w:ascii="Arial" w:hAnsi="Arial" w:cs="Arial"/>
        </w:rPr>
        <w:t>SNSs</w:t>
      </w:r>
      <w:r w:rsidR="002815E1" w:rsidRPr="0034524F">
        <w:rPr>
          <w:rFonts w:ascii="Arial" w:hAnsi="Arial" w:cs="Arial"/>
        </w:rPr>
        <w:t xml:space="preserve"> than males</w:t>
      </w:r>
      <w:r w:rsidR="00C8326C" w:rsidRPr="0034524F">
        <w:rPr>
          <w:rFonts w:ascii="Arial" w:hAnsi="Arial" w:cs="Arial"/>
        </w:rPr>
        <w:t xml:space="preserve"> (90.1% compared to 88.1%)</w:t>
      </w:r>
      <w:r w:rsidR="007C3ACD">
        <w:rPr>
          <w:rFonts w:ascii="Arial" w:hAnsi="Arial" w:cs="Arial"/>
        </w:rPr>
        <w:t>. This</w:t>
      </w:r>
      <w:r w:rsidR="00C8326C" w:rsidRPr="0034524F">
        <w:rPr>
          <w:rFonts w:ascii="Arial" w:hAnsi="Arial" w:cs="Arial"/>
        </w:rPr>
        <w:t xml:space="preserve"> difference </w:t>
      </w:r>
      <w:r w:rsidR="00C7005F">
        <w:rPr>
          <w:rFonts w:ascii="Arial" w:hAnsi="Arial" w:cs="Arial"/>
        </w:rPr>
        <w:t>is also</w:t>
      </w:r>
      <w:r>
        <w:rPr>
          <w:rFonts w:ascii="Arial" w:hAnsi="Arial" w:cs="Arial"/>
        </w:rPr>
        <w:t xml:space="preserve"> statistically significant (p=</w:t>
      </w:r>
      <w:r w:rsidR="00C8326C" w:rsidRPr="0034524F">
        <w:rPr>
          <w:rFonts w:ascii="Arial" w:hAnsi="Arial" w:cs="Arial"/>
        </w:rPr>
        <w:t xml:space="preserve">0.001). </w:t>
      </w:r>
      <w:r w:rsidR="00C7005F">
        <w:rPr>
          <w:rFonts w:ascii="Arial" w:hAnsi="Arial" w:cs="Arial"/>
        </w:rPr>
        <w:t>Additionally,</w:t>
      </w:r>
      <w:r w:rsidR="007C3ACD">
        <w:rPr>
          <w:rFonts w:ascii="Arial" w:hAnsi="Arial" w:cs="Arial"/>
        </w:rPr>
        <w:t xml:space="preserve"> females</w:t>
      </w:r>
      <w:r w:rsidR="00C7005F">
        <w:rPr>
          <w:rFonts w:ascii="Arial" w:hAnsi="Arial" w:cs="Arial"/>
        </w:rPr>
        <w:t xml:space="preserve"> were found to</w:t>
      </w:r>
      <w:r w:rsidR="00C8326C" w:rsidRPr="0034524F">
        <w:rPr>
          <w:rFonts w:ascii="Arial" w:hAnsi="Arial" w:cs="Arial"/>
        </w:rPr>
        <w:t xml:space="preserve"> </w:t>
      </w:r>
      <w:r w:rsidR="00C7005F">
        <w:rPr>
          <w:rFonts w:ascii="Arial" w:hAnsi="Arial" w:cs="Arial"/>
        </w:rPr>
        <w:t xml:space="preserve">be more frequent users of </w:t>
      </w:r>
      <w:r w:rsidR="007C3ACD">
        <w:rPr>
          <w:rFonts w:ascii="Arial" w:hAnsi="Arial" w:cs="Arial"/>
        </w:rPr>
        <w:t>SNSs</w:t>
      </w:r>
      <w:r w:rsidR="00C8326C" w:rsidRPr="0034524F">
        <w:rPr>
          <w:rFonts w:ascii="Arial" w:hAnsi="Arial" w:cs="Arial"/>
        </w:rPr>
        <w:t xml:space="preserve"> than males, </w:t>
      </w:r>
      <w:r w:rsidR="007C3ACD">
        <w:rPr>
          <w:rFonts w:ascii="Arial" w:hAnsi="Arial" w:cs="Arial"/>
        </w:rPr>
        <w:t xml:space="preserve">with </w:t>
      </w:r>
      <w:r w:rsidR="00C8326C" w:rsidRPr="0034524F">
        <w:rPr>
          <w:rFonts w:ascii="Arial" w:hAnsi="Arial" w:cs="Arial"/>
        </w:rPr>
        <w:t xml:space="preserve">33.0% </w:t>
      </w:r>
      <w:r w:rsidR="007C3ACD">
        <w:rPr>
          <w:rFonts w:ascii="Arial" w:hAnsi="Arial" w:cs="Arial"/>
        </w:rPr>
        <w:t>spending more than three hours per day,</w:t>
      </w:r>
      <w:r w:rsidR="00C8326C" w:rsidRPr="0034524F">
        <w:rPr>
          <w:rFonts w:ascii="Arial" w:hAnsi="Arial" w:cs="Arial"/>
        </w:rPr>
        <w:t xml:space="preserve"> </w:t>
      </w:r>
      <w:r w:rsidR="007C3ACD">
        <w:rPr>
          <w:rFonts w:ascii="Arial" w:hAnsi="Arial" w:cs="Arial"/>
        </w:rPr>
        <w:t>and</w:t>
      </w:r>
      <w:r w:rsidR="00C8326C" w:rsidRPr="0034524F">
        <w:rPr>
          <w:rFonts w:ascii="Arial" w:hAnsi="Arial" w:cs="Arial"/>
        </w:rPr>
        <w:t xml:space="preserve"> only 28.0% of males s</w:t>
      </w:r>
      <w:r w:rsidR="00856C7E">
        <w:rPr>
          <w:rFonts w:ascii="Arial" w:hAnsi="Arial" w:cs="Arial"/>
        </w:rPr>
        <w:t>pending over 3 hours per day</w:t>
      </w:r>
      <w:r>
        <w:rPr>
          <w:rFonts w:ascii="Arial" w:hAnsi="Arial" w:cs="Arial"/>
        </w:rPr>
        <w:t xml:space="preserve"> interacting with friends</w:t>
      </w:r>
      <w:r w:rsidR="004100FF">
        <w:rPr>
          <w:rFonts w:ascii="Arial" w:hAnsi="Arial" w:cs="Arial"/>
        </w:rPr>
        <w:t xml:space="preserve"> online. This</w:t>
      </w:r>
      <w:r w:rsidR="00C8326C" w:rsidRPr="0034524F">
        <w:rPr>
          <w:rFonts w:ascii="Arial" w:hAnsi="Arial" w:cs="Arial"/>
        </w:rPr>
        <w:t xml:space="preserve"> difference </w:t>
      </w:r>
      <w:r w:rsidR="007C3ACD">
        <w:rPr>
          <w:rFonts w:ascii="Arial" w:hAnsi="Arial" w:cs="Arial"/>
        </w:rPr>
        <w:t xml:space="preserve">is </w:t>
      </w:r>
      <w:r>
        <w:rPr>
          <w:rFonts w:ascii="Arial" w:hAnsi="Arial" w:cs="Arial"/>
        </w:rPr>
        <w:t>also statistically significant</w:t>
      </w:r>
      <w:r w:rsidR="007C3ACD">
        <w:rPr>
          <w:rFonts w:ascii="Arial" w:hAnsi="Arial" w:cs="Arial"/>
        </w:rPr>
        <w:t xml:space="preserve"> </w:t>
      </w:r>
      <w:r>
        <w:rPr>
          <w:rFonts w:ascii="Arial" w:hAnsi="Arial" w:cs="Arial"/>
        </w:rPr>
        <w:t>(</w:t>
      </w:r>
      <w:r w:rsidR="007C3ACD">
        <w:rPr>
          <w:rFonts w:ascii="Arial" w:hAnsi="Arial" w:cs="Arial"/>
        </w:rPr>
        <w:t>p</w:t>
      </w:r>
      <w:r w:rsidR="00C8326C" w:rsidRPr="0034524F">
        <w:rPr>
          <w:rFonts w:ascii="Arial" w:hAnsi="Arial" w:cs="Arial"/>
        </w:rPr>
        <w:t>&lt;0.001)</w:t>
      </w:r>
      <w:r w:rsidR="00C7005F">
        <w:rPr>
          <w:rFonts w:ascii="Arial" w:hAnsi="Arial" w:cs="Arial"/>
        </w:rPr>
        <w:t>.</w:t>
      </w:r>
      <w:r w:rsidR="00BE0AFE" w:rsidRPr="0034524F">
        <w:rPr>
          <w:rFonts w:ascii="Arial" w:hAnsi="Arial" w:cs="Arial"/>
        </w:rPr>
        <w:t xml:space="preserve"> </w:t>
      </w:r>
      <w:r w:rsidR="00C7005F">
        <w:rPr>
          <w:rFonts w:ascii="Arial" w:hAnsi="Arial" w:cs="Arial"/>
        </w:rPr>
        <w:t>As such, both</w:t>
      </w:r>
      <w:r>
        <w:rPr>
          <w:rFonts w:ascii="Arial" w:hAnsi="Arial" w:cs="Arial"/>
        </w:rPr>
        <w:t xml:space="preserve"> </w:t>
      </w:r>
      <w:r w:rsidR="00EF0311" w:rsidRPr="0034524F">
        <w:rPr>
          <w:rFonts w:ascii="Arial" w:hAnsi="Arial" w:cs="Arial"/>
        </w:rPr>
        <w:t>h</w:t>
      </w:r>
      <w:r w:rsidR="00BE0AFE" w:rsidRPr="0034524F">
        <w:rPr>
          <w:rFonts w:ascii="Arial" w:hAnsi="Arial" w:cs="Arial"/>
        </w:rPr>
        <w:t xml:space="preserve">ypothesis </w:t>
      </w:r>
      <w:r w:rsidR="00C7005F">
        <w:rPr>
          <w:rFonts w:ascii="Arial" w:hAnsi="Arial" w:cs="Arial"/>
          <w:i/>
        </w:rPr>
        <w:t>4a -</w:t>
      </w:r>
      <w:r>
        <w:rPr>
          <w:rFonts w:ascii="Arial" w:hAnsi="Arial" w:cs="Arial"/>
          <w:i/>
        </w:rPr>
        <w:t xml:space="preserve"> </w:t>
      </w:r>
      <w:r w:rsidRPr="001D0D02">
        <w:rPr>
          <w:rFonts w:ascii="Arial" w:hAnsi="Arial" w:cs="Arial"/>
        </w:rPr>
        <w:t>a</w:t>
      </w:r>
      <w:r w:rsidR="00EF0311" w:rsidRPr="0034524F">
        <w:rPr>
          <w:rFonts w:ascii="Arial" w:hAnsi="Arial" w:cs="Arial"/>
        </w:rPr>
        <w:t xml:space="preserve">ge </w:t>
      </w:r>
      <w:r w:rsidR="00856C7E">
        <w:rPr>
          <w:rFonts w:ascii="Arial" w:hAnsi="Arial" w:cs="Arial"/>
        </w:rPr>
        <w:t xml:space="preserve">is not </w:t>
      </w:r>
      <w:r w:rsidR="00EF0311" w:rsidRPr="0034524F">
        <w:rPr>
          <w:rFonts w:ascii="Arial" w:hAnsi="Arial" w:cs="Arial"/>
        </w:rPr>
        <w:t xml:space="preserve">positively associated with </w:t>
      </w:r>
      <w:r w:rsidR="00856C7E">
        <w:rPr>
          <w:rFonts w:ascii="Arial" w:hAnsi="Arial" w:cs="Arial"/>
        </w:rPr>
        <w:t>membership of</w:t>
      </w:r>
      <w:r w:rsidR="00EF0311" w:rsidRPr="0034524F">
        <w:rPr>
          <w:rFonts w:ascii="Arial" w:hAnsi="Arial" w:cs="Arial"/>
        </w:rPr>
        <w:t xml:space="preserve"> </w:t>
      </w:r>
      <w:r w:rsidR="00856C7E">
        <w:rPr>
          <w:rFonts w:ascii="Arial" w:hAnsi="Arial" w:cs="Arial"/>
        </w:rPr>
        <w:t>SNSs</w:t>
      </w:r>
      <w:r w:rsidR="00C7005F">
        <w:rPr>
          <w:rFonts w:ascii="Arial" w:hAnsi="Arial" w:cs="Arial"/>
        </w:rPr>
        <w:t xml:space="preserve"> - </w:t>
      </w:r>
      <w:r w:rsidR="00EF0311" w:rsidRPr="0034524F">
        <w:rPr>
          <w:rFonts w:ascii="Arial" w:hAnsi="Arial" w:cs="Arial"/>
        </w:rPr>
        <w:t>and</w:t>
      </w:r>
      <w:r w:rsidR="00EF0311" w:rsidRPr="0034524F">
        <w:rPr>
          <w:rFonts w:ascii="Arial" w:hAnsi="Arial" w:cs="Arial"/>
          <w:i/>
        </w:rPr>
        <w:t xml:space="preserve"> </w:t>
      </w:r>
      <w:r w:rsidR="00C7005F">
        <w:rPr>
          <w:rFonts w:ascii="Arial" w:hAnsi="Arial" w:cs="Arial"/>
        </w:rPr>
        <w:t>5a -</w:t>
      </w:r>
      <w:r>
        <w:rPr>
          <w:rFonts w:ascii="Arial" w:hAnsi="Arial" w:cs="Arial"/>
        </w:rPr>
        <w:t xml:space="preserve"> s</w:t>
      </w:r>
      <w:r w:rsidR="00BE0AFE" w:rsidRPr="0034524F">
        <w:rPr>
          <w:rFonts w:ascii="Arial" w:hAnsi="Arial" w:cs="Arial"/>
        </w:rPr>
        <w:t>ex is associated with the use of SNSs</w:t>
      </w:r>
      <w:r w:rsidR="00C7005F">
        <w:rPr>
          <w:rFonts w:ascii="Arial" w:hAnsi="Arial" w:cs="Arial"/>
        </w:rPr>
        <w:t xml:space="preserve"> -</w:t>
      </w:r>
      <w:r w:rsidR="00BE0AFE" w:rsidRPr="0034524F">
        <w:rPr>
          <w:rFonts w:ascii="Arial" w:hAnsi="Arial" w:cs="Arial"/>
        </w:rPr>
        <w:t xml:space="preserve"> </w:t>
      </w:r>
      <w:r w:rsidR="00EF0311" w:rsidRPr="0034524F">
        <w:rPr>
          <w:rFonts w:ascii="Arial" w:hAnsi="Arial" w:cs="Arial"/>
        </w:rPr>
        <w:t>are</w:t>
      </w:r>
      <w:r w:rsidR="00BE0AFE" w:rsidRPr="0034524F">
        <w:rPr>
          <w:rFonts w:ascii="Arial" w:hAnsi="Arial" w:cs="Arial"/>
        </w:rPr>
        <w:t xml:space="preserve"> accepted.</w:t>
      </w:r>
      <w:r w:rsidR="00EF0311" w:rsidRPr="0034524F">
        <w:rPr>
          <w:rFonts w:ascii="Arial" w:hAnsi="Arial" w:cs="Arial"/>
        </w:rPr>
        <w:t xml:space="preserve"> </w:t>
      </w:r>
    </w:p>
    <w:p w14:paraId="7E11D672" w14:textId="77777777" w:rsidR="006D312F" w:rsidRPr="0034524F" w:rsidRDefault="00B02C34" w:rsidP="0034524F">
      <w:pPr>
        <w:spacing w:after="280" w:line="480" w:lineRule="auto"/>
        <w:jc w:val="both"/>
        <w:rPr>
          <w:rFonts w:ascii="Arial" w:hAnsi="Arial" w:cs="Arial"/>
        </w:rPr>
      </w:pPr>
      <w:r>
        <w:rPr>
          <w:rFonts w:ascii="Arial" w:hAnsi="Arial" w:cs="Arial"/>
        </w:rPr>
        <w:t xml:space="preserve">Four of the key variables considered in this study </w:t>
      </w:r>
      <w:r w:rsidR="004100FF">
        <w:rPr>
          <w:rFonts w:ascii="Arial" w:hAnsi="Arial" w:cs="Arial"/>
        </w:rPr>
        <w:t>–</w:t>
      </w:r>
      <w:r>
        <w:rPr>
          <w:rFonts w:ascii="Arial" w:hAnsi="Arial" w:cs="Arial"/>
        </w:rPr>
        <w:t xml:space="preserve"> </w:t>
      </w:r>
      <w:r w:rsidR="004100FF">
        <w:rPr>
          <w:rFonts w:ascii="Arial" w:hAnsi="Arial" w:cs="Arial"/>
        </w:rPr>
        <w:t xml:space="preserve">(1) </w:t>
      </w:r>
      <w:r w:rsidRPr="0034524F">
        <w:rPr>
          <w:rFonts w:ascii="Arial" w:hAnsi="Arial" w:cs="Arial"/>
        </w:rPr>
        <w:t>member</w:t>
      </w:r>
      <w:r>
        <w:rPr>
          <w:rFonts w:ascii="Arial" w:hAnsi="Arial" w:cs="Arial"/>
        </w:rPr>
        <w:t>ship</w:t>
      </w:r>
      <w:r w:rsidR="006D312F" w:rsidRPr="0034524F">
        <w:rPr>
          <w:rFonts w:ascii="Arial" w:hAnsi="Arial" w:cs="Arial"/>
        </w:rPr>
        <w:t xml:space="preserve"> of a </w:t>
      </w:r>
      <w:r>
        <w:rPr>
          <w:rFonts w:ascii="Arial" w:hAnsi="Arial" w:cs="Arial"/>
        </w:rPr>
        <w:t>SNS</w:t>
      </w:r>
      <w:r w:rsidR="006D312F" w:rsidRPr="0034524F">
        <w:rPr>
          <w:rFonts w:ascii="Arial" w:hAnsi="Arial" w:cs="Arial"/>
        </w:rPr>
        <w:t xml:space="preserve">, </w:t>
      </w:r>
      <w:r w:rsidR="004100FF">
        <w:rPr>
          <w:rFonts w:ascii="Arial" w:hAnsi="Arial" w:cs="Arial"/>
        </w:rPr>
        <w:t xml:space="preserve">(2) </w:t>
      </w:r>
      <w:r w:rsidR="006D312F" w:rsidRPr="0034524F">
        <w:rPr>
          <w:rFonts w:ascii="Arial" w:hAnsi="Arial" w:cs="Arial"/>
        </w:rPr>
        <w:t>number of close friends</w:t>
      </w:r>
      <w:r>
        <w:rPr>
          <w:rFonts w:ascii="Arial" w:hAnsi="Arial" w:cs="Arial"/>
        </w:rPr>
        <w:t>,</w:t>
      </w:r>
      <w:r w:rsidR="006D312F" w:rsidRPr="0034524F">
        <w:rPr>
          <w:rFonts w:ascii="Arial" w:hAnsi="Arial" w:cs="Arial"/>
        </w:rPr>
        <w:t xml:space="preserve"> </w:t>
      </w:r>
      <w:r w:rsidR="004100FF">
        <w:rPr>
          <w:rFonts w:ascii="Arial" w:hAnsi="Arial" w:cs="Arial"/>
        </w:rPr>
        <w:t xml:space="preserve">(3) </w:t>
      </w:r>
      <w:r w:rsidR="006D312F" w:rsidRPr="0034524F">
        <w:rPr>
          <w:rFonts w:ascii="Arial" w:hAnsi="Arial" w:cs="Arial"/>
        </w:rPr>
        <w:t>age</w:t>
      </w:r>
      <w:r>
        <w:rPr>
          <w:rFonts w:ascii="Arial" w:hAnsi="Arial" w:cs="Arial"/>
        </w:rPr>
        <w:t>,</w:t>
      </w:r>
      <w:r w:rsidR="006D312F" w:rsidRPr="0034524F">
        <w:rPr>
          <w:rFonts w:ascii="Arial" w:hAnsi="Arial" w:cs="Arial"/>
        </w:rPr>
        <w:t xml:space="preserve"> and </w:t>
      </w:r>
      <w:r w:rsidR="004100FF">
        <w:rPr>
          <w:rFonts w:ascii="Arial" w:hAnsi="Arial" w:cs="Arial"/>
        </w:rPr>
        <w:t xml:space="preserve">(4) </w:t>
      </w:r>
      <w:r w:rsidR="006D312F" w:rsidRPr="0034524F">
        <w:rPr>
          <w:rFonts w:ascii="Arial" w:hAnsi="Arial" w:cs="Arial"/>
        </w:rPr>
        <w:t>sex</w:t>
      </w:r>
      <w:r w:rsidR="004100FF">
        <w:rPr>
          <w:rFonts w:ascii="Arial" w:hAnsi="Arial" w:cs="Arial"/>
        </w:rPr>
        <w:t xml:space="preserve"> -</w:t>
      </w:r>
      <w:r w:rsidR="006D312F" w:rsidRPr="0034524F">
        <w:rPr>
          <w:rFonts w:ascii="Arial" w:hAnsi="Arial" w:cs="Arial"/>
        </w:rPr>
        <w:t xml:space="preserve"> were </w:t>
      </w:r>
      <w:r>
        <w:rPr>
          <w:rFonts w:ascii="Arial" w:hAnsi="Arial" w:cs="Arial"/>
        </w:rPr>
        <w:t>applied within a</w:t>
      </w:r>
      <w:r w:rsidR="006D312F" w:rsidRPr="0034524F">
        <w:rPr>
          <w:rFonts w:ascii="Arial" w:hAnsi="Arial" w:cs="Arial"/>
        </w:rPr>
        <w:t xml:space="preserve"> logistic regression model to predict the likelihood of being in paid employment. </w:t>
      </w:r>
      <w:r w:rsidR="00FB6B0C" w:rsidRPr="00FB6B0C">
        <w:rPr>
          <w:rFonts w:ascii="Arial" w:hAnsi="Arial" w:cs="Arial"/>
        </w:rPr>
        <w:t>In this analysis students were removed from the sample leaving only those who were employed and unemployed</w:t>
      </w:r>
      <w:r w:rsidR="00FB6B0C">
        <w:rPr>
          <w:rFonts w:ascii="Arial" w:hAnsi="Arial" w:cs="Arial"/>
        </w:rPr>
        <w:t xml:space="preserve">. </w:t>
      </w:r>
      <w:r w:rsidR="006D312F" w:rsidRPr="0034524F">
        <w:rPr>
          <w:rFonts w:ascii="Arial" w:hAnsi="Arial" w:cs="Arial"/>
        </w:rPr>
        <w:t xml:space="preserve">This model successfully predicted </w:t>
      </w:r>
      <w:r w:rsidR="00F5546C" w:rsidRPr="0034524F">
        <w:rPr>
          <w:rFonts w:ascii="Arial" w:hAnsi="Arial" w:cs="Arial"/>
        </w:rPr>
        <w:t xml:space="preserve">96.6% </w:t>
      </w:r>
      <w:r w:rsidR="006D312F" w:rsidRPr="0034524F">
        <w:rPr>
          <w:rFonts w:ascii="Arial" w:hAnsi="Arial" w:cs="Arial"/>
        </w:rPr>
        <w:t xml:space="preserve">of those in employment but only </w:t>
      </w:r>
      <w:r w:rsidR="00F5546C" w:rsidRPr="0034524F">
        <w:rPr>
          <w:rFonts w:ascii="Arial" w:hAnsi="Arial" w:cs="Arial"/>
        </w:rPr>
        <w:t xml:space="preserve">8.4% </w:t>
      </w:r>
      <w:r w:rsidR="004100FF">
        <w:rPr>
          <w:rFonts w:ascii="Arial" w:hAnsi="Arial" w:cs="Arial"/>
        </w:rPr>
        <w:t>of those who were unemployed. For all respondents,</w:t>
      </w:r>
      <w:r w:rsidR="006D312F" w:rsidRPr="0034524F">
        <w:rPr>
          <w:rFonts w:ascii="Arial" w:hAnsi="Arial" w:cs="Arial"/>
        </w:rPr>
        <w:t xml:space="preserve"> </w:t>
      </w:r>
      <w:r w:rsidR="00F5546C" w:rsidRPr="0034524F">
        <w:rPr>
          <w:rFonts w:ascii="Arial" w:hAnsi="Arial" w:cs="Arial"/>
        </w:rPr>
        <w:t>68.8% were correctly predicted. T</w:t>
      </w:r>
      <w:r w:rsidR="006D312F" w:rsidRPr="0034524F">
        <w:rPr>
          <w:rFonts w:ascii="Arial" w:hAnsi="Arial" w:cs="Arial"/>
        </w:rPr>
        <w:t>he coefficients of the model are displayed in Table 2.</w:t>
      </w:r>
      <w:r w:rsidRPr="00B02C34">
        <w:rPr>
          <w:rFonts w:ascii="Arial" w:hAnsi="Arial" w:cs="Arial"/>
        </w:rPr>
        <w:t xml:space="preserve"> </w:t>
      </w:r>
      <w:r w:rsidRPr="0034524F">
        <w:rPr>
          <w:rFonts w:ascii="Arial" w:hAnsi="Arial" w:cs="Arial"/>
        </w:rPr>
        <w:t xml:space="preserve">This </w:t>
      </w:r>
      <w:r>
        <w:rPr>
          <w:rFonts w:ascii="Arial" w:hAnsi="Arial" w:cs="Arial"/>
        </w:rPr>
        <w:t xml:space="preserve">test </w:t>
      </w:r>
      <w:r w:rsidRPr="0034524F">
        <w:rPr>
          <w:rFonts w:ascii="Arial" w:hAnsi="Arial" w:cs="Arial"/>
        </w:rPr>
        <w:t xml:space="preserve">confirms the association of being a member of a </w:t>
      </w:r>
      <w:r>
        <w:rPr>
          <w:rFonts w:ascii="Arial" w:hAnsi="Arial" w:cs="Arial"/>
        </w:rPr>
        <w:t xml:space="preserve">SNS </w:t>
      </w:r>
      <w:r w:rsidRPr="0034524F">
        <w:rPr>
          <w:rFonts w:ascii="Arial" w:hAnsi="Arial" w:cs="Arial"/>
        </w:rPr>
        <w:t>and being unemployed. The number of close friends appears as insignificant and young females and young</w:t>
      </w:r>
      <w:r w:rsidR="005B203A">
        <w:rPr>
          <w:rFonts w:ascii="Arial" w:hAnsi="Arial" w:cs="Arial"/>
        </w:rPr>
        <w:t>er</w:t>
      </w:r>
      <w:r w:rsidRPr="0034524F">
        <w:rPr>
          <w:rFonts w:ascii="Arial" w:hAnsi="Arial" w:cs="Arial"/>
        </w:rPr>
        <w:t xml:space="preserve"> people are less likely to be unemployed.</w:t>
      </w:r>
    </w:p>
    <w:p w14:paraId="0D5CD9C4" w14:textId="77777777" w:rsidR="00E95F42" w:rsidRPr="00E95F42" w:rsidRDefault="00E95F42" w:rsidP="00E95F42">
      <w:pPr>
        <w:pStyle w:val="Caption"/>
        <w:keepNext/>
        <w:rPr>
          <w:rFonts w:ascii="Arial" w:hAnsi="Arial" w:cs="Arial"/>
          <w:color w:val="auto"/>
          <w:sz w:val="20"/>
          <w:szCs w:val="20"/>
        </w:rPr>
      </w:pPr>
      <w:r w:rsidRPr="00E95F42">
        <w:rPr>
          <w:rFonts w:ascii="Arial" w:hAnsi="Arial" w:cs="Arial"/>
          <w:color w:val="auto"/>
          <w:sz w:val="20"/>
          <w:szCs w:val="20"/>
        </w:rPr>
        <w:t xml:space="preserve">Table </w:t>
      </w:r>
      <w:r w:rsidRPr="00E95F42">
        <w:rPr>
          <w:rFonts w:ascii="Arial" w:hAnsi="Arial" w:cs="Arial"/>
          <w:color w:val="auto"/>
          <w:sz w:val="20"/>
          <w:szCs w:val="20"/>
        </w:rPr>
        <w:fldChar w:fldCharType="begin"/>
      </w:r>
      <w:r w:rsidRPr="00E95F42">
        <w:rPr>
          <w:rFonts w:ascii="Arial" w:hAnsi="Arial" w:cs="Arial"/>
          <w:color w:val="auto"/>
          <w:sz w:val="20"/>
          <w:szCs w:val="20"/>
        </w:rPr>
        <w:instrText xml:space="preserve"> SEQ Table \* ARABIC </w:instrText>
      </w:r>
      <w:r w:rsidRPr="00E95F42">
        <w:rPr>
          <w:rFonts w:ascii="Arial" w:hAnsi="Arial" w:cs="Arial"/>
          <w:color w:val="auto"/>
          <w:sz w:val="20"/>
          <w:szCs w:val="20"/>
        </w:rPr>
        <w:fldChar w:fldCharType="separate"/>
      </w:r>
      <w:r w:rsidR="00F65C94">
        <w:rPr>
          <w:rFonts w:ascii="Arial" w:hAnsi="Arial" w:cs="Arial"/>
          <w:noProof/>
          <w:color w:val="auto"/>
          <w:sz w:val="20"/>
          <w:szCs w:val="20"/>
        </w:rPr>
        <w:t>2</w:t>
      </w:r>
      <w:r w:rsidRPr="00E95F42">
        <w:rPr>
          <w:rFonts w:ascii="Arial" w:hAnsi="Arial" w:cs="Arial"/>
          <w:color w:val="auto"/>
          <w:sz w:val="20"/>
          <w:szCs w:val="20"/>
        </w:rPr>
        <w:fldChar w:fldCharType="end"/>
      </w:r>
      <w:r w:rsidRPr="00E95F42">
        <w:rPr>
          <w:rFonts w:ascii="Arial" w:hAnsi="Arial" w:cs="Arial"/>
          <w:color w:val="auto"/>
          <w:sz w:val="20"/>
          <w:szCs w:val="20"/>
        </w:rPr>
        <w:t>: Logistic regression model of the likelihood of being unemployed</w:t>
      </w:r>
      <w:r w:rsidR="00FB6B0C">
        <w:rPr>
          <w:rFonts w:ascii="Arial" w:hAnsi="Arial" w:cs="Arial"/>
          <w:color w:val="auto"/>
          <w:sz w:val="20"/>
          <w:szCs w:val="20"/>
        </w:rPr>
        <w:t xml:space="preserve"> (n=2,350)</w:t>
      </w:r>
    </w:p>
    <w:tbl>
      <w:tblPr>
        <w:tblW w:w="7176" w:type="dxa"/>
        <w:tblInd w:w="93" w:type="dxa"/>
        <w:tblLook w:val="04A0" w:firstRow="1" w:lastRow="0" w:firstColumn="1" w:lastColumn="0" w:noHBand="0" w:noVBand="1"/>
      </w:tblPr>
      <w:tblGrid>
        <w:gridCol w:w="3584"/>
        <w:gridCol w:w="927"/>
        <w:gridCol w:w="811"/>
        <w:gridCol w:w="811"/>
        <w:gridCol w:w="1043"/>
      </w:tblGrid>
      <w:tr w:rsidR="00E95F42" w:rsidRPr="0034524F" w14:paraId="73FBA1FC" w14:textId="77777777" w:rsidTr="00E95F42">
        <w:trPr>
          <w:trHeight w:val="353"/>
        </w:trPr>
        <w:tc>
          <w:tcPr>
            <w:tcW w:w="3584" w:type="dxa"/>
            <w:tcBorders>
              <w:top w:val="double" w:sz="4" w:space="0" w:color="auto"/>
              <w:left w:val="double" w:sz="4" w:space="0" w:color="auto"/>
              <w:bottom w:val="single" w:sz="12" w:space="0" w:color="auto"/>
              <w:right w:val="single" w:sz="12" w:space="0" w:color="auto"/>
            </w:tcBorders>
            <w:shd w:val="clear" w:color="auto" w:fill="auto"/>
            <w:noWrap/>
            <w:vAlign w:val="bottom"/>
            <w:hideMark/>
          </w:tcPr>
          <w:p w14:paraId="3E1ADB8A" w14:textId="77777777" w:rsidR="006D312F" w:rsidRPr="0034524F" w:rsidRDefault="006D312F" w:rsidP="00CD410B">
            <w:pPr>
              <w:pStyle w:val="TableHead"/>
            </w:pPr>
            <w:r w:rsidRPr="0034524F">
              <w:t> </w:t>
            </w:r>
            <w:r w:rsidR="00F5546C" w:rsidRPr="0034524F">
              <w:t>Variable</w:t>
            </w:r>
          </w:p>
        </w:tc>
        <w:tc>
          <w:tcPr>
            <w:tcW w:w="927" w:type="dxa"/>
            <w:tcBorders>
              <w:top w:val="double" w:sz="4" w:space="0" w:color="auto"/>
              <w:left w:val="single" w:sz="12" w:space="0" w:color="auto"/>
              <w:bottom w:val="single" w:sz="12" w:space="0" w:color="auto"/>
              <w:right w:val="single" w:sz="4" w:space="0" w:color="auto"/>
            </w:tcBorders>
            <w:shd w:val="clear" w:color="auto" w:fill="auto"/>
            <w:vAlign w:val="bottom"/>
            <w:hideMark/>
          </w:tcPr>
          <w:p w14:paraId="276524D6" w14:textId="77777777" w:rsidR="006D312F" w:rsidRPr="00CD410B" w:rsidRDefault="006D312F" w:rsidP="00CD410B">
            <w:pPr>
              <w:pStyle w:val="TableHead"/>
            </w:pPr>
            <w:r w:rsidRPr="00CD410B">
              <w:t>B</w:t>
            </w:r>
          </w:p>
        </w:tc>
        <w:tc>
          <w:tcPr>
            <w:tcW w:w="811" w:type="dxa"/>
            <w:tcBorders>
              <w:top w:val="double" w:sz="4" w:space="0" w:color="auto"/>
              <w:left w:val="single" w:sz="4" w:space="0" w:color="auto"/>
              <w:bottom w:val="single" w:sz="12" w:space="0" w:color="auto"/>
              <w:right w:val="single" w:sz="4" w:space="0" w:color="auto"/>
            </w:tcBorders>
            <w:shd w:val="clear" w:color="auto" w:fill="auto"/>
            <w:vAlign w:val="bottom"/>
            <w:hideMark/>
          </w:tcPr>
          <w:p w14:paraId="6E42E833" w14:textId="77777777" w:rsidR="006D312F" w:rsidRPr="00CD410B" w:rsidRDefault="006D312F" w:rsidP="00CD410B">
            <w:pPr>
              <w:pStyle w:val="TableHead"/>
            </w:pPr>
            <w:r w:rsidRPr="00CD410B">
              <w:t>S.E.</w:t>
            </w:r>
          </w:p>
        </w:tc>
        <w:tc>
          <w:tcPr>
            <w:tcW w:w="811" w:type="dxa"/>
            <w:tcBorders>
              <w:top w:val="double" w:sz="4" w:space="0" w:color="auto"/>
              <w:left w:val="single" w:sz="4" w:space="0" w:color="auto"/>
              <w:bottom w:val="single" w:sz="12" w:space="0" w:color="auto"/>
              <w:right w:val="single" w:sz="4" w:space="0" w:color="auto"/>
            </w:tcBorders>
            <w:shd w:val="clear" w:color="auto" w:fill="auto"/>
            <w:vAlign w:val="bottom"/>
            <w:hideMark/>
          </w:tcPr>
          <w:p w14:paraId="17D2F127" w14:textId="77777777" w:rsidR="006D312F" w:rsidRPr="00CD410B" w:rsidRDefault="006D312F" w:rsidP="00CD410B">
            <w:pPr>
              <w:pStyle w:val="TableHead"/>
            </w:pPr>
            <w:r w:rsidRPr="00CD410B">
              <w:t>Sig.</w:t>
            </w:r>
          </w:p>
        </w:tc>
        <w:tc>
          <w:tcPr>
            <w:tcW w:w="1043" w:type="dxa"/>
            <w:tcBorders>
              <w:top w:val="double" w:sz="4" w:space="0" w:color="auto"/>
              <w:left w:val="single" w:sz="4" w:space="0" w:color="auto"/>
              <w:bottom w:val="single" w:sz="12" w:space="0" w:color="auto"/>
              <w:right w:val="double" w:sz="4" w:space="0" w:color="auto"/>
            </w:tcBorders>
            <w:shd w:val="clear" w:color="auto" w:fill="auto"/>
            <w:vAlign w:val="bottom"/>
            <w:hideMark/>
          </w:tcPr>
          <w:p w14:paraId="127A2C21" w14:textId="77777777" w:rsidR="006D312F" w:rsidRPr="00CD410B" w:rsidRDefault="00F5546C" w:rsidP="00CD410B">
            <w:pPr>
              <w:pStyle w:val="TableHead"/>
            </w:pPr>
            <w:r w:rsidRPr="00CD410B">
              <w:t>Odds Ratio</w:t>
            </w:r>
          </w:p>
        </w:tc>
      </w:tr>
      <w:tr w:rsidR="00E95F42" w:rsidRPr="0034524F" w14:paraId="13028C94" w14:textId="77777777" w:rsidTr="00E95F42">
        <w:trPr>
          <w:trHeight w:val="353"/>
        </w:trPr>
        <w:tc>
          <w:tcPr>
            <w:tcW w:w="3584" w:type="dxa"/>
            <w:tcBorders>
              <w:top w:val="single" w:sz="12" w:space="0" w:color="auto"/>
              <w:left w:val="double" w:sz="4" w:space="0" w:color="auto"/>
              <w:bottom w:val="single" w:sz="4" w:space="0" w:color="auto"/>
              <w:right w:val="single" w:sz="12" w:space="0" w:color="auto"/>
            </w:tcBorders>
            <w:shd w:val="clear" w:color="auto" w:fill="auto"/>
            <w:hideMark/>
          </w:tcPr>
          <w:p w14:paraId="17824300" w14:textId="77777777" w:rsidR="006D312F" w:rsidRPr="0034524F" w:rsidRDefault="00F5546C" w:rsidP="00CD410B">
            <w:pPr>
              <w:pStyle w:val="TableHead"/>
              <w:jc w:val="left"/>
            </w:pPr>
            <w:r w:rsidRPr="0034524F">
              <w:t>Member of social media website</w:t>
            </w:r>
          </w:p>
          <w:p w14:paraId="7B51139D" w14:textId="77777777" w:rsidR="00E95F42" w:rsidRPr="0034524F" w:rsidRDefault="00E95F42" w:rsidP="00CD410B">
            <w:pPr>
              <w:pStyle w:val="TableHead"/>
              <w:jc w:val="left"/>
            </w:pPr>
          </w:p>
        </w:tc>
        <w:tc>
          <w:tcPr>
            <w:tcW w:w="927" w:type="dxa"/>
            <w:tcBorders>
              <w:top w:val="single" w:sz="12" w:space="0" w:color="auto"/>
              <w:left w:val="single" w:sz="12" w:space="0" w:color="auto"/>
              <w:bottom w:val="single" w:sz="4" w:space="0" w:color="auto"/>
              <w:right w:val="single" w:sz="4" w:space="0" w:color="auto"/>
            </w:tcBorders>
            <w:shd w:val="clear" w:color="auto" w:fill="auto"/>
            <w:noWrap/>
            <w:hideMark/>
          </w:tcPr>
          <w:p w14:paraId="706A6C36" w14:textId="77777777" w:rsidR="006D312F" w:rsidRPr="0034524F" w:rsidRDefault="006D312F" w:rsidP="00CD410B">
            <w:pPr>
              <w:pStyle w:val="Tabletext"/>
            </w:pPr>
            <w:r w:rsidRPr="0034524F">
              <w:t>-.896</w:t>
            </w:r>
          </w:p>
        </w:tc>
        <w:tc>
          <w:tcPr>
            <w:tcW w:w="811" w:type="dxa"/>
            <w:tcBorders>
              <w:top w:val="single" w:sz="12" w:space="0" w:color="auto"/>
              <w:left w:val="single" w:sz="4" w:space="0" w:color="auto"/>
              <w:bottom w:val="single" w:sz="4" w:space="0" w:color="auto"/>
              <w:right w:val="single" w:sz="4" w:space="0" w:color="auto"/>
            </w:tcBorders>
            <w:shd w:val="clear" w:color="auto" w:fill="auto"/>
            <w:noWrap/>
            <w:hideMark/>
          </w:tcPr>
          <w:p w14:paraId="3DC64F53" w14:textId="77777777" w:rsidR="006D312F" w:rsidRPr="0034524F" w:rsidRDefault="006D312F" w:rsidP="00CD410B">
            <w:pPr>
              <w:pStyle w:val="Tabletext"/>
            </w:pPr>
            <w:r w:rsidRPr="0034524F">
              <w:t>.192</w:t>
            </w:r>
          </w:p>
        </w:tc>
        <w:tc>
          <w:tcPr>
            <w:tcW w:w="811" w:type="dxa"/>
            <w:tcBorders>
              <w:top w:val="single" w:sz="12" w:space="0" w:color="auto"/>
              <w:left w:val="single" w:sz="4" w:space="0" w:color="auto"/>
              <w:bottom w:val="single" w:sz="4" w:space="0" w:color="auto"/>
              <w:right w:val="single" w:sz="4" w:space="0" w:color="auto"/>
            </w:tcBorders>
            <w:shd w:val="clear" w:color="auto" w:fill="auto"/>
            <w:noWrap/>
            <w:hideMark/>
          </w:tcPr>
          <w:p w14:paraId="7BDDF8CB" w14:textId="77777777" w:rsidR="006D312F" w:rsidRPr="0034524F" w:rsidRDefault="006D312F" w:rsidP="00CD410B">
            <w:pPr>
              <w:pStyle w:val="Tabletext"/>
            </w:pPr>
            <w:r w:rsidRPr="0034524F">
              <w:t>.000</w:t>
            </w:r>
          </w:p>
        </w:tc>
        <w:tc>
          <w:tcPr>
            <w:tcW w:w="1043" w:type="dxa"/>
            <w:tcBorders>
              <w:top w:val="single" w:sz="12" w:space="0" w:color="auto"/>
              <w:left w:val="single" w:sz="4" w:space="0" w:color="auto"/>
              <w:bottom w:val="single" w:sz="4" w:space="0" w:color="auto"/>
              <w:right w:val="double" w:sz="4" w:space="0" w:color="auto"/>
            </w:tcBorders>
            <w:shd w:val="clear" w:color="auto" w:fill="auto"/>
            <w:noWrap/>
            <w:hideMark/>
          </w:tcPr>
          <w:p w14:paraId="0D9E7531" w14:textId="77777777" w:rsidR="006D312F" w:rsidRPr="0034524F" w:rsidRDefault="006D312F" w:rsidP="00CD410B">
            <w:pPr>
              <w:pStyle w:val="Tabletext"/>
            </w:pPr>
            <w:r w:rsidRPr="0034524F">
              <w:t>.408</w:t>
            </w:r>
          </w:p>
        </w:tc>
      </w:tr>
      <w:tr w:rsidR="00E95F42" w:rsidRPr="0034524F" w14:paraId="7A426BCB" w14:textId="77777777" w:rsidTr="00E95F42">
        <w:trPr>
          <w:trHeight w:val="353"/>
        </w:trPr>
        <w:tc>
          <w:tcPr>
            <w:tcW w:w="3584" w:type="dxa"/>
            <w:tcBorders>
              <w:top w:val="single" w:sz="4" w:space="0" w:color="auto"/>
              <w:left w:val="double" w:sz="4" w:space="0" w:color="auto"/>
              <w:bottom w:val="single" w:sz="4" w:space="0" w:color="auto"/>
              <w:right w:val="single" w:sz="12" w:space="0" w:color="auto"/>
            </w:tcBorders>
            <w:shd w:val="clear" w:color="auto" w:fill="auto"/>
            <w:hideMark/>
          </w:tcPr>
          <w:p w14:paraId="63D7D0F2" w14:textId="77777777" w:rsidR="006D312F" w:rsidRPr="0034524F" w:rsidRDefault="00F5546C" w:rsidP="00CD410B">
            <w:pPr>
              <w:pStyle w:val="TableHead"/>
              <w:jc w:val="left"/>
            </w:pPr>
            <w:r w:rsidRPr="0034524F">
              <w:t>Number of close friends</w:t>
            </w:r>
          </w:p>
        </w:tc>
        <w:tc>
          <w:tcPr>
            <w:tcW w:w="927" w:type="dxa"/>
            <w:tcBorders>
              <w:top w:val="single" w:sz="4" w:space="0" w:color="auto"/>
              <w:left w:val="single" w:sz="12" w:space="0" w:color="auto"/>
              <w:bottom w:val="single" w:sz="4" w:space="0" w:color="auto"/>
              <w:right w:val="single" w:sz="4" w:space="0" w:color="auto"/>
            </w:tcBorders>
            <w:shd w:val="clear" w:color="auto" w:fill="auto"/>
            <w:noWrap/>
            <w:hideMark/>
          </w:tcPr>
          <w:p w14:paraId="6977C32E" w14:textId="77777777" w:rsidR="006D312F" w:rsidRPr="0034524F" w:rsidRDefault="006D312F" w:rsidP="00CD410B">
            <w:pPr>
              <w:pStyle w:val="Tabletext"/>
            </w:pPr>
            <w:r w:rsidRPr="0034524F">
              <w:t>-.011</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3287B1CD" w14:textId="77777777" w:rsidR="006D312F" w:rsidRPr="0034524F" w:rsidRDefault="006D312F" w:rsidP="00CD410B">
            <w:pPr>
              <w:pStyle w:val="Tabletext"/>
            </w:pPr>
            <w:r w:rsidRPr="0034524F">
              <w:t>.010</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1ABCC324" w14:textId="77777777" w:rsidR="006D312F" w:rsidRPr="0034524F" w:rsidRDefault="006D312F" w:rsidP="00CD410B">
            <w:pPr>
              <w:pStyle w:val="Tabletext"/>
            </w:pPr>
            <w:r w:rsidRPr="0034524F">
              <w:t>.295</w:t>
            </w:r>
          </w:p>
        </w:tc>
        <w:tc>
          <w:tcPr>
            <w:tcW w:w="1043" w:type="dxa"/>
            <w:tcBorders>
              <w:top w:val="single" w:sz="4" w:space="0" w:color="auto"/>
              <w:left w:val="single" w:sz="4" w:space="0" w:color="auto"/>
              <w:bottom w:val="single" w:sz="4" w:space="0" w:color="auto"/>
              <w:right w:val="double" w:sz="4" w:space="0" w:color="auto"/>
            </w:tcBorders>
            <w:shd w:val="clear" w:color="auto" w:fill="auto"/>
            <w:noWrap/>
            <w:hideMark/>
          </w:tcPr>
          <w:p w14:paraId="5697025C" w14:textId="77777777" w:rsidR="006D312F" w:rsidRPr="0034524F" w:rsidRDefault="006D312F" w:rsidP="00CD410B">
            <w:pPr>
              <w:pStyle w:val="Tabletext"/>
            </w:pPr>
            <w:r w:rsidRPr="0034524F">
              <w:t>.989</w:t>
            </w:r>
          </w:p>
        </w:tc>
      </w:tr>
      <w:tr w:rsidR="00E95F42" w:rsidRPr="0034524F" w14:paraId="1A8A8BFD" w14:textId="77777777" w:rsidTr="00E95F42">
        <w:trPr>
          <w:trHeight w:val="353"/>
        </w:trPr>
        <w:tc>
          <w:tcPr>
            <w:tcW w:w="3584" w:type="dxa"/>
            <w:tcBorders>
              <w:top w:val="single" w:sz="4" w:space="0" w:color="auto"/>
              <w:left w:val="double" w:sz="4" w:space="0" w:color="auto"/>
              <w:bottom w:val="single" w:sz="4" w:space="0" w:color="auto"/>
              <w:right w:val="single" w:sz="12" w:space="0" w:color="auto"/>
            </w:tcBorders>
            <w:shd w:val="clear" w:color="auto" w:fill="auto"/>
            <w:hideMark/>
          </w:tcPr>
          <w:p w14:paraId="612E4BEC" w14:textId="77777777" w:rsidR="006D312F" w:rsidRPr="0034524F" w:rsidRDefault="001D3805" w:rsidP="00CD410B">
            <w:pPr>
              <w:pStyle w:val="TableHead"/>
              <w:jc w:val="left"/>
            </w:pPr>
            <w:r w:rsidRPr="0034524F">
              <w:t>A</w:t>
            </w:r>
            <w:r w:rsidR="00F5546C" w:rsidRPr="0034524F">
              <w:t>ge</w:t>
            </w:r>
          </w:p>
          <w:p w14:paraId="48237C45" w14:textId="77777777" w:rsidR="001D3805" w:rsidRPr="0034524F" w:rsidRDefault="001D3805" w:rsidP="00CD410B">
            <w:pPr>
              <w:pStyle w:val="TableHead"/>
              <w:jc w:val="left"/>
            </w:pPr>
          </w:p>
        </w:tc>
        <w:tc>
          <w:tcPr>
            <w:tcW w:w="927" w:type="dxa"/>
            <w:tcBorders>
              <w:top w:val="single" w:sz="4" w:space="0" w:color="auto"/>
              <w:left w:val="single" w:sz="12" w:space="0" w:color="auto"/>
              <w:bottom w:val="single" w:sz="4" w:space="0" w:color="auto"/>
              <w:right w:val="single" w:sz="4" w:space="0" w:color="auto"/>
            </w:tcBorders>
            <w:shd w:val="clear" w:color="auto" w:fill="auto"/>
            <w:noWrap/>
            <w:hideMark/>
          </w:tcPr>
          <w:p w14:paraId="14632D40" w14:textId="77777777" w:rsidR="006D312F" w:rsidRPr="0034524F" w:rsidRDefault="006D312F" w:rsidP="00CD410B">
            <w:pPr>
              <w:pStyle w:val="Tabletext"/>
            </w:pPr>
            <w:r w:rsidRPr="0034524F">
              <w:t>-.198</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3BCB9CFC" w14:textId="77777777" w:rsidR="006D312F" w:rsidRPr="0034524F" w:rsidRDefault="006D312F" w:rsidP="00CD410B">
            <w:pPr>
              <w:pStyle w:val="Tabletext"/>
            </w:pPr>
            <w:r w:rsidRPr="0034524F">
              <w:t>.045</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0D5233E3" w14:textId="77777777" w:rsidR="006D312F" w:rsidRPr="0034524F" w:rsidRDefault="006D312F" w:rsidP="00CD410B">
            <w:pPr>
              <w:pStyle w:val="Tabletext"/>
            </w:pPr>
            <w:r w:rsidRPr="0034524F">
              <w:t>.000</w:t>
            </w:r>
          </w:p>
        </w:tc>
        <w:tc>
          <w:tcPr>
            <w:tcW w:w="1043" w:type="dxa"/>
            <w:tcBorders>
              <w:top w:val="single" w:sz="4" w:space="0" w:color="auto"/>
              <w:left w:val="single" w:sz="4" w:space="0" w:color="auto"/>
              <w:bottom w:val="single" w:sz="4" w:space="0" w:color="auto"/>
              <w:right w:val="double" w:sz="4" w:space="0" w:color="auto"/>
            </w:tcBorders>
            <w:shd w:val="clear" w:color="auto" w:fill="auto"/>
            <w:noWrap/>
            <w:hideMark/>
          </w:tcPr>
          <w:p w14:paraId="259D31C1" w14:textId="77777777" w:rsidR="006D312F" w:rsidRPr="0034524F" w:rsidRDefault="006D312F" w:rsidP="00CD410B">
            <w:pPr>
              <w:pStyle w:val="Tabletext"/>
            </w:pPr>
            <w:r w:rsidRPr="0034524F">
              <w:t>.820</w:t>
            </w:r>
          </w:p>
        </w:tc>
      </w:tr>
      <w:tr w:rsidR="00E95F42" w:rsidRPr="0034524F" w14:paraId="7082895A" w14:textId="77777777" w:rsidTr="00E95F42">
        <w:trPr>
          <w:trHeight w:val="353"/>
        </w:trPr>
        <w:tc>
          <w:tcPr>
            <w:tcW w:w="3584" w:type="dxa"/>
            <w:tcBorders>
              <w:top w:val="single" w:sz="4" w:space="0" w:color="auto"/>
              <w:left w:val="double" w:sz="4" w:space="0" w:color="auto"/>
              <w:bottom w:val="single" w:sz="4" w:space="0" w:color="auto"/>
              <w:right w:val="single" w:sz="12" w:space="0" w:color="auto"/>
            </w:tcBorders>
            <w:shd w:val="clear" w:color="auto" w:fill="auto"/>
            <w:hideMark/>
          </w:tcPr>
          <w:p w14:paraId="50291857" w14:textId="77777777" w:rsidR="006D312F" w:rsidRPr="0034524F" w:rsidRDefault="001D3805" w:rsidP="00CD410B">
            <w:pPr>
              <w:pStyle w:val="TableHead"/>
              <w:jc w:val="left"/>
            </w:pPr>
            <w:r w:rsidRPr="0034524F">
              <w:t>F</w:t>
            </w:r>
            <w:r w:rsidR="00F5546C" w:rsidRPr="0034524F">
              <w:t>emale</w:t>
            </w:r>
          </w:p>
          <w:p w14:paraId="53979A9F" w14:textId="77777777" w:rsidR="001D3805" w:rsidRPr="0034524F" w:rsidRDefault="001D3805" w:rsidP="00CD410B">
            <w:pPr>
              <w:pStyle w:val="TableHead"/>
              <w:jc w:val="left"/>
            </w:pPr>
          </w:p>
        </w:tc>
        <w:tc>
          <w:tcPr>
            <w:tcW w:w="927" w:type="dxa"/>
            <w:tcBorders>
              <w:top w:val="single" w:sz="4" w:space="0" w:color="auto"/>
              <w:left w:val="single" w:sz="12" w:space="0" w:color="auto"/>
              <w:bottom w:val="single" w:sz="4" w:space="0" w:color="auto"/>
              <w:right w:val="single" w:sz="4" w:space="0" w:color="auto"/>
            </w:tcBorders>
            <w:shd w:val="clear" w:color="auto" w:fill="auto"/>
            <w:noWrap/>
            <w:hideMark/>
          </w:tcPr>
          <w:p w14:paraId="7A139781" w14:textId="77777777" w:rsidR="006D312F" w:rsidRPr="0034524F" w:rsidRDefault="006D312F" w:rsidP="00CD410B">
            <w:pPr>
              <w:pStyle w:val="Tabletext"/>
            </w:pPr>
            <w:r w:rsidRPr="0034524F">
              <w:t>-.339</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5CA83695" w14:textId="77777777" w:rsidR="006D312F" w:rsidRPr="0034524F" w:rsidRDefault="006D312F" w:rsidP="00CD410B">
            <w:pPr>
              <w:pStyle w:val="Tabletext"/>
            </w:pPr>
            <w:r w:rsidRPr="0034524F">
              <w:t>.129</w:t>
            </w:r>
          </w:p>
        </w:tc>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14:paraId="3C42E2BF" w14:textId="77777777" w:rsidR="006D312F" w:rsidRPr="0034524F" w:rsidRDefault="006D312F" w:rsidP="00CD410B">
            <w:pPr>
              <w:pStyle w:val="Tabletext"/>
            </w:pPr>
            <w:r w:rsidRPr="0034524F">
              <w:t>.009</w:t>
            </w:r>
          </w:p>
        </w:tc>
        <w:tc>
          <w:tcPr>
            <w:tcW w:w="1043" w:type="dxa"/>
            <w:tcBorders>
              <w:top w:val="single" w:sz="4" w:space="0" w:color="auto"/>
              <w:left w:val="single" w:sz="4" w:space="0" w:color="auto"/>
              <w:bottom w:val="single" w:sz="4" w:space="0" w:color="auto"/>
              <w:right w:val="double" w:sz="4" w:space="0" w:color="auto"/>
            </w:tcBorders>
            <w:shd w:val="clear" w:color="auto" w:fill="auto"/>
            <w:noWrap/>
            <w:hideMark/>
          </w:tcPr>
          <w:p w14:paraId="6D019373" w14:textId="77777777" w:rsidR="006D312F" w:rsidRPr="0034524F" w:rsidRDefault="006D312F" w:rsidP="00CD410B">
            <w:pPr>
              <w:pStyle w:val="Tabletext"/>
            </w:pPr>
            <w:r w:rsidRPr="0034524F">
              <w:t>.713</w:t>
            </w:r>
          </w:p>
        </w:tc>
      </w:tr>
      <w:tr w:rsidR="00E95F42" w:rsidRPr="0034524F" w14:paraId="5EB64835" w14:textId="77777777" w:rsidTr="00E95F42">
        <w:trPr>
          <w:trHeight w:val="353"/>
        </w:trPr>
        <w:tc>
          <w:tcPr>
            <w:tcW w:w="3584" w:type="dxa"/>
            <w:tcBorders>
              <w:top w:val="single" w:sz="4" w:space="0" w:color="auto"/>
              <w:left w:val="double" w:sz="4" w:space="0" w:color="auto"/>
              <w:bottom w:val="double" w:sz="4" w:space="0" w:color="auto"/>
              <w:right w:val="single" w:sz="12" w:space="0" w:color="auto"/>
            </w:tcBorders>
            <w:shd w:val="clear" w:color="auto" w:fill="auto"/>
            <w:hideMark/>
          </w:tcPr>
          <w:p w14:paraId="5ADC3529" w14:textId="77777777" w:rsidR="006D312F" w:rsidRPr="0034524F" w:rsidRDefault="006D312F" w:rsidP="00CD410B">
            <w:pPr>
              <w:pStyle w:val="TableHead"/>
              <w:jc w:val="left"/>
            </w:pPr>
            <w:r w:rsidRPr="0034524F">
              <w:t>Constant</w:t>
            </w:r>
          </w:p>
        </w:tc>
        <w:tc>
          <w:tcPr>
            <w:tcW w:w="927" w:type="dxa"/>
            <w:tcBorders>
              <w:top w:val="single" w:sz="4" w:space="0" w:color="auto"/>
              <w:left w:val="single" w:sz="12" w:space="0" w:color="auto"/>
              <w:bottom w:val="double" w:sz="4" w:space="0" w:color="auto"/>
              <w:right w:val="single" w:sz="4" w:space="0" w:color="auto"/>
            </w:tcBorders>
            <w:shd w:val="clear" w:color="auto" w:fill="auto"/>
            <w:noWrap/>
            <w:hideMark/>
          </w:tcPr>
          <w:p w14:paraId="4CF03C49" w14:textId="77777777" w:rsidR="006D312F" w:rsidRPr="0034524F" w:rsidRDefault="006D312F" w:rsidP="00CD410B">
            <w:pPr>
              <w:pStyle w:val="Tabletext"/>
            </w:pPr>
            <w:r w:rsidRPr="0034524F">
              <w:t>4.027</w:t>
            </w:r>
          </w:p>
        </w:tc>
        <w:tc>
          <w:tcPr>
            <w:tcW w:w="811" w:type="dxa"/>
            <w:tcBorders>
              <w:top w:val="single" w:sz="4" w:space="0" w:color="auto"/>
              <w:left w:val="single" w:sz="4" w:space="0" w:color="auto"/>
              <w:bottom w:val="double" w:sz="4" w:space="0" w:color="auto"/>
              <w:right w:val="single" w:sz="4" w:space="0" w:color="auto"/>
            </w:tcBorders>
            <w:shd w:val="clear" w:color="auto" w:fill="auto"/>
            <w:noWrap/>
            <w:hideMark/>
          </w:tcPr>
          <w:p w14:paraId="3745A6EB" w14:textId="77777777" w:rsidR="006D312F" w:rsidRPr="0034524F" w:rsidRDefault="006D312F" w:rsidP="00CD410B">
            <w:pPr>
              <w:pStyle w:val="Tabletext"/>
            </w:pPr>
            <w:r w:rsidRPr="0034524F">
              <w:t>.912</w:t>
            </w:r>
          </w:p>
        </w:tc>
        <w:tc>
          <w:tcPr>
            <w:tcW w:w="811" w:type="dxa"/>
            <w:tcBorders>
              <w:top w:val="single" w:sz="4" w:space="0" w:color="auto"/>
              <w:left w:val="single" w:sz="4" w:space="0" w:color="auto"/>
              <w:bottom w:val="double" w:sz="4" w:space="0" w:color="auto"/>
              <w:right w:val="single" w:sz="4" w:space="0" w:color="auto"/>
            </w:tcBorders>
            <w:shd w:val="clear" w:color="auto" w:fill="auto"/>
            <w:noWrap/>
            <w:hideMark/>
          </w:tcPr>
          <w:p w14:paraId="06215C84" w14:textId="77777777" w:rsidR="006D312F" w:rsidRPr="0034524F" w:rsidRDefault="006D312F" w:rsidP="00CD410B">
            <w:pPr>
              <w:pStyle w:val="Tabletext"/>
            </w:pPr>
            <w:r w:rsidRPr="0034524F">
              <w:t>.000</w:t>
            </w:r>
          </w:p>
        </w:tc>
        <w:tc>
          <w:tcPr>
            <w:tcW w:w="1043" w:type="dxa"/>
            <w:tcBorders>
              <w:top w:val="single" w:sz="4" w:space="0" w:color="auto"/>
              <w:left w:val="single" w:sz="4" w:space="0" w:color="auto"/>
              <w:bottom w:val="double" w:sz="4" w:space="0" w:color="auto"/>
              <w:right w:val="double" w:sz="4" w:space="0" w:color="auto"/>
            </w:tcBorders>
            <w:shd w:val="clear" w:color="auto" w:fill="auto"/>
            <w:noWrap/>
            <w:hideMark/>
          </w:tcPr>
          <w:p w14:paraId="48E6F0F2" w14:textId="77777777" w:rsidR="006D312F" w:rsidRPr="0034524F" w:rsidRDefault="006D312F" w:rsidP="00CD410B">
            <w:pPr>
              <w:pStyle w:val="Tabletext"/>
            </w:pPr>
            <w:r w:rsidRPr="0034524F">
              <w:t>56.109</w:t>
            </w:r>
          </w:p>
        </w:tc>
      </w:tr>
    </w:tbl>
    <w:p w14:paraId="11FD005C" w14:textId="77777777" w:rsidR="00B02C34" w:rsidRPr="00B02C34" w:rsidRDefault="00B02C34" w:rsidP="00B02C34"/>
    <w:p w14:paraId="32037A80" w14:textId="77777777" w:rsidR="00E83600" w:rsidRPr="00EF0311" w:rsidRDefault="00E83600" w:rsidP="0034524F">
      <w:pPr>
        <w:pStyle w:val="Heading1"/>
      </w:pPr>
      <w:r w:rsidRPr="00EF0311">
        <w:t>Discussion</w:t>
      </w:r>
    </w:p>
    <w:p w14:paraId="4A7F595D" w14:textId="77777777" w:rsidR="007E053D" w:rsidRDefault="007D33D1" w:rsidP="007D33D1">
      <w:pPr>
        <w:spacing w:after="280" w:line="480" w:lineRule="auto"/>
        <w:jc w:val="both"/>
        <w:rPr>
          <w:rFonts w:ascii="Arial" w:hAnsi="Arial" w:cs="Arial"/>
        </w:rPr>
      </w:pPr>
      <w:r>
        <w:rPr>
          <w:rFonts w:ascii="Arial" w:hAnsi="Arial" w:cs="Arial"/>
        </w:rPr>
        <w:t xml:space="preserve">As demonstrated </w:t>
      </w:r>
      <w:r w:rsidR="00AB2A45">
        <w:rPr>
          <w:rFonts w:ascii="Arial" w:hAnsi="Arial" w:cs="Arial"/>
        </w:rPr>
        <w:t>above</w:t>
      </w:r>
      <w:r>
        <w:rPr>
          <w:rFonts w:ascii="Arial" w:hAnsi="Arial" w:cs="Arial"/>
        </w:rPr>
        <w:t xml:space="preserve">, there is a statistically significant association between being a member of a SNS and being in paid employment amongst 16-21 year olds in the UK. This finding runs contrary to the assertion proffered earlier in the paper that such an association does not </w:t>
      </w:r>
      <w:r w:rsidR="0060195C">
        <w:rPr>
          <w:rFonts w:ascii="Arial" w:hAnsi="Arial" w:cs="Arial"/>
        </w:rPr>
        <w:t>exist.</w:t>
      </w:r>
      <w:r>
        <w:rPr>
          <w:rFonts w:ascii="Arial" w:hAnsi="Arial" w:cs="Arial"/>
        </w:rPr>
        <w:t xml:space="preserve"> </w:t>
      </w:r>
      <w:r w:rsidR="0060195C">
        <w:rPr>
          <w:rFonts w:ascii="Arial" w:hAnsi="Arial" w:cs="Arial"/>
        </w:rPr>
        <w:t>This hypothesis</w:t>
      </w:r>
      <w:r w:rsidR="0089011F">
        <w:rPr>
          <w:rFonts w:ascii="Arial" w:hAnsi="Arial" w:cs="Arial"/>
        </w:rPr>
        <w:t xml:space="preserve"> was based on the near</w:t>
      </w:r>
      <w:r>
        <w:rPr>
          <w:rFonts w:ascii="Arial" w:hAnsi="Arial" w:cs="Arial"/>
        </w:rPr>
        <w:t xml:space="preserve"> ubiquity of ICT use amongst younger people in developed nations </w:t>
      </w:r>
      <w:r w:rsidRPr="0034524F">
        <w:rPr>
          <w:rFonts w:ascii="Arial" w:hAnsi="Arial" w:cs="Arial"/>
        </w:rPr>
        <w:t>(Livingstone &amp; Helsper, 2007</w:t>
      </w:r>
      <w:r w:rsidR="00C62F7A">
        <w:rPr>
          <w:rFonts w:ascii="Arial" w:hAnsi="Arial" w:cs="Arial"/>
        </w:rPr>
        <w:t>; ONS, 2014</w:t>
      </w:r>
      <w:r w:rsidRPr="0034524F">
        <w:rPr>
          <w:rFonts w:ascii="Arial" w:hAnsi="Arial" w:cs="Arial"/>
        </w:rPr>
        <w:t>).</w:t>
      </w:r>
      <w:r>
        <w:rPr>
          <w:rFonts w:ascii="Arial" w:hAnsi="Arial" w:cs="Arial"/>
        </w:rPr>
        <w:t xml:space="preserve"> However, the proposed hypothesis takes for granted the association between use of ICTs and membership of social media tools such as SNSs. A</w:t>
      </w:r>
      <w:r w:rsidR="00E27AA7" w:rsidRPr="0034524F">
        <w:rPr>
          <w:rFonts w:ascii="Arial" w:hAnsi="Arial" w:cs="Arial"/>
        </w:rPr>
        <w:t>s</w:t>
      </w:r>
      <w:r w:rsidR="008015DB" w:rsidRPr="0034524F">
        <w:rPr>
          <w:rFonts w:ascii="Arial" w:hAnsi="Arial" w:cs="Arial"/>
        </w:rPr>
        <w:t xml:space="preserve"> explained by van Dijk (2006, p.223-230), material access to innovative ICTs is only one of a number of successive “access” factors which can impinge upon the usage of </w:t>
      </w:r>
      <w:r>
        <w:rPr>
          <w:rFonts w:ascii="Arial" w:hAnsi="Arial" w:cs="Arial"/>
        </w:rPr>
        <w:t xml:space="preserve">digital </w:t>
      </w:r>
      <w:r w:rsidR="008015DB" w:rsidRPr="0034524F">
        <w:rPr>
          <w:rFonts w:ascii="Arial" w:hAnsi="Arial" w:cs="Arial"/>
        </w:rPr>
        <w:t xml:space="preserve">innovations </w:t>
      </w:r>
      <w:r>
        <w:rPr>
          <w:rFonts w:ascii="Arial" w:hAnsi="Arial" w:cs="Arial"/>
        </w:rPr>
        <w:t>such as</w:t>
      </w:r>
      <w:r w:rsidR="008015DB" w:rsidRPr="0034524F">
        <w:rPr>
          <w:rFonts w:ascii="Arial" w:hAnsi="Arial" w:cs="Arial"/>
        </w:rPr>
        <w:t xml:space="preserve"> social media tools. </w:t>
      </w:r>
      <w:r w:rsidR="000618E5">
        <w:rPr>
          <w:rFonts w:ascii="Arial" w:hAnsi="Arial" w:cs="Arial"/>
        </w:rPr>
        <w:t xml:space="preserve">These factors also include motivational </w:t>
      </w:r>
      <w:r w:rsidR="0060195C">
        <w:rPr>
          <w:rFonts w:ascii="Arial" w:hAnsi="Arial" w:cs="Arial"/>
        </w:rPr>
        <w:t xml:space="preserve">access </w:t>
      </w:r>
      <w:r w:rsidR="000618E5">
        <w:rPr>
          <w:rFonts w:ascii="Arial" w:hAnsi="Arial" w:cs="Arial"/>
        </w:rPr>
        <w:t xml:space="preserve">and skills (e.g. instrumental skills, digital skills) access. </w:t>
      </w:r>
      <w:r w:rsidR="00360403">
        <w:rPr>
          <w:rFonts w:ascii="Arial" w:hAnsi="Arial" w:cs="Arial"/>
        </w:rPr>
        <w:t xml:space="preserve">From the analysis put forth in this paper, it </w:t>
      </w:r>
      <w:r w:rsidR="007E053D">
        <w:rPr>
          <w:rFonts w:ascii="Arial" w:hAnsi="Arial" w:cs="Arial"/>
        </w:rPr>
        <w:t>appears that material access alone is not enough to encourage membership</w:t>
      </w:r>
      <w:r w:rsidR="00360403">
        <w:rPr>
          <w:rFonts w:ascii="Arial" w:hAnsi="Arial" w:cs="Arial"/>
        </w:rPr>
        <w:t xml:space="preserve"> </w:t>
      </w:r>
      <w:r w:rsidR="00F11A69">
        <w:rPr>
          <w:rFonts w:ascii="Arial" w:hAnsi="Arial" w:cs="Arial"/>
        </w:rPr>
        <w:t xml:space="preserve">of SNSs amongst younger people.  </w:t>
      </w:r>
    </w:p>
    <w:p w14:paraId="12942EF6" w14:textId="77777777" w:rsidR="007D33D1" w:rsidRDefault="007E053D" w:rsidP="007D33D1">
      <w:pPr>
        <w:spacing w:after="280" w:line="480" w:lineRule="auto"/>
        <w:jc w:val="both"/>
        <w:rPr>
          <w:rFonts w:ascii="Arial" w:hAnsi="Arial" w:cs="Arial"/>
        </w:rPr>
      </w:pPr>
      <w:r>
        <w:rPr>
          <w:rFonts w:ascii="Arial" w:hAnsi="Arial" w:cs="Arial"/>
        </w:rPr>
        <w:t xml:space="preserve">Given the association between membership of SNSs and being in paid employment, it could be argued </w:t>
      </w:r>
      <w:r w:rsidR="00EC0917">
        <w:rPr>
          <w:rFonts w:ascii="Arial" w:hAnsi="Arial" w:cs="Arial"/>
        </w:rPr>
        <w:t>young</w:t>
      </w:r>
      <w:r>
        <w:rPr>
          <w:rFonts w:ascii="Arial" w:hAnsi="Arial" w:cs="Arial"/>
        </w:rPr>
        <w:t xml:space="preserve"> people are increasing their likelihood of encountering new information</w:t>
      </w:r>
      <w:r w:rsidR="00EC0917">
        <w:rPr>
          <w:rFonts w:ascii="Arial" w:hAnsi="Arial" w:cs="Arial"/>
        </w:rPr>
        <w:t xml:space="preserve"> online</w:t>
      </w:r>
      <w:r>
        <w:rPr>
          <w:rFonts w:ascii="Arial" w:hAnsi="Arial" w:cs="Arial"/>
        </w:rPr>
        <w:t xml:space="preserve"> which is conducive to </w:t>
      </w:r>
      <w:r w:rsidR="00EC0917">
        <w:rPr>
          <w:rFonts w:ascii="Arial" w:hAnsi="Arial" w:cs="Arial"/>
        </w:rPr>
        <w:t xml:space="preserve">the generation of employment opportunities. Indeed, </w:t>
      </w:r>
      <w:r w:rsidR="00360403">
        <w:rPr>
          <w:rFonts w:ascii="Arial" w:hAnsi="Arial" w:cs="Arial"/>
        </w:rPr>
        <w:t xml:space="preserve">the available </w:t>
      </w:r>
      <w:r w:rsidR="00EC0917">
        <w:rPr>
          <w:rFonts w:ascii="Arial" w:hAnsi="Arial" w:cs="Arial"/>
        </w:rPr>
        <w:t xml:space="preserve">evidence suggests that effective use of social media tools can provide informational opportunities to </w:t>
      </w:r>
      <w:r w:rsidR="00CC6264">
        <w:rPr>
          <w:rFonts w:ascii="Arial" w:hAnsi="Arial" w:cs="Arial"/>
        </w:rPr>
        <w:t>users (Panahi et al., 2015). Awareness of such an issue could substantiate a clear</w:t>
      </w:r>
      <w:r w:rsidR="00360403">
        <w:rPr>
          <w:rFonts w:ascii="Arial" w:hAnsi="Arial" w:cs="Arial"/>
        </w:rPr>
        <w:t xml:space="preserve"> educational</w:t>
      </w:r>
      <w:r w:rsidR="00CC6264">
        <w:rPr>
          <w:rFonts w:ascii="Arial" w:hAnsi="Arial" w:cs="Arial"/>
        </w:rPr>
        <w:t xml:space="preserve"> or training directive for schools and careers guidance bodies in the UK, to target those who may not possess </w:t>
      </w:r>
      <w:r w:rsidR="0060195C">
        <w:rPr>
          <w:rFonts w:ascii="Arial" w:hAnsi="Arial" w:cs="Arial"/>
        </w:rPr>
        <w:t>adequate</w:t>
      </w:r>
      <w:r w:rsidR="00CC6264">
        <w:rPr>
          <w:rFonts w:ascii="Arial" w:hAnsi="Arial" w:cs="Arial"/>
        </w:rPr>
        <w:t xml:space="preserve"> digital skills to use SNSs effectively. However, further research is required to</w:t>
      </w:r>
      <w:r w:rsidR="0060195C">
        <w:rPr>
          <w:rFonts w:ascii="Arial" w:hAnsi="Arial" w:cs="Arial"/>
        </w:rPr>
        <w:t xml:space="preserve"> determine the</w:t>
      </w:r>
      <w:r w:rsidR="00CC6264">
        <w:rPr>
          <w:rFonts w:ascii="Arial" w:hAnsi="Arial" w:cs="Arial"/>
        </w:rPr>
        <w:t xml:space="preserve"> specific barriers or enablers </w:t>
      </w:r>
      <w:r w:rsidR="00F11A69">
        <w:rPr>
          <w:rFonts w:ascii="Arial" w:hAnsi="Arial" w:cs="Arial"/>
        </w:rPr>
        <w:t>experience</w:t>
      </w:r>
      <w:r w:rsidR="0060195C">
        <w:rPr>
          <w:rFonts w:ascii="Arial" w:hAnsi="Arial" w:cs="Arial"/>
        </w:rPr>
        <w:t>d by young people</w:t>
      </w:r>
      <w:r w:rsidR="00CC6264">
        <w:rPr>
          <w:rFonts w:ascii="Arial" w:hAnsi="Arial" w:cs="Arial"/>
        </w:rPr>
        <w:t xml:space="preserve"> when using social media tools, and how employment information is sourced via such platforms. </w:t>
      </w:r>
      <w:r w:rsidR="005B203A">
        <w:rPr>
          <w:rFonts w:ascii="Arial" w:hAnsi="Arial" w:cs="Arial"/>
        </w:rPr>
        <w:t xml:space="preserve">This need is exemplified </w:t>
      </w:r>
      <w:r w:rsidR="009F1975">
        <w:rPr>
          <w:rFonts w:ascii="Arial" w:hAnsi="Arial" w:cs="Arial"/>
        </w:rPr>
        <w:t>by the finding</w:t>
      </w:r>
      <w:r w:rsidR="005B203A">
        <w:rPr>
          <w:rFonts w:ascii="Arial" w:hAnsi="Arial" w:cs="Arial"/>
        </w:rPr>
        <w:t xml:space="preserve"> </w:t>
      </w:r>
      <w:r w:rsidR="0060195C">
        <w:rPr>
          <w:rFonts w:ascii="Arial" w:hAnsi="Arial" w:cs="Arial"/>
        </w:rPr>
        <w:t xml:space="preserve">of this study </w:t>
      </w:r>
      <w:r w:rsidR="009F1975">
        <w:rPr>
          <w:rFonts w:ascii="Arial" w:hAnsi="Arial" w:cs="Arial"/>
        </w:rPr>
        <w:t>which shows that</w:t>
      </w:r>
      <w:r w:rsidR="005B203A">
        <w:rPr>
          <w:rFonts w:ascii="Arial" w:hAnsi="Arial" w:cs="Arial"/>
        </w:rPr>
        <w:t xml:space="preserve"> unemployed young people are significantly more likely to spend more than one hour a day using SNSs. The nature of such use needs to be investigated</w:t>
      </w:r>
      <w:r w:rsidR="0060195C">
        <w:rPr>
          <w:rFonts w:ascii="Arial" w:hAnsi="Arial" w:cs="Arial"/>
        </w:rPr>
        <w:t xml:space="preserve"> in a similar fashion to previous research, </w:t>
      </w:r>
      <w:r w:rsidR="005B203A">
        <w:rPr>
          <w:rFonts w:ascii="Arial" w:hAnsi="Arial" w:cs="Arial"/>
        </w:rPr>
        <w:t>where</w:t>
      </w:r>
      <w:r w:rsidR="0060195C">
        <w:rPr>
          <w:rFonts w:ascii="Arial" w:hAnsi="Arial" w:cs="Arial"/>
        </w:rPr>
        <w:t>in</w:t>
      </w:r>
      <w:r w:rsidR="005B203A">
        <w:rPr>
          <w:rFonts w:ascii="Arial" w:hAnsi="Arial" w:cs="Arial"/>
        </w:rPr>
        <w:t xml:space="preserve"> clear distinctions have been drawn </w:t>
      </w:r>
      <w:r w:rsidR="0060195C">
        <w:rPr>
          <w:rFonts w:ascii="Arial" w:hAnsi="Arial" w:cs="Arial"/>
        </w:rPr>
        <w:t xml:space="preserve">between </w:t>
      </w:r>
      <w:r w:rsidR="005B203A">
        <w:rPr>
          <w:rFonts w:ascii="Arial" w:hAnsi="Arial" w:cs="Arial"/>
        </w:rPr>
        <w:t>social and task-oriented use of SNSs (Lin and Lu, 2011).</w:t>
      </w:r>
    </w:p>
    <w:p w14:paraId="59DA559A" w14:textId="77777777" w:rsidR="00CC6264" w:rsidRDefault="006A4439" w:rsidP="007D33D1">
      <w:pPr>
        <w:spacing w:after="280" w:line="480" w:lineRule="auto"/>
        <w:jc w:val="both"/>
        <w:rPr>
          <w:rFonts w:ascii="Arial" w:hAnsi="Arial" w:cs="Arial"/>
        </w:rPr>
      </w:pPr>
      <w:r>
        <w:rPr>
          <w:rFonts w:ascii="Arial" w:hAnsi="Arial" w:cs="Arial"/>
        </w:rPr>
        <w:t>The results presented in this paper also suggest that the number of close friends young people have is not associated to employment status. However, the secondary data does not provide an opportunity to analyse the broader social network of the participants. It is possible that young people who are unemployed are stymied by dense social networks wherein strong ties</w:t>
      </w:r>
      <w:r w:rsidR="00F11A69">
        <w:rPr>
          <w:rFonts w:ascii="Arial" w:hAnsi="Arial" w:cs="Arial"/>
        </w:rPr>
        <w:t xml:space="preserve"> </w:t>
      </w:r>
      <w:r>
        <w:rPr>
          <w:rFonts w:ascii="Arial" w:hAnsi="Arial" w:cs="Arial"/>
        </w:rPr>
        <w:t xml:space="preserve">are dominant, with fewer weak ties acting as bridges into other social circles. </w:t>
      </w:r>
      <w:r w:rsidR="00E02EF0" w:rsidRPr="006F1F6A">
        <w:rPr>
          <w:rFonts w:ascii="Arial" w:hAnsi="Arial" w:cs="Arial"/>
        </w:rPr>
        <w:t xml:space="preserve">Indeed, research in </w:t>
      </w:r>
      <w:r w:rsidR="00E02EF0">
        <w:rPr>
          <w:rFonts w:ascii="Arial" w:hAnsi="Arial" w:cs="Arial"/>
        </w:rPr>
        <w:t xml:space="preserve">Glasgow - </w:t>
      </w:r>
      <w:r w:rsidR="00E02EF0" w:rsidRPr="006F1F6A">
        <w:rPr>
          <w:rFonts w:ascii="Arial" w:hAnsi="Arial" w:cs="Arial"/>
        </w:rPr>
        <w:t xml:space="preserve">Scotland’s largest city </w:t>
      </w:r>
      <w:r w:rsidR="00E02EF0">
        <w:rPr>
          <w:rFonts w:ascii="Arial" w:hAnsi="Arial" w:cs="Arial"/>
        </w:rPr>
        <w:t>-</w:t>
      </w:r>
      <w:r w:rsidR="00E02EF0" w:rsidRPr="006F1F6A">
        <w:rPr>
          <w:rFonts w:ascii="Arial" w:hAnsi="Arial" w:cs="Arial"/>
        </w:rPr>
        <w:t xml:space="preserve"> has shown that social networks which are confined to small geographical areas characterised by high levels of worklessness can have a deleterious impact on the employment op</w:t>
      </w:r>
      <w:r w:rsidR="00E02EF0">
        <w:rPr>
          <w:rFonts w:ascii="Arial" w:hAnsi="Arial" w:cs="Arial"/>
        </w:rPr>
        <w:t xml:space="preserve">portunities of individuals </w:t>
      </w:r>
      <w:r w:rsidR="00E02EF0" w:rsidRPr="006F1F6A">
        <w:rPr>
          <w:rFonts w:ascii="Arial" w:hAnsi="Arial" w:cs="Arial"/>
        </w:rPr>
        <w:t>residing in those areas</w:t>
      </w:r>
      <w:r w:rsidR="00E02EF0">
        <w:rPr>
          <w:rFonts w:ascii="Arial" w:hAnsi="Arial" w:cs="Arial"/>
        </w:rPr>
        <w:t xml:space="preserve"> (Quinn and</w:t>
      </w:r>
      <w:r w:rsidR="00E02EF0" w:rsidRPr="006F1F6A">
        <w:rPr>
          <w:rFonts w:ascii="Arial" w:hAnsi="Arial" w:cs="Arial"/>
        </w:rPr>
        <w:t xml:space="preserve"> Seaman, 2008). </w:t>
      </w:r>
      <w:r w:rsidR="009F1975">
        <w:rPr>
          <w:rFonts w:ascii="Arial" w:hAnsi="Arial" w:cs="Arial"/>
        </w:rPr>
        <w:t xml:space="preserve">To this end, </w:t>
      </w:r>
      <w:r w:rsidR="005A3606">
        <w:rPr>
          <w:rFonts w:ascii="Arial" w:hAnsi="Arial" w:cs="Arial"/>
        </w:rPr>
        <w:t>the informational benefits of SNSs could provide a valuable outlet to young jobseekers.</w:t>
      </w:r>
      <w:r w:rsidR="000E4AF7">
        <w:rPr>
          <w:rFonts w:ascii="Arial" w:hAnsi="Arial" w:cs="Arial"/>
        </w:rPr>
        <w:t xml:space="preserve"> </w:t>
      </w:r>
    </w:p>
    <w:p w14:paraId="2812E4AA" w14:textId="77777777" w:rsidR="009F1975" w:rsidRDefault="00BB2CDD" w:rsidP="007D33D1">
      <w:pPr>
        <w:spacing w:after="280" w:line="480" w:lineRule="auto"/>
        <w:jc w:val="both"/>
        <w:rPr>
          <w:rFonts w:ascii="Arial" w:hAnsi="Arial" w:cs="Arial"/>
        </w:rPr>
      </w:pPr>
      <w:r>
        <w:rPr>
          <w:rFonts w:ascii="Arial" w:hAnsi="Arial" w:cs="Arial"/>
        </w:rPr>
        <w:t xml:space="preserve">Another interesting finding from this study is the association between both age and sex, and the use of SNSs. As hypothesised, age was negatively associated with membership of SNSs. This suggests that emerging generations are increasingly adopting new digital platforms for interaction, and exemplifies the need for </w:t>
      </w:r>
      <w:r w:rsidR="00F528DE">
        <w:rPr>
          <w:rFonts w:ascii="Arial" w:hAnsi="Arial" w:cs="Arial"/>
        </w:rPr>
        <w:t xml:space="preserve">information literacy to be integrated into education to </w:t>
      </w:r>
      <w:r w:rsidR="0060195C">
        <w:rPr>
          <w:rFonts w:ascii="Arial" w:hAnsi="Arial" w:cs="Arial"/>
        </w:rPr>
        <w:t xml:space="preserve">assist learners </w:t>
      </w:r>
      <w:r w:rsidR="00F528DE">
        <w:rPr>
          <w:rFonts w:ascii="Arial" w:hAnsi="Arial" w:cs="Arial"/>
        </w:rPr>
        <w:t>navigate information online (Bruce, 2004; Fitzgerald</w:t>
      </w:r>
      <w:r w:rsidR="00970607">
        <w:rPr>
          <w:rFonts w:ascii="Arial" w:hAnsi="Arial" w:cs="Arial"/>
        </w:rPr>
        <w:t>, 2005</w:t>
      </w:r>
      <w:r w:rsidR="00F528DE">
        <w:rPr>
          <w:rFonts w:ascii="Arial" w:hAnsi="Arial" w:cs="Arial"/>
        </w:rPr>
        <w:t>)</w:t>
      </w:r>
      <w:r w:rsidR="005A3606">
        <w:rPr>
          <w:rFonts w:ascii="Arial" w:hAnsi="Arial" w:cs="Arial"/>
        </w:rPr>
        <w:t>.</w:t>
      </w:r>
      <w:r w:rsidR="00F528DE">
        <w:rPr>
          <w:rFonts w:ascii="Arial" w:hAnsi="Arial" w:cs="Arial"/>
        </w:rPr>
        <w:t xml:space="preserve"> </w:t>
      </w:r>
      <w:r w:rsidR="00214ED9">
        <w:rPr>
          <w:rFonts w:ascii="Arial" w:hAnsi="Arial" w:cs="Arial"/>
        </w:rPr>
        <w:t xml:space="preserve">In terms of sex, it is notable that females use SNSs more frequently than males, and that young females (and younger people generally) are less likely to be unemployed. Again, this reinforces the </w:t>
      </w:r>
      <w:r w:rsidR="00AE778B">
        <w:rPr>
          <w:rFonts w:ascii="Arial" w:hAnsi="Arial" w:cs="Arial"/>
        </w:rPr>
        <w:t xml:space="preserve">potential </w:t>
      </w:r>
      <w:r w:rsidR="004F079F">
        <w:rPr>
          <w:rFonts w:ascii="Arial" w:hAnsi="Arial" w:cs="Arial"/>
        </w:rPr>
        <w:t>relationship between the use of SN</w:t>
      </w:r>
      <w:r w:rsidR="00AE778B">
        <w:rPr>
          <w:rFonts w:ascii="Arial" w:hAnsi="Arial" w:cs="Arial"/>
        </w:rPr>
        <w:t>Ss and being in paid employment, and highlights the need for further research in this area.</w:t>
      </w:r>
    </w:p>
    <w:p w14:paraId="77DB20ED" w14:textId="77777777" w:rsidR="00C47A18" w:rsidRDefault="00C47A18" w:rsidP="00C47A18">
      <w:pPr>
        <w:pStyle w:val="Heading1"/>
      </w:pPr>
      <w:r>
        <w:t>Limitations</w:t>
      </w:r>
    </w:p>
    <w:p w14:paraId="2C8B15C4" w14:textId="77777777" w:rsidR="00FA0FEE" w:rsidRDefault="00C47A18" w:rsidP="00FA0FEE">
      <w:pPr>
        <w:spacing w:after="280" w:line="480" w:lineRule="auto"/>
        <w:jc w:val="both"/>
        <w:rPr>
          <w:rFonts w:ascii="Arial" w:hAnsi="Arial" w:cs="Arial"/>
        </w:rPr>
      </w:pPr>
      <w:r>
        <w:rPr>
          <w:rFonts w:ascii="Arial" w:hAnsi="Arial" w:cs="Arial"/>
        </w:rPr>
        <w:t xml:space="preserve">Despite the inferences derived from the results </w:t>
      </w:r>
      <w:r w:rsidR="00FA0FEE">
        <w:rPr>
          <w:rFonts w:ascii="Arial" w:hAnsi="Arial" w:cs="Arial"/>
        </w:rPr>
        <w:t xml:space="preserve">outlined above, </w:t>
      </w:r>
      <w:r>
        <w:rPr>
          <w:rFonts w:ascii="Arial" w:hAnsi="Arial" w:cs="Arial"/>
        </w:rPr>
        <w:t>th</w:t>
      </w:r>
      <w:r w:rsidR="0060195C">
        <w:rPr>
          <w:rFonts w:ascii="Arial" w:hAnsi="Arial" w:cs="Arial"/>
        </w:rPr>
        <w:t>ere are a number of caveats that</w:t>
      </w:r>
      <w:r w:rsidR="006E1D37">
        <w:rPr>
          <w:rFonts w:ascii="Arial" w:hAnsi="Arial" w:cs="Arial"/>
        </w:rPr>
        <w:t xml:space="preserve"> must be acknowledged. Firstly, the questions posed by the </w:t>
      </w:r>
      <w:r w:rsidR="006E1D37">
        <w:rPr>
          <w:rFonts w:ascii="Arial" w:hAnsi="Arial" w:cs="Arial"/>
          <w:i/>
        </w:rPr>
        <w:t xml:space="preserve">Innovation Panel </w:t>
      </w:r>
      <w:r w:rsidR="009E185B">
        <w:rPr>
          <w:rFonts w:ascii="Arial" w:hAnsi="Arial" w:cs="Arial"/>
        </w:rPr>
        <w:t>regarding the</w:t>
      </w:r>
      <w:r w:rsidR="00117AF2">
        <w:rPr>
          <w:rFonts w:ascii="Arial" w:hAnsi="Arial" w:cs="Arial"/>
        </w:rPr>
        <w:t xml:space="preserve"> use </w:t>
      </w:r>
      <w:r w:rsidR="009E185B">
        <w:rPr>
          <w:rFonts w:ascii="Arial" w:hAnsi="Arial" w:cs="Arial"/>
        </w:rPr>
        <w:t xml:space="preserve">of </w:t>
      </w:r>
      <w:r w:rsidR="00117AF2">
        <w:rPr>
          <w:rFonts w:ascii="Arial" w:hAnsi="Arial" w:cs="Arial"/>
        </w:rPr>
        <w:t xml:space="preserve">SNSs </w:t>
      </w:r>
      <w:r w:rsidR="009E185B">
        <w:rPr>
          <w:rFonts w:ascii="Arial" w:hAnsi="Arial" w:cs="Arial"/>
        </w:rPr>
        <w:t>do not specify individual digital platforms. As such,</w:t>
      </w:r>
      <w:r w:rsidR="003F42E9">
        <w:rPr>
          <w:rFonts w:ascii="Arial" w:hAnsi="Arial" w:cs="Arial"/>
        </w:rPr>
        <w:t xml:space="preserve"> the responses would have been based on the respondents’ own definition of SNSs</w:t>
      </w:r>
      <w:r w:rsidR="009E185B">
        <w:rPr>
          <w:rFonts w:ascii="Arial" w:hAnsi="Arial" w:cs="Arial"/>
        </w:rPr>
        <w:t xml:space="preserve">. Additionally, given the use of secondary data, </w:t>
      </w:r>
      <w:r>
        <w:rPr>
          <w:rFonts w:ascii="Arial" w:hAnsi="Arial" w:cs="Arial"/>
        </w:rPr>
        <w:t xml:space="preserve">is impossible to fully determine the causal factors which influence the results. For example, whilst the data </w:t>
      </w:r>
      <w:r w:rsidR="00D506A5">
        <w:rPr>
          <w:rFonts w:ascii="Arial" w:hAnsi="Arial" w:cs="Arial"/>
        </w:rPr>
        <w:t>imply</w:t>
      </w:r>
      <w:r w:rsidR="0020188D">
        <w:rPr>
          <w:rFonts w:ascii="Arial" w:hAnsi="Arial" w:cs="Arial"/>
        </w:rPr>
        <w:t xml:space="preserve"> </w:t>
      </w:r>
      <w:r>
        <w:rPr>
          <w:rFonts w:ascii="Arial" w:hAnsi="Arial" w:cs="Arial"/>
        </w:rPr>
        <w:t xml:space="preserve">that membership of SNSs is beneficial for employment outcomes, it is feasible that young people are more likely to join SNSs </w:t>
      </w:r>
      <w:r>
        <w:rPr>
          <w:rFonts w:ascii="Arial" w:hAnsi="Arial" w:cs="Arial"/>
          <w:i/>
        </w:rPr>
        <w:t xml:space="preserve">after </w:t>
      </w:r>
      <w:r w:rsidRPr="00C47A18">
        <w:rPr>
          <w:rFonts w:ascii="Arial" w:hAnsi="Arial" w:cs="Arial"/>
        </w:rPr>
        <w:t xml:space="preserve">securing </w:t>
      </w:r>
      <w:r>
        <w:rPr>
          <w:rFonts w:ascii="Arial" w:hAnsi="Arial" w:cs="Arial"/>
        </w:rPr>
        <w:t xml:space="preserve">employment. </w:t>
      </w:r>
      <w:r w:rsidR="009E185B">
        <w:rPr>
          <w:rFonts w:ascii="Arial" w:hAnsi="Arial" w:cs="Arial"/>
        </w:rPr>
        <w:t xml:space="preserve">Also, </w:t>
      </w:r>
      <w:r>
        <w:rPr>
          <w:rFonts w:ascii="Arial" w:hAnsi="Arial" w:cs="Arial"/>
        </w:rPr>
        <w:t>the original survey was repo</w:t>
      </w:r>
      <w:r w:rsidR="0060195C">
        <w:rPr>
          <w:rFonts w:ascii="Arial" w:hAnsi="Arial" w:cs="Arial"/>
        </w:rPr>
        <w:t>rting circumstances from 2012. G</w:t>
      </w:r>
      <w:r w:rsidR="00AA4D0E">
        <w:rPr>
          <w:rFonts w:ascii="Arial" w:hAnsi="Arial" w:cs="Arial"/>
        </w:rPr>
        <w:t>iven the continual advances in technology and adoption rates it is possible that there has been a significant shift in that time, wh</w:t>
      </w:r>
      <w:r w:rsidR="004B4BB8">
        <w:rPr>
          <w:rFonts w:ascii="Arial" w:hAnsi="Arial" w:cs="Arial"/>
        </w:rPr>
        <w:t>ich would affect the outcome of</w:t>
      </w:r>
      <w:r>
        <w:rPr>
          <w:rFonts w:ascii="Arial" w:hAnsi="Arial" w:cs="Arial"/>
        </w:rPr>
        <w:t xml:space="preserve"> </w:t>
      </w:r>
      <w:r w:rsidR="00AA4D0E">
        <w:rPr>
          <w:rFonts w:ascii="Arial" w:hAnsi="Arial" w:cs="Arial"/>
        </w:rPr>
        <w:t>a similar study</w:t>
      </w:r>
      <w:r w:rsidR="0020188D">
        <w:rPr>
          <w:rFonts w:ascii="Arial" w:hAnsi="Arial" w:cs="Arial"/>
        </w:rPr>
        <w:t xml:space="preserve"> with contemporary data</w:t>
      </w:r>
      <w:r w:rsidR="00AA4D0E">
        <w:rPr>
          <w:rFonts w:ascii="Arial" w:hAnsi="Arial" w:cs="Arial"/>
        </w:rPr>
        <w:t>. Finally, wealth is a potentially important variable which has not been controlled for in this study</w:t>
      </w:r>
      <w:r w:rsidR="004B4BB8">
        <w:rPr>
          <w:rFonts w:ascii="Arial" w:hAnsi="Arial" w:cs="Arial"/>
        </w:rPr>
        <w:t>. It</w:t>
      </w:r>
      <w:r w:rsidR="00A21637">
        <w:rPr>
          <w:rFonts w:ascii="Arial" w:hAnsi="Arial" w:cs="Arial"/>
        </w:rPr>
        <w:t xml:space="preserve"> is plausible that personal or family wealth predicts the use of SNSs over and above employme</w:t>
      </w:r>
      <w:r w:rsidR="00FA0FEE">
        <w:rPr>
          <w:rFonts w:ascii="Arial" w:hAnsi="Arial" w:cs="Arial"/>
        </w:rPr>
        <w:t>nt status</w:t>
      </w:r>
    </w:p>
    <w:p w14:paraId="6ECEC8CE" w14:textId="77777777" w:rsidR="00FA0FEE" w:rsidRPr="00FA0FEE" w:rsidRDefault="00FA0FEE" w:rsidP="00FA0FEE">
      <w:pPr>
        <w:pStyle w:val="Heading1"/>
        <w:rPr>
          <w:rFonts w:cs="Arial"/>
        </w:rPr>
      </w:pPr>
      <w:r w:rsidRPr="00A14436">
        <w:t>Conclusion</w:t>
      </w:r>
    </w:p>
    <w:p w14:paraId="0DFA876B" w14:textId="03026C04" w:rsidR="00CB7791" w:rsidRPr="00CB7791" w:rsidRDefault="00AE778B" w:rsidP="00CB7791">
      <w:pPr>
        <w:spacing w:after="280" w:line="480" w:lineRule="auto"/>
        <w:jc w:val="both"/>
        <w:rPr>
          <w:rFonts w:ascii="Arial" w:hAnsi="Arial" w:cs="Arial"/>
        </w:rPr>
      </w:pPr>
      <w:r>
        <w:rPr>
          <w:rFonts w:ascii="Arial" w:hAnsi="Arial" w:cs="Arial"/>
        </w:rPr>
        <w:t xml:space="preserve">This paper provides clear evidence of a link between the use of SNSs and employment status amongst young people in the 16-21 age group. By utilising data sourced from the </w:t>
      </w:r>
      <w:r>
        <w:rPr>
          <w:rFonts w:ascii="Arial" w:hAnsi="Arial" w:cs="Arial"/>
          <w:i/>
        </w:rPr>
        <w:t xml:space="preserve">Understanding Society </w:t>
      </w:r>
      <w:r>
        <w:rPr>
          <w:rFonts w:ascii="Arial" w:hAnsi="Arial" w:cs="Arial"/>
        </w:rPr>
        <w:t xml:space="preserve">study, it also highlights the value of using secondary data for such purposes, </w:t>
      </w:r>
      <w:r w:rsidR="00783A07">
        <w:rPr>
          <w:rFonts w:ascii="Arial" w:hAnsi="Arial" w:cs="Arial"/>
        </w:rPr>
        <w:t xml:space="preserve">and how the </w:t>
      </w:r>
      <w:r>
        <w:rPr>
          <w:rFonts w:ascii="Arial" w:hAnsi="Arial" w:cs="Arial"/>
        </w:rPr>
        <w:t xml:space="preserve">results </w:t>
      </w:r>
      <w:r w:rsidR="00783A07">
        <w:rPr>
          <w:rFonts w:ascii="Arial" w:hAnsi="Arial" w:cs="Arial"/>
        </w:rPr>
        <w:t xml:space="preserve">from such projects </w:t>
      </w:r>
      <w:r>
        <w:rPr>
          <w:rFonts w:ascii="Arial" w:hAnsi="Arial" w:cs="Arial"/>
        </w:rPr>
        <w:t xml:space="preserve">can be used as a basis for conducting further research. </w:t>
      </w:r>
      <w:r w:rsidR="00783A07">
        <w:rPr>
          <w:rFonts w:ascii="Arial" w:hAnsi="Arial" w:cs="Arial"/>
        </w:rPr>
        <w:t xml:space="preserve">For example, the </w:t>
      </w:r>
      <w:r>
        <w:rPr>
          <w:rFonts w:ascii="Arial" w:hAnsi="Arial" w:cs="Arial"/>
        </w:rPr>
        <w:t xml:space="preserve">outcomes of the current study provide a useful platform from which to investigate the </w:t>
      </w:r>
      <w:r w:rsidR="00783A07">
        <w:rPr>
          <w:rFonts w:ascii="Arial" w:hAnsi="Arial" w:cs="Arial"/>
        </w:rPr>
        <w:t>adoption</w:t>
      </w:r>
      <w:r>
        <w:rPr>
          <w:rFonts w:ascii="Arial" w:hAnsi="Arial" w:cs="Arial"/>
        </w:rPr>
        <w:t xml:space="preserve"> of social media tools </w:t>
      </w:r>
      <w:r w:rsidR="00783A07">
        <w:rPr>
          <w:rFonts w:ascii="Arial" w:hAnsi="Arial" w:cs="Arial"/>
        </w:rPr>
        <w:t xml:space="preserve">during job search, and the barriers or enablers young people face when using such technologies to source relevant job information. </w:t>
      </w:r>
      <w:r w:rsidR="00661D2D">
        <w:rPr>
          <w:rFonts w:ascii="Arial" w:hAnsi="Arial" w:cs="Arial"/>
        </w:rPr>
        <w:t xml:space="preserve">It also underlines the importance of demonstrating the means by which social media tools such as SNSs </w:t>
      </w:r>
      <w:r w:rsidR="00B24713">
        <w:rPr>
          <w:rFonts w:ascii="Arial" w:hAnsi="Arial" w:cs="Arial"/>
        </w:rPr>
        <w:t>are used by young jobseekers</w:t>
      </w:r>
      <w:r w:rsidR="00661D2D">
        <w:rPr>
          <w:rFonts w:ascii="Arial" w:hAnsi="Arial" w:cs="Arial"/>
        </w:rPr>
        <w:t xml:space="preserve">, and </w:t>
      </w:r>
      <w:r w:rsidR="00B24713">
        <w:rPr>
          <w:rFonts w:ascii="Arial" w:hAnsi="Arial" w:cs="Arial"/>
        </w:rPr>
        <w:t>which specific functions they use for that purpose</w:t>
      </w:r>
      <w:r w:rsidR="00661D2D">
        <w:rPr>
          <w:rFonts w:ascii="Arial" w:hAnsi="Arial" w:cs="Arial"/>
        </w:rPr>
        <w:t xml:space="preserve">. </w:t>
      </w:r>
      <w:r w:rsidR="001038F5">
        <w:rPr>
          <w:rFonts w:ascii="Arial" w:hAnsi="Arial" w:cs="Arial"/>
        </w:rPr>
        <w:t>This</w:t>
      </w:r>
      <w:r w:rsidR="00783A07">
        <w:rPr>
          <w:rFonts w:ascii="Arial" w:hAnsi="Arial" w:cs="Arial"/>
        </w:rPr>
        <w:t xml:space="preserve"> knowledge will be particularly relevant to</w:t>
      </w:r>
      <w:r w:rsidR="00E378B9">
        <w:rPr>
          <w:rFonts w:ascii="Arial" w:hAnsi="Arial" w:cs="Arial"/>
        </w:rPr>
        <w:t xml:space="preserve"> education</w:t>
      </w:r>
      <w:r w:rsidR="00783A07">
        <w:rPr>
          <w:rFonts w:ascii="Arial" w:hAnsi="Arial" w:cs="Arial"/>
        </w:rPr>
        <w:t xml:space="preserve"> careers guidance </w:t>
      </w:r>
      <w:r w:rsidR="00E378B9">
        <w:rPr>
          <w:rFonts w:ascii="Arial" w:hAnsi="Arial" w:cs="Arial"/>
        </w:rPr>
        <w:t>providers, in assisting jobseekers in an increasingly networked environment.</w:t>
      </w:r>
      <w:r w:rsidR="004B4BB8">
        <w:rPr>
          <w:rFonts w:ascii="Arial" w:hAnsi="Arial" w:cs="Arial"/>
        </w:rPr>
        <w:t xml:space="preserve"> Such work is currently being undertaken as part of </w:t>
      </w:r>
      <w:r w:rsidR="00440E2D">
        <w:rPr>
          <w:rFonts w:ascii="Arial" w:hAnsi="Arial" w:cs="Arial"/>
        </w:rPr>
        <w:t>the wider study cited earlier which is</w:t>
      </w:r>
      <w:r w:rsidR="004B4BB8">
        <w:rPr>
          <w:rFonts w:ascii="Arial" w:hAnsi="Arial" w:cs="Arial"/>
        </w:rPr>
        <w:t xml:space="preserve"> funded by the ESRC </w:t>
      </w:r>
      <w:r w:rsidR="00CB4836">
        <w:rPr>
          <w:rFonts w:ascii="Arial" w:hAnsi="Arial" w:cs="Arial"/>
        </w:rPr>
        <w:t xml:space="preserve">(grant no. </w:t>
      </w:r>
      <w:r w:rsidR="00CB4836" w:rsidRPr="00CB4836">
        <w:rPr>
          <w:rFonts w:ascii="Arial" w:hAnsi="Arial" w:cs="Arial"/>
        </w:rPr>
        <w:t>ES/J500136/1</w:t>
      </w:r>
      <w:r w:rsidR="00CB4836">
        <w:rPr>
          <w:rFonts w:ascii="Arial" w:hAnsi="Arial" w:cs="Arial"/>
        </w:rPr>
        <w:t xml:space="preserve">) </w:t>
      </w:r>
      <w:r w:rsidR="004B4BB8">
        <w:rPr>
          <w:rFonts w:ascii="Arial" w:hAnsi="Arial" w:cs="Arial"/>
        </w:rPr>
        <w:t>and Skills Development Scotland.</w:t>
      </w:r>
    </w:p>
    <w:p w14:paraId="5F29BBA8" w14:textId="77777777" w:rsidR="00A14436" w:rsidRPr="00FF4385" w:rsidRDefault="00256980" w:rsidP="00FF4385">
      <w:pPr>
        <w:pStyle w:val="Heading1"/>
      </w:pPr>
      <w:r w:rsidRPr="00A14436">
        <w:t>References</w:t>
      </w:r>
    </w:p>
    <w:p w14:paraId="5F11072D" w14:textId="77777777" w:rsidR="00970607" w:rsidRPr="00970607" w:rsidRDefault="00970607" w:rsidP="00970607">
      <w:pPr>
        <w:spacing w:after="0" w:line="240" w:lineRule="auto"/>
        <w:ind w:left="720" w:hanging="720"/>
        <w:rPr>
          <w:rFonts w:ascii="Arial" w:eastAsia="Times New Roman" w:hAnsi="Arial" w:cs="Arial"/>
          <w:lang w:eastAsia="en-GB"/>
        </w:rPr>
      </w:pPr>
      <w:r w:rsidRPr="00970607">
        <w:rPr>
          <w:rFonts w:ascii="Arial" w:eastAsia="Times New Roman" w:hAnsi="Arial" w:cs="Arial"/>
          <w:lang w:eastAsia="en-GB"/>
        </w:rPr>
        <w:t xml:space="preserve">Adecco Group (2014). </w:t>
      </w:r>
      <w:r w:rsidRPr="00970607">
        <w:rPr>
          <w:rFonts w:ascii="Arial" w:eastAsia="Times New Roman" w:hAnsi="Arial" w:cs="Arial"/>
          <w:i/>
          <w:lang w:eastAsia="en-GB"/>
        </w:rPr>
        <w:t xml:space="preserve">#Socialrecruiting a global study: Job search, digital reputation, and HR practices in the social media age. </w:t>
      </w:r>
      <w:r w:rsidRPr="00970607">
        <w:rPr>
          <w:rFonts w:ascii="Arial" w:eastAsia="Times New Roman" w:hAnsi="Arial" w:cs="Arial"/>
          <w:lang w:eastAsia="en-GB"/>
        </w:rPr>
        <w:t xml:space="preserve">[Online]. Available at: </w:t>
      </w:r>
      <w:hyperlink r:id="rId8" w:history="1">
        <w:r w:rsidRPr="00970607">
          <w:rPr>
            <w:rStyle w:val="Hyperlink"/>
            <w:rFonts w:ascii="Arial" w:eastAsia="Times New Roman" w:hAnsi="Arial" w:cs="Arial"/>
            <w:lang w:eastAsia="en-GB"/>
          </w:rPr>
          <w:t>http://www.adecco.com/en-US/Industry-Insights/Documents/social-recruiting/adecco-global-social-recruiting-survey-global-report.pdf</w:t>
        </w:r>
      </w:hyperlink>
      <w:r w:rsidRPr="00970607">
        <w:rPr>
          <w:rFonts w:ascii="Arial" w:eastAsia="Times New Roman" w:hAnsi="Arial" w:cs="Arial"/>
          <w:lang w:eastAsia="en-GB"/>
        </w:rPr>
        <w:t xml:space="preserve"> [Accessed 16th August 2015].</w:t>
      </w:r>
    </w:p>
    <w:p w14:paraId="2B4D3FD0" w14:textId="77777777" w:rsidR="00970607" w:rsidRDefault="00970607" w:rsidP="00970607">
      <w:pPr>
        <w:spacing w:after="120" w:line="240" w:lineRule="auto"/>
        <w:rPr>
          <w:rFonts w:ascii="Arial" w:eastAsia="Times New Roman" w:hAnsi="Arial" w:cs="Arial"/>
          <w:lang w:eastAsia="en-GB"/>
        </w:rPr>
      </w:pPr>
    </w:p>
    <w:p w14:paraId="4D95C8B5"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Bell, D. N., &amp; Blanchflower, D. G. (2011). Young people and the Great Recession. </w:t>
      </w:r>
      <w:r w:rsidRPr="002C425F">
        <w:rPr>
          <w:rFonts w:ascii="Arial" w:eastAsia="Times New Roman" w:hAnsi="Arial" w:cs="Arial"/>
          <w:i/>
          <w:lang w:eastAsia="en-GB"/>
        </w:rPr>
        <w:t>Oxford Review of Economic Policy</w:t>
      </w:r>
      <w:r w:rsidRPr="00E04DE1">
        <w:rPr>
          <w:rFonts w:ascii="Arial" w:eastAsia="Times New Roman" w:hAnsi="Arial" w:cs="Arial"/>
          <w:lang w:eastAsia="en-GB"/>
        </w:rPr>
        <w:t xml:space="preserve">, </w:t>
      </w:r>
      <w:r w:rsidRPr="002C425F">
        <w:rPr>
          <w:rFonts w:ascii="Arial" w:eastAsia="Times New Roman" w:hAnsi="Arial" w:cs="Arial"/>
          <w:i/>
          <w:lang w:eastAsia="en-GB"/>
        </w:rPr>
        <w:t>27</w:t>
      </w:r>
      <w:r w:rsidRPr="00E04DE1">
        <w:rPr>
          <w:rFonts w:ascii="Arial" w:eastAsia="Times New Roman" w:hAnsi="Arial" w:cs="Arial"/>
          <w:lang w:eastAsia="en-GB"/>
        </w:rPr>
        <w:t>(2), 241-267.</w:t>
      </w:r>
    </w:p>
    <w:p w14:paraId="06419FCC" w14:textId="77777777" w:rsidR="00761C27" w:rsidRPr="00E04DE1" w:rsidRDefault="00761C27" w:rsidP="00E04DE1">
      <w:pPr>
        <w:spacing w:after="120" w:line="240" w:lineRule="auto"/>
        <w:ind w:left="720" w:hanging="720"/>
        <w:rPr>
          <w:rFonts w:ascii="Arial" w:eastAsia="Times New Roman" w:hAnsi="Arial" w:cs="Arial"/>
          <w:lang w:eastAsia="en-GB"/>
        </w:rPr>
      </w:pPr>
    </w:p>
    <w:p w14:paraId="1E9C18FF" w14:textId="77777777" w:rsidR="00761C27" w:rsidRDefault="00761C27"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Bennett, S., Maton, K., &amp; Kervin, L. (2008). The ‘digital natives’ debate: A critical review of the evidence. </w:t>
      </w:r>
      <w:r w:rsidRPr="002C425F">
        <w:rPr>
          <w:rFonts w:ascii="Arial" w:eastAsia="Times New Roman" w:hAnsi="Arial" w:cs="Arial"/>
          <w:i/>
          <w:lang w:eastAsia="en-GB"/>
        </w:rPr>
        <w:t>British journal of educational technology</w:t>
      </w:r>
      <w:r w:rsidRPr="00E04DE1">
        <w:rPr>
          <w:rFonts w:ascii="Arial" w:eastAsia="Times New Roman" w:hAnsi="Arial" w:cs="Arial"/>
          <w:lang w:eastAsia="en-GB"/>
        </w:rPr>
        <w:t xml:space="preserve">, </w:t>
      </w:r>
      <w:r w:rsidRPr="002C425F">
        <w:rPr>
          <w:rFonts w:ascii="Arial" w:eastAsia="Times New Roman" w:hAnsi="Arial" w:cs="Arial"/>
          <w:i/>
          <w:lang w:eastAsia="en-GB"/>
        </w:rPr>
        <w:t>39</w:t>
      </w:r>
      <w:r w:rsidRPr="00E04DE1">
        <w:rPr>
          <w:rFonts w:ascii="Arial" w:eastAsia="Times New Roman" w:hAnsi="Arial" w:cs="Arial"/>
          <w:lang w:eastAsia="en-GB"/>
        </w:rPr>
        <w:t>(5), 775-786.</w:t>
      </w:r>
    </w:p>
    <w:p w14:paraId="6577B7D7" w14:textId="77777777" w:rsidR="00D669D1" w:rsidRDefault="00D669D1" w:rsidP="00E04DE1">
      <w:pPr>
        <w:spacing w:after="120" w:line="240" w:lineRule="auto"/>
        <w:ind w:left="720" w:hanging="720"/>
        <w:rPr>
          <w:rFonts w:ascii="Arial" w:eastAsia="Times New Roman" w:hAnsi="Arial" w:cs="Arial"/>
          <w:lang w:eastAsia="en-GB"/>
        </w:rPr>
      </w:pPr>
    </w:p>
    <w:p w14:paraId="3CD49EB4" w14:textId="77777777" w:rsidR="00D669D1" w:rsidRPr="00D669D1" w:rsidRDefault="00D669D1" w:rsidP="00D669D1">
      <w:pPr>
        <w:spacing w:after="0" w:line="240" w:lineRule="auto"/>
        <w:ind w:left="720" w:hanging="720"/>
        <w:rPr>
          <w:rFonts w:ascii="Arial" w:eastAsia="Times New Roman" w:hAnsi="Arial" w:cs="Arial"/>
          <w:lang w:eastAsia="en-GB"/>
        </w:rPr>
      </w:pPr>
      <w:r>
        <w:rPr>
          <w:rFonts w:ascii="Arial" w:eastAsia="Times New Roman" w:hAnsi="Arial" w:cs="Arial"/>
          <w:lang w:eastAsia="en-GB"/>
        </w:rPr>
        <w:t>b</w:t>
      </w:r>
      <w:r w:rsidRPr="00D669D1">
        <w:rPr>
          <w:rFonts w:ascii="Arial" w:eastAsia="Times New Roman" w:hAnsi="Arial" w:cs="Arial"/>
          <w:lang w:eastAsia="en-GB"/>
        </w:rPr>
        <w:t xml:space="preserve">oyd, d. &amp; Ellison, N. (2007). Social network sites: Definition, history, and scholarship. </w:t>
      </w:r>
      <w:r w:rsidRPr="00D669D1">
        <w:rPr>
          <w:rFonts w:ascii="Arial" w:eastAsia="Times New Roman" w:hAnsi="Arial" w:cs="Arial"/>
          <w:i/>
          <w:lang w:eastAsia="en-GB"/>
        </w:rPr>
        <w:t>Journal of Computer</w:t>
      </w:r>
      <w:r w:rsidRPr="00D669D1">
        <w:rPr>
          <w:rFonts w:ascii="Cambria Math" w:eastAsia="Times New Roman" w:hAnsi="Cambria Math" w:cs="Cambria Math"/>
          <w:i/>
          <w:lang w:eastAsia="en-GB"/>
        </w:rPr>
        <w:t>‐</w:t>
      </w:r>
      <w:r w:rsidRPr="00D669D1">
        <w:rPr>
          <w:rFonts w:ascii="Arial" w:eastAsia="Times New Roman" w:hAnsi="Arial" w:cs="Arial"/>
          <w:i/>
          <w:lang w:eastAsia="en-GB"/>
        </w:rPr>
        <w:t>Mediated Communication, 13</w:t>
      </w:r>
      <w:r w:rsidRPr="00D669D1">
        <w:rPr>
          <w:rFonts w:ascii="Arial" w:eastAsia="Times New Roman" w:hAnsi="Arial" w:cs="Arial"/>
          <w:lang w:eastAsia="en-GB"/>
        </w:rPr>
        <w:t>(1), 210-230.</w:t>
      </w:r>
    </w:p>
    <w:p w14:paraId="43D932F0" w14:textId="77777777" w:rsidR="00B831F0" w:rsidRDefault="00B831F0" w:rsidP="00E04DE1">
      <w:pPr>
        <w:spacing w:after="120" w:line="240" w:lineRule="auto"/>
        <w:ind w:left="720" w:hanging="720"/>
        <w:rPr>
          <w:rFonts w:ascii="Arial" w:eastAsia="Times New Roman" w:hAnsi="Arial" w:cs="Arial"/>
          <w:lang w:eastAsia="en-GB"/>
        </w:rPr>
      </w:pPr>
    </w:p>
    <w:p w14:paraId="7E83E8F7" w14:textId="77777777" w:rsidR="00B831F0" w:rsidRPr="00B831F0" w:rsidRDefault="00B831F0" w:rsidP="00B831F0">
      <w:pPr>
        <w:spacing w:after="0" w:line="240" w:lineRule="auto"/>
        <w:ind w:left="720" w:hanging="720"/>
        <w:rPr>
          <w:rFonts w:ascii="Arial" w:eastAsia="Times New Roman" w:hAnsi="Arial" w:cs="Arial"/>
          <w:lang w:eastAsia="en-GB"/>
        </w:rPr>
      </w:pPr>
      <w:r w:rsidRPr="00B831F0">
        <w:rPr>
          <w:rFonts w:ascii="Arial" w:eastAsia="Times New Roman" w:hAnsi="Arial" w:cs="Arial"/>
          <w:lang w:eastAsia="en-GB"/>
        </w:rPr>
        <w:t>Brown, J. J., &amp; Reingen, P. H. (1987). Social ties and word-of-mouth referral behavior.</w:t>
      </w:r>
      <w:r w:rsidRPr="00D669D1">
        <w:rPr>
          <w:rFonts w:ascii="Arial" w:eastAsia="Times New Roman" w:hAnsi="Arial" w:cs="Arial"/>
          <w:lang w:eastAsia="en-GB"/>
        </w:rPr>
        <w:t> </w:t>
      </w:r>
      <w:r w:rsidRPr="00D669D1">
        <w:rPr>
          <w:rFonts w:ascii="Arial" w:eastAsia="Times New Roman" w:hAnsi="Arial" w:cs="Arial"/>
          <w:i/>
          <w:lang w:eastAsia="en-GB"/>
        </w:rPr>
        <w:t>Journal of Consumer research, 14</w:t>
      </w:r>
      <w:r>
        <w:rPr>
          <w:rFonts w:ascii="Arial" w:eastAsia="Times New Roman" w:hAnsi="Arial" w:cs="Arial"/>
          <w:lang w:eastAsia="en-GB"/>
        </w:rPr>
        <w:t>(3),</w:t>
      </w:r>
      <w:r w:rsidRPr="00B831F0">
        <w:rPr>
          <w:rFonts w:ascii="Arial" w:eastAsia="Times New Roman" w:hAnsi="Arial" w:cs="Arial"/>
          <w:lang w:eastAsia="en-GB"/>
        </w:rPr>
        <w:t xml:space="preserve"> 350-362.</w:t>
      </w:r>
    </w:p>
    <w:p w14:paraId="258D4C62" w14:textId="77777777" w:rsidR="00E04DE1" w:rsidRPr="00E04DE1" w:rsidRDefault="00E04DE1" w:rsidP="00E04DE1">
      <w:pPr>
        <w:spacing w:after="120" w:line="240" w:lineRule="auto"/>
        <w:ind w:left="720" w:hanging="720"/>
        <w:rPr>
          <w:rFonts w:ascii="Arial" w:eastAsia="Times New Roman" w:hAnsi="Arial" w:cs="Arial"/>
          <w:lang w:eastAsia="en-GB"/>
        </w:rPr>
      </w:pPr>
    </w:p>
    <w:p w14:paraId="38B820CC" w14:textId="77777777" w:rsidR="00584B1B" w:rsidRDefault="002C425F" w:rsidP="00E04DE1">
      <w:pPr>
        <w:spacing w:after="120" w:line="240" w:lineRule="auto"/>
        <w:ind w:left="720" w:hanging="720"/>
        <w:rPr>
          <w:rFonts w:ascii="Arial" w:eastAsia="Times New Roman" w:hAnsi="Arial" w:cs="Arial"/>
          <w:lang w:eastAsia="en-GB"/>
        </w:rPr>
      </w:pPr>
      <w:r w:rsidRPr="00647255">
        <w:rPr>
          <w:rFonts w:ascii="Arial" w:eastAsia="Times New Roman" w:hAnsi="Arial" w:cs="Arial"/>
          <w:lang w:eastAsia="en-GB"/>
        </w:rPr>
        <w:t>Bruce, C</w:t>
      </w:r>
      <w:r w:rsidR="00647255">
        <w:rPr>
          <w:rFonts w:ascii="Arial" w:eastAsia="Times New Roman" w:hAnsi="Arial" w:cs="Arial"/>
          <w:lang w:eastAsia="en-GB"/>
        </w:rPr>
        <w:t>.S. (2004) Information literacy as a catalyst for educational c</w:t>
      </w:r>
      <w:r w:rsidRPr="00647255">
        <w:rPr>
          <w:rFonts w:ascii="Arial" w:eastAsia="Times New Roman" w:hAnsi="Arial" w:cs="Arial"/>
          <w:lang w:eastAsia="en-GB"/>
        </w:rPr>
        <w:t xml:space="preserve">hange. </w:t>
      </w:r>
      <w:r w:rsidR="00647255">
        <w:rPr>
          <w:rFonts w:ascii="Arial" w:eastAsia="Times New Roman" w:hAnsi="Arial" w:cs="Arial"/>
          <w:lang w:eastAsia="en-GB"/>
        </w:rPr>
        <w:t xml:space="preserve">A background paper. In P.A. Danaher (Ed.), </w:t>
      </w:r>
      <w:r w:rsidRPr="00647255">
        <w:rPr>
          <w:rFonts w:ascii="Arial" w:eastAsia="Times New Roman" w:hAnsi="Arial" w:cs="Arial"/>
          <w:i/>
          <w:lang w:eastAsia="en-GB"/>
        </w:rPr>
        <w:t>Lifelong Learning: Whose responsibility and what is your contribution?</w:t>
      </w:r>
      <w:r w:rsidRPr="00647255">
        <w:rPr>
          <w:rFonts w:ascii="Arial" w:eastAsia="Times New Roman" w:hAnsi="Arial" w:cs="Arial"/>
          <w:lang w:eastAsia="en-GB"/>
        </w:rPr>
        <w:t xml:space="preserve">, </w:t>
      </w:r>
      <w:r w:rsidRPr="00647255">
        <w:rPr>
          <w:rFonts w:ascii="Arial" w:eastAsia="Times New Roman" w:hAnsi="Arial" w:cs="Arial"/>
          <w:i/>
          <w:lang w:eastAsia="en-GB"/>
        </w:rPr>
        <w:t>The 3rd International Lifelong Learning Conference</w:t>
      </w:r>
      <w:r w:rsidRPr="00647255">
        <w:rPr>
          <w:rFonts w:ascii="Arial" w:eastAsia="Times New Roman" w:hAnsi="Arial" w:cs="Arial"/>
          <w:lang w:eastAsia="en-GB"/>
        </w:rPr>
        <w:t xml:space="preserve">, </w:t>
      </w:r>
      <w:r w:rsidR="00647255">
        <w:rPr>
          <w:rFonts w:ascii="Arial" w:eastAsia="Times New Roman" w:hAnsi="Arial" w:cs="Arial"/>
          <w:lang w:eastAsia="en-GB"/>
        </w:rPr>
        <w:t xml:space="preserve">[Online]. Available at: </w:t>
      </w:r>
      <w:hyperlink r:id="rId9" w:history="1">
        <w:r w:rsidR="00647255" w:rsidRPr="008501A8">
          <w:rPr>
            <w:rStyle w:val="Hyperlink"/>
            <w:rFonts w:ascii="Arial" w:eastAsia="Times New Roman" w:hAnsi="Arial" w:cs="Arial"/>
            <w:lang w:eastAsia="en-GB"/>
          </w:rPr>
          <w:t>http://eprints.qut.edu.au/4977/1/4977_1.pdf</w:t>
        </w:r>
      </w:hyperlink>
      <w:r w:rsidR="00647255">
        <w:rPr>
          <w:rFonts w:ascii="Arial" w:eastAsia="Times New Roman" w:hAnsi="Arial" w:cs="Arial"/>
          <w:lang w:eastAsia="en-GB"/>
        </w:rPr>
        <w:t xml:space="preserve">, </w:t>
      </w:r>
      <w:r w:rsidR="00D53780">
        <w:rPr>
          <w:rFonts w:ascii="Arial" w:eastAsia="Times New Roman" w:hAnsi="Arial" w:cs="Arial"/>
          <w:lang w:eastAsia="en-GB"/>
        </w:rPr>
        <w:t>[Accessed 17th December</w:t>
      </w:r>
      <w:r w:rsidR="00B831F0" w:rsidRPr="00970607">
        <w:rPr>
          <w:rFonts w:ascii="Arial" w:eastAsia="Times New Roman" w:hAnsi="Arial" w:cs="Arial"/>
          <w:lang w:eastAsia="en-GB"/>
        </w:rPr>
        <w:t xml:space="preserve"> 2015</w:t>
      </w:r>
      <w:r w:rsidR="00B831F0">
        <w:rPr>
          <w:rFonts w:ascii="Arial" w:eastAsia="Times New Roman" w:hAnsi="Arial" w:cs="Arial"/>
          <w:lang w:eastAsia="en-GB"/>
        </w:rPr>
        <w:t>].</w:t>
      </w:r>
      <w:r w:rsidR="00647255">
        <w:rPr>
          <w:rFonts w:ascii="Arial" w:eastAsia="Times New Roman" w:hAnsi="Arial" w:cs="Arial"/>
          <w:lang w:eastAsia="en-GB"/>
        </w:rPr>
        <w:t xml:space="preserve"> </w:t>
      </w:r>
    </w:p>
    <w:p w14:paraId="0ACEF9BF" w14:textId="77777777" w:rsidR="002C425F" w:rsidRDefault="002C425F" w:rsidP="00E04DE1">
      <w:pPr>
        <w:spacing w:after="120" w:line="240" w:lineRule="auto"/>
        <w:ind w:left="720" w:hanging="720"/>
        <w:rPr>
          <w:rFonts w:ascii="Arial" w:eastAsia="Times New Roman" w:hAnsi="Arial" w:cs="Arial"/>
          <w:lang w:eastAsia="en-GB"/>
        </w:rPr>
      </w:pPr>
    </w:p>
    <w:p w14:paraId="414FBA60" w14:textId="77777777" w:rsidR="00360AE4" w:rsidRPr="00360AE4" w:rsidRDefault="00360AE4" w:rsidP="00360AE4">
      <w:pPr>
        <w:spacing w:after="0" w:line="240" w:lineRule="auto"/>
        <w:ind w:left="720" w:hanging="720"/>
        <w:rPr>
          <w:rFonts w:ascii="Arial" w:eastAsia="Times New Roman" w:hAnsi="Arial" w:cs="Arial"/>
          <w:lang w:eastAsia="en-GB"/>
        </w:rPr>
      </w:pPr>
      <w:r w:rsidRPr="00360AE4">
        <w:rPr>
          <w:rFonts w:ascii="Arial" w:eastAsia="Times New Roman" w:hAnsi="Arial" w:cs="Arial"/>
          <w:lang w:eastAsia="en-GB"/>
        </w:rPr>
        <w:t xml:space="preserve">Burke, M., &amp; Kraut, R. (2013, February). Using Facebook after losing a job: Differential benefits of strong and weak ties. In </w:t>
      </w:r>
      <w:r w:rsidRPr="00360AE4">
        <w:rPr>
          <w:rFonts w:ascii="Arial" w:eastAsia="Times New Roman" w:hAnsi="Arial" w:cs="Arial"/>
          <w:i/>
          <w:lang w:eastAsia="en-GB"/>
        </w:rPr>
        <w:t>Proceedings of the 2013 conference on Computer supported cooperative work</w:t>
      </w:r>
      <w:r w:rsidR="00D53780">
        <w:rPr>
          <w:rFonts w:ascii="Arial" w:eastAsia="Times New Roman" w:hAnsi="Arial" w:cs="Arial"/>
          <w:i/>
          <w:lang w:eastAsia="en-GB"/>
        </w:rPr>
        <w:t xml:space="preserve">, </w:t>
      </w:r>
      <w:r w:rsidR="00D53780">
        <w:rPr>
          <w:rFonts w:ascii="Arial" w:eastAsia="Times New Roman" w:hAnsi="Arial" w:cs="Arial"/>
          <w:lang w:eastAsia="en-GB"/>
        </w:rPr>
        <w:t>[Online]. Available at:</w:t>
      </w:r>
      <w:r w:rsidR="00D53780" w:rsidRPr="00D53780">
        <w:t xml:space="preserve"> </w:t>
      </w:r>
      <w:hyperlink r:id="rId10" w:history="1">
        <w:r w:rsidR="00D53780" w:rsidRPr="008501A8">
          <w:rPr>
            <w:rStyle w:val="Hyperlink"/>
            <w:rFonts w:ascii="Arial" w:eastAsia="Times New Roman" w:hAnsi="Arial" w:cs="Arial"/>
            <w:lang w:eastAsia="en-GB"/>
          </w:rPr>
          <w:t>http://community.hciresearch.org/sites/community.hciresearch.org/files/Burke-CSCW2013-FBandJobLoss-1.pdf</w:t>
        </w:r>
      </w:hyperlink>
      <w:r w:rsidR="00D53780">
        <w:rPr>
          <w:rFonts w:ascii="Arial" w:eastAsia="Times New Roman" w:hAnsi="Arial" w:cs="Arial"/>
          <w:lang w:eastAsia="en-GB"/>
        </w:rPr>
        <w:t>, [Accessed 17</w:t>
      </w:r>
      <w:r w:rsidR="00D53780" w:rsidRPr="00970607">
        <w:rPr>
          <w:rFonts w:ascii="Arial" w:eastAsia="Times New Roman" w:hAnsi="Arial" w:cs="Arial"/>
          <w:lang w:eastAsia="en-GB"/>
        </w:rPr>
        <w:t xml:space="preserve">th </w:t>
      </w:r>
      <w:r w:rsidR="00D53780">
        <w:rPr>
          <w:rFonts w:ascii="Arial" w:eastAsia="Times New Roman" w:hAnsi="Arial" w:cs="Arial"/>
          <w:lang w:eastAsia="en-GB"/>
        </w:rPr>
        <w:t xml:space="preserve">December </w:t>
      </w:r>
      <w:r w:rsidR="00D53780" w:rsidRPr="00970607">
        <w:rPr>
          <w:rFonts w:ascii="Arial" w:eastAsia="Times New Roman" w:hAnsi="Arial" w:cs="Arial"/>
          <w:lang w:eastAsia="en-GB"/>
        </w:rPr>
        <w:t>2015</w:t>
      </w:r>
      <w:r w:rsidR="00D53780">
        <w:rPr>
          <w:rFonts w:ascii="Arial" w:eastAsia="Times New Roman" w:hAnsi="Arial" w:cs="Arial"/>
          <w:lang w:eastAsia="en-GB"/>
        </w:rPr>
        <w:t>].</w:t>
      </w:r>
    </w:p>
    <w:p w14:paraId="2AADD23D" w14:textId="77777777" w:rsidR="00360AE4" w:rsidRPr="00E04DE1" w:rsidRDefault="00360AE4" w:rsidP="00360AE4">
      <w:pPr>
        <w:spacing w:after="120" w:line="240" w:lineRule="auto"/>
        <w:rPr>
          <w:rFonts w:ascii="Arial" w:eastAsia="Times New Roman" w:hAnsi="Arial" w:cs="Arial"/>
          <w:lang w:eastAsia="en-GB"/>
        </w:rPr>
      </w:pPr>
    </w:p>
    <w:p w14:paraId="69672E12"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Calvo-Armengol, A., &amp; Jackson, M. O. (2004). The effects of social networks on employment and inequality. </w:t>
      </w:r>
      <w:r w:rsidRPr="002C425F">
        <w:rPr>
          <w:rFonts w:ascii="Arial" w:eastAsia="Times New Roman" w:hAnsi="Arial" w:cs="Arial"/>
          <w:i/>
          <w:lang w:eastAsia="en-GB"/>
        </w:rPr>
        <w:t>American economic review</w:t>
      </w:r>
      <w:r w:rsidRPr="00E04DE1">
        <w:rPr>
          <w:rFonts w:ascii="Arial" w:eastAsia="Times New Roman" w:hAnsi="Arial" w:cs="Arial"/>
          <w:lang w:eastAsia="en-GB"/>
        </w:rPr>
        <w:t>, 426-454.</w:t>
      </w:r>
    </w:p>
    <w:p w14:paraId="365F666B" w14:textId="77777777" w:rsidR="001E63AF" w:rsidRPr="00E04DE1" w:rsidRDefault="001E63AF" w:rsidP="00E04DE1">
      <w:pPr>
        <w:spacing w:after="120" w:line="240" w:lineRule="auto"/>
        <w:ind w:left="720" w:hanging="720"/>
        <w:rPr>
          <w:rFonts w:ascii="Arial" w:eastAsia="Times New Roman" w:hAnsi="Arial" w:cs="Arial"/>
          <w:lang w:eastAsia="en-GB"/>
        </w:rPr>
      </w:pPr>
    </w:p>
    <w:p w14:paraId="04E8F6B5" w14:textId="77777777" w:rsidR="001E63AF" w:rsidRPr="00E04DE1" w:rsidRDefault="00EF0311" w:rsidP="00E04DE1">
      <w:pPr>
        <w:spacing w:after="120" w:line="240" w:lineRule="auto"/>
        <w:ind w:left="720" w:hanging="720"/>
        <w:rPr>
          <w:rFonts w:ascii="Arial" w:hAnsi="Arial" w:cs="Arial"/>
        </w:rPr>
      </w:pPr>
      <w:r w:rsidRPr="00E04DE1">
        <w:rPr>
          <w:rFonts w:ascii="Arial" w:hAnsi="Arial" w:cs="Arial"/>
        </w:rPr>
        <w:t>Canduela, J., Graham, H., Lindsay, C. and Raeside, R., (2015).</w:t>
      </w:r>
      <w:r w:rsidR="00E06470" w:rsidRPr="00E04DE1">
        <w:rPr>
          <w:rFonts w:ascii="Arial" w:hAnsi="Arial" w:cs="Arial"/>
        </w:rPr>
        <w:t xml:space="preserve"> Employability, poverty and the spheres of sociability: evidence from the British Hous</w:t>
      </w:r>
      <w:r w:rsidR="002C425F">
        <w:rPr>
          <w:rFonts w:ascii="Arial" w:hAnsi="Arial" w:cs="Arial"/>
        </w:rPr>
        <w:t>ehold Panel Survey.</w:t>
      </w:r>
      <w:r w:rsidR="00E06470" w:rsidRPr="00E04DE1">
        <w:rPr>
          <w:rFonts w:ascii="Arial" w:hAnsi="Arial" w:cs="Arial"/>
        </w:rPr>
        <w:t xml:space="preserve"> </w:t>
      </w:r>
      <w:r w:rsidR="00E06470" w:rsidRPr="002C425F">
        <w:rPr>
          <w:rFonts w:ascii="Arial" w:hAnsi="Arial" w:cs="Arial"/>
          <w:i/>
        </w:rPr>
        <w:t>Social Policy &amp; Administration, 49</w:t>
      </w:r>
      <w:r w:rsidR="00E06470" w:rsidRPr="00E04DE1">
        <w:rPr>
          <w:rFonts w:ascii="Arial" w:hAnsi="Arial" w:cs="Arial"/>
        </w:rPr>
        <w:t>(5), 571-592.</w:t>
      </w:r>
    </w:p>
    <w:p w14:paraId="784D3D71" w14:textId="77777777" w:rsidR="001E63AF" w:rsidRPr="00E04DE1" w:rsidRDefault="001E63AF" w:rsidP="00E04DE1">
      <w:pPr>
        <w:spacing w:after="120" w:line="240" w:lineRule="auto"/>
        <w:ind w:left="720" w:hanging="720"/>
        <w:rPr>
          <w:rFonts w:ascii="Arial" w:eastAsia="Times New Roman" w:hAnsi="Arial" w:cs="Arial"/>
          <w:lang w:eastAsia="en-GB"/>
        </w:rPr>
      </w:pPr>
    </w:p>
    <w:p w14:paraId="463B0106" w14:textId="77777777" w:rsidR="00256980" w:rsidRPr="00E04DE1" w:rsidRDefault="00256980"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Chowdry, H., Crawford, C., &amp; Goodman, A. (2011). The role of attitudes and behaviours in explaining socio-economic differences in attainment at age 16. </w:t>
      </w:r>
      <w:r w:rsidRPr="002C425F">
        <w:rPr>
          <w:rFonts w:ascii="Arial" w:eastAsia="Times New Roman" w:hAnsi="Arial" w:cs="Arial"/>
          <w:i/>
          <w:lang w:eastAsia="en-GB"/>
        </w:rPr>
        <w:t>Longitudinal and Life Course Studies, 2</w:t>
      </w:r>
      <w:r w:rsidRPr="00E04DE1">
        <w:rPr>
          <w:rFonts w:ascii="Arial" w:eastAsia="Times New Roman" w:hAnsi="Arial" w:cs="Arial"/>
          <w:lang w:eastAsia="en-GB"/>
        </w:rPr>
        <w:t>(1), 59-76.</w:t>
      </w:r>
    </w:p>
    <w:p w14:paraId="60A32F73" w14:textId="77777777" w:rsidR="00584B1B" w:rsidRPr="00E04DE1" w:rsidRDefault="00584B1B" w:rsidP="00E04DE1">
      <w:pPr>
        <w:spacing w:after="120" w:line="240" w:lineRule="auto"/>
        <w:ind w:left="720" w:hanging="720"/>
        <w:rPr>
          <w:rFonts w:ascii="Arial" w:eastAsia="Times New Roman" w:hAnsi="Arial" w:cs="Arial"/>
          <w:lang w:eastAsia="en-GB"/>
        </w:rPr>
      </w:pPr>
    </w:p>
    <w:p w14:paraId="6F603AAC" w14:textId="77777777" w:rsidR="0013446B" w:rsidRDefault="0013446B" w:rsidP="00360AE4">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Eastin, M. S., &amp; LaRose, R. (2000). Internet self</w:t>
      </w:r>
      <w:r w:rsidRPr="00E04DE1">
        <w:rPr>
          <w:rFonts w:ascii="Cambria Math" w:eastAsia="Times New Roman" w:hAnsi="Cambria Math" w:cs="Cambria Math"/>
          <w:lang w:eastAsia="en-GB"/>
        </w:rPr>
        <w:t>‐</w:t>
      </w:r>
      <w:r w:rsidRPr="00E04DE1">
        <w:rPr>
          <w:rFonts w:ascii="Arial" w:eastAsia="Times New Roman" w:hAnsi="Arial" w:cs="Arial"/>
          <w:lang w:eastAsia="en-GB"/>
        </w:rPr>
        <w:t xml:space="preserve">efficacy and the psychology of the digital divide. </w:t>
      </w:r>
      <w:r w:rsidRPr="002C425F">
        <w:rPr>
          <w:rFonts w:ascii="Arial" w:eastAsia="Times New Roman" w:hAnsi="Arial" w:cs="Arial"/>
          <w:i/>
          <w:lang w:eastAsia="en-GB"/>
        </w:rPr>
        <w:t>Journal of Computer</w:t>
      </w:r>
      <w:r w:rsidRPr="002C425F">
        <w:rPr>
          <w:rFonts w:ascii="Cambria Math" w:eastAsia="Times New Roman" w:hAnsi="Cambria Math" w:cs="Cambria Math"/>
          <w:i/>
          <w:lang w:eastAsia="en-GB"/>
        </w:rPr>
        <w:t>‐</w:t>
      </w:r>
      <w:r w:rsidRPr="002C425F">
        <w:rPr>
          <w:rFonts w:ascii="Arial" w:eastAsia="Times New Roman" w:hAnsi="Arial" w:cs="Arial"/>
          <w:i/>
          <w:lang w:eastAsia="en-GB"/>
        </w:rPr>
        <w:t>Mediated Communication, 6</w:t>
      </w:r>
      <w:r w:rsidRPr="00E04DE1">
        <w:rPr>
          <w:rFonts w:ascii="Arial" w:eastAsia="Times New Roman" w:hAnsi="Arial" w:cs="Arial"/>
          <w:lang w:eastAsia="en-GB"/>
        </w:rPr>
        <w:t>(1), 0-0.</w:t>
      </w:r>
    </w:p>
    <w:p w14:paraId="59B7C7E7" w14:textId="77777777" w:rsidR="00360AE4" w:rsidRDefault="00360AE4" w:rsidP="00360AE4">
      <w:pPr>
        <w:spacing w:after="120" w:line="240" w:lineRule="auto"/>
        <w:ind w:left="720" w:hanging="720"/>
        <w:rPr>
          <w:rFonts w:ascii="Arial" w:eastAsia="Times New Roman" w:hAnsi="Arial" w:cs="Arial"/>
          <w:lang w:eastAsia="en-GB"/>
        </w:rPr>
      </w:pPr>
    </w:p>
    <w:p w14:paraId="7A7CC6A6" w14:textId="77777777" w:rsidR="00360AE4" w:rsidRPr="00360AE4" w:rsidRDefault="00360AE4" w:rsidP="00360AE4">
      <w:pPr>
        <w:spacing w:after="0" w:line="240" w:lineRule="auto"/>
        <w:ind w:left="720" w:hanging="720"/>
        <w:rPr>
          <w:rFonts w:ascii="Arial" w:eastAsia="Times New Roman" w:hAnsi="Arial" w:cs="Arial"/>
          <w:lang w:eastAsia="en-GB"/>
        </w:rPr>
      </w:pPr>
      <w:r w:rsidRPr="00360AE4">
        <w:rPr>
          <w:rFonts w:ascii="Arial" w:eastAsia="Times New Roman" w:hAnsi="Arial" w:cs="Arial"/>
          <w:lang w:eastAsia="en-GB"/>
        </w:rPr>
        <w:t xml:space="preserve">Ellison, N. B., Steinfield, C., &amp; Lampe, C. (2007). The benefits of Facebook “friends:” Social capital and college students’ use of online social network sites. </w:t>
      </w:r>
      <w:r w:rsidRPr="00360AE4">
        <w:rPr>
          <w:rFonts w:ascii="Arial" w:eastAsia="Times New Roman" w:hAnsi="Arial" w:cs="Arial"/>
          <w:i/>
          <w:lang w:eastAsia="en-GB"/>
        </w:rPr>
        <w:t>Journal of Computer</w:t>
      </w:r>
      <w:r w:rsidRPr="00360AE4">
        <w:rPr>
          <w:rFonts w:ascii="Cambria Math" w:eastAsia="Times New Roman" w:hAnsi="Cambria Math" w:cs="Cambria Math"/>
          <w:i/>
          <w:lang w:eastAsia="en-GB"/>
        </w:rPr>
        <w:t>‐</w:t>
      </w:r>
      <w:r w:rsidRPr="00360AE4">
        <w:rPr>
          <w:rFonts w:ascii="Arial" w:eastAsia="Times New Roman" w:hAnsi="Arial" w:cs="Arial"/>
          <w:i/>
          <w:lang w:eastAsia="en-GB"/>
        </w:rPr>
        <w:t>Mediated Communication, 12</w:t>
      </w:r>
      <w:r w:rsidRPr="00360AE4">
        <w:rPr>
          <w:rFonts w:ascii="Arial" w:eastAsia="Times New Roman" w:hAnsi="Arial" w:cs="Arial"/>
          <w:lang w:eastAsia="en-GB"/>
        </w:rPr>
        <w:t>(4), 1143-1168.</w:t>
      </w:r>
    </w:p>
    <w:p w14:paraId="1FDDD76D" w14:textId="77777777" w:rsidR="00360AE4" w:rsidRPr="00E04DE1" w:rsidRDefault="00360AE4" w:rsidP="00360AE4">
      <w:pPr>
        <w:spacing w:after="120" w:line="240" w:lineRule="auto"/>
        <w:rPr>
          <w:rFonts w:ascii="Arial" w:eastAsia="Times New Roman" w:hAnsi="Arial" w:cs="Arial"/>
          <w:lang w:eastAsia="en-GB"/>
        </w:rPr>
      </w:pPr>
    </w:p>
    <w:p w14:paraId="1C9E33A9"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Falcon, L. M. (1995). Social networks and employment for Latinos, Blacks, and Whites. </w:t>
      </w:r>
      <w:r w:rsidRPr="002C425F">
        <w:rPr>
          <w:rFonts w:ascii="Arial" w:eastAsia="Times New Roman" w:hAnsi="Arial" w:cs="Arial"/>
          <w:i/>
          <w:lang w:eastAsia="en-GB"/>
        </w:rPr>
        <w:t>New England Journal of Public Policy, 11</w:t>
      </w:r>
      <w:r w:rsidRPr="00E04DE1">
        <w:rPr>
          <w:rFonts w:ascii="Arial" w:eastAsia="Times New Roman" w:hAnsi="Arial" w:cs="Arial"/>
          <w:lang w:eastAsia="en-GB"/>
        </w:rPr>
        <w:t>(1), 4.</w:t>
      </w:r>
    </w:p>
    <w:p w14:paraId="7C30A3AC" w14:textId="77777777" w:rsidR="002D700A" w:rsidRPr="00E04DE1" w:rsidRDefault="002D700A" w:rsidP="00E04DE1">
      <w:pPr>
        <w:spacing w:after="120" w:line="240" w:lineRule="auto"/>
        <w:ind w:hanging="720"/>
        <w:rPr>
          <w:rFonts w:ascii="Arial" w:eastAsia="Times New Roman" w:hAnsi="Arial" w:cs="Arial"/>
          <w:lang w:eastAsia="en-GB"/>
        </w:rPr>
      </w:pPr>
    </w:p>
    <w:p w14:paraId="7103F00C" w14:textId="77777777" w:rsidR="002D700A" w:rsidRDefault="002D700A" w:rsidP="00E04DE1">
      <w:pPr>
        <w:spacing w:after="120" w:line="240" w:lineRule="auto"/>
        <w:ind w:left="720" w:hanging="720"/>
        <w:rPr>
          <w:rFonts w:ascii="Arial" w:hAnsi="Arial" w:cs="Arial"/>
          <w:color w:val="222222"/>
        </w:rPr>
      </w:pPr>
      <w:r w:rsidRPr="00E04DE1">
        <w:rPr>
          <w:rFonts w:ascii="Arial" w:hAnsi="Arial" w:cs="Arial"/>
          <w:color w:val="222222"/>
        </w:rPr>
        <w:t xml:space="preserve">Fallows, D. (2005). How women and men use the Internet. </w:t>
      </w:r>
      <w:r w:rsidRPr="00E04DE1">
        <w:rPr>
          <w:rFonts w:ascii="Arial" w:hAnsi="Arial" w:cs="Arial"/>
          <w:i/>
          <w:iCs/>
          <w:color w:val="222222"/>
        </w:rPr>
        <w:t>Pew Internet &amp; American Life Project</w:t>
      </w:r>
      <w:r w:rsidRPr="00E04DE1">
        <w:rPr>
          <w:rFonts w:ascii="Arial" w:hAnsi="Arial" w:cs="Arial"/>
          <w:color w:val="222222"/>
        </w:rPr>
        <w:t xml:space="preserve">, </w:t>
      </w:r>
      <w:r w:rsidRPr="00E04DE1">
        <w:rPr>
          <w:rFonts w:ascii="Arial" w:hAnsi="Arial" w:cs="Arial"/>
          <w:i/>
          <w:iCs/>
          <w:color w:val="222222"/>
        </w:rPr>
        <w:t>28</w:t>
      </w:r>
      <w:r w:rsidRPr="00E04DE1">
        <w:rPr>
          <w:rFonts w:ascii="Arial" w:hAnsi="Arial" w:cs="Arial"/>
          <w:color w:val="222222"/>
        </w:rPr>
        <w:t>.</w:t>
      </w:r>
      <w:r w:rsidR="002C425F">
        <w:rPr>
          <w:rFonts w:ascii="Arial" w:hAnsi="Arial" w:cs="Arial"/>
          <w:color w:val="222222"/>
        </w:rPr>
        <w:t xml:space="preserve"> </w:t>
      </w:r>
      <w:r w:rsidR="002C425F" w:rsidRPr="00970607">
        <w:rPr>
          <w:rFonts w:ascii="Arial" w:eastAsia="Times New Roman" w:hAnsi="Arial" w:cs="Arial"/>
          <w:lang w:eastAsia="en-GB"/>
        </w:rPr>
        <w:t xml:space="preserve">Available at: </w:t>
      </w:r>
      <w:r w:rsidR="002C425F" w:rsidRPr="002C425F">
        <w:rPr>
          <w:rStyle w:val="Hyperlink"/>
          <w:rFonts w:ascii="Arial" w:eastAsia="Times New Roman" w:hAnsi="Arial" w:cs="Arial"/>
          <w:lang w:eastAsia="en-GB"/>
        </w:rPr>
        <w:t>http://www.pewinternet.org/files/2005/12/PIP_Women_and_Men_online.pdf</w:t>
      </w:r>
      <w:r w:rsidR="002C425F">
        <w:rPr>
          <w:rFonts w:ascii="Arial" w:eastAsia="Times New Roman" w:hAnsi="Arial" w:cs="Arial"/>
          <w:lang w:eastAsia="en-GB"/>
        </w:rPr>
        <w:t xml:space="preserve"> [Accessed 08th December</w:t>
      </w:r>
      <w:r w:rsidR="002C425F" w:rsidRPr="00970607">
        <w:rPr>
          <w:rFonts w:ascii="Arial" w:eastAsia="Times New Roman" w:hAnsi="Arial" w:cs="Arial"/>
          <w:lang w:eastAsia="en-GB"/>
        </w:rPr>
        <w:t xml:space="preserve"> 2015].</w:t>
      </w:r>
    </w:p>
    <w:p w14:paraId="3F1CF239" w14:textId="77777777" w:rsidR="00970607" w:rsidRDefault="00970607" w:rsidP="00E04DE1">
      <w:pPr>
        <w:spacing w:after="120" w:line="240" w:lineRule="auto"/>
        <w:ind w:left="720" w:hanging="720"/>
        <w:rPr>
          <w:rFonts w:ascii="Arial" w:hAnsi="Arial" w:cs="Arial"/>
          <w:color w:val="222222"/>
        </w:rPr>
      </w:pPr>
    </w:p>
    <w:p w14:paraId="548543E8" w14:textId="77777777" w:rsidR="00970607" w:rsidRPr="00970607" w:rsidRDefault="00724868" w:rsidP="00970607">
      <w:pPr>
        <w:spacing w:after="0" w:line="240" w:lineRule="auto"/>
        <w:ind w:left="720" w:hanging="720"/>
        <w:rPr>
          <w:rFonts w:ascii="Arial" w:eastAsia="Times New Roman" w:hAnsi="Arial" w:cs="Arial"/>
          <w:lang w:eastAsia="en-GB"/>
        </w:rPr>
      </w:pPr>
      <w:r>
        <w:rPr>
          <w:rFonts w:ascii="Arial" w:eastAsia="Times New Roman" w:hAnsi="Arial" w:cs="Arial"/>
          <w:lang w:eastAsia="en-GB"/>
        </w:rPr>
        <w:t>Fitzgerald, M. A. (2005</w:t>
      </w:r>
      <w:r w:rsidR="00970607" w:rsidRPr="00970607">
        <w:rPr>
          <w:rFonts w:ascii="Arial" w:eastAsia="Times New Roman" w:hAnsi="Arial" w:cs="Arial"/>
          <w:lang w:eastAsia="en-GB"/>
        </w:rPr>
        <w:t xml:space="preserve">). Skills for evaluating web-based information. In </w:t>
      </w:r>
      <w:r w:rsidR="00970607" w:rsidRPr="00970607">
        <w:rPr>
          <w:rFonts w:ascii="Arial" w:eastAsia="Times New Roman" w:hAnsi="Arial" w:cs="Arial"/>
          <w:i/>
          <w:iCs/>
          <w:lang w:eastAsia="en-GB"/>
        </w:rPr>
        <w:t>Symposium on Internet Credibility and the User</w:t>
      </w:r>
      <w:r w:rsidR="00970607" w:rsidRPr="00970607">
        <w:rPr>
          <w:rFonts w:ascii="Arial" w:eastAsia="Times New Roman" w:hAnsi="Arial" w:cs="Arial"/>
          <w:lang w:eastAsia="en-GB"/>
        </w:rPr>
        <w:t>.</w:t>
      </w:r>
      <w:r w:rsidR="000F01F2">
        <w:rPr>
          <w:rFonts w:ascii="Arial" w:eastAsia="Times New Roman" w:hAnsi="Arial" w:cs="Arial"/>
          <w:lang w:eastAsia="en-GB"/>
        </w:rPr>
        <w:t xml:space="preserve"> Available at: </w:t>
      </w:r>
      <w:hyperlink r:id="rId11" w:history="1">
        <w:r w:rsidR="000F01F2" w:rsidRPr="00206EF0">
          <w:rPr>
            <w:rStyle w:val="Hyperlink"/>
            <w:rFonts w:ascii="Arial" w:eastAsia="Times New Roman" w:hAnsi="Arial" w:cs="Arial"/>
            <w:lang w:eastAsia="en-GB"/>
          </w:rPr>
          <w:t>http://citeseerx.ist.psu.edu/viewdoc/download?doi=10.1.1.117.6149&amp;rep=rep1&amp;type=pdf</w:t>
        </w:r>
      </w:hyperlink>
      <w:r w:rsidR="000F01F2">
        <w:rPr>
          <w:rFonts w:ascii="Arial" w:eastAsia="Times New Roman" w:hAnsi="Arial" w:cs="Arial"/>
          <w:lang w:eastAsia="en-GB"/>
        </w:rPr>
        <w:t xml:space="preserve"> [Accessed 8</w:t>
      </w:r>
      <w:r w:rsidR="000F01F2" w:rsidRPr="000F01F2">
        <w:rPr>
          <w:rFonts w:ascii="Arial" w:eastAsia="Times New Roman" w:hAnsi="Arial" w:cs="Arial"/>
          <w:vertAlign w:val="superscript"/>
          <w:lang w:eastAsia="en-GB"/>
        </w:rPr>
        <w:t>th</w:t>
      </w:r>
      <w:r w:rsidR="000F01F2">
        <w:rPr>
          <w:rFonts w:ascii="Arial" w:eastAsia="Times New Roman" w:hAnsi="Arial" w:cs="Arial"/>
          <w:lang w:eastAsia="en-GB"/>
        </w:rPr>
        <w:t xml:space="preserve"> December 2015].</w:t>
      </w:r>
    </w:p>
    <w:p w14:paraId="178AF4E6" w14:textId="77777777" w:rsidR="00584B1B" w:rsidRPr="00E04DE1" w:rsidRDefault="00584B1B" w:rsidP="00E04DE1">
      <w:pPr>
        <w:spacing w:after="120" w:line="240" w:lineRule="auto"/>
        <w:ind w:hanging="720"/>
        <w:rPr>
          <w:rFonts w:ascii="Arial" w:eastAsia="Times New Roman" w:hAnsi="Arial" w:cs="Arial"/>
          <w:lang w:eastAsia="en-GB"/>
        </w:rPr>
      </w:pPr>
    </w:p>
    <w:p w14:paraId="48E1D852"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Franzen, A., &amp; Hangartner, D. (2006). Social networks and labour market outcomes: The non-monetary benefits of social capital. </w:t>
      </w:r>
      <w:r w:rsidRPr="00E04DE1">
        <w:rPr>
          <w:rFonts w:ascii="Arial" w:eastAsia="Times New Roman" w:hAnsi="Arial" w:cs="Arial"/>
          <w:i/>
          <w:iCs/>
          <w:lang w:eastAsia="en-GB"/>
        </w:rPr>
        <w:t>European Sociological Review</w:t>
      </w:r>
      <w:r w:rsidRPr="00E04DE1">
        <w:rPr>
          <w:rFonts w:ascii="Arial" w:eastAsia="Times New Roman" w:hAnsi="Arial" w:cs="Arial"/>
          <w:lang w:eastAsia="en-GB"/>
        </w:rPr>
        <w:t xml:space="preserve">, </w:t>
      </w:r>
      <w:r w:rsidRPr="00E04DE1">
        <w:rPr>
          <w:rFonts w:ascii="Arial" w:eastAsia="Times New Roman" w:hAnsi="Arial" w:cs="Arial"/>
          <w:i/>
          <w:iCs/>
          <w:lang w:eastAsia="en-GB"/>
        </w:rPr>
        <w:t>22</w:t>
      </w:r>
      <w:r w:rsidRPr="00E04DE1">
        <w:rPr>
          <w:rFonts w:ascii="Arial" w:eastAsia="Times New Roman" w:hAnsi="Arial" w:cs="Arial"/>
          <w:lang w:eastAsia="en-GB"/>
        </w:rPr>
        <w:t>(4), 353-368.</w:t>
      </w:r>
    </w:p>
    <w:p w14:paraId="1B34A78B" w14:textId="77777777" w:rsidR="00F86E92" w:rsidRPr="00E04DE1" w:rsidRDefault="00F86E92" w:rsidP="00E04DE1">
      <w:pPr>
        <w:spacing w:after="120" w:line="240" w:lineRule="auto"/>
        <w:ind w:left="720" w:hanging="720"/>
        <w:rPr>
          <w:rFonts w:ascii="Arial" w:eastAsia="Times New Roman" w:hAnsi="Arial" w:cs="Arial"/>
          <w:lang w:eastAsia="en-GB"/>
        </w:rPr>
      </w:pPr>
    </w:p>
    <w:p w14:paraId="4E0C4C99" w14:textId="77777777" w:rsidR="00F86E92" w:rsidRPr="00E04DE1" w:rsidRDefault="00F86E92" w:rsidP="00D669D1">
      <w:pPr>
        <w:spacing w:after="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Gallie, D., Paugam, S., &amp; Jacobs, S. (2003). Unemployment, poverty and social isolation: Is there a vicious circle of social exclusion?. </w:t>
      </w:r>
      <w:r w:rsidRPr="00E04DE1">
        <w:rPr>
          <w:rFonts w:ascii="Arial" w:eastAsia="Times New Roman" w:hAnsi="Arial" w:cs="Arial"/>
          <w:i/>
          <w:iCs/>
          <w:lang w:eastAsia="en-GB"/>
        </w:rPr>
        <w:t>European Societies</w:t>
      </w:r>
      <w:r w:rsidRPr="00E04DE1">
        <w:rPr>
          <w:rFonts w:ascii="Arial" w:eastAsia="Times New Roman" w:hAnsi="Arial" w:cs="Arial"/>
          <w:lang w:eastAsia="en-GB"/>
        </w:rPr>
        <w:t xml:space="preserve">, </w:t>
      </w:r>
      <w:r w:rsidRPr="00E04DE1">
        <w:rPr>
          <w:rFonts w:ascii="Arial" w:eastAsia="Times New Roman" w:hAnsi="Arial" w:cs="Arial"/>
          <w:i/>
          <w:iCs/>
          <w:lang w:eastAsia="en-GB"/>
        </w:rPr>
        <w:t>5</w:t>
      </w:r>
      <w:r w:rsidRPr="00E04DE1">
        <w:rPr>
          <w:rFonts w:ascii="Arial" w:eastAsia="Times New Roman" w:hAnsi="Arial" w:cs="Arial"/>
          <w:lang w:eastAsia="en-GB"/>
        </w:rPr>
        <w:t>(1), 1-32.</w:t>
      </w:r>
    </w:p>
    <w:p w14:paraId="48E35FE6" w14:textId="77777777" w:rsidR="00CF1294" w:rsidRPr="00E04DE1" w:rsidRDefault="00CF1294" w:rsidP="00724868">
      <w:pPr>
        <w:spacing w:after="120" w:line="240" w:lineRule="auto"/>
        <w:rPr>
          <w:rFonts w:ascii="Arial" w:hAnsi="Arial" w:cs="Arial"/>
        </w:rPr>
      </w:pPr>
    </w:p>
    <w:p w14:paraId="55E2DDFC" w14:textId="77777777" w:rsidR="00256980" w:rsidRPr="00E04DE1" w:rsidRDefault="004370CD" w:rsidP="00E04DE1">
      <w:pPr>
        <w:spacing w:after="120" w:line="240" w:lineRule="auto"/>
        <w:ind w:left="720" w:hanging="720"/>
        <w:rPr>
          <w:rFonts w:ascii="Arial" w:hAnsi="Arial" w:cs="Arial"/>
        </w:rPr>
      </w:pPr>
      <w:r w:rsidRPr="00E04DE1">
        <w:rPr>
          <w:rFonts w:ascii="Arial" w:hAnsi="Arial" w:cs="Arial"/>
        </w:rPr>
        <w:t xml:space="preserve">Gov.UK (2012). </w:t>
      </w:r>
      <w:r w:rsidRPr="00E04DE1">
        <w:rPr>
          <w:rFonts w:ascii="Arial" w:hAnsi="Arial" w:cs="Arial"/>
          <w:i/>
        </w:rPr>
        <w:t xml:space="preserve">Tackling youth unemployment. </w:t>
      </w:r>
      <w:r w:rsidRPr="00E04DE1">
        <w:rPr>
          <w:rFonts w:ascii="Arial" w:hAnsi="Arial" w:cs="Arial"/>
        </w:rPr>
        <w:t xml:space="preserve">[Online]. </w:t>
      </w:r>
      <w:r w:rsidR="00256980" w:rsidRPr="00E04DE1">
        <w:rPr>
          <w:rFonts w:ascii="Arial" w:hAnsi="Arial" w:cs="Arial"/>
        </w:rPr>
        <w:t xml:space="preserve">Available at: </w:t>
      </w:r>
      <w:hyperlink r:id="rId12" w:history="1">
        <w:r w:rsidRPr="00E04DE1">
          <w:rPr>
            <w:rStyle w:val="Hyperlink"/>
            <w:rFonts w:ascii="Arial" w:hAnsi="Arial" w:cs="Arial"/>
          </w:rPr>
          <w:t>https://www.gov.uk/government/speeches/tackling-youth-unemployment</w:t>
        </w:r>
      </w:hyperlink>
      <w:r w:rsidRPr="00E04DE1">
        <w:rPr>
          <w:rFonts w:ascii="Arial" w:hAnsi="Arial" w:cs="Arial"/>
        </w:rPr>
        <w:t>. [Accessed 20</w:t>
      </w:r>
      <w:r w:rsidRPr="00E04DE1">
        <w:rPr>
          <w:rFonts w:ascii="Arial" w:hAnsi="Arial" w:cs="Arial"/>
          <w:vertAlign w:val="superscript"/>
        </w:rPr>
        <w:t>th</w:t>
      </w:r>
      <w:r w:rsidRPr="00E04DE1">
        <w:rPr>
          <w:rFonts w:ascii="Arial" w:hAnsi="Arial" w:cs="Arial"/>
        </w:rPr>
        <w:t xml:space="preserve"> October 2015]. </w:t>
      </w:r>
    </w:p>
    <w:p w14:paraId="7B6AE7CE" w14:textId="77777777" w:rsidR="00E04DE1" w:rsidRPr="00E04DE1" w:rsidRDefault="00E04DE1" w:rsidP="00E04DE1">
      <w:pPr>
        <w:spacing w:after="120" w:line="240" w:lineRule="auto"/>
        <w:ind w:left="720" w:hanging="720"/>
        <w:rPr>
          <w:rFonts w:ascii="Arial" w:hAnsi="Arial" w:cs="Arial"/>
        </w:rPr>
      </w:pPr>
    </w:p>
    <w:p w14:paraId="4F4BD32E" w14:textId="77777777" w:rsidR="00E04DE1" w:rsidRPr="00E04DE1" w:rsidRDefault="00E04DE1" w:rsidP="00E04DE1">
      <w:pPr>
        <w:spacing w:after="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Grabowicz, P. A., Ramasco, J. J., Moro, E., Pujol, J. M., &amp; Eguiluz, V. M. (2012). Social features of online networks: The strength of intermediary ties in online social media. </w:t>
      </w:r>
      <w:r w:rsidRPr="00724868">
        <w:rPr>
          <w:rFonts w:ascii="Arial" w:eastAsia="Times New Roman" w:hAnsi="Arial" w:cs="Arial"/>
          <w:i/>
          <w:iCs/>
          <w:lang w:eastAsia="en-GB"/>
        </w:rPr>
        <w:t>PloS one</w:t>
      </w:r>
      <w:r w:rsidRPr="00724868">
        <w:rPr>
          <w:rFonts w:ascii="Arial" w:eastAsia="Times New Roman" w:hAnsi="Arial" w:cs="Arial"/>
          <w:i/>
          <w:lang w:eastAsia="en-GB"/>
        </w:rPr>
        <w:t xml:space="preserve">, </w:t>
      </w:r>
      <w:r w:rsidRPr="00724868">
        <w:rPr>
          <w:rFonts w:ascii="Arial" w:eastAsia="Times New Roman" w:hAnsi="Arial" w:cs="Arial"/>
          <w:i/>
          <w:iCs/>
          <w:lang w:eastAsia="en-GB"/>
        </w:rPr>
        <w:t>7</w:t>
      </w:r>
      <w:r w:rsidRPr="00E04DE1">
        <w:rPr>
          <w:rFonts w:ascii="Arial" w:eastAsia="Times New Roman" w:hAnsi="Arial" w:cs="Arial"/>
          <w:lang w:eastAsia="en-GB"/>
        </w:rPr>
        <w:t xml:space="preserve">(1), </w:t>
      </w:r>
      <w:r w:rsidR="00724868">
        <w:rPr>
          <w:rFonts w:ascii="Arial" w:eastAsia="Times New Roman" w:hAnsi="Arial" w:cs="Arial"/>
          <w:lang w:eastAsia="en-GB"/>
        </w:rPr>
        <w:t>1-9</w:t>
      </w:r>
      <w:r w:rsidRPr="00E04DE1">
        <w:rPr>
          <w:rFonts w:ascii="Arial" w:eastAsia="Times New Roman" w:hAnsi="Arial" w:cs="Arial"/>
          <w:lang w:eastAsia="en-GB"/>
        </w:rPr>
        <w:t>.</w:t>
      </w:r>
    </w:p>
    <w:p w14:paraId="2AF1639A" w14:textId="77777777" w:rsidR="0092045C" w:rsidRPr="00E04DE1" w:rsidRDefault="0092045C" w:rsidP="00E04DE1">
      <w:pPr>
        <w:spacing w:after="120" w:line="240" w:lineRule="auto"/>
        <w:ind w:hanging="720"/>
        <w:rPr>
          <w:rFonts w:ascii="Arial" w:hAnsi="Arial" w:cs="Arial"/>
        </w:rPr>
      </w:pPr>
    </w:p>
    <w:p w14:paraId="0986E743" w14:textId="77777777" w:rsidR="0092045C" w:rsidRPr="00E04DE1"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Granovetter, M. S. (1973). The strength of weak ties. </w:t>
      </w:r>
      <w:r w:rsidRPr="00E04DE1">
        <w:rPr>
          <w:rFonts w:ascii="Arial" w:eastAsia="Times New Roman" w:hAnsi="Arial" w:cs="Arial"/>
          <w:i/>
          <w:iCs/>
          <w:lang w:eastAsia="en-GB"/>
        </w:rPr>
        <w:t>American journal of sociology</w:t>
      </w:r>
      <w:r w:rsidRPr="00E04DE1">
        <w:rPr>
          <w:rFonts w:ascii="Arial" w:eastAsia="Times New Roman" w:hAnsi="Arial" w:cs="Arial"/>
          <w:lang w:eastAsia="en-GB"/>
        </w:rPr>
        <w:t>,</w:t>
      </w:r>
      <w:r w:rsidR="00724868">
        <w:rPr>
          <w:rFonts w:ascii="Arial" w:eastAsia="Times New Roman" w:hAnsi="Arial" w:cs="Arial"/>
          <w:lang w:eastAsia="en-GB"/>
        </w:rPr>
        <w:t xml:space="preserve"> </w:t>
      </w:r>
      <w:r w:rsidR="00724868">
        <w:rPr>
          <w:rFonts w:ascii="Arial" w:eastAsia="Times New Roman" w:hAnsi="Arial" w:cs="Arial"/>
          <w:i/>
          <w:lang w:eastAsia="en-GB"/>
        </w:rPr>
        <w:t>78</w:t>
      </w:r>
      <w:r w:rsidR="00724868">
        <w:rPr>
          <w:rFonts w:ascii="Arial" w:eastAsia="Times New Roman" w:hAnsi="Arial" w:cs="Arial"/>
          <w:lang w:eastAsia="en-GB"/>
        </w:rPr>
        <w:t>(6),</w:t>
      </w:r>
      <w:r w:rsidRPr="00E04DE1">
        <w:rPr>
          <w:rFonts w:ascii="Arial" w:eastAsia="Times New Roman" w:hAnsi="Arial" w:cs="Arial"/>
          <w:lang w:eastAsia="en-GB"/>
        </w:rPr>
        <w:t xml:space="preserve"> 1360-1380.</w:t>
      </w:r>
    </w:p>
    <w:p w14:paraId="1762A06D" w14:textId="77777777" w:rsidR="0092045C" w:rsidRPr="00E04DE1" w:rsidRDefault="0092045C" w:rsidP="00E04DE1">
      <w:pPr>
        <w:spacing w:after="120" w:line="240" w:lineRule="auto"/>
        <w:ind w:left="720" w:hanging="720"/>
        <w:rPr>
          <w:rFonts w:ascii="Arial" w:eastAsia="Times New Roman" w:hAnsi="Arial" w:cs="Arial"/>
          <w:lang w:eastAsia="en-GB"/>
        </w:rPr>
      </w:pPr>
    </w:p>
    <w:p w14:paraId="3DB13A15" w14:textId="77777777" w:rsidR="0092045C" w:rsidRPr="00E04DE1" w:rsidRDefault="0092045C" w:rsidP="00E04DE1">
      <w:pPr>
        <w:pStyle w:val="Default"/>
        <w:autoSpaceDE/>
        <w:autoSpaceDN/>
        <w:adjustRightInd/>
        <w:spacing w:after="120"/>
        <w:ind w:left="720" w:hanging="720"/>
        <w:rPr>
          <w:rFonts w:ascii="Arial" w:hAnsi="Arial" w:cs="Arial"/>
          <w:color w:val="auto"/>
          <w:sz w:val="22"/>
          <w:szCs w:val="22"/>
        </w:rPr>
      </w:pPr>
      <w:r w:rsidRPr="00E04DE1">
        <w:rPr>
          <w:rFonts w:ascii="Arial" w:hAnsi="Arial" w:cs="Arial"/>
          <w:color w:val="auto"/>
          <w:sz w:val="22"/>
          <w:szCs w:val="22"/>
        </w:rPr>
        <w:t xml:space="preserve">Granovetter, M. (1974). </w:t>
      </w:r>
      <w:r w:rsidRPr="00E04DE1">
        <w:rPr>
          <w:rFonts w:ascii="Arial" w:hAnsi="Arial" w:cs="Arial"/>
          <w:i/>
          <w:color w:val="auto"/>
          <w:sz w:val="22"/>
          <w:szCs w:val="22"/>
        </w:rPr>
        <w:t>Getting a job</w:t>
      </w:r>
      <w:r w:rsidRPr="00E04DE1">
        <w:rPr>
          <w:rFonts w:ascii="Arial" w:hAnsi="Arial" w:cs="Arial"/>
          <w:color w:val="auto"/>
          <w:sz w:val="22"/>
          <w:szCs w:val="22"/>
        </w:rPr>
        <w:t xml:space="preserve">. Cambridge, MA: Harvard University Press. </w:t>
      </w:r>
    </w:p>
    <w:p w14:paraId="530E1237" w14:textId="77777777" w:rsidR="0092045C" w:rsidRPr="00E04DE1" w:rsidRDefault="0092045C" w:rsidP="00E04DE1">
      <w:pPr>
        <w:pStyle w:val="Default"/>
        <w:autoSpaceDE/>
        <w:autoSpaceDN/>
        <w:adjustRightInd/>
        <w:spacing w:after="120"/>
        <w:ind w:left="720" w:hanging="720"/>
        <w:rPr>
          <w:rFonts w:ascii="Arial" w:hAnsi="Arial" w:cs="Arial"/>
          <w:color w:val="auto"/>
          <w:sz w:val="22"/>
          <w:szCs w:val="22"/>
        </w:rPr>
      </w:pPr>
    </w:p>
    <w:p w14:paraId="5DDDB8F9" w14:textId="77777777" w:rsidR="0092045C" w:rsidRPr="00E04DE1"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Granovetter, M. (1983). The strength of weak ties: A network theory revisited. </w:t>
      </w:r>
      <w:r w:rsidRPr="00E04DE1">
        <w:rPr>
          <w:rFonts w:ascii="Arial" w:eastAsia="Times New Roman" w:hAnsi="Arial" w:cs="Arial"/>
          <w:i/>
          <w:iCs/>
          <w:lang w:eastAsia="en-GB"/>
        </w:rPr>
        <w:t>Sociological theory</w:t>
      </w:r>
      <w:r w:rsidRPr="00E04DE1">
        <w:rPr>
          <w:rFonts w:ascii="Arial" w:eastAsia="Times New Roman" w:hAnsi="Arial" w:cs="Arial"/>
          <w:lang w:eastAsia="en-GB"/>
        </w:rPr>
        <w:t xml:space="preserve">, </w:t>
      </w:r>
      <w:r w:rsidRPr="00E04DE1">
        <w:rPr>
          <w:rFonts w:ascii="Arial" w:eastAsia="Times New Roman" w:hAnsi="Arial" w:cs="Arial"/>
          <w:i/>
          <w:iCs/>
          <w:lang w:eastAsia="en-GB"/>
        </w:rPr>
        <w:t>1</w:t>
      </w:r>
      <w:r w:rsidRPr="00E04DE1">
        <w:rPr>
          <w:rFonts w:ascii="Arial" w:eastAsia="Times New Roman" w:hAnsi="Arial" w:cs="Arial"/>
          <w:lang w:eastAsia="en-GB"/>
        </w:rPr>
        <w:t>(1), 201-233.</w:t>
      </w:r>
    </w:p>
    <w:p w14:paraId="1E0DFF00" w14:textId="77777777" w:rsidR="0092045C" w:rsidRPr="00E04DE1" w:rsidRDefault="0092045C" w:rsidP="00E04DE1">
      <w:pPr>
        <w:pStyle w:val="Default"/>
        <w:autoSpaceDE/>
        <w:autoSpaceDN/>
        <w:adjustRightInd/>
        <w:spacing w:after="120"/>
        <w:ind w:left="720" w:hanging="720"/>
        <w:rPr>
          <w:rFonts w:ascii="Arial" w:hAnsi="Arial" w:cs="Arial"/>
          <w:color w:val="auto"/>
          <w:sz w:val="22"/>
          <w:szCs w:val="22"/>
        </w:rPr>
      </w:pPr>
    </w:p>
    <w:p w14:paraId="19FC74F9" w14:textId="77777777" w:rsidR="002D700A" w:rsidRDefault="0092045C" w:rsidP="00DB31DD">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Granovetter, M. (1995). </w:t>
      </w:r>
      <w:r w:rsidRPr="00E04DE1">
        <w:rPr>
          <w:rFonts w:ascii="Arial" w:eastAsia="Times New Roman" w:hAnsi="Arial" w:cs="Arial"/>
          <w:i/>
          <w:iCs/>
          <w:lang w:eastAsia="en-GB"/>
        </w:rPr>
        <w:t>Getting a job: A study of contacts and careers</w:t>
      </w:r>
      <w:r w:rsidRPr="00E04DE1">
        <w:rPr>
          <w:rFonts w:ascii="Arial" w:eastAsia="Times New Roman" w:hAnsi="Arial" w:cs="Arial"/>
          <w:lang w:eastAsia="en-GB"/>
        </w:rPr>
        <w:t>. University of Chicago Press.</w:t>
      </w:r>
    </w:p>
    <w:p w14:paraId="0520435C" w14:textId="77777777" w:rsidR="00DB31DD" w:rsidRPr="00DB31DD" w:rsidRDefault="00DB31DD" w:rsidP="00DB31DD">
      <w:pPr>
        <w:spacing w:after="120" w:line="240" w:lineRule="auto"/>
        <w:ind w:left="720" w:hanging="720"/>
        <w:rPr>
          <w:rFonts w:ascii="Arial" w:eastAsia="Times New Roman" w:hAnsi="Arial" w:cs="Arial"/>
          <w:lang w:eastAsia="en-GB"/>
        </w:rPr>
      </w:pPr>
    </w:p>
    <w:p w14:paraId="41C4DE2A" w14:textId="77777777" w:rsidR="002D700A" w:rsidRPr="00E04DE1" w:rsidRDefault="002D700A" w:rsidP="00E04DE1">
      <w:pPr>
        <w:spacing w:after="120" w:line="240" w:lineRule="auto"/>
        <w:ind w:left="720" w:hanging="720"/>
        <w:rPr>
          <w:rFonts w:ascii="Arial" w:eastAsia="Times New Roman" w:hAnsi="Arial" w:cs="Arial"/>
          <w:lang w:eastAsia="en-GB"/>
        </w:rPr>
      </w:pPr>
      <w:r w:rsidRPr="00E04DE1">
        <w:rPr>
          <w:rFonts w:ascii="Arial" w:hAnsi="Arial" w:cs="Arial"/>
          <w:color w:val="222222"/>
        </w:rPr>
        <w:t>Jones, S., Johnson</w:t>
      </w:r>
      <w:r w:rsidRPr="00E04DE1">
        <w:rPr>
          <w:rFonts w:ascii="Cambria Math" w:hAnsi="Cambria Math" w:cs="Cambria Math"/>
          <w:color w:val="222222"/>
        </w:rPr>
        <w:t>‐</w:t>
      </w:r>
      <w:r w:rsidRPr="00E04DE1">
        <w:rPr>
          <w:rFonts w:ascii="Arial" w:hAnsi="Arial" w:cs="Arial"/>
          <w:color w:val="222222"/>
        </w:rPr>
        <w:t xml:space="preserve">Yale, C., Millermaier, S., &amp; Pérez, F. S. (2009). US college students’ Internet use: Race, gender and digital divides. </w:t>
      </w:r>
      <w:r w:rsidRPr="00E04DE1">
        <w:rPr>
          <w:rFonts w:ascii="Arial" w:hAnsi="Arial" w:cs="Arial"/>
          <w:i/>
          <w:iCs/>
          <w:color w:val="222222"/>
        </w:rPr>
        <w:t>Journal of Computer</w:t>
      </w:r>
      <w:r w:rsidRPr="00E04DE1">
        <w:rPr>
          <w:rFonts w:ascii="Cambria Math" w:hAnsi="Cambria Math" w:cs="Cambria Math"/>
          <w:i/>
          <w:iCs/>
          <w:color w:val="222222"/>
        </w:rPr>
        <w:t>‐</w:t>
      </w:r>
      <w:r w:rsidRPr="00E04DE1">
        <w:rPr>
          <w:rFonts w:ascii="Arial" w:hAnsi="Arial" w:cs="Arial"/>
          <w:i/>
          <w:iCs/>
          <w:color w:val="222222"/>
        </w:rPr>
        <w:t>Mediated Communication</w:t>
      </w:r>
      <w:r w:rsidRPr="00E04DE1">
        <w:rPr>
          <w:rFonts w:ascii="Arial" w:hAnsi="Arial" w:cs="Arial"/>
          <w:color w:val="222222"/>
        </w:rPr>
        <w:t xml:space="preserve">, </w:t>
      </w:r>
      <w:r w:rsidRPr="00E04DE1">
        <w:rPr>
          <w:rFonts w:ascii="Arial" w:hAnsi="Arial" w:cs="Arial"/>
          <w:i/>
          <w:iCs/>
          <w:color w:val="222222"/>
        </w:rPr>
        <w:t>14</w:t>
      </w:r>
      <w:r w:rsidRPr="00E04DE1">
        <w:rPr>
          <w:rFonts w:ascii="Arial" w:hAnsi="Arial" w:cs="Arial"/>
          <w:color w:val="222222"/>
        </w:rPr>
        <w:t>(2), 244-264.</w:t>
      </w:r>
    </w:p>
    <w:p w14:paraId="388BBE82" w14:textId="77777777" w:rsidR="00761C27" w:rsidRPr="00E04DE1" w:rsidRDefault="00761C27" w:rsidP="00E04DE1">
      <w:pPr>
        <w:spacing w:after="120" w:line="240" w:lineRule="auto"/>
        <w:ind w:hanging="720"/>
        <w:rPr>
          <w:rFonts w:ascii="Arial" w:hAnsi="Arial" w:cs="Arial"/>
          <w:color w:val="222222"/>
        </w:rPr>
      </w:pPr>
    </w:p>
    <w:p w14:paraId="6418657B" w14:textId="77777777" w:rsidR="00E04DE1" w:rsidRDefault="00761C27" w:rsidP="00264A4B">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Kettunen, J., Vuorinen, R., &amp; Sampson Jr, J. P. (2013). Career practitioners' conceptions of social media in career services. </w:t>
      </w:r>
      <w:r w:rsidRPr="00E04DE1">
        <w:rPr>
          <w:rFonts w:ascii="Arial" w:eastAsia="Times New Roman" w:hAnsi="Arial" w:cs="Arial"/>
          <w:i/>
          <w:iCs/>
          <w:lang w:eastAsia="en-GB"/>
        </w:rPr>
        <w:t>British journal of guidance &amp; counselling</w:t>
      </w:r>
      <w:r w:rsidRPr="00E04DE1">
        <w:rPr>
          <w:rFonts w:ascii="Arial" w:eastAsia="Times New Roman" w:hAnsi="Arial" w:cs="Arial"/>
          <w:lang w:eastAsia="en-GB"/>
        </w:rPr>
        <w:t xml:space="preserve">, </w:t>
      </w:r>
      <w:r w:rsidRPr="00E04DE1">
        <w:rPr>
          <w:rFonts w:ascii="Arial" w:eastAsia="Times New Roman" w:hAnsi="Arial" w:cs="Arial"/>
          <w:i/>
          <w:iCs/>
          <w:lang w:eastAsia="en-GB"/>
        </w:rPr>
        <w:t>41</w:t>
      </w:r>
      <w:r w:rsidRPr="00E04DE1">
        <w:rPr>
          <w:rFonts w:ascii="Arial" w:eastAsia="Times New Roman" w:hAnsi="Arial" w:cs="Arial"/>
          <w:lang w:eastAsia="en-GB"/>
        </w:rPr>
        <w:t>(3), 302-317.</w:t>
      </w:r>
    </w:p>
    <w:p w14:paraId="16F9FAE0" w14:textId="77777777" w:rsidR="00264A4B" w:rsidRPr="00264A4B" w:rsidRDefault="00264A4B" w:rsidP="00264A4B">
      <w:pPr>
        <w:spacing w:after="120" w:line="240" w:lineRule="auto"/>
        <w:ind w:left="720" w:hanging="720"/>
        <w:rPr>
          <w:rFonts w:ascii="Arial" w:eastAsia="Times New Roman" w:hAnsi="Arial" w:cs="Arial"/>
          <w:lang w:eastAsia="en-GB"/>
        </w:rPr>
      </w:pPr>
    </w:p>
    <w:p w14:paraId="0F1A1907" w14:textId="77777777" w:rsidR="00761C27" w:rsidRPr="00E04DE1" w:rsidRDefault="00526124" w:rsidP="00E04DE1">
      <w:pPr>
        <w:spacing w:after="120" w:line="240" w:lineRule="auto"/>
        <w:ind w:left="720" w:hanging="720"/>
        <w:rPr>
          <w:rFonts w:ascii="Arial" w:hAnsi="Arial" w:cs="Arial"/>
          <w:color w:val="222222"/>
        </w:rPr>
      </w:pPr>
      <w:r w:rsidRPr="00E04DE1">
        <w:rPr>
          <w:rFonts w:ascii="Arial" w:hAnsi="Arial" w:cs="Arial"/>
          <w:color w:val="222222"/>
        </w:rPr>
        <w:t xml:space="preserve">Kim, K. S., Sin, S. C. J., &amp; Tsai, T. I. (2014). Individual differences in social media use for information seeking. </w:t>
      </w:r>
      <w:r w:rsidRPr="00E04DE1">
        <w:rPr>
          <w:rFonts w:ascii="Arial" w:hAnsi="Arial" w:cs="Arial"/>
          <w:i/>
          <w:iCs/>
          <w:color w:val="222222"/>
        </w:rPr>
        <w:t>The Journal of Academic Librarianship</w:t>
      </w:r>
      <w:r w:rsidRPr="00E04DE1">
        <w:rPr>
          <w:rFonts w:ascii="Arial" w:hAnsi="Arial" w:cs="Arial"/>
          <w:color w:val="222222"/>
        </w:rPr>
        <w:t xml:space="preserve">, </w:t>
      </w:r>
      <w:r w:rsidRPr="00E04DE1">
        <w:rPr>
          <w:rFonts w:ascii="Arial" w:hAnsi="Arial" w:cs="Arial"/>
          <w:i/>
          <w:iCs/>
          <w:color w:val="222222"/>
        </w:rPr>
        <w:t>40</w:t>
      </w:r>
      <w:r w:rsidRPr="00E04DE1">
        <w:rPr>
          <w:rFonts w:ascii="Arial" w:hAnsi="Arial" w:cs="Arial"/>
          <w:color w:val="222222"/>
        </w:rPr>
        <w:t>(2), 171-178.</w:t>
      </w:r>
    </w:p>
    <w:p w14:paraId="773ED71D" w14:textId="77777777" w:rsidR="00526124" w:rsidRPr="00E04DE1" w:rsidRDefault="00526124" w:rsidP="00E04DE1">
      <w:pPr>
        <w:spacing w:after="120" w:line="240" w:lineRule="auto"/>
        <w:ind w:left="720" w:hanging="720"/>
        <w:rPr>
          <w:rFonts w:ascii="Arial" w:hAnsi="Arial" w:cs="Arial"/>
          <w:color w:val="222222"/>
        </w:rPr>
      </w:pPr>
    </w:p>
    <w:p w14:paraId="40CF6EDE" w14:textId="77777777" w:rsidR="00761C27" w:rsidRPr="00E04DE1" w:rsidRDefault="00761C27"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Ko, C. J., Thang, S. M., &amp; Ou, S. C. (2014). Investigating the ICT Use and Needs of ‘Digital Natives' In Learning English at a Taiwanese University. </w:t>
      </w:r>
      <w:r w:rsidRPr="00E04DE1">
        <w:rPr>
          <w:rFonts w:ascii="Arial" w:eastAsia="Times New Roman" w:hAnsi="Arial" w:cs="Arial"/>
          <w:i/>
          <w:iCs/>
          <w:lang w:eastAsia="en-GB"/>
        </w:rPr>
        <w:t>International Journal of Web-Based Learning and Teaching Technologies (IJWLTT)</w:t>
      </w:r>
      <w:r w:rsidRPr="00E04DE1">
        <w:rPr>
          <w:rFonts w:ascii="Arial" w:eastAsia="Times New Roman" w:hAnsi="Arial" w:cs="Arial"/>
          <w:lang w:eastAsia="en-GB"/>
        </w:rPr>
        <w:t xml:space="preserve">, </w:t>
      </w:r>
      <w:r w:rsidRPr="00E04DE1">
        <w:rPr>
          <w:rFonts w:ascii="Arial" w:eastAsia="Times New Roman" w:hAnsi="Arial" w:cs="Arial"/>
          <w:i/>
          <w:iCs/>
          <w:lang w:eastAsia="en-GB"/>
        </w:rPr>
        <w:t>9</w:t>
      </w:r>
      <w:r w:rsidRPr="00E04DE1">
        <w:rPr>
          <w:rFonts w:ascii="Arial" w:eastAsia="Times New Roman" w:hAnsi="Arial" w:cs="Arial"/>
          <w:lang w:eastAsia="en-GB"/>
        </w:rPr>
        <w:t>(2), 32-45.</w:t>
      </w:r>
    </w:p>
    <w:p w14:paraId="70DD13E3" w14:textId="77777777" w:rsidR="00A14436" w:rsidRPr="00E04DE1" w:rsidRDefault="00A14436" w:rsidP="00E04DE1">
      <w:pPr>
        <w:spacing w:after="120" w:line="240" w:lineRule="auto"/>
        <w:ind w:hanging="720"/>
        <w:rPr>
          <w:rFonts w:ascii="Arial" w:eastAsia="Times New Roman" w:hAnsi="Arial" w:cs="Arial"/>
          <w:lang w:eastAsia="en-GB"/>
        </w:rPr>
      </w:pPr>
    </w:p>
    <w:p w14:paraId="6C50D21D" w14:textId="77777777" w:rsidR="002D700A" w:rsidRPr="00E04DE1" w:rsidRDefault="002D700A"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Li, N., &amp; Kirkup, G. (2007). Gender and cultural differences in Internet use: A study of China and the UK. </w:t>
      </w:r>
      <w:r w:rsidRPr="00E04DE1">
        <w:rPr>
          <w:rFonts w:ascii="Arial" w:eastAsia="Times New Roman" w:hAnsi="Arial" w:cs="Arial"/>
          <w:i/>
          <w:iCs/>
          <w:lang w:eastAsia="en-GB"/>
        </w:rPr>
        <w:t>Computers &amp; Education</w:t>
      </w:r>
      <w:r w:rsidRPr="00E04DE1">
        <w:rPr>
          <w:rFonts w:ascii="Arial" w:eastAsia="Times New Roman" w:hAnsi="Arial" w:cs="Arial"/>
          <w:lang w:eastAsia="en-GB"/>
        </w:rPr>
        <w:t xml:space="preserve">, </w:t>
      </w:r>
      <w:r w:rsidRPr="00E04DE1">
        <w:rPr>
          <w:rFonts w:ascii="Arial" w:eastAsia="Times New Roman" w:hAnsi="Arial" w:cs="Arial"/>
          <w:i/>
          <w:iCs/>
          <w:lang w:eastAsia="en-GB"/>
        </w:rPr>
        <w:t>48</w:t>
      </w:r>
      <w:r w:rsidRPr="00E04DE1">
        <w:rPr>
          <w:rFonts w:ascii="Arial" w:eastAsia="Times New Roman" w:hAnsi="Arial" w:cs="Arial"/>
          <w:lang w:eastAsia="en-GB"/>
        </w:rPr>
        <w:t>(2), 301-317.</w:t>
      </w:r>
    </w:p>
    <w:p w14:paraId="73999D0A" w14:textId="77777777" w:rsidR="00761C27" w:rsidRPr="00E04DE1" w:rsidRDefault="00761C27" w:rsidP="00E04DE1">
      <w:pPr>
        <w:spacing w:after="120" w:line="240" w:lineRule="auto"/>
        <w:ind w:hanging="720"/>
        <w:rPr>
          <w:rFonts w:ascii="Arial" w:eastAsia="Times New Roman" w:hAnsi="Arial" w:cs="Arial"/>
          <w:lang w:eastAsia="en-GB"/>
        </w:rPr>
      </w:pPr>
    </w:p>
    <w:p w14:paraId="672A883C" w14:textId="77777777" w:rsidR="0092045C" w:rsidRPr="00E04DE1"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Lin, N. (1999). Building a network theory of social capital. </w:t>
      </w:r>
      <w:r w:rsidRPr="00E04DE1">
        <w:rPr>
          <w:rFonts w:ascii="Arial" w:eastAsia="Times New Roman" w:hAnsi="Arial" w:cs="Arial"/>
          <w:i/>
          <w:iCs/>
          <w:lang w:eastAsia="en-GB"/>
        </w:rPr>
        <w:t>Connections</w:t>
      </w:r>
      <w:r w:rsidRPr="00E04DE1">
        <w:rPr>
          <w:rFonts w:ascii="Arial" w:eastAsia="Times New Roman" w:hAnsi="Arial" w:cs="Arial"/>
          <w:lang w:eastAsia="en-GB"/>
        </w:rPr>
        <w:t xml:space="preserve">, </w:t>
      </w:r>
      <w:r w:rsidRPr="00E04DE1">
        <w:rPr>
          <w:rFonts w:ascii="Arial" w:eastAsia="Times New Roman" w:hAnsi="Arial" w:cs="Arial"/>
          <w:i/>
          <w:iCs/>
          <w:lang w:eastAsia="en-GB"/>
        </w:rPr>
        <w:t>22</w:t>
      </w:r>
      <w:r w:rsidRPr="00E04DE1">
        <w:rPr>
          <w:rFonts w:ascii="Arial" w:eastAsia="Times New Roman" w:hAnsi="Arial" w:cs="Arial"/>
          <w:lang w:eastAsia="en-GB"/>
        </w:rPr>
        <w:t>(1), 28-51.</w:t>
      </w:r>
    </w:p>
    <w:p w14:paraId="65B94C86" w14:textId="77777777" w:rsidR="0092045C" w:rsidRPr="00E04DE1" w:rsidRDefault="0092045C" w:rsidP="00E04DE1">
      <w:pPr>
        <w:spacing w:after="120" w:line="240" w:lineRule="auto"/>
        <w:ind w:left="720" w:hanging="720"/>
        <w:rPr>
          <w:rFonts w:ascii="Arial" w:eastAsia="Times New Roman" w:hAnsi="Arial" w:cs="Arial"/>
          <w:lang w:eastAsia="en-GB"/>
        </w:rPr>
      </w:pPr>
    </w:p>
    <w:p w14:paraId="10B98BA5" w14:textId="77777777" w:rsidR="0092045C" w:rsidRPr="00E04DE1"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Lin, N. (2002). </w:t>
      </w:r>
      <w:r w:rsidRPr="00E04DE1">
        <w:rPr>
          <w:rFonts w:ascii="Arial" w:eastAsia="Times New Roman" w:hAnsi="Arial" w:cs="Arial"/>
          <w:i/>
          <w:iCs/>
          <w:lang w:eastAsia="en-GB"/>
        </w:rPr>
        <w:t>Social capital: A theory of social structure and action</w:t>
      </w:r>
      <w:r w:rsidRPr="00E04DE1">
        <w:rPr>
          <w:rFonts w:ascii="Arial" w:eastAsia="Times New Roman" w:hAnsi="Arial" w:cs="Arial"/>
          <w:lang w:eastAsia="en-GB"/>
        </w:rPr>
        <w:t xml:space="preserve"> (Vol. 19). Cambridge university press.</w:t>
      </w:r>
    </w:p>
    <w:p w14:paraId="392F000D" w14:textId="77777777" w:rsidR="0092045C" w:rsidRPr="00E04DE1" w:rsidRDefault="0092045C" w:rsidP="00E04DE1">
      <w:pPr>
        <w:spacing w:after="120" w:line="240" w:lineRule="auto"/>
        <w:ind w:hanging="720"/>
        <w:rPr>
          <w:rFonts w:ascii="Arial" w:hAnsi="Arial" w:cs="Arial"/>
        </w:rPr>
      </w:pPr>
    </w:p>
    <w:p w14:paraId="5B21B4A9" w14:textId="77777777" w:rsidR="002D700A" w:rsidRPr="00E04DE1" w:rsidRDefault="002D700A"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Lin, K. Y., &amp; Lu, H. P. (2011). Why people use social networking sites: An empirical study integrating network externalities and motivation theory. </w:t>
      </w:r>
      <w:r w:rsidRPr="00E04DE1">
        <w:rPr>
          <w:rFonts w:ascii="Arial" w:eastAsia="Times New Roman" w:hAnsi="Arial" w:cs="Arial"/>
          <w:i/>
          <w:iCs/>
          <w:lang w:eastAsia="en-GB"/>
        </w:rPr>
        <w:t>Computers in Human Behavior</w:t>
      </w:r>
      <w:r w:rsidRPr="00E04DE1">
        <w:rPr>
          <w:rFonts w:ascii="Arial" w:eastAsia="Times New Roman" w:hAnsi="Arial" w:cs="Arial"/>
          <w:lang w:eastAsia="en-GB"/>
        </w:rPr>
        <w:t xml:space="preserve">, </w:t>
      </w:r>
      <w:r w:rsidRPr="00E04DE1">
        <w:rPr>
          <w:rFonts w:ascii="Arial" w:eastAsia="Times New Roman" w:hAnsi="Arial" w:cs="Arial"/>
          <w:i/>
          <w:iCs/>
          <w:lang w:eastAsia="en-GB"/>
        </w:rPr>
        <w:t>27</w:t>
      </w:r>
      <w:r w:rsidRPr="00E04DE1">
        <w:rPr>
          <w:rFonts w:ascii="Arial" w:eastAsia="Times New Roman" w:hAnsi="Arial" w:cs="Arial"/>
          <w:lang w:eastAsia="en-GB"/>
        </w:rPr>
        <w:t>(3), 1152-1161.</w:t>
      </w:r>
    </w:p>
    <w:p w14:paraId="371C8B3D" w14:textId="77777777" w:rsidR="002D700A" w:rsidRPr="00E04DE1" w:rsidRDefault="002D700A" w:rsidP="00E04DE1">
      <w:pPr>
        <w:spacing w:after="120" w:line="240" w:lineRule="auto"/>
        <w:ind w:left="720" w:hanging="720"/>
        <w:rPr>
          <w:rFonts w:ascii="Arial" w:eastAsia="Times New Roman" w:hAnsi="Arial" w:cs="Arial"/>
          <w:lang w:eastAsia="en-GB"/>
        </w:rPr>
      </w:pPr>
    </w:p>
    <w:p w14:paraId="5D1686D0" w14:textId="77777777" w:rsidR="002D700A" w:rsidRPr="00E04DE1" w:rsidRDefault="002D700A"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Livingstone, S., &amp; Helsper, E. (2007). Gradations in digital inclusion: children, young people and the digital divide. </w:t>
      </w:r>
      <w:r w:rsidRPr="00E04DE1">
        <w:rPr>
          <w:rFonts w:ascii="Arial" w:eastAsia="Times New Roman" w:hAnsi="Arial" w:cs="Arial"/>
          <w:i/>
          <w:iCs/>
          <w:lang w:eastAsia="en-GB"/>
        </w:rPr>
        <w:t>New media &amp; society</w:t>
      </w:r>
      <w:r w:rsidRPr="00E04DE1">
        <w:rPr>
          <w:rFonts w:ascii="Arial" w:eastAsia="Times New Roman" w:hAnsi="Arial" w:cs="Arial"/>
          <w:lang w:eastAsia="en-GB"/>
        </w:rPr>
        <w:t xml:space="preserve">, </w:t>
      </w:r>
      <w:r w:rsidRPr="00E04DE1">
        <w:rPr>
          <w:rFonts w:ascii="Arial" w:eastAsia="Times New Roman" w:hAnsi="Arial" w:cs="Arial"/>
          <w:i/>
          <w:iCs/>
          <w:lang w:eastAsia="en-GB"/>
        </w:rPr>
        <w:t>9</w:t>
      </w:r>
      <w:r w:rsidRPr="00E04DE1">
        <w:rPr>
          <w:rFonts w:ascii="Arial" w:eastAsia="Times New Roman" w:hAnsi="Arial" w:cs="Arial"/>
          <w:lang w:eastAsia="en-GB"/>
        </w:rPr>
        <w:t>(4), 671-696.</w:t>
      </w:r>
    </w:p>
    <w:p w14:paraId="443EC9BB" w14:textId="77777777" w:rsidR="00256980" w:rsidRPr="00E04DE1" w:rsidRDefault="00256980" w:rsidP="00E04DE1">
      <w:pPr>
        <w:spacing w:after="120" w:line="240" w:lineRule="auto"/>
        <w:ind w:hanging="720"/>
        <w:rPr>
          <w:rFonts w:ascii="Arial" w:hAnsi="Arial" w:cs="Arial"/>
        </w:rPr>
      </w:pPr>
    </w:p>
    <w:p w14:paraId="37CDE18D" w14:textId="77777777" w:rsidR="00A261FC" w:rsidRPr="00E04DE1" w:rsidRDefault="00CF1294" w:rsidP="00E04DE1">
      <w:pPr>
        <w:spacing w:after="120" w:line="240" w:lineRule="auto"/>
        <w:ind w:left="720" w:hanging="720"/>
        <w:rPr>
          <w:rStyle w:val="HTMLCite"/>
          <w:rFonts w:ascii="Arial" w:hAnsi="Arial" w:cs="Arial"/>
          <w:i w:val="0"/>
        </w:rPr>
      </w:pPr>
      <w:r w:rsidRPr="00E04DE1">
        <w:rPr>
          <w:rFonts w:ascii="Arial" w:hAnsi="Arial" w:cs="Arial"/>
        </w:rPr>
        <w:t>McGuiness, F. (2015)</w:t>
      </w:r>
      <w:r w:rsidR="005A5F6C" w:rsidRPr="00E04DE1">
        <w:rPr>
          <w:rFonts w:ascii="Arial" w:hAnsi="Arial" w:cs="Arial"/>
        </w:rPr>
        <w:t>.</w:t>
      </w:r>
      <w:r w:rsidRPr="00E04DE1">
        <w:rPr>
          <w:rFonts w:ascii="Arial" w:hAnsi="Arial" w:cs="Arial"/>
        </w:rPr>
        <w:t xml:space="preserve"> </w:t>
      </w:r>
      <w:r w:rsidRPr="00E04DE1">
        <w:rPr>
          <w:rFonts w:ascii="Arial" w:hAnsi="Arial" w:cs="Arial"/>
          <w:i/>
        </w:rPr>
        <w:t>Youth Unemployment Statistics</w:t>
      </w:r>
      <w:r w:rsidRPr="00E04DE1">
        <w:rPr>
          <w:rFonts w:ascii="Arial" w:hAnsi="Arial" w:cs="Arial"/>
        </w:rPr>
        <w:t>.</w:t>
      </w:r>
      <w:r w:rsidR="005A5F6C" w:rsidRPr="00E04DE1">
        <w:rPr>
          <w:rFonts w:ascii="Arial" w:hAnsi="Arial" w:cs="Arial"/>
        </w:rPr>
        <w:t xml:space="preserve"> [Online]. </w:t>
      </w:r>
      <w:r w:rsidR="00256980" w:rsidRPr="00E04DE1">
        <w:rPr>
          <w:rFonts w:ascii="Arial" w:hAnsi="Arial" w:cs="Arial"/>
        </w:rPr>
        <w:t xml:space="preserve">Available at: </w:t>
      </w:r>
      <w:hyperlink r:id="rId13" w:history="1">
        <w:r w:rsidR="00256980" w:rsidRPr="00E04DE1">
          <w:rPr>
            <w:rStyle w:val="Hyperlink"/>
            <w:rFonts w:ascii="Arial" w:hAnsi="Arial" w:cs="Arial"/>
          </w:rPr>
          <w:t>www.parliament.</w:t>
        </w:r>
        <w:r w:rsidR="00256980" w:rsidRPr="00F36B39">
          <w:rPr>
            <w:rStyle w:val="Hyperlink"/>
            <w:rFonts w:ascii="Arial" w:hAnsi="Arial" w:cs="Arial"/>
            <w:bCs/>
          </w:rPr>
          <w:t>uk</w:t>
        </w:r>
        <w:r w:rsidR="00256980" w:rsidRPr="00E04DE1">
          <w:rPr>
            <w:rStyle w:val="Hyperlink"/>
            <w:rFonts w:ascii="Arial" w:hAnsi="Arial" w:cs="Arial"/>
          </w:rPr>
          <w:t>/briefing-papers/SN05871.pdf</w:t>
        </w:r>
      </w:hyperlink>
      <w:r w:rsidR="00256980" w:rsidRPr="00E04DE1">
        <w:rPr>
          <w:rStyle w:val="HTMLCite"/>
          <w:rFonts w:ascii="Arial" w:hAnsi="Arial" w:cs="Arial"/>
        </w:rPr>
        <w:t xml:space="preserve">. </w:t>
      </w:r>
      <w:r w:rsidR="00256980" w:rsidRPr="00E04DE1">
        <w:rPr>
          <w:rStyle w:val="HTMLCite"/>
          <w:rFonts w:ascii="Arial" w:hAnsi="Arial" w:cs="Arial"/>
          <w:i w:val="0"/>
        </w:rPr>
        <w:t>[Accessed 20</w:t>
      </w:r>
      <w:r w:rsidR="00256980" w:rsidRPr="00E04DE1">
        <w:rPr>
          <w:rStyle w:val="HTMLCite"/>
          <w:rFonts w:ascii="Arial" w:hAnsi="Arial" w:cs="Arial"/>
          <w:i w:val="0"/>
          <w:vertAlign w:val="superscript"/>
        </w:rPr>
        <w:t>th</w:t>
      </w:r>
      <w:r w:rsidR="00256980" w:rsidRPr="00E04DE1">
        <w:rPr>
          <w:rStyle w:val="HTMLCite"/>
          <w:rFonts w:ascii="Arial" w:hAnsi="Arial" w:cs="Arial"/>
          <w:i w:val="0"/>
        </w:rPr>
        <w:t xml:space="preserve"> October 2015].</w:t>
      </w:r>
    </w:p>
    <w:p w14:paraId="7052B729" w14:textId="77777777" w:rsidR="00584B1B" w:rsidRPr="00E04DE1" w:rsidRDefault="00584B1B" w:rsidP="00E04DE1">
      <w:pPr>
        <w:spacing w:after="120" w:line="240" w:lineRule="auto"/>
        <w:ind w:hanging="720"/>
        <w:rPr>
          <w:rStyle w:val="HTMLCite"/>
          <w:rFonts w:ascii="Arial" w:hAnsi="Arial" w:cs="Arial"/>
          <w:i w:val="0"/>
        </w:rPr>
      </w:pPr>
    </w:p>
    <w:p w14:paraId="3049910A"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McQuaid, R. W., &amp; Lindsay, C. (2005). The concept of employability. </w:t>
      </w:r>
      <w:r w:rsidRPr="00E04DE1">
        <w:rPr>
          <w:rFonts w:ascii="Arial" w:eastAsia="Times New Roman" w:hAnsi="Arial" w:cs="Arial"/>
          <w:i/>
          <w:iCs/>
          <w:lang w:eastAsia="en-GB"/>
        </w:rPr>
        <w:t>Urban studies</w:t>
      </w:r>
      <w:r w:rsidRPr="00E04DE1">
        <w:rPr>
          <w:rFonts w:ascii="Arial" w:eastAsia="Times New Roman" w:hAnsi="Arial" w:cs="Arial"/>
          <w:lang w:eastAsia="en-GB"/>
        </w:rPr>
        <w:t xml:space="preserve">, </w:t>
      </w:r>
      <w:r w:rsidRPr="00E04DE1">
        <w:rPr>
          <w:rFonts w:ascii="Arial" w:eastAsia="Times New Roman" w:hAnsi="Arial" w:cs="Arial"/>
          <w:i/>
          <w:iCs/>
          <w:lang w:eastAsia="en-GB"/>
        </w:rPr>
        <w:t>42</w:t>
      </w:r>
      <w:r w:rsidRPr="00E04DE1">
        <w:rPr>
          <w:rFonts w:ascii="Arial" w:eastAsia="Times New Roman" w:hAnsi="Arial" w:cs="Arial"/>
          <w:lang w:eastAsia="en-GB"/>
        </w:rPr>
        <w:t>(2), 197-219.</w:t>
      </w:r>
    </w:p>
    <w:p w14:paraId="114DEAE7" w14:textId="77777777" w:rsidR="00761C27" w:rsidRPr="00E04DE1" w:rsidRDefault="00761C27" w:rsidP="00E04DE1">
      <w:pPr>
        <w:spacing w:after="120" w:line="240" w:lineRule="auto"/>
        <w:ind w:left="720" w:hanging="720"/>
        <w:rPr>
          <w:rFonts w:ascii="Arial" w:eastAsia="Times New Roman" w:hAnsi="Arial" w:cs="Arial"/>
          <w:lang w:eastAsia="en-GB"/>
        </w:rPr>
      </w:pPr>
    </w:p>
    <w:p w14:paraId="75395138" w14:textId="77777777" w:rsidR="00761C27" w:rsidRPr="00E04DE1" w:rsidRDefault="00761C27"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Meho, L. I., &amp; Tibbo, H. R. (2003). Modeling the information</w:t>
      </w:r>
      <w:r w:rsidRPr="00E04DE1">
        <w:rPr>
          <w:rFonts w:ascii="Cambria Math" w:eastAsia="Times New Roman" w:hAnsi="Cambria Math" w:cs="Cambria Math"/>
          <w:lang w:eastAsia="en-GB"/>
        </w:rPr>
        <w:t>‐</w:t>
      </w:r>
      <w:r w:rsidRPr="00E04DE1">
        <w:rPr>
          <w:rFonts w:ascii="Arial" w:eastAsia="Times New Roman" w:hAnsi="Arial" w:cs="Arial"/>
          <w:lang w:eastAsia="en-GB"/>
        </w:rPr>
        <w:t xml:space="preserve">seeking behavior of social scientists: Ellis's study revisited. </w:t>
      </w:r>
      <w:r w:rsidRPr="00E04DE1">
        <w:rPr>
          <w:rFonts w:ascii="Arial" w:eastAsia="Times New Roman" w:hAnsi="Arial" w:cs="Arial"/>
          <w:i/>
          <w:iCs/>
          <w:lang w:eastAsia="en-GB"/>
        </w:rPr>
        <w:t>Journal of the American society for Information Science and Technology</w:t>
      </w:r>
      <w:r w:rsidRPr="00E04DE1">
        <w:rPr>
          <w:rFonts w:ascii="Arial" w:eastAsia="Times New Roman" w:hAnsi="Arial" w:cs="Arial"/>
          <w:lang w:eastAsia="en-GB"/>
        </w:rPr>
        <w:t xml:space="preserve">, </w:t>
      </w:r>
      <w:r w:rsidRPr="00E04DE1">
        <w:rPr>
          <w:rFonts w:ascii="Arial" w:eastAsia="Times New Roman" w:hAnsi="Arial" w:cs="Arial"/>
          <w:i/>
          <w:iCs/>
          <w:lang w:eastAsia="en-GB"/>
        </w:rPr>
        <w:t>54</w:t>
      </w:r>
      <w:r w:rsidRPr="00E04DE1">
        <w:rPr>
          <w:rFonts w:ascii="Arial" w:eastAsia="Times New Roman" w:hAnsi="Arial" w:cs="Arial"/>
          <w:lang w:eastAsia="en-GB"/>
        </w:rPr>
        <w:t>(6), 570-587.</w:t>
      </w:r>
    </w:p>
    <w:p w14:paraId="32EDBF1D" w14:textId="77777777" w:rsidR="00761C27" w:rsidRPr="00E04DE1" w:rsidRDefault="00761C27" w:rsidP="00E04DE1">
      <w:pPr>
        <w:spacing w:after="120" w:line="240" w:lineRule="auto"/>
        <w:ind w:left="720" w:hanging="720"/>
        <w:rPr>
          <w:rFonts w:ascii="Arial" w:eastAsia="Times New Roman" w:hAnsi="Arial" w:cs="Arial"/>
          <w:lang w:eastAsia="en-GB"/>
        </w:rPr>
      </w:pPr>
    </w:p>
    <w:p w14:paraId="65C9996B" w14:textId="77777777" w:rsidR="00761C27" w:rsidRPr="00E04DE1" w:rsidRDefault="00761C27" w:rsidP="00E04DE1">
      <w:pPr>
        <w:spacing w:after="120" w:line="240" w:lineRule="auto"/>
        <w:ind w:left="720" w:hanging="720"/>
        <w:rPr>
          <w:rFonts w:ascii="Arial" w:hAnsi="Arial" w:cs="Arial"/>
          <w:color w:val="222222"/>
        </w:rPr>
      </w:pPr>
      <w:r w:rsidRPr="00E04DE1">
        <w:rPr>
          <w:rFonts w:ascii="Arial" w:hAnsi="Arial" w:cs="Arial"/>
          <w:color w:val="222222"/>
        </w:rPr>
        <w:t>Mo, R., &amp; Leung, L. (2015). Exploring the roles of narcissism, uses of, and gratifications from microblogs on affinity</w:t>
      </w:r>
      <w:r w:rsidRPr="00E04DE1">
        <w:rPr>
          <w:rFonts w:ascii="Cambria Math" w:hAnsi="Cambria Math" w:cs="Cambria Math"/>
          <w:color w:val="222222"/>
        </w:rPr>
        <w:t>‐</w:t>
      </w:r>
      <w:r w:rsidRPr="00E04DE1">
        <w:rPr>
          <w:rFonts w:ascii="Arial" w:hAnsi="Arial" w:cs="Arial"/>
          <w:color w:val="222222"/>
        </w:rPr>
        <w:t xml:space="preserve">seeking and social capital. </w:t>
      </w:r>
      <w:r w:rsidRPr="00E04DE1">
        <w:rPr>
          <w:rFonts w:ascii="Arial" w:hAnsi="Arial" w:cs="Arial"/>
          <w:i/>
          <w:iCs/>
          <w:color w:val="222222"/>
        </w:rPr>
        <w:t>Asian Journal of Social Psychology</w:t>
      </w:r>
      <w:r w:rsidRPr="00E04DE1">
        <w:rPr>
          <w:rFonts w:ascii="Arial" w:hAnsi="Arial" w:cs="Arial"/>
          <w:color w:val="222222"/>
        </w:rPr>
        <w:t xml:space="preserve">, </w:t>
      </w:r>
      <w:r w:rsidRPr="00E04DE1">
        <w:rPr>
          <w:rFonts w:ascii="Arial" w:hAnsi="Arial" w:cs="Arial"/>
          <w:i/>
          <w:iCs/>
          <w:color w:val="222222"/>
        </w:rPr>
        <w:t>18</w:t>
      </w:r>
      <w:r w:rsidRPr="00E04DE1">
        <w:rPr>
          <w:rFonts w:ascii="Arial" w:hAnsi="Arial" w:cs="Arial"/>
          <w:color w:val="222222"/>
        </w:rPr>
        <w:t>(2), 152-162.</w:t>
      </w:r>
    </w:p>
    <w:p w14:paraId="020F8E91" w14:textId="77777777" w:rsidR="00526124" w:rsidRPr="00E04DE1" w:rsidRDefault="00526124" w:rsidP="00E04DE1">
      <w:pPr>
        <w:spacing w:after="120" w:line="240" w:lineRule="auto"/>
        <w:ind w:left="720" w:hanging="720"/>
        <w:rPr>
          <w:rFonts w:ascii="Arial" w:hAnsi="Arial" w:cs="Arial"/>
          <w:color w:val="222222"/>
        </w:rPr>
      </w:pPr>
    </w:p>
    <w:p w14:paraId="29DD0B59" w14:textId="77777777" w:rsidR="002D700A" w:rsidRPr="00E04DE1" w:rsidRDefault="002D700A"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Muscanell, N. L., &amp; Guadagno, R. E. (2012). Make new friends or keep the old: Gender and personality differences in social networking use. </w:t>
      </w:r>
      <w:r w:rsidRPr="00E04DE1">
        <w:rPr>
          <w:rFonts w:ascii="Arial" w:eastAsia="Times New Roman" w:hAnsi="Arial" w:cs="Arial"/>
          <w:i/>
          <w:iCs/>
          <w:lang w:eastAsia="en-GB"/>
        </w:rPr>
        <w:t>Computers in Human Behavior</w:t>
      </w:r>
      <w:r w:rsidRPr="00E04DE1">
        <w:rPr>
          <w:rFonts w:ascii="Arial" w:eastAsia="Times New Roman" w:hAnsi="Arial" w:cs="Arial"/>
          <w:lang w:eastAsia="en-GB"/>
        </w:rPr>
        <w:t xml:space="preserve">, </w:t>
      </w:r>
      <w:r w:rsidRPr="00E04DE1">
        <w:rPr>
          <w:rFonts w:ascii="Arial" w:eastAsia="Times New Roman" w:hAnsi="Arial" w:cs="Arial"/>
          <w:i/>
          <w:iCs/>
          <w:lang w:eastAsia="en-GB"/>
        </w:rPr>
        <w:t>28</w:t>
      </w:r>
      <w:r w:rsidRPr="00E04DE1">
        <w:rPr>
          <w:rFonts w:ascii="Arial" w:eastAsia="Times New Roman" w:hAnsi="Arial" w:cs="Arial"/>
          <w:lang w:eastAsia="en-GB"/>
        </w:rPr>
        <w:t>(1), 107-112.</w:t>
      </w:r>
    </w:p>
    <w:p w14:paraId="2009116E" w14:textId="77777777" w:rsidR="00E04DE1" w:rsidRDefault="00C62F7A" w:rsidP="00E04DE1">
      <w:pPr>
        <w:spacing w:after="120" w:line="240" w:lineRule="auto"/>
        <w:ind w:left="720" w:hanging="720"/>
        <w:rPr>
          <w:rFonts w:ascii="Arial" w:eastAsia="Times New Roman" w:hAnsi="Arial" w:cs="Arial"/>
          <w:lang w:eastAsia="en-GB"/>
        </w:rPr>
      </w:pPr>
      <w:r>
        <w:rPr>
          <w:rFonts w:ascii="Arial" w:eastAsia="Times New Roman" w:hAnsi="Arial" w:cs="Arial"/>
          <w:lang w:eastAsia="en-GB"/>
        </w:rPr>
        <w:t xml:space="preserve">ONS (2014). </w:t>
      </w:r>
      <w:r>
        <w:rPr>
          <w:rFonts w:ascii="Arial" w:eastAsia="Times New Roman" w:hAnsi="Arial" w:cs="Arial"/>
          <w:i/>
          <w:lang w:eastAsia="en-GB"/>
        </w:rPr>
        <w:t xml:space="preserve">Internet access – households and individuals 2014. </w:t>
      </w:r>
      <w:r>
        <w:rPr>
          <w:rFonts w:ascii="Arial" w:eastAsia="Times New Roman" w:hAnsi="Arial" w:cs="Arial"/>
          <w:lang w:eastAsia="en-GB"/>
        </w:rPr>
        <w:t xml:space="preserve">[Online]. Available at: </w:t>
      </w:r>
      <w:hyperlink r:id="rId14" w:history="1">
        <w:r w:rsidRPr="00A723A7">
          <w:rPr>
            <w:rStyle w:val="Hyperlink"/>
            <w:rFonts w:ascii="Arial" w:eastAsia="Times New Roman" w:hAnsi="Arial" w:cs="Arial"/>
            <w:lang w:eastAsia="en-GB"/>
          </w:rPr>
          <w:t>http://www.ons.gov.uk/ons/dcp171778_373584.pdf</w:t>
        </w:r>
      </w:hyperlink>
      <w:r>
        <w:rPr>
          <w:rFonts w:ascii="Arial" w:eastAsia="Times New Roman" w:hAnsi="Arial" w:cs="Arial"/>
          <w:lang w:eastAsia="en-GB"/>
        </w:rPr>
        <w:t>. [Accessed: 28</w:t>
      </w:r>
      <w:r w:rsidRPr="00C62F7A">
        <w:rPr>
          <w:rFonts w:ascii="Arial" w:eastAsia="Times New Roman" w:hAnsi="Arial" w:cs="Arial"/>
          <w:vertAlign w:val="superscript"/>
          <w:lang w:eastAsia="en-GB"/>
        </w:rPr>
        <w:t>th</w:t>
      </w:r>
      <w:r>
        <w:rPr>
          <w:rFonts w:ascii="Arial" w:eastAsia="Times New Roman" w:hAnsi="Arial" w:cs="Arial"/>
          <w:lang w:eastAsia="en-GB"/>
        </w:rPr>
        <w:t xml:space="preserve"> October 2015].</w:t>
      </w:r>
    </w:p>
    <w:p w14:paraId="16EE6701" w14:textId="77777777" w:rsidR="00E25817" w:rsidRDefault="00E25817" w:rsidP="00E04DE1">
      <w:pPr>
        <w:spacing w:after="120" w:line="240" w:lineRule="auto"/>
        <w:ind w:left="720" w:hanging="720"/>
        <w:rPr>
          <w:rFonts w:ascii="Arial" w:eastAsia="Times New Roman" w:hAnsi="Arial" w:cs="Arial"/>
          <w:lang w:eastAsia="en-GB"/>
        </w:rPr>
      </w:pPr>
    </w:p>
    <w:p w14:paraId="52F25420" w14:textId="77777777" w:rsidR="00E25817" w:rsidRPr="00E25817" w:rsidRDefault="00E25817" w:rsidP="00E25817">
      <w:pPr>
        <w:spacing w:after="0" w:line="240" w:lineRule="auto"/>
        <w:ind w:left="720" w:hanging="720"/>
        <w:rPr>
          <w:rFonts w:ascii="Arial" w:hAnsi="Arial" w:cs="Arial"/>
          <w:color w:val="222222"/>
        </w:rPr>
      </w:pPr>
      <w:r w:rsidRPr="00E25817">
        <w:rPr>
          <w:rFonts w:ascii="Arial" w:hAnsi="Arial" w:cs="Arial"/>
          <w:color w:val="222222"/>
        </w:rPr>
        <w:t xml:space="preserve">El Ouirdi, M., El Ouirdi, A., Segers, J., &amp; Henderickx, E. (2014). Social Media Conceptualization and Taxonomy A Lasswellian Framework. </w:t>
      </w:r>
      <w:r w:rsidRPr="00E25817">
        <w:rPr>
          <w:rFonts w:ascii="Arial" w:hAnsi="Arial" w:cs="Arial"/>
          <w:i/>
          <w:color w:val="222222"/>
        </w:rPr>
        <w:t>Journal of Creative Communications, 9</w:t>
      </w:r>
      <w:r w:rsidRPr="00E25817">
        <w:rPr>
          <w:rFonts w:ascii="Arial" w:hAnsi="Arial" w:cs="Arial"/>
          <w:color w:val="222222"/>
        </w:rPr>
        <w:t>(2), 107-126.</w:t>
      </w:r>
    </w:p>
    <w:p w14:paraId="35922365" w14:textId="77777777" w:rsidR="00E25817" w:rsidRPr="00C62F7A" w:rsidRDefault="00E25817" w:rsidP="00E25817">
      <w:pPr>
        <w:spacing w:after="120" w:line="240" w:lineRule="auto"/>
        <w:rPr>
          <w:rFonts w:ascii="Arial" w:eastAsia="Times New Roman" w:hAnsi="Arial" w:cs="Arial"/>
          <w:lang w:eastAsia="en-GB"/>
        </w:rPr>
      </w:pPr>
    </w:p>
    <w:p w14:paraId="4264B661" w14:textId="77777777" w:rsidR="00E04DE1" w:rsidRPr="00E04DE1" w:rsidRDefault="00E04DE1" w:rsidP="00E04DE1">
      <w:pPr>
        <w:spacing w:after="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Panahi, S., Watson, J., &amp; Partridge, H. (2015). Information encountering on social media and tacit knowledge sharing. </w:t>
      </w:r>
      <w:r w:rsidRPr="00E04DE1">
        <w:rPr>
          <w:rFonts w:ascii="Arial" w:eastAsia="Times New Roman" w:hAnsi="Arial" w:cs="Arial"/>
          <w:i/>
          <w:iCs/>
          <w:lang w:eastAsia="en-GB"/>
        </w:rPr>
        <w:t>Journal of Information Science</w:t>
      </w:r>
      <w:r w:rsidR="00634681">
        <w:rPr>
          <w:rFonts w:ascii="Arial" w:eastAsia="Times New Roman" w:hAnsi="Arial" w:cs="Arial"/>
          <w:lang w:eastAsia="en-GB"/>
        </w:rPr>
        <w:t>.</w:t>
      </w:r>
      <w:r w:rsidRPr="00E04DE1">
        <w:rPr>
          <w:rFonts w:ascii="Arial" w:eastAsia="Times New Roman" w:hAnsi="Arial" w:cs="Arial"/>
          <w:lang w:eastAsia="en-GB"/>
        </w:rPr>
        <w:t xml:space="preserve"> </w:t>
      </w:r>
      <w:r w:rsidR="00634681">
        <w:rPr>
          <w:rFonts w:ascii="Arial" w:eastAsia="Times New Roman" w:hAnsi="Arial" w:cs="Arial"/>
          <w:lang w:eastAsia="en-GB"/>
        </w:rPr>
        <w:t xml:space="preserve">Advance online publication. </w:t>
      </w:r>
      <w:r w:rsidR="00634681" w:rsidRPr="00634681">
        <w:rPr>
          <w:rFonts w:ascii="Arial" w:eastAsia="Times New Roman" w:hAnsi="Arial" w:cs="Arial"/>
          <w:lang w:eastAsia="en-GB"/>
        </w:rPr>
        <w:t>doi: 10.1177/0165551515598883</w:t>
      </w:r>
    </w:p>
    <w:p w14:paraId="2CB5752A" w14:textId="77777777" w:rsidR="00A14436" w:rsidRPr="00E04DE1" w:rsidRDefault="00A14436" w:rsidP="00E04DE1">
      <w:pPr>
        <w:spacing w:after="120" w:line="240" w:lineRule="auto"/>
        <w:ind w:left="720" w:hanging="720"/>
        <w:rPr>
          <w:rFonts w:ascii="Arial" w:eastAsia="Times New Roman" w:hAnsi="Arial" w:cs="Arial"/>
          <w:lang w:eastAsia="en-GB"/>
        </w:rPr>
      </w:pPr>
    </w:p>
    <w:p w14:paraId="485CA280" w14:textId="77777777" w:rsidR="00341D50" w:rsidRPr="00E04DE1" w:rsidRDefault="00526124"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Palfrey, J., &amp; Gasser, U. (2013). </w:t>
      </w:r>
      <w:r w:rsidRPr="00E04DE1">
        <w:rPr>
          <w:rFonts w:ascii="Arial" w:eastAsia="Times New Roman" w:hAnsi="Arial" w:cs="Arial"/>
          <w:i/>
          <w:iCs/>
          <w:lang w:eastAsia="en-GB"/>
        </w:rPr>
        <w:t>Born digital: Understanding the first generation of digital natives</w:t>
      </w:r>
      <w:r w:rsidRPr="00E04DE1">
        <w:rPr>
          <w:rFonts w:ascii="Arial" w:eastAsia="Times New Roman" w:hAnsi="Arial" w:cs="Arial"/>
          <w:lang w:eastAsia="en-GB"/>
        </w:rPr>
        <w:t xml:space="preserve">. </w:t>
      </w:r>
      <w:r w:rsidR="00B910FD">
        <w:rPr>
          <w:rFonts w:ascii="Arial" w:eastAsia="Times New Roman" w:hAnsi="Arial" w:cs="Arial"/>
          <w:lang w:eastAsia="en-GB"/>
        </w:rPr>
        <w:t xml:space="preserve">New York: </w:t>
      </w:r>
      <w:r w:rsidRPr="00E04DE1">
        <w:rPr>
          <w:rFonts w:ascii="Arial" w:eastAsia="Times New Roman" w:hAnsi="Arial" w:cs="Arial"/>
          <w:lang w:eastAsia="en-GB"/>
        </w:rPr>
        <w:t>Basic Books.</w:t>
      </w:r>
    </w:p>
    <w:p w14:paraId="24D2E4F7" w14:textId="77777777" w:rsidR="00584B1B" w:rsidRPr="00E04DE1" w:rsidRDefault="00341D50" w:rsidP="00E04DE1">
      <w:pPr>
        <w:ind w:hanging="720"/>
        <w:rPr>
          <w:rFonts w:ascii="Arial" w:eastAsia="Times New Roman" w:hAnsi="Arial" w:cs="Arial"/>
          <w:lang w:eastAsia="en-GB"/>
        </w:rPr>
      </w:pPr>
      <w:r w:rsidRPr="00E04DE1">
        <w:rPr>
          <w:rFonts w:ascii="Arial" w:eastAsia="Times New Roman" w:hAnsi="Arial" w:cs="Arial"/>
          <w:lang w:eastAsia="en-GB"/>
        </w:rPr>
        <w:tab/>
      </w:r>
    </w:p>
    <w:p w14:paraId="49A690C0" w14:textId="77777777" w:rsidR="00256980" w:rsidRDefault="00584B1B" w:rsidP="00B910FD">
      <w:pPr>
        <w:spacing w:after="120" w:line="240" w:lineRule="auto"/>
        <w:ind w:left="720" w:hanging="720"/>
        <w:rPr>
          <w:rFonts w:ascii="Arial" w:eastAsia="Times New Roman" w:hAnsi="Arial" w:cs="Arial"/>
          <w:iCs/>
          <w:lang w:eastAsia="en-GB"/>
        </w:rPr>
      </w:pPr>
      <w:r w:rsidRPr="00E04DE1">
        <w:rPr>
          <w:rFonts w:ascii="Arial" w:eastAsia="Times New Roman" w:hAnsi="Arial" w:cs="Arial"/>
          <w:lang w:eastAsia="en-GB"/>
        </w:rPr>
        <w:t xml:space="preserve">Quinn, P., &amp; Seaman, P. (2008). </w:t>
      </w:r>
      <w:r w:rsidRPr="00B910FD">
        <w:rPr>
          <w:rFonts w:ascii="Arial" w:eastAsia="Times New Roman" w:hAnsi="Arial" w:cs="Arial"/>
          <w:i/>
          <w:lang w:eastAsia="en-GB"/>
        </w:rPr>
        <w:t>Social networks and employability</w:t>
      </w:r>
      <w:r w:rsidRPr="00E04DE1">
        <w:rPr>
          <w:rFonts w:ascii="Arial" w:eastAsia="Times New Roman" w:hAnsi="Arial" w:cs="Arial"/>
          <w:lang w:eastAsia="en-GB"/>
        </w:rPr>
        <w:t>.</w:t>
      </w:r>
      <w:r w:rsidR="00B910FD">
        <w:rPr>
          <w:rFonts w:ascii="Arial" w:eastAsia="Times New Roman" w:hAnsi="Arial" w:cs="Arial"/>
          <w:lang w:eastAsia="en-GB"/>
        </w:rPr>
        <w:t xml:space="preserve"> </w:t>
      </w:r>
      <w:r w:rsidR="00B910FD">
        <w:rPr>
          <w:rFonts w:ascii="Arial" w:eastAsia="Times New Roman" w:hAnsi="Arial" w:cs="Arial"/>
          <w:iCs/>
          <w:lang w:eastAsia="en-GB"/>
        </w:rPr>
        <w:t xml:space="preserve">A report by the Full Employment Areas Initiative and the Glasgow Centre for Population Health. [Online]. Available at: </w:t>
      </w:r>
      <w:r w:rsidR="00B910FD" w:rsidRPr="00B910FD">
        <w:rPr>
          <w:rFonts w:ascii="Arial" w:eastAsia="Times New Roman" w:hAnsi="Arial" w:cs="Arial"/>
          <w:iCs/>
          <w:lang w:eastAsia="en-GB"/>
        </w:rPr>
        <w:t>http://www.gcph.co.uk/assets/0000/0437/SocialNetworks_Employability_Jan08.pdf</w:t>
      </w:r>
      <w:r w:rsidR="00B910FD">
        <w:rPr>
          <w:rFonts w:ascii="Arial" w:eastAsia="Times New Roman" w:hAnsi="Arial" w:cs="Arial"/>
          <w:iCs/>
          <w:lang w:eastAsia="en-GB"/>
        </w:rPr>
        <w:t xml:space="preserve">   [</w:t>
      </w:r>
      <w:r w:rsidR="00B910FD">
        <w:rPr>
          <w:rFonts w:ascii="Arial" w:eastAsia="Times New Roman" w:hAnsi="Arial" w:cs="Arial"/>
          <w:lang w:eastAsia="en-GB"/>
        </w:rPr>
        <w:t>Accessed</w:t>
      </w:r>
      <w:r w:rsidRPr="00E04DE1">
        <w:rPr>
          <w:rFonts w:ascii="Arial" w:eastAsia="Times New Roman" w:hAnsi="Arial" w:cs="Arial"/>
          <w:lang w:eastAsia="en-GB"/>
        </w:rPr>
        <w:t xml:space="preserve"> </w:t>
      </w:r>
      <w:r w:rsidR="00B910FD">
        <w:rPr>
          <w:rFonts w:ascii="Arial" w:eastAsia="Times New Roman" w:hAnsi="Arial" w:cs="Arial"/>
          <w:iCs/>
          <w:lang w:eastAsia="en-GB"/>
        </w:rPr>
        <w:t>8</w:t>
      </w:r>
      <w:r w:rsidR="00B910FD" w:rsidRPr="00B910FD">
        <w:rPr>
          <w:rFonts w:ascii="Arial" w:eastAsia="Times New Roman" w:hAnsi="Arial" w:cs="Arial"/>
          <w:iCs/>
          <w:vertAlign w:val="superscript"/>
          <w:lang w:eastAsia="en-GB"/>
        </w:rPr>
        <w:t>th</w:t>
      </w:r>
      <w:r w:rsidR="00B910FD">
        <w:rPr>
          <w:rFonts w:ascii="Arial" w:eastAsia="Times New Roman" w:hAnsi="Arial" w:cs="Arial"/>
          <w:iCs/>
          <w:lang w:eastAsia="en-GB"/>
        </w:rPr>
        <w:t xml:space="preserve"> December 2015].</w:t>
      </w:r>
    </w:p>
    <w:p w14:paraId="160BF85C" w14:textId="77777777" w:rsidR="00B910FD" w:rsidRPr="00B910FD" w:rsidRDefault="00B910FD" w:rsidP="00B910FD">
      <w:pPr>
        <w:spacing w:after="120" w:line="240" w:lineRule="auto"/>
        <w:ind w:left="720" w:hanging="720"/>
        <w:rPr>
          <w:rFonts w:ascii="Arial" w:eastAsia="Times New Roman" w:hAnsi="Arial" w:cs="Arial"/>
          <w:iCs/>
          <w:lang w:eastAsia="en-GB"/>
        </w:rPr>
      </w:pPr>
    </w:p>
    <w:p w14:paraId="64439665" w14:textId="77777777" w:rsidR="0092045C" w:rsidRPr="00E04DE1" w:rsidRDefault="00761C27"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Rainie, L., Wellman, B. (2012). </w:t>
      </w:r>
      <w:r w:rsidRPr="00E04DE1">
        <w:rPr>
          <w:rFonts w:ascii="Arial" w:eastAsia="Times New Roman" w:hAnsi="Arial" w:cs="Arial"/>
          <w:i/>
          <w:lang w:eastAsia="en-GB"/>
        </w:rPr>
        <w:t xml:space="preserve">Networked: the new social operating system. </w:t>
      </w:r>
      <w:r w:rsidRPr="00E04DE1">
        <w:rPr>
          <w:rFonts w:ascii="Arial" w:eastAsia="Times New Roman" w:hAnsi="Arial" w:cs="Arial"/>
          <w:lang w:eastAsia="en-GB"/>
        </w:rPr>
        <w:t>Cambridge, MA: MIT Press.</w:t>
      </w:r>
    </w:p>
    <w:p w14:paraId="0FED8AA5" w14:textId="77777777" w:rsidR="00A14436" w:rsidRPr="00E04DE1" w:rsidRDefault="00A14436" w:rsidP="00E04DE1">
      <w:pPr>
        <w:spacing w:after="120" w:line="240" w:lineRule="auto"/>
        <w:ind w:left="720" w:hanging="720"/>
        <w:rPr>
          <w:rFonts w:ascii="Arial" w:eastAsia="Times New Roman" w:hAnsi="Arial" w:cs="Arial"/>
          <w:lang w:eastAsia="en-GB"/>
        </w:rPr>
      </w:pPr>
    </w:p>
    <w:p w14:paraId="26EC8946" w14:textId="77777777" w:rsidR="00584B1B" w:rsidRPr="00E04DE1"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Saks, A. M. (2005). Job search success: A review and integration of the predictors, behaviors, and outcomes. </w:t>
      </w:r>
      <w:r w:rsidRPr="00E04DE1">
        <w:rPr>
          <w:rFonts w:ascii="Arial" w:eastAsia="Times New Roman" w:hAnsi="Arial" w:cs="Arial"/>
          <w:i/>
          <w:iCs/>
          <w:lang w:eastAsia="en-GB"/>
        </w:rPr>
        <w:t>Career development and counseling: Putting theory and research to work</w:t>
      </w:r>
      <w:r w:rsidRPr="00E04DE1">
        <w:rPr>
          <w:rFonts w:ascii="Arial" w:eastAsia="Times New Roman" w:hAnsi="Arial" w:cs="Arial"/>
          <w:lang w:eastAsia="en-GB"/>
        </w:rPr>
        <w:t>, 155-179.</w:t>
      </w:r>
    </w:p>
    <w:p w14:paraId="5B5B1825" w14:textId="77777777" w:rsidR="00A14436" w:rsidRPr="00E04DE1" w:rsidRDefault="00A14436" w:rsidP="00E04DE1">
      <w:pPr>
        <w:spacing w:after="120" w:line="240" w:lineRule="auto"/>
        <w:ind w:left="720" w:hanging="720"/>
        <w:rPr>
          <w:rFonts w:ascii="Arial" w:eastAsia="Times New Roman" w:hAnsi="Arial" w:cs="Arial"/>
          <w:lang w:eastAsia="en-GB"/>
        </w:rPr>
      </w:pPr>
    </w:p>
    <w:p w14:paraId="50BA3BDA"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Scherer, S. (2004). Stepping-stones or traps? The consequences of labour market entry positions on future careers in West Germany, Great Britain and Italy. </w:t>
      </w:r>
      <w:r w:rsidRPr="00E04DE1">
        <w:rPr>
          <w:rFonts w:ascii="Arial" w:eastAsia="Times New Roman" w:hAnsi="Arial" w:cs="Arial"/>
          <w:i/>
          <w:iCs/>
          <w:lang w:eastAsia="en-GB"/>
        </w:rPr>
        <w:t>Work, Employment &amp; Society</w:t>
      </w:r>
      <w:r w:rsidRPr="00E04DE1">
        <w:rPr>
          <w:rFonts w:ascii="Arial" w:eastAsia="Times New Roman" w:hAnsi="Arial" w:cs="Arial"/>
          <w:lang w:eastAsia="en-GB"/>
        </w:rPr>
        <w:t xml:space="preserve">, </w:t>
      </w:r>
      <w:r w:rsidRPr="00E04DE1">
        <w:rPr>
          <w:rFonts w:ascii="Arial" w:eastAsia="Times New Roman" w:hAnsi="Arial" w:cs="Arial"/>
          <w:i/>
          <w:iCs/>
          <w:lang w:eastAsia="en-GB"/>
        </w:rPr>
        <w:t>18</w:t>
      </w:r>
      <w:r w:rsidRPr="00E04DE1">
        <w:rPr>
          <w:rFonts w:ascii="Arial" w:eastAsia="Times New Roman" w:hAnsi="Arial" w:cs="Arial"/>
          <w:lang w:eastAsia="en-GB"/>
        </w:rPr>
        <w:t>(2), 369-394.</w:t>
      </w:r>
    </w:p>
    <w:p w14:paraId="1396F011" w14:textId="77777777" w:rsidR="00761C27" w:rsidRPr="00E04DE1" w:rsidRDefault="00761C27" w:rsidP="00E04DE1">
      <w:pPr>
        <w:spacing w:after="120" w:line="240" w:lineRule="auto"/>
        <w:ind w:left="720" w:hanging="720"/>
        <w:rPr>
          <w:rFonts w:ascii="Arial" w:eastAsia="Times New Roman" w:hAnsi="Arial" w:cs="Arial"/>
          <w:lang w:eastAsia="en-GB"/>
        </w:rPr>
      </w:pPr>
    </w:p>
    <w:p w14:paraId="208475CC" w14:textId="77777777" w:rsidR="00761C27" w:rsidRPr="00E04DE1" w:rsidRDefault="00761C27" w:rsidP="00E04DE1">
      <w:pPr>
        <w:spacing w:after="120" w:line="240" w:lineRule="auto"/>
        <w:ind w:left="720" w:hanging="720"/>
        <w:rPr>
          <w:rFonts w:ascii="Arial" w:eastAsia="Times New Roman" w:hAnsi="Arial" w:cs="Arial"/>
          <w:lang w:eastAsia="en-GB"/>
        </w:rPr>
      </w:pPr>
      <w:r w:rsidRPr="00E04DE1">
        <w:rPr>
          <w:rFonts w:ascii="Arial" w:hAnsi="Arial" w:cs="Arial"/>
          <w:color w:val="222222"/>
        </w:rPr>
        <w:t xml:space="preserve">Sin, S. C. J., &amp; Kim, K. S. (2013). International students' everyday life information seeking: The informational value of social networking sites. </w:t>
      </w:r>
      <w:r w:rsidRPr="00E04DE1">
        <w:rPr>
          <w:rFonts w:ascii="Arial" w:hAnsi="Arial" w:cs="Arial"/>
          <w:i/>
          <w:iCs/>
          <w:color w:val="222222"/>
        </w:rPr>
        <w:t>Library &amp; Information Science Research</w:t>
      </w:r>
      <w:r w:rsidRPr="00E04DE1">
        <w:rPr>
          <w:rFonts w:ascii="Arial" w:hAnsi="Arial" w:cs="Arial"/>
          <w:color w:val="222222"/>
        </w:rPr>
        <w:t xml:space="preserve">, </w:t>
      </w:r>
      <w:r w:rsidRPr="00E04DE1">
        <w:rPr>
          <w:rFonts w:ascii="Arial" w:hAnsi="Arial" w:cs="Arial"/>
          <w:i/>
          <w:iCs/>
          <w:color w:val="222222"/>
        </w:rPr>
        <w:t>35</w:t>
      </w:r>
      <w:r w:rsidRPr="00E04DE1">
        <w:rPr>
          <w:rFonts w:ascii="Arial" w:hAnsi="Arial" w:cs="Arial"/>
          <w:color w:val="222222"/>
        </w:rPr>
        <w:t>(2), 107-116.</w:t>
      </w:r>
    </w:p>
    <w:p w14:paraId="14A7E0BD" w14:textId="77777777" w:rsidR="00584B1B" w:rsidRPr="00E04DE1" w:rsidRDefault="00584B1B" w:rsidP="00E04DE1">
      <w:pPr>
        <w:spacing w:after="120" w:line="240" w:lineRule="auto"/>
        <w:ind w:left="720" w:hanging="720"/>
        <w:rPr>
          <w:rFonts w:ascii="Arial" w:eastAsia="Times New Roman" w:hAnsi="Arial" w:cs="Arial"/>
          <w:lang w:eastAsia="en-GB"/>
        </w:rPr>
      </w:pPr>
    </w:p>
    <w:p w14:paraId="07656D08" w14:textId="77777777" w:rsidR="00584B1B" w:rsidRPr="00E04DE1" w:rsidRDefault="00584B1B" w:rsidP="00E04DE1">
      <w:pPr>
        <w:spacing w:after="120" w:line="240" w:lineRule="auto"/>
        <w:ind w:left="720" w:hanging="720"/>
        <w:rPr>
          <w:rFonts w:ascii="Arial" w:hAnsi="Arial" w:cs="Arial"/>
        </w:rPr>
      </w:pPr>
      <w:r w:rsidRPr="00E04DE1">
        <w:rPr>
          <w:rFonts w:ascii="Arial" w:hAnsi="Arial" w:cs="Arial"/>
        </w:rPr>
        <w:t xml:space="preserve">Skills Development Scotland (2012). </w:t>
      </w:r>
      <w:r w:rsidRPr="00E04DE1">
        <w:rPr>
          <w:rFonts w:ascii="Arial" w:hAnsi="Arial" w:cs="Arial"/>
          <w:i/>
        </w:rPr>
        <w:t xml:space="preserve">Career management skills framework for Scotland. </w:t>
      </w:r>
      <w:r w:rsidRPr="00E04DE1">
        <w:rPr>
          <w:rFonts w:ascii="Arial" w:hAnsi="Arial" w:cs="Arial"/>
        </w:rPr>
        <w:t xml:space="preserve">[Online]. Available at: </w:t>
      </w:r>
      <w:hyperlink r:id="rId15" w:history="1">
        <w:r w:rsidRPr="00E04DE1">
          <w:rPr>
            <w:rStyle w:val="Hyperlink"/>
            <w:rFonts w:ascii="Arial" w:hAnsi="Arial" w:cs="Arial"/>
          </w:rPr>
          <w:t>https://www.skillsdevelopmentscotland.co.uk/media/752669/career_management_skills_framework_scotland.pdf</w:t>
        </w:r>
      </w:hyperlink>
      <w:r w:rsidRPr="00E04DE1">
        <w:rPr>
          <w:rFonts w:ascii="Arial" w:hAnsi="Arial" w:cs="Arial"/>
        </w:rPr>
        <w:t xml:space="preserve"> [Accessed 20</w:t>
      </w:r>
      <w:r w:rsidRPr="00E04DE1">
        <w:rPr>
          <w:rFonts w:ascii="Arial" w:hAnsi="Arial" w:cs="Arial"/>
          <w:vertAlign w:val="superscript"/>
        </w:rPr>
        <w:t>th</w:t>
      </w:r>
      <w:r w:rsidRPr="00E04DE1">
        <w:rPr>
          <w:rFonts w:ascii="Arial" w:hAnsi="Arial" w:cs="Arial"/>
        </w:rPr>
        <w:t xml:space="preserve"> October 2015].</w:t>
      </w:r>
    </w:p>
    <w:p w14:paraId="5914927D" w14:textId="77777777" w:rsidR="00584B1B" w:rsidRPr="00E04DE1" w:rsidRDefault="00584B1B" w:rsidP="00E04DE1">
      <w:pPr>
        <w:spacing w:after="120" w:line="240" w:lineRule="auto"/>
        <w:ind w:left="720" w:hanging="720"/>
        <w:rPr>
          <w:rFonts w:ascii="Arial" w:eastAsia="Times New Roman" w:hAnsi="Arial" w:cs="Arial"/>
          <w:lang w:eastAsia="en-GB"/>
        </w:rPr>
      </w:pPr>
    </w:p>
    <w:p w14:paraId="0544A34D" w14:textId="77777777" w:rsidR="00584B1B" w:rsidRPr="00E04DE1" w:rsidRDefault="00584B1B"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Steijn, B., Need, A., &amp; Gesthuizen, M. (2006). Well begun, half done? Long-term effects of labour market entry in the Netherlands, 1950-2000. </w:t>
      </w:r>
      <w:r w:rsidRPr="00E04DE1">
        <w:rPr>
          <w:rFonts w:ascii="Arial" w:eastAsia="Times New Roman" w:hAnsi="Arial" w:cs="Arial"/>
          <w:i/>
          <w:iCs/>
          <w:lang w:eastAsia="en-GB"/>
        </w:rPr>
        <w:t>Work, Employment &amp; Society</w:t>
      </w:r>
      <w:r w:rsidRPr="00E04DE1">
        <w:rPr>
          <w:rFonts w:ascii="Arial" w:eastAsia="Times New Roman" w:hAnsi="Arial" w:cs="Arial"/>
          <w:lang w:eastAsia="en-GB"/>
        </w:rPr>
        <w:t xml:space="preserve">, </w:t>
      </w:r>
      <w:r w:rsidRPr="00E04DE1">
        <w:rPr>
          <w:rFonts w:ascii="Arial" w:eastAsia="Times New Roman" w:hAnsi="Arial" w:cs="Arial"/>
          <w:i/>
          <w:iCs/>
          <w:lang w:eastAsia="en-GB"/>
        </w:rPr>
        <w:t>20</w:t>
      </w:r>
      <w:r w:rsidRPr="00E04DE1">
        <w:rPr>
          <w:rFonts w:ascii="Arial" w:eastAsia="Times New Roman" w:hAnsi="Arial" w:cs="Arial"/>
          <w:lang w:eastAsia="en-GB"/>
        </w:rPr>
        <w:t>(3), 453-472.</w:t>
      </w:r>
    </w:p>
    <w:p w14:paraId="353964F0" w14:textId="77777777" w:rsidR="00D53780" w:rsidRDefault="00D53780" w:rsidP="00D53780">
      <w:pPr>
        <w:rPr>
          <w:rFonts w:ascii="Arial" w:eastAsia="Times New Roman" w:hAnsi="Arial" w:cs="Arial"/>
          <w:lang w:eastAsia="en-GB"/>
        </w:rPr>
      </w:pPr>
      <w:r>
        <w:rPr>
          <w:rFonts w:ascii="Arial" w:eastAsia="Times New Roman" w:hAnsi="Arial" w:cs="Arial"/>
          <w:lang w:eastAsia="en-GB"/>
        </w:rPr>
        <w:tab/>
      </w:r>
    </w:p>
    <w:p w14:paraId="75E22C37" w14:textId="77777777" w:rsidR="00D53780" w:rsidRPr="00D53780" w:rsidRDefault="00D53780" w:rsidP="00164735">
      <w:pPr>
        <w:ind w:left="720" w:hanging="720"/>
        <w:rPr>
          <w:rFonts w:ascii="Arial" w:eastAsia="Times New Roman" w:hAnsi="Arial" w:cs="Arial"/>
          <w:lang w:eastAsia="en-GB"/>
        </w:rPr>
      </w:pPr>
      <w:r w:rsidRPr="00D53780">
        <w:rPr>
          <w:rFonts w:ascii="Arial" w:eastAsia="Times New Roman" w:hAnsi="Arial" w:cs="Arial"/>
          <w:lang w:eastAsia="en-GB"/>
        </w:rPr>
        <w:t xml:space="preserve">Stenger, T., &amp; Coutant, A. (2009). Social Network Sites vv Social Network Analysis: do they match? Definition and methodological issues. In </w:t>
      </w:r>
      <w:r w:rsidRPr="00D53780">
        <w:rPr>
          <w:rFonts w:ascii="Arial" w:eastAsia="Times New Roman" w:hAnsi="Arial" w:cs="Arial"/>
          <w:i/>
          <w:lang w:eastAsia="en-GB"/>
        </w:rPr>
        <w:t>Sunbelt Social Networks Conference de l’International Network for Social Network Analysis</w:t>
      </w:r>
      <w:r w:rsidRPr="00D53780">
        <w:rPr>
          <w:rFonts w:ascii="Arial" w:eastAsia="Times New Roman" w:hAnsi="Arial" w:cs="Arial"/>
          <w:lang w:eastAsia="en-GB"/>
        </w:rPr>
        <w:t>.</w:t>
      </w:r>
      <w:r>
        <w:rPr>
          <w:rFonts w:ascii="Arial" w:eastAsia="Times New Roman" w:hAnsi="Arial" w:cs="Arial"/>
          <w:lang w:eastAsia="en-GB"/>
        </w:rPr>
        <w:t xml:space="preserve"> [Online]. Available at: </w:t>
      </w:r>
      <w:hyperlink r:id="rId16" w:history="1">
        <w:r w:rsidRPr="00D53780">
          <w:rPr>
            <w:rStyle w:val="Hyperlink"/>
            <w:rFonts w:ascii="Arial" w:hAnsi="Arial" w:cs="Arial"/>
          </w:rPr>
          <w:t>https://hal.archives-ouvertes.fr/hal-00458325/document</w:t>
        </w:r>
      </w:hyperlink>
      <w:r>
        <w:rPr>
          <w:rStyle w:val="Hyperlink"/>
          <w:rFonts w:ascii="Arial" w:hAnsi="Arial" w:cs="Arial"/>
        </w:rPr>
        <w:t>,</w:t>
      </w:r>
      <w:r>
        <w:rPr>
          <w:rStyle w:val="Hyperlink"/>
          <w:rFonts w:ascii="Arial" w:hAnsi="Arial" w:cs="Arial"/>
          <w:u w:val="none"/>
        </w:rPr>
        <w:t xml:space="preserve"> </w:t>
      </w:r>
      <w:r w:rsidR="00164735">
        <w:rPr>
          <w:rFonts w:ascii="Arial" w:hAnsi="Arial" w:cs="Arial"/>
        </w:rPr>
        <w:t>[Accessed 17</w:t>
      </w:r>
      <w:r w:rsidRPr="00E04DE1">
        <w:rPr>
          <w:rFonts w:ascii="Arial" w:hAnsi="Arial" w:cs="Arial"/>
          <w:vertAlign w:val="superscript"/>
        </w:rPr>
        <w:t>th</w:t>
      </w:r>
      <w:r w:rsidRPr="00E04DE1">
        <w:rPr>
          <w:rFonts w:ascii="Arial" w:hAnsi="Arial" w:cs="Arial"/>
        </w:rPr>
        <w:t xml:space="preserve"> </w:t>
      </w:r>
      <w:r w:rsidR="00164735">
        <w:rPr>
          <w:rFonts w:ascii="Arial" w:hAnsi="Arial" w:cs="Arial"/>
        </w:rPr>
        <w:t>December</w:t>
      </w:r>
      <w:r w:rsidRPr="00E04DE1">
        <w:rPr>
          <w:rFonts w:ascii="Arial" w:hAnsi="Arial" w:cs="Arial"/>
        </w:rPr>
        <w:t xml:space="preserve"> 2015].</w:t>
      </w:r>
    </w:p>
    <w:p w14:paraId="00C742CE" w14:textId="77777777" w:rsidR="00D53780" w:rsidRPr="00E04DE1" w:rsidRDefault="00D53780" w:rsidP="00E04DE1">
      <w:pPr>
        <w:spacing w:after="120" w:line="240" w:lineRule="auto"/>
        <w:ind w:hanging="720"/>
        <w:rPr>
          <w:rFonts w:ascii="Arial" w:eastAsia="Times New Roman" w:hAnsi="Arial" w:cs="Arial"/>
          <w:lang w:eastAsia="en-GB"/>
        </w:rPr>
      </w:pPr>
    </w:p>
    <w:p w14:paraId="775A8005" w14:textId="77777777" w:rsidR="0013446B" w:rsidRPr="00E04DE1" w:rsidRDefault="00256980" w:rsidP="00E04DE1">
      <w:pPr>
        <w:spacing w:after="120" w:line="240" w:lineRule="auto"/>
        <w:ind w:left="720" w:hanging="720"/>
        <w:rPr>
          <w:rFonts w:ascii="Arial" w:hAnsi="Arial" w:cs="Arial"/>
        </w:rPr>
      </w:pPr>
      <w:r w:rsidRPr="00E04DE1">
        <w:rPr>
          <w:rFonts w:ascii="Arial" w:hAnsi="Arial" w:cs="Arial"/>
        </w:rPr>
        <w:t xml:space="preserve">Trading Economics (2015). </w:t>
      </w:r>
      <w:r w:rsidRPr="00E04DE1">
        <w:rPr>
          <w:rFonts w:ascii="Arial" w:hAnsi="Arial" w:cs="Arial"/>
          <w:i/>
        </w:rPr>
        <w:t>United Kingdom Unemployment Rate 1971-2015.</w:t>
      </w:r>
      <w:r w:rsidRPr="00E04DE1">
        <w:rPr>
          <w:rFonts w:ascii="Arial" w:hAnsi="Arial" w:cs="Arial"/>
        </w:rPr>
        <w:t xml:space="preserve"> [Online]. Available at: </w:t>
      </w:r>
      <w:hyperlink r:id="rId17" w:history="1">
        <w:r w:rsidRPr="00E04DE1">
          <w:rPr>
            <w:rStyle w:val="Hyperlink"/>
            <w:rFonts w:ascii="Arial" w:hAnsi="Arial" w:cs="Arial"/>
          </w:rPr>
          <w:t>http://www.tradingeconomics.com/united-kingdom/unemployment-rate</w:t>
        </w:r>
      </w:hyperlink>
      <w:r w:rsidRPr="00E04DE1">
        <w:rPr>
          <w:rFonts w:ascii="Arial" w:hAnsi="Arial" w:cs="Arial"/>
        </w:rPr>
        <w:t>. [Accessed 20</w:t>
      </w:r>
      <w:r w:rsidRPr="00E04DE1">
        <w:rPr>
          <w:rFonts w:ascii="Arial" w:hAnsi="Arial" w:cs="Arial"/>
          <w:vertAlign w:val="superscript"/>
        </w:rPr>
        <w:t>th</w:t>
      </w:r>
      <w:r w:rsidRPr="00E04DE1">
        <w:rPr>
          <w:rFonts w:ascii="Arial" w:hAnsi="Arial" w:cs="Arial"/>
        </w:rPr>
        <w:t xml:space="preserve"> October 2015].</w:t>
      </w:r>
    </w:p>
    <w:p w14:paraId="65EE3FF1" w14:textId="77777777" w:rsidR="008533C1" w:rsidRPr="00E04DE1" w:rsidRDefault="008533C1" w:rsidP="00E04DE1">
      <w:pPr>
        <w:spacing w:after="120" w:line="240" w:lineRule="auto"/>
        <w:ind w:left="720" w:hanging="720"/>
        <w:rPr>
          <w:rFonts w:ascii="Arial" w:hAnsi="Arial" w:cs="Arial"/>
        </w:rPr>
      </w:pPr>
    </w:p>
    <w:p w14:paraId="0017FD29" w14:textId="77777777" w:rsidR="0013446B" w:rsidRPr="00E04DE1" w:rsidRDefault="0013446B" w:rsidP="00E04DE1">
      <w:pPr>
        <w:spacing w:after="120" w:line="240" w:lineRule="auto"/>
        <w:ind w:left="720" w:hanging="720"/>
        <w:rPr>
          <w:rFonts w:ascii="Arial" w:hAnsi="Arial" w:cs="Arial"/>
        </w:rPr>
      </w:pPr>
      <w:r w:rsidRPr="00E04DE1">
        <w:rPr>
          <w:rFonts w:ascii="Arial" w:hAnsi="Arial" w:cs="Arial"/>
        </w:rPr>
        <w:t xml:space="preserve">Understanding Society (2015) </w:t>
      </w:r>
      <w:r w:rsidRPr="00E04DE1">
        <w:rPr>
          <w:rFonts w:ascii="Arial" w:hAnsi="Arial" w:cs="Arial"/>
          <w:i/>
        </w:rPr>
        <w:t xml:space="preserve">Innovation Panel – A guide to the panel, experiments and research. </w:t>
      </w:r>
      <w:r w:rsidRPr="00E04DE1">
        <w:rPr>
          <w:rFonts w:ascii="Arial" w:hAnsi="Arial" w:cs="Arial"/>
        </w:rPr>
        <w:t xml:space="preserve">[Online]. </w:t>
      </w:r>
      <w:r w:rsidR="005F1C81" w:rsidRPr="00E04DE1">
        <w:rPr>
          <w:rFonts w:ascii="Arial" w:hAnsi="Arial" w:cs="Arial"/>
        </w:rPr>
        <w:t xml:space="preserve">Available at: </w:t>
      </w:r>
      <w:hyperlink r:id="rId18" w:history="1">
        <w:r w:rsidR="005F1C81" w:rsidRPr="00E04DE1">
          <w:rPr>
            <w:rStyle w:val="Hyperlink"/>
            <w:rFonts w:ascii="Arial" w:hAnsi="Arial" w:cs="Arial"/>
          </w:rPr>
          <w:t>https://www.understandingsociety.ac.uk/about/innovation-panel</w:t>
        </w:r>
      </w:hyperlink>
      <w:r w:rsidR="005F1C81" w:rsidRPr="00E04DE1">
        <w:rPr>
          <w:rFonts w:ascii="Arial" w:hAnsi="Arial" w:cs="Arial"/>
        </w:rPr>
        <w:t xml:space="preserve"> [Accessed 21st October 2015].</w:t>
      </w:r>
    </w:p>
    <w:p w14:paraId="3357C3FE" w14:textId="77777777" w:rsidR="008533C1" w:rsidRPr="00E04DE1" w:rsidRDefault="008533C1" w:rsidP="00E04DE1">
      <w:pPr>
        <w:spacing w:after="120" w:line="240" w:lineRule="auto"/>
        <w:ind w:left="720" w:hanging="720"/>
        <w:rPr>
          <w:rFonts w:ascii="Arial" w:hAnsi="Arial" w:cs="Arial"/>
        </w:rPr>
      </w:pPr>
    </w:p>
    <w:p w14:paraId="4906C6A9" w14:textId="77777777" w:rsidR="00B910FD" w:rsidRPr="00E04DE1" w:rsidRDefault="00E04DE1" w:rsidP="00B910FD">
      <w:pPr>
        <w:spacing w:after="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Utz, S. (2015). Is LinkedIn making you more successful? The informational benefits derived from public social media. </w:t>
      </w:r>
      <w:r w:rsidRPr="00E04DE1">
        <w:rPr>
          <w:rFonts w:ascii="Arial" w:eastAsia="Times New Roman" w:hAnsi="Arial" w:cs="Arial"/>
          <w:i/>
          <w:iCs/>
          <w:lang w:eastAsia="en-GB"/>
        </w:rPr>
        <w:t>new media &amp; society</w:t>
      </w:r>
      <w:r w:rsidR="00B910FD">
        <w:rPr>
          <w:rFonts w:ascii="Arial" w:eastAsia="Times New Roman" w:hAnsi="Arial" w:cs="Arial"/>
          <w:lang w:eastAsia="en-GB"/>
        </w:rPr>
        <w:t xml:space="preserve">. Advance online publication. </w:t>
      </w:r>
      <w:r w:rsidR="00B910FD" w:rsidRPr="00634681">
        <w:rPr>
          <w:rFonts w:ascii="Arial" w:eastAsia="Times New Roman" w:hAnsi="Arial" w:cs="Arial"/>
          <w:lang w:eastAsia="en-GB"/>
        </w:rPr>
        <w:t xml:space="preserve">doi: </w:t>
      </w:r>
      <w:r w:rsidR="00B910FD" w:rsidRPr="00B910FD">
        <w:rPr>
          <w:rFonts w:ascii="Arial" w:eastAsia="Times New Roman" w:hAnsi="Arial" w:cs="Arial"/>
          <w:lang w:eastAsia="en-GB"/>
        </w:rPr>
        <w:t>10.1177/1461444815604143</w:t>
      </w:r>
      <w:r w:rsidR="00B910FD">
        <w:rPr>
          <w:rFonts w:ascii="Arial" w:eastAsia="Times New Roman" w:hAnsi="Arial" w:cs="Arial"/>
          <w:lang w:eastAsia="en-GB"/>
        </w:rPr>
        <w:t>.</w:t>
      </w:r>
    </w:p>
    <w:p w14:paraId="24000B47" w14:textId="77777777" w:rsidR="00E04DE1" w:rsidRPr="00E04DE1" w:rsidRDefault="00E04DE1" w:rsidP="00B910FD">
      <w:pPr>
        <w:spacing w:after="120" w:line="240" w:lineRule="auto"/>
        <w:rPr>
          <w:rFonts w:ascii="Arial" w:hAnsi="Arial" w:cs="Arial"/>
        </w:rPr>
      </w:pPr>
    </w:p>
    <w:p w14:paraId="30BD5A04" w14:textId="77777777" w:rsidR="00A14436" w:rsidRPr="00E04DE1" w:rsidRDefault="00E04DE1"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V</w:t>
      </w:r>
      <w:r w:rsidR="00761C27" w:rsidRPr="00E04DE1">
        <w:rPr>
          <w:rFonts w:ascii="Arial" w:eastAsia="Times New Roman" w:hAnsi="Arial" w:cs="Arial"/>
          <w:lang w:eastAsia="en-GB"/>
        </w:rPr>
        <w:t xml:space="preserve">an Dijk, J. A. (2006). Digital divide research, achievements and shortcomings. </w:t>
      </w:r>
      <w:r w:rsidR="00761C27" w:rsidRPr="00E04DE1">
        <w:rPr>
          <w:rFonts w:ascii="Arial" w:eastAsia="Times New Roman" w:hAnsi="Arial" w:cs="Arial"/>
          <w:i/>
          <w:iCs/>
          <w:lang w:eastAsia="en-GB"/>
        </w:rPr>
        <w:t>Poetics</w:t>
      </w:r>
      <w:r w:rsidR="00761C27" w:rsidRPr="00E04DE1">
        <w:rPr>
          <w:rFonts w:ascii="Arial" w:eastAsia="Times New Roman" w:hAnsi="Arial" w:cs="Arial"/>
          <w:lang w:eastAsia="en-GB"/>
        </w:rPr>
        <w:t xml:space="preserve">, </w:t>
      </w:r>
      <w:r w:rsidR="00761C27" w:rsidRPr="00E04DE1">
        <w:rPr>
          <w:rFonts w:ascii="Arial" w:eastAsia="Times New Roman" w:hAnsi="Arial" w:cs="Arial"/>
          <w:i/>
          <w:iCs/>
          <w:lang w:eastAsia="en-GB"/>
        </w:rPr>
        <w:t>34</w:t>
      </w:r>
      <w:r w:rsidR="00761C27" w:rsidRPr="00E04DE1">
        <w:rPr>
          <w:rFonts w:ascii="Arial" w:eastAsia="Times New Roman" w:hAnsi="Arial" w:cs="Arial"/>
          <w:lang w:eastAsia="en-GB"/>
        </w:rPr>
        <w:t>(4), 221-235.</w:t>
      </w:r>
    </w:p>
    <w:p w14:paraId="6B332045" w14:textId="77777777" w:rsidR="00A14436" w:rsidRPr="00E04DE1" w:rsidRDefault="00A14436" w:rsidP="00E04DE1">
      <w:pPr>
        <w:spacing w:after="120" w:line="240" w:lineRule="auto"/>
        <w:ind w:hanging="720"/>
        <w:rPr>
          <w:rFonts w:ascii="Arial" w:eastAsia="Times New Roman" w:hAnsi="Arial" w:cs="Arial"/>
          <w:lang w:eastAsia="en-GB"/>
        </w:rPr>
      </w:pPr>
    </w:p>
    <w:p w14:paraId="2369E896" w14:textId="77777777" w:rsidR="00A14436" w:rsidRDefault="0092045C" w:rsidP="00B910FD">
      <w:pPr>
        <w:spacing w:after="120" w:line="240" w:lineRule="auto"/>
        <w:ind w:left="720" w:hanging="720"/>
        <w:rPr>
          <w:rFonts w:ascii="Arial" w:hAnsi="Arial" w:cs="Arial"/>
          <w:color w:val="222222"/>
        </w:rPr>
      </w:pPr>
      <w:r w:rsidRPr="00E04DE1">
        <w:rPr>
          <w:rFonts w:ascii="Arial" w:hAnsi="Arial" w:cs="Arial"/>
          <w:color w:val="222222"/>
        </w:rPr>
        <w:t xml:space="preserve">Van Hoye, G., Hooft, E. A., &amp; Lievens, F. (2009). Networking as a job search behaviour: A social network perspective. </w:t>
      </w:r>
      <w:r w:rsidRPr="00E04DE1">
        <w:rPr>
          <w:rFonts w:ascii="Arial" w:hAnsi="Arial" w:cs="Arial"/>
          <w:i/>
          <w:iCs/>
          <w:color w:val="222222"/>
        </w:rPr>
        <w:t>Journal of Occupational and Organizational Psychology</w:t>
      </w:r>
      <w:r w:rsidRPr="00E04DE1">
        <w:rPr>
          <w:rFonts w:ascii="Arial" w:hAnsi="Arial" w:cs="Arial"/>
          <w:color w:val="222222"/>
        </w:rPr>
        <w:t xml:space="preserve">, </w:t>
      </w:r>
      <w:r w:rsidRPr="00E04DE1">
        <w:rPr>
          <w:rFonts w:ascii="Arial" w:hAnsi="Arial" w:cs="Arial"/>
          <w:i/>
          <w:iCs/>
          <w:color w:val="222222"/>
        </w:rPr>
        <w:t>82</w:t>
      </w:r>
      <w:r w:rsidRPr="00E04DE1">
        <w:rPr>
          <w:rFonts w:ascii="Arial" w:hAnsi="Arial" w:cs="Arial"/>
          <w:color w:val="222222"/>
        </w:rPr>
        <w:t>(3), 661-682.</w:t>
      </w:r>
    </w:p>
    <w:p w14:paraId="310C7D2A" w14:textId="77777777" w:rsidR="00B910FD" w:rsidRPr="00E04DE1" w:rsidRDefault="00B910FD" w:rsidP="00B910FD">
      <w:pPr>
        <w:spacing w:after="120" w:line="240" w:lineRule="auto"/>
        <w:ind w:left="720" w:hanging="720"/>
        <w:rPr>
          <w:rFonts w:ascii="Arial" w:hAnsi="Arial" w:cs="Arial"/>
          <w:color w:val="222222"/>
        </w:rPr>
      </w:pPr>
    </w:p>
    <w:p w14:paraId="472A705A" w14:textId="77777777" w:rsidR="0092045C" w:rsidRDefault="0092045C" w:rsidP="00E04DE1">
      <w:pPr>
        <w:spacing w:after="120" w:line="240" w:lineRule="auto"/>
        <w:ind w:left="720" w:hanging="720"/>
        <w:rPr>
          <w:rFonts w:ascii="Arial" w:eastAsia="Times New Roman" w:hAnsi="Arial" w:cs="Arial"/>
          <w:lang w:eastAsia="en-GB"/>
        </w:rPr>
      </w:pPr>
      <w:r w:rsidRPr="00E04DE1">
        <w:rPr>
          <w:rFonts w:ascii="Arial" w:eastAsia="Times New Roman" w:hAnsi="Arial" w:cs="Arial"/>
          <w:lang w:eastAsia="en-GB"/>
        </w:rPr>
        <w:t xml:space="preserve">Wanberg, C. R. (2012). The individual experience of unemployment. </w:t>
      </w:r>
      <w:r w:rsidRPr="00E04DE1">
        <w:rPr>
          <w:rFonts w:ascii="Arial" w:eastAsia="Times New Roman" w:hAnsi="Arial" w:cs="Arial"/>
          <w:i/>
          <w:iCs/>
          <w:lang w:eastAsia="en-GB"/>
        </w:rPr>
        <w:t>Annual review of psychology</w:t>
      </w:r>
      <w:r w:rsidRPr="00E04DE1">
        <w:rPr>
          <w:rFonts w:ascii="Arial" w:eastAsia="Times New Roman" w:hAnsi="Arial" w:cs="Arial"/>
          <w:lang w:eastAsia="en-GB"/>
        </w:rPr>
        <w:t xml:space="preserve">, </w:t>
      </w:r>
      <w:r w:rsidRPr="00E04DE1">
        <w:rPr>
          <w:rFonts w:ascii="Arial" w:eastAsia="Times New Roman" w:hAnsi="Arial" w:cs="Arial"/>
          <w:i/>
          <w:iCs/>
          <w:lang w:eastAsia="en-GB"/>
        </w:rPr>
        <w:t>63</w:t>
      </w:r>
      <w:r w:rsidR="00B910FD">
        <w:rPr>
          <w:rFonts w:ascii="Arial" w:eastAsia="Times New Roman" w:hAnsi="Arial" w:cs="Arial"/>
          <w:iCs/>
          <w:lang w:eastAsia="en-GB"/>
        </w:rPr>
        <w:t>(1)</w:t>
      </w:r>
      <w:r w:rsidRPr="00E04DE1">
        <w:rPr>
          <w:rFonts w:ascii="Arial" w:eastAsia="Times New Roman" w:hAnsi="Arial" w:cs="Arial"/>
          <w:lang w:eastAsia="en-GB"/>
        </w:rPr>
        <w:t>, 369-396.</w:t>
      </w:r>
    </w:p>
    <w:p w14:paraId="4224FA19" w14:textId="77777777" w:rsidR="00D669D1" w:rsidRDefault="00D669D1" w:rsidP="00E04DE1">
      <w:pPr>
        <w:spacing w:after="120" w:line="240" w:lineRule="auto"/>
        <w:ind w:left="720" w:hanging="720"/>
        <w:rPr>
          <w:rFonts w:ascii="Arial" w:eastAsia="Times New Roman" w:hAnsi="Arial" w:cs="Arial"/>
          <w:lang w:eastAsia="en-GB"/>
        </w:rPr>
      </w:pPr>
    </w:p>
    <w:p w14:paraId="1F9B5CE9" w14:textId="77777777" w:rsidR="00D669D1" w:rsidRPr="00D669D1" w:rsidRDefault="00D669D1" w:rsidP="00D669D1">
      <w:pPr>
        <w:spacing w:after="0" w:line="240" w:lineRule="auto"/>
        <w:ind w:left="720" w:hanging="720"/>
        <w:rPr>
          <w:rFonts w:ascii="Arial" w:eastAsia="Times New Roman" w:hAnsi="Arial" w:cs="Arial"/>
          <w:lang w:eastAsia="en-GB"/>
        </w:rPr>
      </w:pPr>
      <w:r w:rsidRPr="00D669D1">
        <w:rPr>
          <w:rFonts w:ascii="Arial" w:eastAsia="Times New Roman" w:hAnsi="Arial" w:cs="Arial"/>
          <w:lang w:eastAsia="en-GB"/>
        </w:rPr>
        <w:t xml:space="preserve">Wilson, T. D. (1997). Information behaviour: an interdisciplinary perspective. </w:t>
      </w:r>
      <w:r w:rsidRPr="00D669D1">
        <w:rPr>
          <w:rFonts w:ascii="Arial" w:eastAsia="Times New Roman" w:hAnsi="Arial" w:cs="Arial"/>
          <w:i/>
          <w:lang w:eastAsia="en-GB"/>
        </w:rPr>
        <w:t>Information processing &amp; management, 33</w:t>
      </w:r>
      <w:r w:rsidRPr="00D669D1">
        <w:rPr>
          <w:rFonts w:ascii="Arial" w:eastAsia="Times New Roman" w:hAnsi="Arial" w:cs="Arial"/>
          <w:lang w:eastAsia="en-GB"/>
        </w:rPr>
        <w:t>(4), 551-572.</w:t>
      </w:r>
    </w:p>
    <w:p w14:paraId="26482998" w14:textId="77777777" w:rsidR="00D669D1" w:rsidRDefault="00D669D1" w:rsidP="00E04DE1">
      <w:pPr>
        <w:spacing w:after="120" w:line="240" w:lineRule="auto"/>
        <w:ind w:left="720" w:hanging="720"/>
        <w:rPr>
          <w:rFonts w:ascii="Arial" w:eastAsia="Times New Roman" w:hAnsi="Arial" w:cs="Arial"/>
          <w:lang w:eastAsia="en-GB"/>
        </w:rPr>
      </w:pPr>
    </w:p>
    <w:p w14:paraId="3970629E" w14:textId="77777777" w:rsidR="00D669D1" w:rsidRPr="00E04DE1" w:rsidRDefault="00D669D1" w:rsidP="00E04DE1">
      <w:pPr>
        <w:spacing w:after="120" w:line="240" w:lineRule="auto"/>
        <w:ind w:left="720" w:hanging="720"/>
        <w:rPr>
          <w:rFonts w:ascii="Arial" w:eastAsia="Times New Roman" w:hAnsi="Arial" w:cs="Arial"/>
          <w:lang w:eastAsia="en-GB"/>
        </w:rPr>
      </w:pPr>
    </w:p>
    <w:p w14:paraId="27841C4B" w14:textId="77777777" w:rsidR="008D7D66" w:rsidRPr="00AA4D0E" w:rsidRDefault="008D7D66">
      <w:pPr>
        <w:rPr>
          <w:rFonts w:ascii="Arial" w:hAnsi="Arial" w:cs="Arial"/>
        </w:rPr>
      </w:pPr>
    </w:p>
    <w:p w14:paraId="123E3B5F" w14:textId="77777777" w:rsidR="008D7D66" w:rsidRPr="00AA4D0E" w:rsidRDefault="008D7D66">
      <w:pPr>
        <w:rPr>
          <w:rFonts w:ascii="Arial" w:hAnsi="Arial" w:cs="Arial"/>
        </w:rPr>
      </w:pPr>
    </w:p>
    <w:p w14:paraId="787861FB" w14:textId="77777777" w:rsidR="008D7D66" w:rsidRDefault="008D7D66"/>
    <w:sectPr w:rsidR="008D7D66" w:rsidSect="00311C18">
      <w:footerReference w:type="default" r:id="rId19"/>
      <w:pgSz w:w="11906" w:h="16838"/>
      <w:pgMar w:top="1440" w:right="1276" w:bottom="1440" w:left="1276"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84D6" w14:textId="77777777" w:rsidR="0061626D" w:rsidRDefault="0061626D" w:rsidP="00311C18">
      <w:pPr>
        <w:spacing w:after="0" w:line="240" w:lineRule="auto"/>
      </w:pPr>
      <w:r>
        <w:separator/>
      </w:r>
    </w:p>
  </w:endnote>
  <w:endnote w:type="continuationSeparator" w:id="0">
    <w:p w14:paraId="002AFA22" w14:textId="77777777" w:rsidR="0061626D" w:rsidRDefault="0061626D" w:rsidP="0031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823252"/>
      <w:docPartObj>
        <w:docPartGallery w:val="Page Numbers (Bottom of Page)"/>
        <w:docPartUnique/>
      </w:docPartObj>
    </w:sdtPr>
    <w:sdtEndPr>
      <w:rPr>
        <w:noProof/>
      </w:rPr>
    </w:sdtEndPr>
    <w:sdtContent>
      <w:p w14:paraId="79490656" w14:textId="77777777" w:rsidR="0061626D" w:rsidRDefault="0061626D">
        <w:pPr>
          <w:pStyle w:val="Footer"/>
          <w:jc w:val="right"/>
        </w:pPr>
        <w:r>
          <w:fldChar w:fldCharType="begin"/>
        </w:r>
        <w:r>
          <w:instrText xml:space="preserve"> PAGE   \* MERGEFORMAT </w:instrText>
        </w:r>
        <w:r>
          <w:fldChar w:fldCharType="separate"/>
        </w:r>
        <w:r w:rsidR="008D0CE7">
          <w:rPr>
            <w:noProof/>
          </w:rPr>
          <w:t>2</w:t>
        </w:r>
        <w:r>
          <w:rPr>
            <w:noProof/>
          </w:rPr>
          <w:fldChar w:fldCharType="end"/>
        </w:r>
      </w:p>
    </w:sdtContent>
  </w:sdt>
  <w:p w14:paraId="01851D47" w14:textId="77777777" w:rsidR="0061626D" w:rsidRDefault="0061626D" w:rsidP="00586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6C5E3" w14:textId="77777777" w:rsidR="0061626D" w:rsidRDefault="0061626D" w:rsidP="00311C18">
      <w:pPr>
        <w:spacing w:after="0" w:line="240" w:lineRule="auto"/>
      </w:pPr>
      <w:r>
        <w:separator/>
      </w:r>
    </w:p>
  </w:footnote>
  <w:footnote w:type="continuationSeparator" w:id="0">
    <w:p w14:paraId="2FDF95F9" w14:textId="77777777" w:rsidR="0061626D" w:rsidRDefault="0061626D" w:rsidP="00311C18">
      <w:pPr>
        <w:spacing w:after="0" w:line="240" w:lineRule="auto"/>
      </w:pPr>
      <w:r>
        <w:continuationSeparator/>
      </w:r>
    </w:p>
  </w:footnote>
  <w:footnote w:id="1">
    <w:p w14:paraId="09F9A67D" w14:textId="77777777" w:rsidR="0061626D" w:rsidRPr="00AA4D0E" w:rsidRDefault="0061626D" w:rsidP="00882D39">
      <w:pPr>
        <w:rPr>
          <w:rFonts w:ascii="Arial" w:hAnsi="Arial" w:cs="Arial"/>
          <w:color w:val="000023"/>
        </w:rPr>
      </w:pPr>
      <w:r>
        <w:rPr>
          <w:rStyle w:val="FootnoteReference"/>
        </w:rPr>
        <w:footnoteRef/>
      </w:r>
      <w:r>
        <w:t xml:space="preserve"> </w:t>
      </w:r>
      <w:r w:rsidRPr="00AA4D0E">
        <w:rPr>
          <w:rFonts w:ascii="Arial" w:hAnsi="Arial" w:cs="Arial"/>
          <w:color w:val="000023"/>
        </w:rPr>
        <w:t>University of Essex. Institute for Social and Economic Research and National Centre for Social Research/TNS BMRB, Understanding Society: Innovation Panel, Waves 1-7, 2008-2014 [computer file]. Colchester, Essex: UK Data Archive [distributor], July 2015. SN: 6849</w:t>
      </w:r>
    </w:p>
    <w:p w14:paraId="4974BA7D" w14:textId="77777777" w:rsidR="0061626D" w:rsidRDefault="0061626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47C3D"/>
    <w:multiLevelType w:val="hybridMultilevel"/>
    <w:tmpl w:val="71BA654A"/>
    <w:lvl w:ilvl="0" w:tplc="5D46C21E">
      <w:start w:val="1"/>
      <w:numFmt w:val="decimal"/>
      <w:lvlText w:val="%1."/>
      <w:lvlJc w:val="left"/>
      <w:pPr>
        <w:ind w:left="720" w:hanging="360"/>
      </w:pPr>
      <w:rPr>
        <w:rFonts w:asciiTheme="minorHAnsi"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201FB7"/>
    <w:multiLevelType w:val="hybridMultilevel"/>
    <w:tmpl w:val="C9F8D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B71275"/>
    <w:multiLevelType w:val="hybridMultilevel"/>
    <w:tmpl w:val="22F8D8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0A"/>
    <w:rsid w:val="00017596"/>
    <w:rsid w:val="00023CE5"/>
    <w:rsid w:val="00026369"/>
    <w:rsid w:val="000306C4"/>
    <w:rsid w:val="00033E00"/>
    <w:rsid w:val="00035C79"/>
    <w:rsid w:val="000618E5"/>
    <w:rsid w:val="00084AEF"/>
    <w:rsid w:val="00090C44"/>
    <w:rsid w:val="000955D7"/>
    <w:rsid w:val="00096F82"/>
    <w:rsid w:val="000A0160"/>
    <w:rsid w:val="000A6971"/>
    <w:rsid w:val="000C1C4F"/>
    <w:rsid w:val="000C76C4"/>
    <w:rsid w:val="000D3ADB"/>
    <w:rsid w:val="000D3CAA"/>
    <w:rsid w:val="000E4AF7"/>
    <w:rsid w:val="000F01F2"/>
    <w:rsid w:val="000F6991"/>
    <w:rsid w:val="001038F5"/>
    <w:rsid w:val="00112419"/>
    <w:rsid w:val="00117AF2"/>
    <w:rsid w:val="00122754"/>
    <w:rsid w:val="0013446B"/>
    <w:rsid w:val="00157233"/>
    <w:rsid w:val="00164735"/>
    <w:rsid w:val="00165092"/>
    <w:rsid w:val="00170AED"/>
    <w:rsid w:val="00191269"/>
    <w:rsid w:val="001D0D02"/>
    <w:rsid w:val="001D260A"/>
    <w:rsid w:val="001D3805"/>
    <w:rsid w:val="001D5357"/>
    <w:rsid w:val="001E63AF"/>
    <w:rsid w:val="001F135C"/>
    <w:rsid w:val="001F525F"/>
    <w:rsid w:val="0020188D"/>
    <w:rsid w:val="002108DB"/>
    <w:rsid w:val="00214ED9"/>
    <w:rsid w:val="00217470"/>
    <w:rsid w:val="00222FD0"/>
    <w:rsid w:val="00256980"/>
    <w:rsid w:val="00256DA8"/>
    <w:rsid w:val="00264A4B"/>
    <w:rsid w:val="002815E1"/>
    <w:rsid w:val="002A4FB1"/>
    <w:rsid w:val="002A66FE"/>
    <w:rsid w:val="002C425F"/>
    <w:rsid w:val="002D700A"/>
    <w:rsid w:val="002F7D00"/>
    <w:rsid w:val="00307FF9"/>
    <w:rsid w:val="00311C18"/>
    <w:rsid w:val="00331677"/>
    <w:rsid w:val="00341D50"/>
    <w:rsid w:val="0034524F"/>
    <w:rsid w:val="0035398E"/>
    <w:rsid w:val="003569A8"/>
    <w:rsid w:val="00360403"/>
    <w:rsid w:val="00360AE4"/>
    <w:rsid w:val="00370569"/>
    <w:rsid w:val="00390EF0"/>
    <w:rsid w:val="003968C1"/>
    <w:rsid w:val="003A3018"/>
    <w:rsid w:val="003C5FE9"/>
    <w:rsid w:val="003F42E9"/>
    <w:rsid w:val="004100FF"/>
    <w:rsid w:val="0041032B"/>
    <w:rsid w:val="00412436"/>
    <w:rsid w:val="00415DD5"/>
    <w:rsid w:val="004370CD"/>
    <w:rsid w:val="00440E2D"/>
    <w:rsid w:val="00444F62"/>
    <w:rsid w:val="00474562"/>
    <w:rsid w:val="004B23B3"/>
    <w:rsid w:val="004B28FB"/>
    <w:rsid w:val="004B2F7A"/>
    <w:rsid w:val="004B4B74"/>
    <w:rsid w:val="004B4BB8"/>
    <w:rsid w:val="004C1031"/>
    <w:rsid w:val="004F079F"/>
    <w:rsid w:val="004F5414"/>
    <w:rsid w:val="004F5567"/>
    <w:rsid w:val="00513E4B"/>
    <w:rsid w:val="0051586F"/>
    <w:rsid w:val="00517A64"/>
    <w:rsid w:val="00526124"/>
    <w:rsid w:val="00533BCC"/>
    <w:rsid w:val="00544FC9"/>
    <w:rsid w:val="00554E14"/>
    <w:rsid w:val="00556500"/>
    <w:rsid w:val="00561D46"/>
    <w:rsid w:val="005727B6"/>
    <w:rsid w:val="00584B1B"/>
    <w:rsid w:val="0058603B"/>
    <w:rsid w:val="00593932"/>
    <w:rsid w:val="005A3606"/>
    <w:rsid w:val="005A5F6C"/>
    <w:rsid w:val="005B203A"/>
    <w:rsid w:val="005C62F6"/>
    <w:rsid w:val="005D242C"/>
    <w:rsid w:val="005F1C81"/>
    <w:rsid w:val="0060195C"/>
    <w:rsid w:val="0061626D"/>
    <w:rsid w:val="00627B7D"/>
    <w:rsid w:val="00631DDD"/>
    <w:rsid w:val="00634681"/>
    <w:rsid w:val="00647255"/>
    <w:rsid w:val="00661D2D"/>
    <w:rsid w:val="006A4439"/>
    <w:rsid w:val="006C3A31"/>
    <w:rsid w:val="006D09ED"/>
    <w:rsid w:val="006D1A59"/>
    <w:rsid w:val="006D22A7"/>
    <w:rsid w:val="006D312F"/>
    <w:rsid w:val="006E1D37"/>
    <w:rsid w:val="006E264B"/>
    <w:rsid w:val="006E5603"/>
    <w:rsid w:val="006F1F6A"/>
    <w:rsid w:val="006F2B33"/>
    <w:rsid w:val="00701888"/>
    <w:rsid w:val="00716C65"/>
    <w:rsid w:val="00724868"/>
    <w:rsid w:val="007419EE"/>
    <w:rsid w:val="00746D74"/>
    <w:rsid w:val="00751E78"/>
    <w:rsid w:val="00752EDB"/>
    <w:rsid w:val="00761C27"/>
    <w:rsid w:val="00765612"/>
    <w:rsid w:val="00780CD6"/>
    <w:rsid w:val="00783A07"/>
    <w:rsid w:val="00793B64"/>
    <w:rsid w:val="007C3ACD"/>
    <w:rsid w:val="007D33D1"/>
    <w:rsid w:val="007E053D"/>
    <w:rsid w:val="007E584F"/>
    <w:rsid w:val="007F1E97"/>
    <w:rsid w:val="007F27F7"/>
    <w:rsid w:val="007F7557"/>
    <w:rsid w:val="008015DB"/>
    <w:rsid w:val="00812B74"/>
    <w:rsid w:val="00817464"/>
    <w:rsid w:val="00820546"/>
    <w:rsid w:val="00824F13"/>
    <w:rsid w:val="008276F8"/>
    <w:rsid w:val="008456A0"/>
    <w:rsid w:val="008533C1"/>
    <w:rsid w:val="00856C7E"/>
    <w:rsid w:val="00867D07"/>
    <w:rsid w:val="00881950"/>
    <w:rsid w:val="00882D39"/>
    <w:rsid w:val="0089011F"/>
    <w:rsid w:val="008D0CE7"/>
    <w:rsid w:val="008D7D66"/>
    <w:rsid w:val="008E0114"/>
    <w:rsid w:val="008E4E63"/>
    <w:rsid w:val="008E6A5E"/>
    <w:rsid w:val="00914FA5"/>
    <w:rsid w:val="0092045C"/>
    <w:rsid w:val="0092333B"/>
    <w:rsid w:val="009354BB"/>
    <w:rsid w:val="009359F4"/>
    <w:rsid w:val="00962AB7"/>
    <w:rsid w:val="00970607"/>
    <w:rsid w:val="00976AA7"/>
    <w:rsid w:val="009A75B3"/>
    <w:rsid w:val="009C20C2"/>
    <w:rsid w:val="009D17AD"/>
    <w:rsid w:val="009D40BC"/>
    <w:rsid w:val="009E185B"/>
    <w:rsid w:val="009E37ED"/>
    <w:rsid w:val="009E7180"/>
    <w:rsid w:val="009E7641"/>
    <w:rsid w:val="009F1975"/>
    <w:rsid w:val="009F3C5A"/>
    <w:rsid w:val="009F75A5"/>
    <w:rsid w:val="00A138BE"/>
    <w:rsid w:val="00A14436"/>
    <w:rsid w:val="00A21637"/>
    <w:rsid w:val="00A261FC"/>
    <w:rsid w:val="00A36222"/>
    <w:rsid w:val="00A64D94"/>
    <w:rsid w:val="00A70DDB"/>
    <w:rsid w:val="00A71F16"/>
    <w:rsid w:val="00AA35DC"/>
    <w:rsid w:val="00AA4D0E"/>
    <w:rsid w:val="00AB21B5"/>
    <w:rsid w:val="00AB2A09"/>
    <w:rsid w:val="00AB2A45"/>
    <w:rsid w:val="00AB506B"/>
    <w:rsid w:val="00AC363D"/>
    <w:rsid w:val="00AC4CBE"/>
    <w:rsid w:val="00AC5ED0"/>
    <w:rsid w:val="00AC636B"/>
    <w:rsid w:val="00AC6E5B"/>
    <w:rsid w:val="00AD1169"/>
    <w:rsid w:val="00AE0013"/>
    <w:rsid w:val="00AE0341"/>
    <w:rsid w:val="00AE778B"/>
    <w:rsid w:val="00AF13EA"/>
    <w:rsid w:val="00AF5DE0"/>
    <w:rsid w:val="00B02C34"/>
    <w:rsid w:val="00B121FA"/>
    <w:rsid w:val="00B14A17"/>
    <w:rsid w:val="00B24713"/>
    <w:rsid w:val="00B342E5"/>
    <w:rsid w:val="00B35F9A"/>
    <w:rsid w:val="00B441E1"/>
    <w:rsid w:val="00B45744"/>
    <w:rsid w:val="00B708C9"/>
    <w:rsid w:val="00B743C0"/>
    <w:rsid w:val="00B831F0"/>
    <w:rsid w:val="00B84583"/>
    <w:rsid w:val="00B910FD"/>
    <w:rsid w:val="00BB2547"/>
    <w:rsid w:val="00BB2CDD"/>
    <w:rsid w:val="00BB2F29"/>
    <w:rsid w:val="00BB5392"/>
    <w:rsid w:val="00BD042C"/>
    <w:rsid w:val="00BD1A02"/>
    <w:rsid w:val="00BD78F7"/>
    <w:rsid w:val="00BE0AFE"/>
    <w:rsid w:val="00C07A73"/>
    <w:rsid w:val="00C222B7"/>
    <w:rsid w:val="00C47A18"/>
    <w:rsid w:val="00C505C4"/>
    <w:rsid w:val="00C62F7A"/>
    <w:rsid w:val="00C7005F"/>
    <w:rsid w:val="00C748B5"/>
    <w:rsid w:val="00C75ABD"/>
    <w:rsid w:val="00C8326C"/>
    <w:rsid w:val="00C945F0"/>
    <w:rsid w:val="00CB4836"/>
    <w:rsid w:val="00CB5E71"/>
    <w:rsid w:val="00CB7791"/>
    <w:rsid w:val="00CC6264"/>
    <w:rsid w:val="00CC6ABD"/>
    <w:rsid w:val="00CC762B"/>
    <w:rsid w:val="00CD410B"/>
    <w:rsid w:val="00CE7A19"/>
    <w:rsid w:val="00CF1294"/>
    <w:rsid w:val="00D304DB"/>
    <w:rsid w:val="00D32A0C"/>
    <w:rsid w:val="00D427B4"/>
    <w:rsid w:val="00D506A5"/>
    <w:rsid w:val="00D534A9"/>
    <w:rsid w:val="00D53780"/>
    <w:rsid w:val="00D543A4"/>
    <w:rsid w:val="00D62AA5"/>
    <w:rsid w:val="00D65157"/>
    <w:rsid w:val="00D66996"/>
    <w:rsid w:val="00D669D1"/>
    <w:rsid w:val="00D7749C"/>
    <w:rsid w:val="00D83F2F"/>
    <w:rsid w:val="00D864D4"/>
    <w:rsid w:val="00D907F5"/>
    <w:rsid w:val="00D97D38"/>
    <w:rsid w:val="00DB31DD"/>
    <w:rsid w:val="00DC345D"/>
    <w:rsid w:val="00DC4B4C"/>
    <w:rsid w:val="00DE096F"/>
    <w:rsid w:val="00DE452E"/>
    <w:rsid w:val="00DF6E8B"/>
    <w:rsid w:val="00E02EF0"/>
    <w:rsid w:val="00E04DE1"/>
    <w:rsid w:val="00E06470"/>
    <w:rsid w:val="00E1460C"/>
    <w:rsid w:val="00E14EEE"/>
    <w:rsid w:val="00E22841"/>
    <w:rsid w:val="00E25817"/>
    <w:rsid w:val="00E27AA7"/>
    <w:rsid w:val="00E345AB"/>
    <w:rsid w:val="00E378B9"/>
    <w:rsid w:val="00E51F04"/>
    <w:rsid w:val="00E54ADC"/>
    <w:rsid w:val="00E60A54"/>
    <w:rsid w:val="00E83600"/>
    <w:rsid w:val="00E92EDE"/>
    <w:rsid w:val="00E952C1"/>
    <w:rsid w:val="00E95F42"/>
    <w:rsid w:val="00EA0943"/>
    <w:rsid w:val="00EB16BA"/>
    <w:rsid w:val="00EB1801"/>
    <w:rsid w:val="00EC0917"/>
    <w:rsid w:val="00EC446A"/>
    <w:rsid w:val="00EC7ABB"/>
    <w:rsid w:val="00EE4A52"/>
    <w:rsid w:val="00EF0311"/>
    <w:rsid w:val="00EF07E3"/>
    <w:rsid w:val="00F062E4"/>
    <w:rsid w:val="00F11A69"/>
    <w:rsid w:val="00F172C3"/>
    <w:rsid w:val="00F26273"/>
    <w:rsid w:val="00F36B39"/>
    <w:rsid w:val="00F453F4"/>
    <w:rsid w:val="00F528DE"/>
    <w:rsid w:val="00F5546C"/>
    <w:rsid w:val="00F65C94"/>
    <w:rsid w:val="00F71275"/>
    <w:rsid w:val="00F86E92"/>
    <w:rsid w:val="00F9046C"/>
    <w:rsid w:val="00F93C00"/>
    <w:rsid w:val="00F94790"/>
    <w:rsid w:val="00FA0FEE"/>
    <w:rsid w:val="00FB57DA"/>
    <w:rsid w:val="00FB6B0C"/>
    <w:rsid w:val="00FC08D3"/>
    <w:rsid w:val="00FF4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81B7D"/>
  <w15:docId w15:val="{A02C9EB1-F087-4CE2-913A-204C48AD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1C18"/>
    <w:pPr>
      <w:keepNext/>
      <w:keepLines/>
      <w:spacing w:before="240" w:after="240"/>
      <w:outlineLvl w:val="0"/>
    </w:pPr>
    <w:rPr>
      <w:rFonts w:ascii="Arial" w:eastAsiaTheme="majorEastAsia" w:hAnsi="Arial" w:cstheme="majorBidi"/>
      <w:b/>
      <w:color w:val="4B0082"/>
      <w:sz w:val="32"/>
      <w:szCs w:val="32"/>
    </w:rPr>
  </w:style>
  <w:style w:type="paragraph" w:styleId="Heading2">
    <w:name w:val="heading 2"/>
    <w:basedOn w:val="Normal"/>
    <w:link w:val="Heading2Char"/>
    <w:uiPriority w:val="9"/>
    <w:qFormat/>
    <w:rsid w:val="00D83F2F"/>
    <w:pPr>
      <w:spacing w:before="240" w:after="240" w:line="240" w:lineRule="auto"/>
      <w:outlineLvl w:val="1"/>
    </w:pPr>
    <w:rPr>
      <w:rFonts w:ascii="Arial" w:eastAsia="Times New Roman" w:hAnsi="Arial" w:cs="Times New Roman"/>
      <w:b/>
      <w:bCs/>
      <w:color w:val="4B0082"/>
      <w:sz w:val="28"/>
      <w:szCs w:val="36"/>
      <w:lang w:eastAsia="en-GB"/>
    </w:rPr>
  </w:style>
  <w:style w:type="paragraph" w:styleId="Heading3">
    <w:name w:val="heading 3"/>
    <w:basedOn w:val="Normal"/>
    <w:next w:val="Normal"/>
    <w:link w:val="Heading3Char"/>
    <w:uiPriority w:val="9"/>
    <w:unhideWhenUsed/>
    <w:qFormat/>
    <w:rsid w:val="00D83F2F"/>
    <w:pPr>
      <w:keepNext/>
      <w:keepLines/>
      <w:spacing w:before="240" w:after="120"/>
      <w:outlineLvl w:val="2"/>
    </w:pPr>
    <w:rPr>
      <w:rFonts w:ascii="Arial" w:eastAsiaTheme="majorEastAsia" w:hAnsi="Arial" w:cstheme="majorBidi"/>
      <w:b/>
      <w:color w:val="4B008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56980"/>
    <w:rPr>
      <w:i/>
      <w:iCs/>
    </w:rPr>
  </w:style>
  <w:style w:type="character" w:styleId="Hyperlink">
    <w:name w:val="Hyperlink"/>
    <w:basedOn w:val="DefaultParagraphFont"/>
    <w:uiPriority w:val="99"/>
    <w:unhideWhenUsed/>
    <w:rsid w:val="00256980"/>
    <w:rPr>
      <w:color w:val="0563C1" w:themeColor="hyperlink"/>
      <w:u w:val="single"/>
    </w:rPr>
  </w:style>
  <w:style w:type="paragraph" w:styleId="ListParagraph">
    <w:name w:val="List Paragraph"/>
    <w:basedOn w:val="Normal"/>
    <w:uiPriority w:val="34"/>
    <w:qFormat/>
    <w:rsid w:val="00716C65"/>
    <w:pPr>
      <w:ind w:left="720"/>
      <w:contextualSpacing/>
    </w:pPr>
  </w:style>
  <w:style w:type="paragraph" w:styleId="Caption">
    <w:name w:val="caption"/>
    <w:basedOn w:val="Normal"/>
    <w:next w:val="Normal"/>
    <w:uiPriority w:val="35"/>
    <w:unhideWhenUsed/>
    <w:qFormat/>
    <w:rsid w:val="00217470"/>
    <w:pPr>
      <w:spacing w:after="200" w:line="240" w:lineRule="auto"/>
    </w:pPr>
    <w:rPr>
      <w:i/>
      <w:iCs/>
      <w:color w:val="44546A" w:themeColor="text2"/>
      <w:sz w:val="18"/>
      <w:szCs w:val="18"/>
    </w:rPr>
  </w:style>
  <w:style w:type="paragraph" w:customStyle="1" w:styleId="Default">
    <w:name w:val="Default"/>
    <w:rsid w:val="009204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C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F6"/>
    <w:rPr>
      <w:rFonts w:ascii="Tahoma" w:hAnsi="Tahoma" w:cs="Tahoma"/>
      <w:sz w:val="16"/>
      <w:szCs w:val="16"/>
    </w:rPr>
  </w:style>
  <w:style w:type="character" w:styleId="CommentReference">
    <w:name w:val="annotation reference"/>
    <w:basedOn w:val="DefaultParagraphFont"/>
    <w:uiPriority w:val="99"/>
    <w:semiHidden/>
    <w:unhideWhenUsed/>
    <w:rsid w:val="00AF5DE0"/>
    <w:rPr>
      <w:sz w:val="16"/>
      <w:szCs w:val="16"/>
    </w:rPr>
  </w:style>
  <w:style w:type="paragraph" w:styleId="CommentText">
    <w:name w:val="annotation text"/>
    <w:basedOn w:val="Normal"/>
    <w:link w:val="CommentTextChar"/>
    <w:uiPriority w:val="99"/>
    <w:semiHidden/>
    <w:unhideWhenUsed/>
    <w:rsid w:val="00AF5DE0"/>
    <w:pPr>
      <w:spacing w:line="240" w:lineRule="auto"/>
    </w:pPr>
    <w:rPr>
      <w:sz w:val="20"/>
      <w:szCs w:val="20"/>
    </w:rPr>
  </w:style>
  <w:style w:type="character" w:customStyle="1" w:styleId="CommentTextChar">
    <w:name w:val="Comment Text Char"/>
    <w:basedOn w:val="DefaultParagraphFont"/>
    <w:link w:val="CommentText"/>
    <w:uiPriority w:val="99"/>
    <w:semiHidden/>
    <w:rsid w:val="00AF5DE0"/>
    <w:rPr>
      <w:sz w:val="20"/>
      <w:szCs w:val="20"/>
    </w:rPr>
  </w:style>
  <w:style w:type="paragraph" w:styleId="CommentSubject">
    <w:name w:val="annotation subject"/>
    <w:basedOn w:val="CommentText"/>
    <w:next w:val="CommentText"/>
    <w:link w:val="CommentSubjectChar"/>
    <w:uiPriority w:val="99"/>
    <w:semiHidden/>
    <w:unhideWhenUsed/>
    <w:rsid w:val="00AF5DE0"/>
    <w:rPr>
      <w:b/>
      <w:bCs/>
    </w:rPr>
  </w:style>
  <w:style w:type="character" w:customStyle="1" w:styleId="CommentSubjectChar">
    <w:name w:val="Comment Subject Char"/>
    <w:basedOn w:val="CommentTextChar"/>
    <w:link w:val="CommentSubject"/>
    <w:uiPriority w:val="99"/>
    <w:semiHidden/>
    <w:rsid w:val="00AF5DE0"/>
    <w:rPr>
      <w:b/>
      <w:bCs/>
      <w:sz w:val="20"/>
      <w:szCs w:val="20"/>
    </w:rPr>
  </w:style>
  <w:style w:type="character" w:customStyle="1" w:styleId="Heading2Char">
    <w:name w:val="Heading 2 Char"/>
    <w:basedOn w:val="DefaultParagraphFont"/>
    <w:link w:val="Heading2"/>
    <w:uiPriority w:val="9"/>
    <w:rsid w:val="00D83F2F"/>
    <w:rPr>
      <w:rFonts w:ascii="Arial" w:eastAsia="Times New Roman" w:hAnsi="Arial" w:cs="Times New Roman"/>
      <w:b/>
      <w:bCs/>
      <w:color w:val="4B0082"/>
      <w:sz w:val="28"/>
      <w:szCs w:val="36"/>
      <w:lang w:eastAsia="en-GB"/>
    </w:rPr>
  </w:style>
  <w:style w:type="paragraph" w:customStyle="1" w:styleId="articledetails">
    <w:name w:val="articledetails"/>
    <w:basedOn w:val="Normal"/>
    <w:rsid w:val="007F1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1E97"/>
  </w:style>
  <w:style w:type="paragraph" w:styleId="Header">
    <w:name w:val="header"/>
    <w:basedOn w:val="Normal"/>
    <w:link w:val="HeaderChar"/>
    <w:uiPriority w:val="99"/>
    <w:unhideWhenUsed/>
    <w:rsid w:val="00311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C18"/>
  </w:style>
  <w:style w:type="paragraph" w:styleId="Footer">
    <w:name w:val="footer"/>
    <w:basedOn w:val="Normal"/>
    <w:link w:val="FooterChar"/>
    <w:uiPriority w:val="99"/>
    <w:unhideWhenUsed/>
    <w:rsid w:val="00311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C18"/>
  </w:style>
  <w:style w:type="character" w:customStyle="1" w:styleId="Heading1Char">
    <w:name w:val="Heading 1 Char"/>
    <w:basedOn w:val="DefaultParagraphFont"/>
    <w:link w:val="Heading1"/>
    <w:uiPriority w:val="9"/>
    <w:rsid w:val="00311C18"/>
    <w:rPr>
      <w:rFonts w:ascii="Arial" w:eastAsiaTheme="majorEastAsia" w:hAnsi="Arial" w:cstheme="majorBidi"/>
      <w:b/>
      <w:color w:val="4B0082"/>
      <w:sz w:val="32"/>
      <w:szCs w:val="32"/>
    </w:rPr>
  </w:style>
  <w:style w:type="character" w:customStyle="1" w:styleId="Heading3Char">
    <w:name w:val="Heading 3 Char"/>
    <w:basedOn w:val="DefaultParagraphFont"/>
    <w:link w:val="Heading3"/>
    <w:uiPriority w:val="9"/>
    <w:rsid w:val="00D83F2F"/>
    <w:rPr>
      <w:rFonts w:ascii="Arial" w:eastAsiaTheme="majorEastAsia" w:hAnsi="Arial" w:cstheme="majorBidi"/>
      <w:b/>
      <w:color w:val="4B0082"/>
      <w:sz w:val="26"/>
      <w:szCs w:val="24"/>
    </w:rPr>
  </w:style>
  <w:style w:type="paragraph" w:customStyle="1" w:styleId="Tabletext">
    <w:name w:val="Table text"/>
    <w:basedOn w:val="Normal"/>
    <w:link w:val="TabletextChar"/>
    <w:qFormat/>
    <w:rsid w:val="006D1A59"/>
    <w:pPr>
      <w:spacing w:after="0" w:line="240" w:lineRule="auto"/>
      <w:ind w:right="170"/>
      <w:jc w:val="right"/>
    </w:pPr>
    <w:rPr>
      <w:rFonts w:ascii="Arial" w:eastAsia="Times New Roman" w:hAnsi="Arial" w:cs="Arial"/>
      <w:color w:val="000000"/>
      <w:sz w:val="20"/>
      <w:szCs w:val="20"/>
      <w:lang w:eastAsia="en-GB"/>
    </w:rPr>
  </w:style>
  <w:style w:type="paragraph" w:customStyle="1" w:styleId="TableHead">
    <w:name w:val="Table Head"/>
    <w:basedOn w:val="Tabletext"/>
    <w:link w:val="TableHeadChar"/>
    <w:qFormat/>
    <w:rsid w:val="006D1A59"/>
    <w:pPr>
      <w:ind w:right="0"/>
      <w:jc w:val="center"/>
    </w:pPr>
    <w:rPr>
      <w:b/>
    </w:rPr>
  </w:style>
  <w:style w:type="character" w:customStyle="1" w:styleId="TabletextChar">
    <w:name w:val="Table text Char"/>
    <w:basedOn w:val="DefaultParagraphFont"/>
    <w:link w:val="Tabletext"/>
    <w:rsid w:val="006D1A59"/>
    <w:rPr>
      <w:rFonts w:ascii="Arial" w:eastAsia="Times New Roman" w:hAnsi="Arial" w:cs="Arial"/>
      <w:color w:val="000000"/>
      <w:sz w:val="20"/>
      <w:szCs w:val="20"/>
      <w:lang w:eastAsia="en-GB"/>
    </w:rPr>
  </w:style>
  <w:style w:type="paragraph" w:customStyle="1" w:styleId="tablesubhead">
    <w:name w:val="table subhead"/>
    <w:basedOn w:val="TableHead"/>
    <w:link w:val="tablesubheadChar"/>
    <w:qFormat/>
    <w:rsid w:val="006D1A59"/>
    <w:rPr>
      <w:b w:val="0"/>
      <w:i/>
    </w:rPr>
  </w:style>
  <w:style w:type="character" w:customStyle="1" w:styleId="TableHeadChar">
    <w:name w:val="Table Head Char"/>
    <w:basedOn w:val="TabletextChar"/>
    <w:link w:val="TableHead"/>
    <w:rsid w:val="006D1A59"/>
    <w:rPr>
      <w:rFonts w:ascii="Arial" w:eastAsia="Times New Roman" w:hAnsi="Arial" w:cs="Arial"/>
      <w:b/>
      <w:color w:val="000000"/>
      <w:sz w:val="20"/>
      <w:szCs w:val="20"/>
      <w:lang w:eastAsia="en-GB"/>
    </w:rPr>
  </w:style>
  <w:style w:type="character" w:customStyle="1" w:styleId="tablesubheadChar">
    <w:name w:val="table subhead Char"/>
    <w:basedOn w:val="TableHeadChar"/>
    <w:link w:val="tablesubhead"/>
    <w:rsid w:val="006D1A59"/>
    <w:rPr>
      <w:rFonts w:ascii="Arial" w:eastAsia="Times New Roman" w:hAnsi="Arial" w:cs="Arial"/>
      <w:b w:val="0"/>
      <w:i/>
      <w:color w:val="000000"/>
      <w:sz w:val="20"/>
      <w:szCs w:val="20"/>
      <w:lang w:eastAsia="en-GB"/>
    </w:rPr>
  </w:style>
  <w:style w:type="paragraph" w:styleId="FootnoteText">
    <w:name w:val="footnote text"/>
    <w:basedOn w:val="Normal"/>
    <w:link w:val="FootnoteTextChar"/>
    <w:uiPriority w:val="99"/>
    <w:semiHidden/>
    <w:unhideWhenUsed/>
    <w:rsid w:val="00882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39"/>
    <w:rPr>
      <w:sz w:val="20"/>
      <w:szCs w:val="20"/>
    </w:rPr>
  </w:style>
  <w:style w:type="character" w:styleId="FootnoteReference">
    <w:name w:val="footnote reference"/>
    <w:basedOn w:val="DefaultParagraphFont"/>
    <w:uiPriority w:val="99"/>
    <w:semiHidden/>
    <w:unhideWhenUsed/>
    <w:rsid w:val="00882D39"/>
    <w:rPr>
      <w:vertAlign w:val="superscript"/>
    </w:rPr>
  </w:style>
  <w:style w:type="character" w:customStyle="1" w:styleId="slug-metadata-note">
    <w:name w:val="slug-metadata-note"/>
    <w:basedOn w:val="DefaultParagraphFont"/>
    <w:rsid w:val="00634681"/>
  </w:style>
  <w:style w:type="character" w:customStyle="1" w:styleId="slug-doi">
    <w:name w:val="slug-doi"/>
    <w:basedOn w:val="DefaultParagraphFont"/>
    <w:rsid w:val="0063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429">
      <w:bodyDiv w:val="1"/>
      <w:marLeft w:val="0"/>
      <w:marRight w:val="0"/>
      <w:marTop w:val="0"/>
      <w:marBottom w:val="0"/>
      <w:divBdr>
        <w:top w:val="none" w:sz="0" w:space="0" w:color="auto"/>
        <w:left w:val="none" w:sz="0" w:space="0" w:color="auto"/>
        <w:bottom w:val="none" w:sz="0" w:space="0" w:color="auto"/>
        <w:right w:val="none" w:sz="0" w:space="0" w:color="auto"/>
      </w:divBdr>
      <w:divsChild>
        <w:div w:id="900284527">
          <w:marLeft w:val="0"/>
          <w:marRight w:val="0"/>
          <w:marTop w:val="0"/>
          <w:marBottom w:val="0"/>
          <w:divBdr>
            <w:top w:val="none" w:sz="0" w:space="0" w:color="auto"/>
            <w:left w:val="none" w:sz="0" w:space="0" w:color="auto"/>
            <w:bottom w:val="none" w:sz="0" w:space="0" w:color="auto"/>
            <w:right w:val="none" w:sz="0" w:space="0" w:color="auto"/>
          </w:divBdr>
        </w:div>
      </w:divsChild>
    </w:div>
    <w:div w:id="84301939">
      <w:bodyDiv w:val="1"/>
      <w:marLeft w:val="0"/>
      <w:marRight w:val="0"/>
      <w:marTop w:val="0"/>
      <w:marBottom w:val="0"/>
      <w:divBdr>
        <w:top w:val="none" w:sz="0" w:space="0" w:color="auto"/>
        <w:left w:val="none" w:sz="0" w:space="0" w:color="auto"/>
        <w:bottom w:val="none" w:sz="0" w:space="0" w:color="auto"/>
        <w:right w:val="none" w:sz="0" w:space="0" w:color="auto"/>
      </w:divBdr>
    </w:div>
    <w:div w:id="118766834">
      <w:bodyDiv w:val="1"/>
      <w:marLeft w:val="0"/>
      <w:marRight w:val="0"/>
      <w:marTop w:val="0"/>
      <w:marBottom w:val="0"/>
      <w:divBdr>
        <w:top w:val="none" w:sz="0" w:space="0" w:color="auto"/>
        <w:left w:val="none" w:sz="0" w:space="0" w:color="auto"/>
        <w:bottom w:val="none" w:sz="0" w:space="0" w:color="auto"/>
        <w:right w:val="none" w:sz="0" w:space="0" w:color="auto"/>
      </w:divBdr>
      <w:divsChild>
        <w:div w:id="810293200">
          <w:marLeft w:val="0"/>
          <w:marRight w:val="0"/>
          <w:marTop w:val="0"/>
          <w:marBottom w:val="0"/>
          <w:divBdr>
            <w:top w:val="none" w:sz="0" w:space="0" w:color="auto"/>
            <w:left w:val="none" w:sz="0" w:space="0" w:color="auto"/>
            <w:bottom w:val="none" w:sz="0" w:space="0" w:color="auto"/>
            <w:right w:val="none" w:sz="0" w:space="0" w:color="auto"/>
          </w:divBdr>
        </w:div>
      </w:divsChild>
    </w:div>
    <w:div w:id="360277754">
      <w:bodyDiv w:val="1"/>
      <w:marLeft w:val="0"/>
      <w:marRight w:val="0"/>
      <w:marTop w:val="0"/>
      <w:marBottom w:val="0"/>
      <w:divBdr>
        <w:top w:val="none" w:sz="0" w:space="0" w:color="auto"/>
        <w:left w:val="none" w:sz="0" w:space="0" w:color="auto"/>
        <w:bottom w:val="none" w:sz="0" w:space="0" w:color="auto"/>
        <w:right w:val="none" w:sz="0" w:space="0" w:color="auto"/>
      </w:divBdr>
      <w:divsChild>
        <w:div w:id="1292325400">
          <w:marLeft w:val="0"/>
          <w:marRight w:val="0"/>
          <w:marTop w:val="0"/>
          <w:marBottom w:val="0"/>
          <w:divBdr>
            <w:top w:val="none" w:sz="0" w:space="0" w:color="auto"/>
            <w:left w:val="none" w:sz="0" w:space="0" w:color="auto"/>
            <w:bottom w:val="none" w:sz="0" w:space="0" w:color="auto"/>
            <w:right w:val="none" w:sz="0" w:space="0" w:color="auto"/>
          </w:divBdr>
        </w:div>
      </w:divsChild>
    </w:div>
    <w:div w:id="391201611">
      <w:bodyDiv w:val="1"/>
      <w:marLeft w:val="0"/>
      <w:marRight w:val="0"/>
      <w:marTop w:val="0"/>
      <w:marBottom w:val="0"/>
      <w:divBdr>
        <w:top w:val="none" w:sz="0" w:space="0" w:color="auto"/>
        <w:left w:val="none" w:sz="0" w:space="0" w:color="auto"/>
        <w:bottom w:val="none" w:sz="0" w:space="0" w:color="auto"/>
        <w:right w:val="none" w:sz="0" w:space="0" w:color="auto"/>
      </w:divBdr>
      <w:divsChild>
        <w:div w:id="1649095894">
          <w:marLeft w:val="0"/>
          <w:marRight w:val="0"/>
          <w:marTop w:val="0"/>
          <w:marBottom w:val="0"/>
          <w:divBdr>
            <w:top w:val="none" w:sz="0" w:space="0" w:color="auto"/>
            <w:left w:val="none" w:sz="0" w:space="0" w:color="auto"/>
            <w:bottom w:val="none" w:sz="0" w:space="0" w:color="auto"/>
            <w:right w:val="none" w:sz="0" w:space="0" w:color="auto"/>
          </w:divBdr>
        </w:div>
      </w:divsChild>
    </w:div>
    <w:div w:id="399986441">
      <w:bodyDiv w:val="1"/>
      <w:marLeft w:val="0"/>
      <w:marRight w:val="0"/>
      <w:marTop w:val="0"/>
      <w:marBottom w:val="0"/>
      <w:divBdr>
        <w:top w:val="none" w:sz="0" w:space="0" w:color="auto"/>
        <w:left w:val="none" w:sz="0" w:space="0" w:color="auto"/>
        <w:bottom w:val="none" w:sz="0" w:space="0" w:color="auto"/>
        <w:right w:val="none" w:sz="0" w:space="0" w:color="auto"/>
      </w:divBdr>
    </w:div>
    <w:div w:id="485055903">
      <w:bodyDiv w:val="1"/>
      <w:marLeft w:val="0"/>
      <w:marRight w:val="0"/>
      <w:marTop w:val="0"/>
      <w:marBottom w:val="0"/>
      <w:divBdr>
        <w:top w:val="none" w:sz="0" w:space="0" w:color="auto"/>
        <w:left w:val="none" w:sz="0" w:space="0" w:color="auto"/>
        <w:bottom w:val="none" w:sz="0" w:space="0" w:color="auto"/>
        <w:right w:val="none" w:sz="0" w:space="0" w:color="auto"/>
      </w:divBdr>
      <w:divsChild>
        <w:div w:id="161313597">
          <w:marLeft w:val="0"/>
          <w:marRight w:val="0"/>
          <w:marTop w:val="0"/>
          <w:marBottom w:val="0"/>
          <w:divBdr>
            <w:top w:val="none" w:sz="0" w:space="0" w:color="auto"/>
            <w:left w:val="none" w:sz="0" w:space="0" w:color="auto"/>
            <w:bottom w:val="none" w:sz="0" w:space="0" w:color="auto"/>
            <w:right w:val="none" w:sz="0" w:space="0" w:color="auto"/>
          </w:divBdr>
        </w:div>
      </w:divsChild>
    </w:div>
    <w:div w:id="548879913">
      <w:bodyDiv w:val="1"/>
      <w:marLeft w:val="0"/>
      <w:marRight w:val="0"/>
      <w:marTop w:val="0"/>
      <w:marBottom w:val="0"/>
      <w:divBdr>
        <w:top w:val="none" w:sz="0" w:space="0" w:color="auto"/>
        <w:left w:val="none" w:sz="0" w:space="0" w:color="auto"/>
        <w:bottom w:val="none" w:sz="0" w:space="0" w:color="auto"/>
        <w:right w:val="none" w:sz="0" w:space="0" w:color="auto"/>
      </w:divBdr>
      <w:divsChild>
        <w:div w:id="577444470">
          <w:marLeft w:val="0"/>
          <w:marRight w:val="0"/>
          <w:marTop w:val="0"/>
          <w:marBottom w:val="0"/>
          <w:divBdr>
            <w:top w:val="none" w:sz="0" w:space="0" w:color="auto"/>
            <w:left w:val="none" w:sz="0" w:space="0" w:color="auto"/>
            <w:bottom w:val="none" w:sz="0" w:space="0" w:color="auto"/>
            <w:right w:val="none" w:sz="0" w:space="0" w:color="auto"/>
          </w:divBdr>
        </w:div>
      </w:divsChild>
    </w:div>
    <w:div w:id="609779311">
      <w:bodyDiv w:val="1"/>
      <w:marLeft w:val="0"/>
      <w:marRight w:val="0"/>
      <w:marTop w:val="0"/>
      <w:marBottom w:val="0"/>
      <w:divBdr>
        <w:top w:val="none" w:sz="0" w:space="0" w:color="auto"/>
        <w:left w:val="none" w:sz="0" w:space="0" w:color="auto"/>
        <w:bottom w:val="none" w:sz="0" w:space="0" w:color="auto"/>
        <w:right w:val="none" w:sz="0" w:space="0" w:color="auto"/>
      </w:divBdr>
      <w:divsChild>
        <w:div w:id="984048488">
          <w:marLeft w:val="0"/>
          <w:marRight w:val="0"/>
          <w:marTop w:val="0"/>
          <w:marBottom w:val="0"/>
          <w:divBdr>
            <w:top w:val="none" w:sz="0" w:space="0" w:color="auto"/>
            <w:left w:val="none" w:sz="0" w:space="0" w:color="auto"/>
            <w:bottom w:val="none" w:sz="0" w:space="0" w:color="auto"/>
            <w:right w:val="none" w:sz="0" w:space="0" w:color="auto"/>
          </w:divBdr>
        </w:div>
      </w:divsChild>
    </w:div>
    <w:div w:id="643852758">
      <w:bodyDiv w:val="1"/>
      <w:marLeft w:val="0"/>
      <w:marRight w:val="0"/>
      <w:marTop w:val="0"/>
      <w:marBottom w:val="0"/>
      <w:divBdr>
        <w:top w:val="none" w:sz="0" w:space="0" w:color="auto"/>
        <w:left w:val="none" w:sz="0" w:space="0" w:color="auto"/>
        <w:bottom w:val="none" w:sz="0" w:space="0" w:color="auto"/>
        <w:right w:val="none" w:sz="0" w:space="0" w:color="auto"/>
      </w:divBdr>
      <w:divsChild>
        <w:div w:id="189687019">
          <w:marLeft w:val="0"/>
          <w:marRight w:val="0"/>
          <w:marTop w:val="0"/>
          <w:marBottom w:val="0"/>
          <w:divBdr>
            <w:top w:val="none" w:sz="0" w:space="0" w:color="auto"/>
            <w:left w:val="none" w:sz="0" w:space="0" w:color="auto"/>
            <w:bottom w:val="none" w:sz="0" w:space="0" w:color="auto"/>
            <w:right w:val="none" w:sz="0" w:space="0" w:color="auto"/>
          </w:divBdr>
        </w:div>
      </w:divsChild>
    </w:div>
    <w:div w:id="673993255">
      <w:bodyDiv w:val="1"/>
      <w:marLeft w:val="0"/>
      <w:marRight w:val="0"/>
      <w:marTop w:val="0"/>
      <w:marBottom w:val="0"/>
      <w:divBdr>
        <w:top w:val="none" w:sz="0" w:space="0" w:color="auto"/>
        <w:left w:val="none" w:sz="0" w:space="0" w:color="auto"/>
        <w:bottom w:val="none" w:sz="0" w:space="0" w:color="auto"/>
        <w:right w:val="none" w:sz="0" w:space="0" w:color="auto"/>
      </w:divBdr>
      <w:divsChild>
        <w:div w:id="496920664">
          <w:marLeft w:val="0"/>
          <w:marRight w:val="0"/>
          <w:marTop w:val="0"/>
          <w:marBottom w:val="0"/>
          <w:divBdr>
            <w:top w:val="none" w:sz="0" w:space="0" w:color="auto"/>
            <w:left w:val="none" w:sz="0" w:space="0" w:color="auto"/>
            <w:bottom w:val="none" w:sz="0" w:space="0" w:color="auto"/>
            <w:right w:val="none" w:sz="0" w:space="0" w:color="auto"/>
          </w:divBdr>
        </w:div>
      </w:divsChild>
    </w:div>
    <w:div w:id="675156793">
      <w:bodyDiv w:val="1"/>
      <w:marLeft w:val="0"/>
      <w:marRight w:val="0"/>
      <w:marTop w:val="0"/>
      <w:marBottom w:val="0"/>
      <w:divBdr>
        <w:top w:val="none" w:sz="0" w:space="0" w:color="auto"/>
        <w:left w:val="none" w:sz="0" w:space="0" w:color="auto"/>
        <w:bottom w:val="none" w:sz="0" w:space="0" w:color="auto"/>
        <w:right w:val="none" w:sz="0" w:space="0" w:color="auto"/>
      </w:divBdr>
      <w:divsChild>
        <w:div w:id="838810939">
          <w:marLeft w:val="0"/>
          <w:marRight w:val="0"/>
          <w:marTop w:val="0"/>
          <w:marBottom w:val="0"/>
          <w:divBdr>
            <w:top w:val="none" w:sz="0" w:space="0" w:color="auto"/>
            <w:left w:val="none" w:sz="0" w:space="0" w:color="auto"/>
            <w:bottom w:val="none" w:sz="0" w:space="0" w:color="auto"/>
            <w:right w:val="none" w:sz="0" w:space="0" w:color="auto"/>
          </w:divBdr>
        </w:div>
      </w:divsChild>
    </w:div>
    <w:div w:id="804003959">
      <w:bodyDiv w:val="1"/>
      <w:marLeft w:val="0"/>
      <w:marRight w:val="0"/>
      <w:marTop w:val="0"/>
      <w:marBottom w:val="0"/>
      <w:divBdr>
        <w:top w:val="none" w:sz="0" w:space="0" w:color="auto"/>
        <w:left w:val="none" w:sz="0" w:space="0" w:color="auto"/>
        <w:bottom w:val="none" w:sz="0" w:space="0" w:color="auto"/>
        <w:right w:val="none" w:sz="0" w:space="0" w:color="auto"/>
      </w:divBdr>
      <w:divsChild>
        <w:div w:id="680401149">
          <w:marLeft w:val="0"/>
          <w:marRight w:val="0"/>
          <w:marTop w:val="0"/>
          <w:marBottom w:val="0"/>
          <w:divBdr>
            <w:top w:val="none" w:sz="0" w:space="0" w:color="auto"/>
            <w:left w:val="none" w:sz="0" w:space="0" w:color="auto"/>
            <w:bottom w:val="none" w:sz="0" w:space="0" w:color="auto"/>
            <w:right w:val="none" w:sz="0" w:space="0" w:color="auto"/>
          </w:divBdr>
        </w:div>
      </w:divsChild>
    </w:div>
    <w:div w:id="930049101">
      <w:bodyDiv w:val="1"/>
      <w:marLeft w:val="0"/>
      <w:marRight w:val="0"/>
      <w:marTop w:val="0"/>
      <w:marBottom w:val="0"/>
      <w:divBdr>
        <w:top w:val="none" w:sz="0" w:space="0" w:color="auto"/>
        <w:left w:val="none" w:sz="0" w:space="0" w:color="auto"/>
        <w:bottom w:val="none" w:sz="0" w:space="0" w:color="auto"/>
        <w:right w:val="none" w:sz="0" w:space="0" w:color="auto"/>
      </w:divBdr>
      <w:divsChild>
        <w:div w:id="510723394">
          <w:marLeft w:val="0"/>
          <w:marRight w:val="0"/>
          <w:marTop w:val="0"/>
          <w:marBottom w:val="0"/>
          <w:divBdr>
            <w:top w:val="none" w:sz="0" w:space="0" w:color="auto"/>
            <w:left w:val="none" w:sz="0" w:space="0" w:color="auto"/>
            <w:bottom w:val="none" w:sz="0" w:space="0" w:color="auto"/>
            <w:right w:val="none" w:sz="0" w:space="0" w:color="auto"/>
          </w:divBdr>
        </w:div>
      </w:divsChild>
    </w:div>
    <w:div w:id="930698895">
      <w:bodyDiv w:val="1"/>
      <w:marLeft w:val="0"/>
      <w:marRight w:val="0"/>
      <w:marTop w:val="0"/>
      <w:marBottom w:val="0"/>
      <w:divBdr>
        <w:top w:val="none" w:sz="0" w:space="0" w:color="auto"/>
        <w:left w:val="none" w:sz="0" w:space="0" w:color="auto"/>
        <w:bottom w:val="none" w:sz="0" w:space="0" w:color="auto"/>
        <w:right w:val="none" w:sz="0" w:space="0" w:color="auto"/>
      </w:divBdr>
      <w:divsChild>
        <w:div w:id="697658600">
          <w:marLeft w:val="0"/>
          <w:marRight w:val="0"/>
          <w:marTop w:val="0"/>
          <w:marBottom w:val="0"/>
          <w:divBdr>
            <w:top w:val="none" w:sz="0" w:space="0" w:color="auto"/>
            <w:left w:val="none" w:sz="0" w:space="0" w:color="auto"/>
            <w:bottom w:val="none" w:sz="0" w:space="0" w:color="auto"/>
            <w:right w:val="none" w:sz="0" w:space="0" w:color="auto"/>
          </w:divBdr>
        </w:div>
      </w:divsChild>
    </w:div>
    <w:div w:id="951860564">
      <w:bodyDiv w:val="1"/>
      <w:marLeft w:val="0"/>
      <w:marRight w:val="0"/>
      <w:marTop w:val="0"/>
      <w:marBottom w:val="0"/>
      <w:divBdr>
        <w:top w:val="none" w:sz="0" w:space="0" w:color="auto"/>
        <w:left w:val="none" w:sz="0" w:space="0" w:color="auto"/>
        <w:bottom w:val="none" w:sz="0" w:space="0" w:color="auto"/>
        <w:right w:val="none" w:sz="0" w:space="0" w:color="auto"/>
      </w:divBdr>
      <w:divsChild>
        <w:div w:id="906720776">
          <w:marLeft w:val="0"/>
          <w:marRight w:val="0"/>
          <w:marTop w:val="0"/>
          <w:marBottom w:val="0"/>
          <w:divBdr>
            <w:top w:val="none" w:sz="0" w:space="0" w:color="auto"/>
            <w:left w:val="none" w:sz="0" w:space="0" w:color="auto"/>
            <w:bottom w:val="none" w:sz="0" w:space="0" w:color="auto"/>
            <w:right w:val="none" w:sz="0" w:space="0" w:color="auto"/>
          </w:divBdr>
        </w:div>
      </w:divsChild>
    </w:div>
    <w:div w:id="1068461986">
      <w:bodyDiv w:val="1"/>
      <w:marLeft w:val="0"/>
      <w:marRight w:val="0"/>
      <w:marTop w:val="0"/>
      <w:marBottom w:val="0"/>
      <w:divBdr>
        <w:top w:val="none" w:sz="0" w:space="0" w:color="auto"/>
        <w:left w:val="none" w:sz="0" w:space="0" w:color="auto"/>
        <w:bottom w:val="none" w:sz="0" w:space="0" w:color="auto"/>
        <w:right w:val="none" w:sz="0" w:space="0" w:color="auto"/>
      </w:divBdr>
      <w:divsChild>
        <w:div w:id="1824733256">
          <w:marLeft w:val="0"/>
          <w:marRight w:val="0"/>
          <w:marTop w:val="0"/>
          <w:marBottom w:val="0"/>
          <w:divBdr>
            <w:top w:val="none" w:sz="0" w:space="0" w:color="auto"/>
            <w:left w:val="none" w:sz="0" w:space="0" w:color="auto"/>
            <w:bottom w:val="none" w:sz="0" w:space="0" w:color="auto"/>
            <w:right w:val="none" w:sz="0" w:space="0" w:color="auto"/>
          </w:divBdr>
        </w:div>
      </w:divsChild>
    </w:div>
    <w:div w:id="1181504686">
      <w:bodyDiv w:val="1"/>
      <w:marLeft w:val="0"/>
      <w:marRight w:val="0"/>
      <w:marTop w:val="0"/>
      <w:marBottom w:val="0"/>
      <w:divBdr>
        <w:top w:val="none" w:sz="0" w:space="0" w:color="auto"/>
        <w:left w:val="none" w:sz="0" w:space="0" w:color="auto"/>
        <w:bottom w:val="none" w:sz="0" w:space="0" w:color="auto"/>
        <w:right w:val="none" w:sz="0" w:space="0" w:color="auto"/>
      </w:divBdr>
      <w:divsChild>
        <w:div w:id="8801244">
          <w:marLeft w:val="0"/>
          <w:marRight w:val="0"/>
          <w:marTop w:val="0"/>
          <w:marBottom w:val="0"/>
          <w:divBdr>
            <w:top w:val="none" w:sz="0" w:space="0" w:color="auto"/>
            <w:left w:val="none" w:sz="0" w:space="0" w:color="auto"/>
            <w:bottom w:val="none" w:sz="0" w:space="0" w:color="auto"/>
            <w:right w:val="none" w:sz="0" w:space="0" w:color="auto"/>
          </w:divBdr>
        </w:div>
      </w:divsChild>
    </w:div>
    <w:div w:id="1285963175">
      <w:bodyDiv w:val="1"/>
      <w:marLeft w:val="0"/>
      <w:marRight w:val="0"/>
      <w:marTop w:val="0"/>
      <w:marBottom w:val="0"/>
      <w:divBdr>
        <w:top w:val="none" w:sz="0" w:space="0" w:color="auto"/>
        <w:left w:val="none" w:sz="0" w:space="0" w:color="auto"/>
        <w:bottom w:val="none" w:sz="0" w:space="0" w:color="auto"/>
        <w:right w:val="none" w:sz="0" w:space="0" w:color="auto"/>
      </w:divBdr>
    </w:div>
    <w:div w:id="1333408392">
      <w:bodyDiv w:val="1"/>
      <w:marLeft w:val="0"/>
      <w:marRight w:val="0"/>
      <w:marTop w:val="0"/>
      <w:marBottom w:val="0"/>
      <w:divBdr>
        <w:top w:val="none" w:sz="0" w:space="0" w:color="auto"/>
        <w:left w:val="none" w:sz="0" w:space="0" w:color="auto"/>
        <w:bottom w:val="none" w:sz="0" w:space="0" w:color="auto"/>
        <w:right w:val="none" w:sz="0" w:space="0" w:color="auto"/>
      </w:divBdr>
      <w:divsChild>
        <w:div w:id="1228102978">
          <w:marLeft w:val="0"/>
          <w:marRight w:val="0"/>
          <w:marTop w:val="0"/>
          <w:marBottom w:val="0"/>
          <w:divBdr>
            <w:top w:val="none" w:sz="0" w:space="0" w:color="auto"/>
            <w:left w:val="none" w:sz="0" w:space="0" w:color="auto"/>
            <w:bottom w:val="none" w:sz="0" w:space="0" w:color="auto"/>
            <w:right w:val="none" w:sz="0" w:space="0" w:color="auto"/>
          </w:divBdr>
        </w:div>
      </w:divsChild>
    </w:div>
    <w:div w:id="1344935060">
      <w:bodyDiv w:val="1"/>
      <w:marLeft w:val="0"/>
      <w:marRight w:val="0"/>
      <w:marTop w:val="0"/>
      <w:marBottom w:val="0"/>
      <w:divBdr>
        <w:top w:val="none" w:sz="0" w:space="0" w:color="auto"/>
        <w:left w:val="none" w:sz="0" w:space="0" w:color="auto"/>
        <w:bottom w:val="none" w:sz="0" w:space="0" w:color="auto"/>
        <w:right w:val="none" w:sz="0" w:space="0" w:color="auto"/>
      </w:divBdr>
      <w:divsChild>
        <w:div w:id="1576627159">
          <w:marLeft w:val="0"/>
          <w:marRight w:val="0"/>
          <w:marTop w:val="0"/>
          <w:marBottom w:val="0"/>
          <w:divBdr>
            <w:top w:val="none" w:sz="0" w:space="0" w:color="auto"/>
            <w:left w:val="none" w:sz="0" w:space="0" w:color="auto"/>
            <w:bottom w:val="none" w:sz="0" w:space="0" w:color="auto"/>
            <w:right w:val="none" w:sz="0" w:space="0" w:color="auto"/>
          </w:divBdr>
        </w:div>
      </w:divsChild>
    </w:div>
    <w:div w:id="1410075045">
      <w:bodyDiv w:val="1"/>
      <w:marLeft w:val="0"/>
      <w:marRight w:val="0"/>
      <w:marTop w:val="0"/>
      <w:marBottom w:val="0"/>
      <w:divBdr>
        <w:top w:val="none" w:sz="0" w:space="0" w:color="auto"/>
        <w:left w:val="none" w:sz="0" w:space="0" w:color="auto"/>
        <w:bottom w:val="none" w:sz="0" w:space="0" w:color="auto"/>
        <w:right w:val="none" w:sz="0" w:space="0" w:color="auto"/>
      </w:divBdr>
      <w:divsChild>
        <w:div w:id="1610818755">
          <w:marLeft w:val="0"/>
          <w:marRight w:val="0"/>
          <w:marTop w:val="0"/>
          <w:marBottom w:val="0"/>
          <w:divBdr>
            <w:top w:val="none" w:sz="0" w:space="0" w:color="auto"/>
            <w:left w:val="none" w:sz="0" w:space="0" w:color="auto"/>
            <w:bottom w:val="none" w:sz="0" w:space="0" w:color="auto"/>
            <w:right w:val="none" w:sz="0" w:space="0" w:color="auto"/>
          </w:divBdr>
        </w:div>
      </w:divsChild>
    </w:div>
    <w:div w:id="1508901931">
      <w:bodyDiv w:val="1"/>
      <w:marLeft w:val="0"/>
      <w:marRight w:val="0"/>
      <w:marTop w:val="0"/>
      <w:marBottom w:val="0"/>
      <w:divBdr>
        <w:top w:val="none" w:sz="0" w:space="0" w:color="auto"/>
        <w:left w:val="none" w:sz="0" w:space="0" w:color="auto"/>
        <w:bottom w:val="none" w:sz="0" w:space="0" w:color="auto"/>
        <w:right w:val="none" w:sz="0" w:space="0" w:color="auto"/>
      </w:divBdr>
      <w:divsChild>
        <w:div w:id="561061549">
          <w:marLeft w:val="0"/>
          <w:marRight w:val="0"/>
          <w:marTop w:val="0"/>
          <w:marBottom w:val="0"/>
          <w:divBdr>
            <w:top w:val="none" w:sz="0" w:space="0" w:color="auto"/>
            <w:left w:val="none" w:sz="0" w:space="0" w:color="auto"/>
            <w:bottom w:val="none" w:sz="0" w:space="0" w:color="auto"/>
            <w:right w:val="none" w:sz="0" w:space="0" w:color="auto"/>
          </w:divBdr>
        </w:div>
      </w:divsChild>
    </w:div>
    <w:div w:id="1647733470">
      <w:bodyDiv w:val="1"/>
      <w:marLeft w:val="0"/>
      <w:marRight w:val="0"/>
      <w:marTop w:val="0"/>
      <w:marBottom w:val="0"/>
      <w:divBdr>
        <w:top w:val="none" w:sz="0" w:space="0" w:color="auto"/>
        <w:left w:val="none" w:sz="0" w:space="0" w:color="auto"/>
        <w:bottom w:val="none" w:sz="0" w:space="0" w:color="auto"/>
        <w:right w:val="none" w:sz="0" w:space="0" w:color="auto"/>
      </w:divBdr>
    </w:div>
    <w:div w:id="1655256495">
      <w:bodyDiv w:val="1"/>
      <w:marLeft w:val="0"/>
      <w:marRight w:val="0"/>
      <w:marTop w:val="0"/>
      <w:marBottom w:val="0"/>
      <w:divBdr>
        <w:top w:val="none" w:sz="0" w:space="0" w:color="auto"/>
        <w:left w:val="none" w:sz="0" w:space="0" w:color="auto"/>
        <w:bottom w:val="none" w:sz="0" w:space="0" w:color="auto"/>
        <w:right w:val="none" w:sz="0" w:space="0" w:color="auto"/>
      </w:divBdr>
    </w:div>
    <w:div w:id="1679237330">
      <w:bodyDiv w:val="1"/>
      <w:marLeft w:val="0"/>
      <w:marRight w:val="0"/>
      <w:marTop w:val="0"/>
      <w:marBottom w:val="0"/>
      <w:divBdr>
        <w:top w:val="none" w:sz="0" w:space="0" w:color="auto"/>
        <w:left w:val="none" w:sz="0" w:space="0" w:color="auto"/>
        <w:bottom w:val="none" w:sz="0" w:space="0" w:color="auto"/>
        <w:right w:val="none" w:sz="0" w:space="0" w:color="auto"/>
      </w:divBdr>
      <w:divsChild>
        <w:div w:id="722994052">
          <w:marLeft w:val="0"/>
          <w:marRight w:val="0"/>
          <w:marTop w:val="0"/>
          <w:marBottom w:val="0"/>
          <w:divBdr>
            <w:top w:val="none" w:sz="0" w:space="0" w:color="auto"/>
            <w:left w:val="none" w:sz="0" w:space="0" w:color="auto"/>
            <w:bottom w:val="none" w:sz="0" w:space="0" w:color="auto"/>
            <w:right w:val="none" w:sz="0" w:space="0" w:color="auto"/>
          </w:divBdr>
        </w:div>
      </w:divsChild>
    </w:div>
    <w:div w:id="1778282789">
      <w:bodyDiv w:val="1"/>
      <w:marLeft w:val="0"/>
      <w:marRight w:val="0"/>
      <w:marTop w:val="0"/>
      <w:marBottom w:val="0"/>
      <w:divBdr>
        <w:top w:val="none" w:sz="0" w:space="0" w:color="auto"/>
        <w:left w:val="none" w:sz="0" w:space="0" w:color="auto"/>
        <w:bottom w:val="none" w:sz="0" w:space="0" w:color="auto"/>
        <w:right w:val="none" w:sz="0" w:space="0" w:color="auto"/>
      </w:divBdr>
      <w:divsChild>
        <w:div w:id="1152675941">
          <w:marLeft w:val="0"/>
          <w:marRight w:val="0"/>
          <w:marTop w:val="0"/>
          <w:marBottom w:val="0"/>
          <w:divBdr>
            <w:top w:val="none" w:sz="0" w:space="0" w:color="auto"/>
            <w:left w:val="none" w:sz="0" w:space="0" w:color="auto"/>
            <w:bottom w:val="none" w:sz="0" w:space="0" w:color="auto"/>
            <w:right w:val="none" w:sz="0" w:space="0" w:color="auto"/>
          </w:divBdr>
        </w:div>
      </w:divsChild>
    </w:div>
    <w:div w:id="1791775337">
      <w:bodyDiv w:val="1"/>
      <w:marLeft w:val="0"/>
      <w:marRight w:val="0"/>
      <w:marTop w:val="0"/>
      <w:marBottom w:val="0"/>
      <w:divBdr>
        <w:top w:val="none" w:sz="0" w:space="0" w:color="auto"/>
        <w:left w:val="none" w:sz="0" w:space="0" w:color="auto"/>
        <w:bottom w:val="none" w:sz="0" w:space="0" w:color="auto"/>
        <w:right w:val="none" w:sz="0" w:space="0" w:color="auto"/>
      </w:divBdr>
      <w:divsChild>
        <w:div w:id="1907834213">
          <w:marLeft w:val="0"/>
          <w:marRight w:val="0"/>
          <w:marTop w:val="0"/>
          <w:marBottom w:val="0"/>
          <w:divBdr>
            <w:top w:val="none" w:sz="0" w:space="0" w:color="auto"/>
            <w:left w:val="none" w:sz="0" w:space="0" w:color="auto"/>
            <w:bottom w:val="none" w:sz="0" w:space="0" w:color="auto"/>
            <w:right w:val="none" w:sz="0" w:space="0" w:color="auto"/>
          </w:divBdr>
        </w:div>
      </w:divsChild>
    </w:div>
    <w:div w:id="1936523315">
      <w:bodyDiv w:val="1"/>
      <w:marLeft w:val="0"/>
      <w:marRight w:val="0"/>
      <w:marTop w:val="0"/>
      <w:marBottom w:val="0"/>
      <w:divBdr>
        <w:top w:val="none" w:sz="0" w:space="0" w:color="auto"/>
        <w:left w:val="none" w:sz="0" w:space="0" w:color="auto"/>
        <w:bottom w:val="none" w:sz="0" w:space="0" w:color="auto"/>
        <w:right w:val="none" w:sz="0" w:space="0" w:color="auto"/>
      </w:divBdr>
      <w:divsChild>
        <w:div w:id="2136363620">
          <w:marLeft w:val="0"/>
          <w:marRight w:val="0"/>
          <w:marTop w:val="0"/>
          <w:marBottom w:val="0"/>
          <w:divBdr>
            <w:top w:val="none" w:sz="0" w:space="0" w:color="auto"/>
            <w:left w:val="none" w:sz="0" w:space="0" w:color="auto"/>
            <w:bottom w:val="none" w:sz="0" w:space="0" w:color="auto"/>
            <w:right w:val="none" w:sz="0" w:space="0" w:color="auto"/>
          </w:divBdr>
        </w:div>
      </w:divsChild>
    </w:div>
    <w:div w:id="2064131980">
      <w:bodyDiv w:val="1"/>
      <w:marLeft w:val="0"/>
      <w:marRight w:val="0"/>
      <w:marTop w:val="0"/>
      <w:marBottom w:val="0"/>
      <w:divBdr>
        <w:top w:val="none" w:sz="0" w:space="0" w:color="auto"/>
        <w:left w:val="none" w:sz="0" w:space="0" w:color="auto"/>
        <w:bottom w:val="none" w:sz="0" w:space="0" w:color="auto"/>
        <w:right w:val="none" w:sz="0" w:space="0" w:color="auto"/>
      </w:divBdr>
      <w:divsChild>
        <w:div w:id="1139103703">
          <w:marLeft w:val="0"/>
          <w:marRight w:val="0"/>
          <w:marTop w:val="0"/>
          <w:marBottom w:val="0"/>
          <w:divBdr>
            <w:top w:val="none" w:sz="0" w:space="0" w:color="auto"/>
            <w:left w:val="none" w:sz="0" w:space="0" w:color="auto"/>
            <w:bottom w:val="none" w:sz="0" w:space="0" w:color="auto"/>
            <w:right w:val="none" w:sz="0" w:space="0" w:color="auto"/>
          </w:divBdr>
        </w:div>
      </w:divsChild>
    </w:div>
    <w:div w:id="2116778597">
      <w:bodyDiv w:val="1"/>
      <w:marLeft w:val="0"/>
      <w:marRight w:val="0"/>
      <w:marTop w:val="0"/>
      <w:marBottom w:val="0"/>
      <w:divBdr>
        <w:top w:val="none" w:sz="0" w:space="0" w:color="auto"/>
        <w:left w:val="none" w:sz="0" w:space="0" w:color="auto"/>
        <w:bottom w:val="none" w:sz="0" w:space="0" w:color="auto"/>
        <w:right w:val="none" w:sz="0" w:space="0" w:color="auto"/>
      </w:divBdr>
      <w:divsChild>
        <w:div w:id="991038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cco.com/en-US/Industry-Insights/Documents/social-recruiting/adecco-global-social-recruiting-survey-global-report.pdf" TargetMode="External"/><Relationship Id="rId13" Type="http://schemas.openxmlformats.org/officeDocument/2006/relationships/hyperlink" Target="http://www.parliament.uk/briefing-papers/SN05871.pdf" TargetMode="External"/><Relationship Id="rId18" Type="http://schemas.openxmlformats.org/officeDocument/2006/relationships/hyperlink" Target="https://www.understandingsociety.ac.uk/about/innovation-pan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speeches/tackling-youth-unemployment" TargetMode="External"/><Relationship Id="rId17" Type="http://schemas.openxmlformats.org/officeDocument/2006/relationships/hyperlink" Target="http://www.tradingeconomics.com/united-kingdom/unemployment-rate" TargetMode="External"/><Relationship Id="rId2" Type="http://schemas.openxmlformats.org/officeDocument/2006/relationships/numbering" Target="numbering.xml"/><Relationship Id="rId16" Type="http://schemas.openxmlformats.org/officeDocument/2006/relationships/hyperlink" Target="https://hal.archives-ouvertes.fr/hal-00458325/docu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eseerx.ist.psu.edu/viewdoc/download?doi=10.1.1.117.6149&amp;rep=rep1&amp;type=pdf" TargetMode="External"/><Relationship Id="rId5" Type="http://schemas.openxmlformats.org/officeDocument/2006/relationships/webSettings" Target="webSettings.xml"/><Relationship Id="rId15" Type="http://schemas.openxmlformats.org/officeDocument/2006/relationships/hyperlink" Target="https://www.skillsdevelopmentscotland.co.uk/media/752669/career_management_skills_framework_scotland.pdf" TargetMode="External"/><Relationship Id="rId10" Type="http://schemas.openxmlformats.org/officeDocument/2006/relationships/hyperlink" Target="http://community.hciresearch.org/sites/community.hciresearch.org/files/Burke-CSCW2013-FBandJobLoss-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rints.qut.edu.au/4977/1/4977_1.pdf" TargetMode="External"/><Relationship Id="rId14" Type="http://schemas.openxmlformats.org/officeDocument/2006/relationships/hyperlink" Target="http://www.ons.gov.uk/ons/dcp171778_3735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6865-9DAB-4F27-9B11-BE5781F1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5451</Words>
  <Characters>31072</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Mowbray, John</dc:creator>
  <cp:lastModifiedBy>Gibson, Lyn</cp:lastModifiedBy>
  <cp:revision>2</cp:revision>
  <cp:lastPrinted>2015-12-18T11:01:00Z</cp:lastPrinted>
  <dcterms:created xsi:type="dcterms:W3CDTF">2016-03-02T16:33:00Z</dcterms:created>
  <dcterms:modified xsi:type="dcterms:W3CDTF">2016-03-02T16:33:00Z</dcterms:modified>
</cp:coreProperties>
</file>