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3B4C7A" w14:textId="49259C17" w:rsidR="00771088" w:rsidRPr="00771088" w:rsidRDefault="0043012C" w:rsidP="00525422">
      <w:pPr>
        <w:rPr>
          <w:b/>
          <w:sz w:val="32"/>
          <w:szCs w:val="32"/>
        </w:rPr>
      </w:pPr>
      <w:r>
        <w:rPr>
          <w:b/>
          <w:sz w:val="32"/>
          <w:szCs w:val="32"/>
        </w:rPr>
        <w:t>S</w:t>
      </w:r>
      <w:r w:rsidR="00396EF4">
        <w:rPr>
          <w:b/>
          <w:sz w:val="32"/>
          <w:szCs w:val="32"/>
        </w:rPr>
        <w:t xml:space="preserve">ustainability of post-disaster </w:t>
      </w:r>
      <w:r w:rsidR="00FB3B87">
        <w:rPr>
          <w:b/>
          <w:sz w:val="32"/>
          <w:szCs w:val="32"/>
        </w:rPr>
        <w:t xml:space="preserve">and </w:t>
      </w:r>
      <w:r w:rsidR="00396EF4">
        <w:rPr>
          <w:b/>
          <w:sz w:val="32"/>
          <w:szCs w:val="32"/>
        </w:rPr>
        <w:t>post-conflict sheltering</w:t>
      </w:r>
      <w:r w:rsidR="00DB2E74">
        <w:rPr>
          <w:b/>
          <w:sz w:val="32"/>
          <w:szCs w:val="32"/>
        </w:rPr>
        <w:t xml:space="preserve"> in Africa</w:t>
      </w:r>
      <w:r w:rsidR="00396EF4">
        <w:rPr>
          <w:b/>
          <w:sz w:val="32"/>
          <w:szCs w:val="32"/>
        </w:rPr>
        <w:t xml:space="preserve">: what matters? </w:t>
      </w:r>
    </w:p>
    <w:p w14:paraId="481B9572" w14:textId="77777777" w:rsidR="00631B0B" w:rsidRPr="00E54376" w:rsidRDefault="00631B0B" w:rsidP="00525422"/>
    <w:p w14:paraId="654119B1" w14:textId="77777777" w:rsidR="00631B0B" w:rsidRPr="00E54376" w:rsidRDefault="00631B0B" w:rsidP="00525422"/>
    <w:p w14:paraId="533419C9" w14:textId="415186D5" w:rsidR="00396EF4" w:rsidRPr="001F0DCF" w:rsidRDefault="00760FB5" w:rsidP="00525422">
      <w:pPr>
        <w:outlineLvl w:val="0"/>
        <w:rPr>
          <w:lang w:val="it-IT"/>
        </w:rPr>
      </w:pPr>
      <w:r w:rsidRPr="0043012C">
        <w:rPr>
          <w:lang w:val="it-IT"/>
        </w:rPr>
        <w:t>Francesco Pomponi</w:t>
      </w:r>
      <w:r w:rsidR="00396EF4" w:rsidRPr="0043012C">
        <w:rPr>
          <w:vertAlign w:val="superscript"/>
          <w:lang w:val="it-IT"/>
        </w:rPr>
        <w:t>1*</w:t>
      </w:r>
      <w:r w:rsidR="00771088" w:rsidRPr="0043012C">
        <w:rPr>
          <w:lang w:val="it-IT"/>
        </w:rPr>
        <w:t xml:space="preserve">, </w:t>
      </w:r>
      <w:r w:rsidR="0043012C" w:rsidRPr="0043012C">
        <w:rPr>
          <w:lang w:val="it-IT"/>
        </w:rPr>
        <w:t>Alireza Moghayedi</w:t>
      </w:r>
      <w:r w:rsidR="001F0DCF">
        <w:rPr>
          <w:vertAlign w:val="superscript"/>
          <w:lang w:val="it-IT"/>
        </w:rPr>
        <w:t>2</w:t>
      </w:r>
      <w:r w:rsidR="0043012C" w:rsidRPr="0043012C">
        <w:rPr>
          <w:lang w:val="it-IT"/>
        </w:rPr>
        <w:t xml:space="preserve">, </w:t>
      </w:r>
      <w:r w:rsidR="00EF75F2" w:rsidRPr="0043012C">
        <w:rPr>
          <w:lang w:val="it-IT"/>
        </w:rPr>
        <w:t xml:space="preserve">Lara </w:t>
      </w:r>
      <w:r w:rsidR="00EF75F2" w:rsidRPr="00EF75F2">
        <w:rPr>
          <w:lang w:val="it-IT"/>
        </w:rPr>
        <w:t>Alshawawreh</w:t>
      </w:r>
      <w:r w:rsidR="00EF75F2" w:rsidRPr="00EF75F2">
        <w:rPr>
          <w:vertAlign w:val="superscript"/>
          <w:lang w:val="it-IT"/>
        </w:rPr>
        <w:t>1</w:t>
      </w:r>
      <w:r w:rsidR="00EF75F2">
        <w:rPr>
          <w:lang w:val="it-IT"/>
        </w:rPr>
        <w:t xml:space="preserve">, </w:t>
      </w:r>
      <w:r w:rsidR="0043012C" w:rsidRPr="00EF75F2">
        <w:rPr>
          <w:lang w:val="it-IT"/>
        </w:rPr>
        <w:t>Bernardino</w:t>
      </w:r>
      <w:r w:rsidR="0043012C" w:rsidRPr="0043012C">
        <w:rPr>
          <w:lang w:val="it-IT"/>
        </w:rPr>
        <w:t xml:space="preserve"> D’Amico</w:t>
      </w:r>
      <w:r w:rsidR="0043012C">
        <w:rPr>
          <w:vertAlign w:val="superscript"/>
          <w:lang w:val="it-IT"/>
        </w:rPr>
        <w:t>1</w:t>
      </w:r>
      <w:r w:rsidR="0043012C" w:rsidRPr="0043012C">
        <w:rPr>
          <w:lang w:val="it-IT"/>
        </w:rPr>
        <w:t xml:space="preserve">, </w:t>
      </w:r>
      <w:r w:rsidR="004907E3">
        <w:rPr>
          <w:lang w:val="it-IT"/>
        </w:rPr>
        <w:t>Abimbola Windapo</w:t>
      </w:r>
      <w:r w:rsidR="004907E3">
        <w:rPr>
          <w:vertAlign w:val="superscript"/>
          <w:lang w:val="it-IT"/>
        </w:rPr>
        <w:t xml:space="preserve">2 </w:t>
      </w:r>
      <w:r w:rsidR="0043012C">
        <w:rPr>
          <w:lang w:val="it-IT"/>
        </w:rPr>
        <w:t xml:space="preserve"> </w:t>
      </w:r>
    </w:p>
    <w:p w14:paraId="7EF6AA5D" w14:textId="77777777" w:rsidR="00396EF4" w:rsidRPr="0043012C" w:rsidRDefault="00396EF4" w:rsidP="00525422">
      <w:pPr>
        <w:outlineLvl w:val="0"/>
        <w:rPr>
          <w:lang w:val="it-IT"/>
        </w:rPr>
      </w:pPr>
    </w:p>
    <w:p w14:paraId="4A575174" w14:textId="6AEE2DBC" w:rsidR="00792C96" w:rsidRDefault="00396EF4" w:rsidP="00525422">
      <w:pPr>
        <w:outlineLvl w:val="0"/>
        <w:rPr>
          <w:sz w:val="20"/>
        </w:rPr>
      </w:pPr>
      <w:r>
        <w:rPr>
          <w:vertAlign w:val="superscript"/>
        </w:rPr>
        <w:t>1</w:t>
      </w:r>
      <w:r>
        <w:t xml:space="preserve"> </w:t>
      </w:r>
      <w:r w:rsidRPr="00396EF4">
        <w:rPr>
          <w:sz w:val="20"/>
        </w:rPr>
        <w:t>Resource Efficient Built Environment Lab (REBEL), Edinburgh Napier University, 10 Colinton Road EH10 5DT, Edinburgh (UK)</w:t>
      </w:r>
      <w:r w:rsidR="00792C96" w:rsidRPr="00396EF4">
        <w:rPr>
          <w:sz w:val="20"/>
        </w:rPr>
        <w:t xml:space="preserve"> </w:t>
      </w:r>
    </w:p>
    <w:p w14:paraId="4E5D78FC" w14:textId="7E8E176D" w:rsidR="001F0DCF" w:rsidRDefault="001F0DCF" w:rsidP="00525422">
      <w:pPr>
        <w:outlineLvl w:val="0"/>
        <w:rPr>
          <w:sz w:val="20"/>
        </w:rPr>
      </w:pPr>
      <w:r>
        <w:rPr>
          <w:sz w:val="20"/>
          <w:vertAlign w:val="superscript"/>
        </w:rPr>
        <w:t>2</w:t>
      </w:r>
      <w:r>
        <w:rPr>
          <w:sz w:val="20"/>
        </w:rPr>
        <w:t xml:space="preserve"> D</w:t>
      </w:r>
      <w:r w:rsidRPr="001F0DCF">
        <w:rPr>
          <w:sz w:val="20"/>
        </w:rPr>
        <w:t>epartment of Construction Economics and Management, University of Cape Town,</w:t>
      </w:r>
      <w:r>
        <w:rPr>
          <w:sz w:val="20"/>
        </w:rPr>
        <w:t xml:space="preserve"> </w:t>
      </w:r>
      <w:r w:rsidRPr="001F0DCF">
        <w:rPr>
          <w:sz w:val="20"/>
        </w:rPr>
        <w:t>New Snape Building, Engineering Mall, Rondebosch, Cape Town, 7700,</w:t>
      </w:r>
      <w:r>
        <w:rPr>
          <w:sz w:val="20"/>
        </w:rPr>
        <w:t xml:space="preserve"> </w:t>
      </w:r>
      <w:r w:rsidRPr="001F0DCF">
        <w:rPr>
          <w:sz w:val="20"/>
        </w:rPr>
        <w:t>Cape Town, South Africa</w:t>
      </w:r>
    </w:p>
    <w:p w14:paraId="4CA6B074" w14:textId="77777777" w:rsidR="001F0DCF" w:rsidRPr="001F0DCF" w:rsidRDefault="001F0DCF" w:rsidP="00525422"/>
    <w:p w14:paraId="5DB56644" w14:textId="45647C52" w:rsidR="00396EF4" w:rsidRPr="00396EF4" w:rsidRDefault="00396EF4" w:rsidP="00525422">
      <w:pPr>
        <w:outlineLvl w:val="0"/>
        <w:rPr>
          <w:sz w:val="20"/>
        </w:rPr>
      </w:pPr>
      <w:r w:rsidRPr="00396EF4">
        <w:rPr>
          <w:sz w:val="20"/>
          <w:vertAlign w:val="superscript"/>
        </w:rPr>
        <w:t>*</w:t>
      </w:r>
      <w:r>
        <w:t xml:space="preserve"> </w:t>
      </w:r>
      <w:r w:rsidRPr="00396EF4">
        <w:rPr>
          <w:sz w:val="20"/>
        </w:rPr>
        <w:t xml:space="preserve">Corresponding author: </w:t>
      </w:r>
      <w:hyperlink r:id="rId8" w:history="1">
        <w:r w:rsidRPr="00396EF4">
          <w:rPr>
            <w:rStyle w:val="Hyperlink"/>
            <w:sz w:val="20"/>
          </w:rPr>
          <w:t>f.pomponi@napier.ac.uk</w:t>
        </w:r>
      </w:hyperlink>
      <w:r w:rsidRPr="00396EF4">
        <w:rPr>
          <w:sz w:val="20"/>
        </w:rPr>
        <w:t xml:space="preserve"> </w:t>
      </w:r>
    </w:p>
    <w:p w14:paraId="0B116B23" w14:textId="160BBE2A" w:rsidR="00631B0B" w:rsidRDefault="00631B0B" w:rsidP="00525422"/>
    <w:p w14:paraId="5D25E7A6" w14:textId="77777777" w:rsidR="00571FBE" w:rsidRPr="00E54376" w:rsidRDefault="00571FBE" w:rsidP="00525422"/>
    <w:p w14:paraId="7BC6BB41" w14:textId="43E43465" w:rsidR="00631B0B" w:rsidRDefault="00631B0B" w:rsidP="00525422">
      <w:pPr>
        <w:pStyle w:val="Heading1"/>
      </w:pPr>
      <w:r w:rsidRPr="000476FC">
        <w:t>Abstract</w:t>
      </w:r>
      <w:r w:rsidRPr="00E54376">
        <w:t xml:space="preserve"> </w:t>
      </w:r>
    </w:p>
    <w:p w14:paraId="24BAD73E" w14:textId="6133B9C8" w:rsidR="008C6991" w:rsidRDefault="008C6991" w:rsidP="00525422"/>
    <w:p w14:paraId="1234B003" w14:textId="772EDC77" w:rsidR="00571FBE" w:rsidRDefault="00C32C7D" w:rsidP="00525422">
      <w:r>
        <w:t xml:space="preserve">Africa is the continent with the highest number of displaced people due to wars, humanitarian crises, resource scarcity, and extreme climate events. Post-disaster </w:t>
      </w:r>
      <w:r w:rsidR="00FB3B87">
        <w:t xml:space="preserve">and </w:t>
      </w:r>
      <w:r>
        <w:t xml:space="preserve">post-conflict (PDPC) sheltering always sets out with the best intention of being a temporary solution but, in most cases, it turns into a (semi-)permanent habitat. Yet, sustainability criteria are seldom accounted for in PDPC sheltering even when some of the largest 'temporary' camps now host the third generation and house as many people as a </w:t>
      </w:r>
      <w:r w:rsidR="00FB3B87">
        <w:t>medium</w:t>
      </w:r>
      <w:r w:rsidR="00E30AFB">
        <w:t xml:space="preserve"> size</w:t>
      </w:r>
      <w:r w:rsidR="007E6ADF">
        <w:t>d</w:t>
      </w:r>
      <w:r w:rsidR="00FB3B87">
        <w:t xml:space="preserve"> </w:t>
      </w:r>
      <w:r>
        <w:t xml:space="preserve">city. </w:t>
      </w:r>
      <w:r w:rsidR="00FB3B87">
        <w:t>T</w:t>
      </w:r>
      <w:r>
        <w:t xml:space="preserve">he lack of </w:t>
      </w:r>
      <w:r w:rsidR="00992529">
        <w:t xml:space="preserve">consideration regarding </w:t>
      </w:r>
      <w:r>
        <w:t xml:space="preserve">sustainability </w:t>
      </w:r>
      <w:r w:rsidR="00FB3B87">
        <w:t xml:space="preserve">mostly </w:t>
      </w:r>
      <w:r>
        <w:t>boil</w:t>
      </w:r>
      <w:r w:rsidR="00FB3B87">
        <w:t>s</w:t>
      </w:r>
      <w:r>
        <w:t xml:space="preserve"> down to </w:t>
      </w:r>
      <w:r w:rsidR="00992529">
        <w:t xml:space="preserve">the </w:t>
      </w:r>
      <w:r>
        <w:t>view</w:t>
      </w:r>
      <w:r w:rsidR="00992529">
        <w:t xml:space="preserve"> of</w:t>
      </w:r>
      <w:r>
        <w:t xml:space="preserve"> sheltering as a product rather than a process, with a focus that</w:t>
      </w:r>
      <w:r w:rsidR="00992529">
        <w:t>,</w:t>
      </w:r>
      <w:r>
        <w:t xml:space="preserve"> to dat</w:t>
      </w:r>
      <w:r w:rsidR="00FB3B87">
        <w:t>e</w:t>
      </w:r>
      <w:r w:rsidR="00992529">
        <w:t>,</w:t>
      </w:r>
      <w:r>
        <w:t xml:space="preserve"> has been either too technical (e.g., "tents-in-a-bag", "plug-and-play-houses") or too social (e.g., by investigating </w:t>
      </w:r>
      <w:r w:rsidR="00395587">
        <w:t>personal</w:t>
      </w:r>
      <w:r>
        <w:t xml:space="preserve"> and social needs) without </w:t>
      </w:r>
      <w:r w:rsidR="00FB3B87">
        <w:t>harmonising the two</w:t>
      </w:r>
      <w:r>
        <w:t xml:space="preserve">. This article aims to address this issue and advance the global debate on shelter sustainability by </w:t>
      </w:r>
      <w:r w:rsidR="00FB3B87">
        <w:t>tapping into</w:t>
      </w:r>
      <w:r>
        <w:t xml:space="preserve"> interdisciplinary expertise </w:t>
      </w:r>
      <w:r w:rsidR="009D6C47">
        <w:t xml:space="preserve">on both the African context and refugees’ sheltering. </w:t>
      </w:r>
      <w:r w:rsidR="00FB3B87">
        <w:t>A gender-balanced panel of experts identified key features of p</w:t>
      </w:r>
      <w:r w:rsidR="009D6C47">
        <w:t xml:space="preserve">romising solutions through </w:t>
      </w:r>
      <w:r w:rsidR="002642C0">
        <w:t>an iterative</w:t>
      </w:r>
      <w:r w:rsidR="009D6C47">
        <w:t xml:space="preserve"> approach</w:t>
      </w:r>
      <w:r w:rsidR="00AD25B4">
        <w:t xml:space="preserve"> starting from existing available designs. Analytical Hierarchy Process (AHP) </w:t>
      </w:r>
      <w:r w:rsidR="002642C0">
        <w:t>wa</w:t>
      </w:r>
      <w:r w:rsidR="00AD25B4">
        <w:t xml:space="preserve">s then applied to establish the weight of </w:t>
      </w:r>
      <w:r w:rsidR="00FB3B87">
        <w:t xml:space="preserve">technical and </w:t>
      </w:r>
      <w:r w:rsidR="00AD25B4">
        <w:t>sustainability (</w:t>
      </w:r>
      <w:r w:rsidR="003C05CC">
        <w:t xml:space="preserve">across </w:t>
      </w:r>
      <w:r w:rsidR="00AD25B4">
        <w:t xml:space="preserve">the three pillars of economy, environment, and society) </w:t>
      </w:r>
      <w:r w:rsidR="00FB3B87">
        <w:t>indicators across the identified key features</w:t>
      </w:r>
      <w:r w:rsidR="00AD25B4">
        <w:t xml:space="preserve">. </w:t>
      </w:r>
      <w:r w:rsidR="00FB3B87">
        <w:t xml:space="preserve">Results show that solutions which adopt natural materials and local building techniques score the highest across the </w:t>
      </w:r>
      <w:r w:rsidR="003C05CC">
        <w:t>economic</w:t>
      </w:r>
      <w:r w:rsidR="00FB3B87">
        <w:t>, environmental, social, and technical dimensions. Further</w:t>
      </w:r>
      <w:r w:rsidR="00992529">
        <w:t>more</w:t>
      </w:r>
      <w:r w:rsidR="00FB3B87">
        <w:t xml:space="preserve">, the relative importance of these macro-categories differs greatly across genders, with female experts assigning </w:t>
      </w:r>
      <w:r w:rsidR="00992529">
        <w:t xml:space="preserve">a </w:t>
      </w:r>
      <w:r w:rsidR="00FB3B87">
        <w:t>significantly stronger weight</w:t>
      </w:r>
      <w:r w:rsidR="00992529">
        <w:t>ing</w:t>
      </w:r>
      <w:r w:rsidR="00FB3B87">
        <w:t xml:space="preserve"> to social indicators and male experts to environmental indicators. </w:t>
      </w:r>
      <w:r w:rsidR="002642C0">
        <w:t xml:space="preserve">This research sheds new light on the sustainability of sheltering in Africa and paves the way for further work in the area. </w:t>
      </w:r>
    </w:p>
    <w:p w14:paraId="0A511B5D" w14:textId="77777777" w:rsidR="00571FBE" w:rsidRPr="00E54376" w:rsidRDefault="00571FBE" w:rsidP="00525422"/>
    <w:p w14:paraId="04FEEFD5" w14:textId="37E58918" w:rsidR="00BF60DE" w:rsidRDefault="00631B0B" w:rsidP="00525422">
      <w:pPr>
        <w:pStyle w:val="Heading1"/>
      </w:pPr>
      <w:r w:rsidRPr="004164FD">
        <w:t>Keywords:</w:t>
      </w:r>
      <w:r w:rsidRPr="00E54376">
        <w:t xml:space="preserve"> </w:t>
      </w:r>
      <w:r w:rsidR="00417FE0">
        <w:t xml:space="preserve"> </w:t>
      </w:r>
      <w:r w:rsidR="00417FE0" w:rsidRPr="000574FC">
        <w:rPr>
          <w:b w:val="0"/>
        </w:rPr>
        <w:t>post-disaster; post-conflict; sheltering; Africa; refugees; sustainability</w:t>
      </w:r>
      <w:r w:rsidR="000574FC" w:rsidRPr="000574FC">
        <w:rPr>
          <w:b w:val="0"/>
        </w:rPr>
        <w:t>; AHP; Delphi</w:t>
      </w:r>
      <w:r w:rsidR="00417FE0">
        <w:t xml:space="preserve">. </w:t>
      </w:r>
    </w:p>
    <w:p w14:paraId="2EB3F9D1" w14:textId="77777777" w:rsidR="00631B0B" w:rsidRDefault="00631B0B" w:rsidP="00525422">
      <w:pPr>
        <w:pStyle w:val="Heading1"/>
      </w:pPr>
      <w:r w:rsidRPr="00BF60DE">
        <w:br w:type="column"/>
      </w:r>
      <w:r w:rsidR="00173A2F" w:rsidRPr="00BF60DE">
        <w:lastRenderedPageBreak/>
        <w:t xml:space="preserve">1. </w:t>
      </w:r>
      <w:r w:rsidR="00947D6A" w:rsidRPr="00BF60DE">
        <w:t>Context and background</w:t>
      </w:r>
      <w:r w:rsidR="00947D6A">
        <w:t xml:space="preserve"> </w:t>
      </w:r>
    </w:p>
    <w:p w14:paraId="4B3AC5A2" w14:textId="087C3B32" w:rsidR="00471E2B" w:rsidRDefault="00471E2B" w:rsidP="00525422">
      <w:pPr>
        <w:rPr>
          <w:b/>
        </w:rPr>
      </w:pPr>
    </w:p>
    <w:p w14:paraId="20F79F98" w14:textId="0615088D" w:rsidR="00471E2B" w:rsidRPr="00471E2B" w:rsidRDefault="004E4B50" w:rsidP="00525422">
      <w:r>
        <w:t>Today’s humanitarian crises have increased in frequency, impacting more people and for longer</w:t>
      </w:r>
      <w:r w:rsidR="00992529">
        <w:t xml:space="preserve"> periods of time</w:t>
      </w:r>
      <w:r>
        <w:t xml:space="preserve">. </w:t>
      </w:r>
      <w:r w:rsidR="000F5B96" w:rsidRPr="000F5B96">
        <w:t>By the end of 2017, the</w:t>
      </w:r>
      <w:r w:rsidR="000F5B96">
        <w:t xml:space="preserve"> United Nations High Commissioner for Refugees</w:t>
      </w:r>
      <w:r w:rsidR="000F5B96" w:rsidRPr="000F5B96">
        <w:t xml:space="preserve"> </w:t>
      </w:r>
      <w:r w:rsidR="000F5B96">
        <w:t>(</w:t>
      </w:r>
      <w:r w:rsidR="000F5B96" w:rsidRPr="000F5B96">
        <w:t>UNHCR</w:t>
      </w:r>
      <w:r w:rsidR="000F5B96">
        <w:t>)</w:t>
      </w:r>
      <w:r w:rsidR="000F5B96" w:rsidRPr="000F5B96">
        <w:t xml:space="preserve"> reported over 70 million persons of concern globally</w:t>
      </w:r>
      <w:r w:rsidR="000F5B96" w:rsidRPr="000F5B96" w:rsidDel="000F5B96">
        <w:t xml:space="preserve"> </w:t>
      </w:r>
      <w:r w:rsidR="001B4704">
        <w:fldChar w:fldCharType="begin"/>
      </w:r>
      <w:r w:rsidR="004D180C">
        <w:instrText xml:space="preserve"> ADDIN ZOTERO_ITEM CSL_CITATION {"citationID":"5ywJDWwM","properties":{"formattedCitation":"(UNHCR, 2017a)","plainCitation":"(UNHCR, 2017a)","noteIndex":0},"citationItems":[{"id":5336,"uris":["http://zotero.org/users/5557903/items/7CQR5MBX"],"uri":["http://zotero.org/users/5557903/items/7CQR5MBX"],"itemData":{"id":5336,"type":"report","title":"The UN Refugee Agency. The World in Numbers [Available at: http://popstats.unhcr.org/en/overview]","author":[{"family":"UNHCR","given":""}],"issued":{"date-parts":[["2017"]]}}}],"schema":"https://github.com/citation-style-language/schema/raw/master/csl-citation.json"} </w:instrText>
      </w:r>
      <w:r w:rsidR="001B4704">
        <w:fldChar w:fldCharType="separate"/>
      </w:r>
      <w:r w:rsidR="004D180C" w:rsidRPr="004D180C">
        <w:t>(UNHCR, 2017a)</w:t>
      </w:r>
      <w:r w:rsidR="001B4704">
        <w:fldChar w:fldCharType="end"/>
      </w:r>
      <w:r w:rsidR="00EF4F4B">
        <w:t>, and</w:t>
      </w:r>
      <w:r w:rsidR="00930D5F">
        <w:t xml:space="preserve"> 85% of the world’s displaced people are hosted by developing countries </w:t>
      </w:r>
      <w:r w:rsidR="001B4704">
        <w:fldChar w:fldCharType="begin"/>
      </w:r>
      <w:r w:rsidR="004D180C">
        <w:instrText xml:space="preserve"> ADDIN ZOTERO_ITEM CSL_CITATION {"citationID":"j53Bqbam","properties":{"formattedCitation":"(UNHCR, 2017b)","plainCitation":"(UNHCR, 2017b)","noteIndex":0},"citationItems":[{"id":5335,"uris":["http://zotero.org/users/5557903/items/6I5QA3MZ"],"uri":["http://zotero.org/users/5557903/items/6I5QA3MZ"],"itemData":{"id":5335,"type":"report","title":"The UN Refugee Agency. Statistical Yearbooks - Figure at a Glance. [Available at: http://www.unhcr.org/uk/figures-at-a-glance.html]","author":[{"family":"UNHCR","given":""}],"issued":{"date-parts":[["2017"]]}}}],"schema":"https://github.com/citation-style-language/schema/raw/master/csl-citation.json"} </w:instrText>
      </w:r>
      <w:r w:rsidR="001B4704">
        <w:fldChar w:fldCharType="separate"/>
      </w:r>
      <w:r w:rsidR="004D180C" w:rsidRPr="004D180C">
        <w:t>(UNHCR, 2017b)</w:t>
      </w:r>
      <w:r w:rsidR="001B4704">
        <w:fldChar w:fldCharType="end"/>
      </w:r>
      <w:r w:rsidR="00930D5F">
        <w:t xml:space="preserve">. </w:t>
      </w:r>
      <w:r w:rsidR="00580AA6">
        <w:t xml:space="preserve">Africa hosts more than 37 million </w:t>
      </w:r>
      <w:r w:rsidR="00BA2D71">
        <w:t>persons of concern</w:t>
      </w:r>
      <w:r w:rsidR="00580AA6">
        <w:t xml:space="preserve">, of whom over 6 million are refugees </w:t>
      </w:r>
      <w:r w:rsidR="001B4704">
        <w:fldChar w:fldCharType="begin"/>
      </w:r>
      <w:r w:rsidR="004D180C">
        <w:instrText xml:space="preserve"> ADDIN ZOTERO_ITEM CSL_CITATION {"citationID":"okD6RZPr","properties":{"formattedCitation":"(UNHCR, 2017c)","plainCitation":"(UNHCR, 2017c)","noteIndex":0},"citationItems":[{"id":5903,"uris":["http://zotero.org/users/5557903/items/HGPCNFG5"],"uri":["http://zotero.org/users/5557903/items/HGPCNFG5"],"itemData":{"id":5903,"type":"article","title":"Mid-Year Trends 2017: Population data set, Asylum applications data set, and Refugee flow data set.","author":[{"family":"UNHCR","given":""}],"issued":{"date-parts":[["2017"]]}}}],"schema":"https://github.com/citation-style-language/schema/raw/master/csl-citation.json"} </w:instrText>
      </w:r>
      <w:r w:rsidR="001B4704">
        <w:fldChar w:fldCharType="separate"/>
      </w:r>
      <w:r w:rsidR="004D180C" w:rsidRPr="004D180C">
        <w:t>(UNHCR, 2017c)</w:t>
      </w:r>
      <w:r w:rsidR="001B4704">
        <w:fldChar w:fldCharType="end"/>
      </w:r>
      <w:r w:rsidR="00580AA6">
        <w:t xml:space="preserve">. </w:t>
      </w:r>
      <w:r w:rsidR="00B83EF9">
        <w:t xml:space="preserve">All these people require sheltering, which is therefore a major global humanitarian </w:t>
      </w:r>
      <w:r w:rsidR="00EF4F4B">
        <w:t>issue</w:t>
      </w:r>
      <w:r w:rsidR="00B83EF9">
        <w:t>. Post-disaster and post-conflict (PDPC) sheltering</w:t>
      </w:r>
      <w:r w:rsidR="0028453C">
        <w:rPr>
          <w:rStyle w:val="FootnoteReference"/>
        </w:rPr>
        <w:footnoteReference w:id="1"/>
      </w:r>
      <w:r w:rsidR="00B83EF9">
        <w:t xml:space="preserve"> always sets out with the best intention of being a temporary solution but, in most cases, it turns into a (semi-)permanent habitat </w:t>
      </w:r>
      <w:r w:rsidR="001B4704">
        <w:fldChar w:fldCharType="begin"/>
      </w:r>
      <w:r w:rsidR="004D180C">
        <w:instrText xml:space="preserve"> ADDIN ZOTERO_ITEM CSL_CITATION {"citationID":"TztddHse","properties":{"formattedCitation":"(UNHCR, 2012)","plainCitation":"(UNHCR, 2012)","noteIndex":0},"citationItems":[{"id":5904,"uris":["http://zotero.org/users/5557903/items/RZ3DJ7WW"],"uri":["http://zotero.org/users/5557903/items/RZ3DJ7WW"],"itemData":{"id":5904,"type":"article","title":"The state of the World’s Refugees - In Search of Solidarity - A SYNTHESIS","author":[{"family":"UNHCR","given":""}],"issued":{"date-parts":[["2012"]]}}}],"schema":"https://github.com/citation-style-language/schema/raw/master/csl-citation.json"} </w:instrText>
      </w:r>
      <w:r w:rsidR="001B4704">
        <w:fldChar w:fldCharType="separate"/>
      </w:r>
      <w:r w:rsidR="004D180C" w:rsidRPr="004D180C">
        <w:t>(UNHCR, 2012)</w:t>
      </w:r>
      <w:r w:rsidR="001B4704">
        <w:fldChar w:fldCharType="end"/>
      </w:r>
      <w:r w:rsidR="00B83EF9">
        <w:t xml:space="preserve">. </w:t>
      </w:r>
      <w:r w:rsidR="00E60565">
        <w:t>The Dadaab refugee camp in Kenya started hosting Somali refugees in 1991 and continues to grow</w:t>
      </w:r>
      <w:r w:rsidR="001B4704">
        <w:t xml:space="preserve"> (</w:t>
      </w:r>
      <w:r w:rsidR="001B4704">
        <w:fldChar w:fldCharType="begin"/>
      </w:r>
      <w:r w:rsidR="001B4704">
        <w:instrText xml:space="preserve"> REF _Ref2174510 \h </w:instrText>
      </w:r>
      <w:r w:rsidR="00525422">
        <w:instrText xml:space="preserve"> \* MERGEFORMAT </w:instrText>
      </w:r>
      <w:r w:rsidR="001B4704">
        <w:fldChar w:fldCharType="separate"/>
      </w:r>
      <w:r w:rsidR="001B4704">
        <w:t xml:space="preserve">Figure </w:t>
      </w:r>
      <w:r w:rsidR="001B4704">
        <w:rPr>
          <w:noProof/>
        </w:rPr>
        <w:t>1</w:t>
      </w:r>
      <w:r w:rsidR="001B4704">
        <w:fldChar w:fldCharType="end"/>
      </w:r>
      <w:r w:rsidR="001B4704">
        <w:t>)</w:t>
      </w:r>
      <w:r w:rsidR="00E60565">
        <w:t xml:space="preserve"> to the point that if it were a city it would be the fourth-largest of Kenya </w:t>
      </w:r>
      <w:r w:rsidR="001B4704">
        <w:fldChar w:fldCharType="begin"/>
      </w:r>
      <w:r w:rsidR="004D180C">
        <w:instrText xml:space="preserve"> ADDIN ZOTERO_ITEM CSL_CITATION {"citationID":"Euc5pf3x","properties":{"formattedCitation":"(Guardian, 2011)","plainCitation":"(Guardian, 2011)","noteIndex":0},"citationItems":[{"id":5905,"uris":["http://zotero.org/users/5557903/items/KKDY8667"],"uri":["http://zotero.org/users/5557903/items/KKDY8667"],"itemData":{"id":5905,"type":"webpage","title":"Dadaab refugee camps: 20 years of living in crisis | Claire Provost and Hamza Mohamed | Global development | The Guardian","URL":"https://www.theguardian.com/global-development/2011/mar/24/dadaab-refugee-camps-living-in-crisis","author":[{"family":"Guardian","given":""}],"issued":{"date-parts":[["2011"]]},"accessed":{"date-parts":[["2019",2,27]]}}}],"schema":"https://github.com/citation-style-language/schema/raw/master/csl-citation.json"} </w:instrText>
      </w:r>
      <w:r w:rsidR="001B4704">
        <w:fldChar w:fldCharType="separate"/>
      </w:r>
      <w:r w:rsidR="004D180C" w:rsidRPr="004D180C">
        <w:t>(Guardian, 2011)</w:t>
      </w:r>
      <w:r w:rsidR="001B4704">
        <w:fldChar w:fldCharType="end"/>
      </w:r>
      <w:r w:rsidR="00E60565">
        <w:t xml:space="preserve">. </w:t>
      </w:r>
      <w:r w:rsidR="00BA2D71">
        <w:t>Unsurprisingly,</w:t>
      </w:r>
      <w:r w:rsidR="00E60565">
        <w:t xml:space="preserve"> after 28 years there are people who have children and grandchildren </w:t>
      </w:r>
      <w:r w:rsidR="00BA2D71">
        <w:t xml:space="preserve">that were </w:t>
      </w:r>
      <w:r w:rsidR="00E60565">
        <w:t>born in the Dadaab refugee complex</w:t>
      </w:r>
      <w:r w:rsidR="003A2E09">
        <w:rPr>
          <w:rStyle w:val="FootnoteReference"/>
        </w:rPr>
        <w:footnoteReference w:id="2"/>
      </w:r>
      <w:r w:rsidR="00E60565">
        <w:t xml:space="preserve"> </w:t>
      </w:r>
      <w:r w:rsidR="001B4704">
        <w:fldChar w:fldCharType="begin"/>
      </w:r>
      <w:r w:rsidR="004D180C">
        <w:instrText xml:space="preserve"> ADDIN ZOTERO_ITEM CSL_CITATION {"citationID":"fREcBrIa","properties":{"formattedCitation":"(UNHCR, 2018)","plainCitation":"(UNHCR, 2018)","noteIndex":0},"citationItems":[{"id":5907,"uris":["http://zotero.org/users/5557903/items/BTNGLTQI"],"uri":["http://zotero.org/users/5557903/items/BTNGLTQI"],"itemData":{"id":5907,"type":"post-weblog","title":"Dadaab Refugee Complex - UNHCR Kenya","container-title":"UNHCR","URL":"https://www.unhcr.org/ke/dadaab-refugee-complex","language":"en","author":[{"family":"UNHCR","given":""}],"issued":{"date-parts":[["2018"]]},"accessed":{"date-parts":[["2019",2,27]]}}}],"schema":"https://github.com/citation-style-language/schema/raw/master/csl-citation.json"} </w:instrText>
      </w:r>
      <w:r w:rsidR="001B4704">
        <w:fldChar w:fldCharType="separate"/>
      </w:r>
      <w:r w:rsidR="004D180C" w:rsidRPr="004D180C">
        <w:t>(UNHCR, 2018)</w:t>
      </w:r>
      <w:r w:rsidR="001B4704">
        <w:fldChar w:fldCharType="end"/>
      </w:r>
      <w:r w:rsidR="00E60565">
        <w:t xml:space="preserve">. </w:t>
      </w:r>
    </w:p>
    <w:p w14:paraId="7EBF777B" w14:textId="2CFC8D52" w:rsidR="00AF5CD8" w:rsidRDefault="00AF5CD8" w:rsidP="00525422">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5"/>
        <w:gridCol w:w="4575"/>
      </w:tblGrid>
      <w:tr w:rsidR="000108F5" w14:paraId="7627FC32" w14:textId="77777777" w:rsidTr="000108F5">
        <w:trPr>
          <w:trHeight w:val="3577"/>
        </w:trPr>
        <w:tc>
          <w:tcPr>
            <w:tcW w:w="5184" w:type="dxa"/>
          </w:tcPr>
          <w:p w14:paraId="3BD3A9BF" w14:textId="6A75023E" w:rsidR="000108F5" w:rsidRDefault="000108F5" w:rsidP="00525422">
            <w:pPr>
              <w:rPr>
                <w:b/>
              </w:rPr>
            </w:pPr>
            <w:r>
              <w:rPr>
                <w:b/>
                <w:noProof/>
                <w:lang w:eastAsia="en-GB"/>
              </w:rPr>
              <w:drawing>
                <wp:inline distT="0" distB="0" distL="0" distR="0" wp14:anchorId="25E3FDE9" wp14:editId="16141EB8">
                  <wp:extent cx="3104660" cy="2340000"/>
                  <wp:effectExtent l="0" t="0" r="63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fo.PNG"/>
                          <pic:cNvPicPr/>
                        </pic:nvPicPr>
                        <pic:blipFill>
                          <a:blip r:embed="rId9">
                            <a:extLst>
                              <a:ext uri="{28A0092B-C50C-407E-A947-70E740481C1C}">
                                <a14:useLocalDpi xmlns:a14="http://schemas.microsoft.com/office/drawing/2010/main" val="0"/>
                              </a:ext>
                            </a:extLst>
                          </a:blip>
                          <a:stretch>
                            <a:fillRect/>
                          </a:stretch>
                        </pic:blipFill>
                        <pic:spPr>
                          <a:xfrm>
                            <a:off x="0" y="0"/>
                            <a:ext cx="3104660" cy="2340000"/>
                          </a:xfrm>
                          <a:prstGeom prst="rect">
                            <a:avLst/>
                          </a:prstGeom>
                        </pic:spPr>
                      </pic:pic>
                    </a:graphicData>
                  </a:graphic>
                </wp:inline>
              </w:drawing>
            </w:r>
          </w:p>
        </w:tc>
        <w:tc>
          <w:tcPr>
            <w:tcW w:w="1852" w:type="dxa"/>
          </w:tcPr>
          <w:p w14:paraId="4223E57E" w14:textId="0F66B63B" w:rsidR="000108F5" w:rsidRDefault="000108F5" w:rsidP="00525422">
            <w:pPr>
              <w:keepNext/>
              <w:rPr>
                <w:b/>
              </w:rPr>
            </w:pPr>
            <w:r>
              <w:rPr>
                <w:b/>
                <w:noProof/>
                <w:lang w:eastAsia="en-GB"/>
              </w:rPr>
              <w:drawing>
                <wp:inline distT="0" distB="0" distL="0" distR="0" wp14:anchorId="7269A516" wp14:editId="4E7F36DC">
                  <wp:extent cx="3195095" cy="2340000"/>
                  <wp:effectExtent l="0" t="0" r="571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ty_london.PNG"/>
                          <pic:cNvPicPr/>
                        </pic:nvPicPr>
                        <pic:blipFill>
                          <a:blip r:embed="rId10">
                            <a:extLst>
                              <a:ext uri="{28A0092B-C50C-407E-A947-70E740481C1C}">
                                <a14:useLocalDpi xmlns:a14="http://schemas.microsoft.com/office/drawing/2010/main" val="0"/>
                              </a:ext>
                            </a:extLst>
                          </a:blip>
                          <a:stretch>
                            <a:fillRect/>
                          </a:stretch>
                        </pic:blipFill>
                        <pic:spPr>
                          <a:xfrm>
                            <a:off x="0" y="0"/>
                            <a:ext cx="3195095" cy="2340000"/>
                          </a:xfrm>
                          <a:prstGeom prst="rect">
                            <a:avLst/>
                          </a:prstGeom>
                        </pic:spPr>
                      </pic:pic>
                    </a:graphicData>
                  </a:graphic>
                </wp:inline>
              </w:drawing>
            </w:r>
          </w:p>
        </w:tc>
      </w:tr>
    </w:tbl>
    <w:p w14:paraId="6FC63C1B" w14:textId="40F8F4D7" w:rsidR="000108F5" w:rsidRDefault="000108F5" w:rsidP="00525422">
      <w:pPr>
        <w:pStyle w:val="Caption"/>
        <w:rPr>
          <w:b/>
        </w:rPr>
      </w:pPr>
      <w:bookmarkStart w:id="0" w:name="_Ref2174510"/>
      <w:r>
        <w:t xml:space="preserve">Figure </w:t>
      </w:r>
      <w:r w:rsidR="007923E2">
        <w:rPr>
          <w:noProof/>
        </w:rPr>
        <w:fldChar w:fldCharType="begin"/>
      </w:r>
      <w:r w:rsidR="007923E2">
        <w:rPr>
          <w:noProof/>
        </w:rPr>
        <w:instrText xml:space="preserve"> SEQ Figure \* ARABIC </w:instrText>
      </w:r>
      <w:r w:rsidR="007923E2">
        <w:rPr>
          <w:noProof/>
        </w:rPr>
        <w:fldChar w:fldCharType="separate"/>
      </w:r>
      <w:r w:rsidR="00EB1A80">
        <w:rPr>
          <w:noProof/>
        </w:rPr>
        <w:t>1</w:t>
      </w:r>
      <w:r w:rsidR="007923E2">
        <w:rPr>
          <w:noProof/>
        </w:rPr>
        <w:fldChar w:fldCharType="end"/>
      </w:r>
      <w:bookmarkEnd w:id="0"/>
      <w:r>
        <w:t xml:space="preserve"> - Ifo, one of the four refugee camps in the Dadaab complex (Kenya) [left]</w:t>
      </w:r>
      <w:r w:rsidR="001B4704">
        <w:t>,</w:t>
      </w:r>
      <w:r>
        <w:t xml:space="preserve"> and the City of London and central London [right]. </w:t>
      </w:r>
      <w:r w:rsidR="00815BB5">
        <w:t>The s</w:t>
      </w:r>
      <w:r>
        <w:t>cale is the same and the spatial extension of Ifo exceeds that of the City of London</w:t>
      </w:r>
      <w:r w:rsidR="00005256">
        <w:t xml:space="preserve"> – source</w:t>
      </w:r>
      <w:r w:rsidR="001B4704">
        <w:t xml:space="preserve"> Google Maps</w:t>
      </w:r>
      <w:r w:rsidR="00005256">
        <w:t xml:space="preserve"> </w:t>
      </w:r>
      <w:r w:rsidR="001B4704">
        <w:fldChar w:fldCharType="begin"/>
      </w:r>
      <w:r w:rsidR="001B4704">
        <w:instrText xml:space="preserve"> ADDIN ZOTERO_ITEM CSL_CITATION {"citationID":"9LLMSSlN","properties":{"formattedCitation":"(2019)","plainCitation":"(2019)","noteIndex":0},"citationItems":[{"id":5909,"uris":["http://zotero.org/users/5557903/items/CAMRUBDH"],"uri":["http://zotero.org/users/5557903/items/CAMRUBDH"],"itemData":{"id":5909,"type":"article","title":"Dadaab, Kenya and City of London, London. Available at: https://www.google.co.uk/maps/place/City+of+London,+London/@0.1133055,40.3104577,5999m/data=!3m1!1e3!4m5!3m4!1s0x487603554edf855f:0xa1185c8d19184c0!8m2!3d51.5123443!4d-0.0909852 and https://www.google.co.uk/maps/place/City+of+London,+London/@51.5131175,-0.0938188,5277m/data=!3m1!1e3!4m5!3m4!1s0x487603554edf855f:0xa1185c8d19184c0!8m2!3d51.5123443!4d-0.0909852","author":[{"family":"Google Maps","given":""}],"issued":{"date-parts":[["2019"]]}},"suppress-author":true}],"schema":"https://github.com/citation-style-language/schema/raw/master/csl-citation.json"} </w:instrText>
      </w:r>
      <w:r w:rsidR="001B4704">
        <w:fldChar w:fldCharType="separate"/>
      </w:r>
      <w:r w:rsidR="001B4704" w:rsidRPr="001B4704">
        <w:t>(2019)</w:t>
      </w:r>
      <w:r w:rsidR="001B4704">
        <w:fldChar w:fldCharType="end"/>
      </w:r>
      <w:r w:rsidR="00005256">
        <w:t xml:space="preserve"> </w:t>
      </w:r>
    </w:p>
    <w:p w14:paraId="521AAD8D" w14:textId="542244A7" w:rsidR="004D180C" w:rsidRDefault="001B4704" w:rsidP="00525422">
      <w:r>
        <w:t>While sustainability is at the heart of a global agenda on</w:t>
      </w:r>
      <w:r w:rsidR="00BA2D71">
        <w:t xml:space="preserve"> the</w:t>
      </w:r>
      <w:r>
        <w:t xml:space="preserve"> development</w:t>
      </w:r>
      <w:r w:rsidR="00BA2D71">
        <w:t xml:space="preserve"> of cities</w:t>
      </w:r>
      <w:r>
        <w:t xml:space="preserve"> </w:t>
      </w:r>
      <w:r>
        <w:fldChar w:fldCharType="begin"/>
      </w:r>
      <w:r w:rsidR="004D180C">
        <w:instrText xml:space="preserve"> ADDIN ZOTERO_ITEM CSL_CITATION {"citationID":"IdunS17B","properties":{"formattedCitation":"(Haughton and Hunter, 2004; Huovila et al., 2019)","plainCitation":"(Haughton and Hunter, 2004; Huovila et al., 2019)","noteIndex":0},"citationItems":[{"id":5910,"uris":["http://zotero.org/users/5557903/items/2KQS5UFR"],"uri":["http://zotero.org/users/5557903/items/2KQS5UFR"],"itemData":{"id":5910,"type":"book","title":"Sustainable cities","publisher":"Routledge","ISBN":"1-134-99607-1","author":[{"family":"Haughton","given":"Graham"},{"family":"Hunter","given":"Colin"}],"issued":{"date-parts":[["2004"]]}}},{"id":5911,"uris":["http://zotero.org/users/5557903/items/YMLT9LPD"],"uri":["http://zotero.org/users/5557903/items/YMLT9LPD"],"itemData":{"id":5911,"type":"article-journal","title":"Comparative analysis of standardized indicators for Smart sustainable cities: What indicators and standards to use and when?","container-title":"Cities","page":"141-153","volume":"89","author":[{"family":"Huovila","given":"Aapo"},{"family":"Bosch","given":"Peter"},{"family":"Airaksinen","given":"Miimu"}],"issued":{"date-parts":[["2019"]]}}}],"schema":"https://github.com/citation-style-language/schema/raw/master/csl-citation.json"} </w:instrText>
      </w:r>
      <w:r>
        <w:fldChar w:fldCharType="separate"/>
      </w:r>
      <w:r w:rsidR="004D180C" w:rsidRPr="004D180C">
        <w:t>(Haughton and Hunter, 2004; Huovila et al., 2019)</w:t>
      </w:r>
      <w:r>
        <w:fldChar w:fldCharType="end"/>
      </w:r>
      <w:r>
        <w:t>, it is seldom considered in refugee camps and PDPC sheltering as</w:t>
      </w:r>
      <w:r w:rsidR="000C3554">
        <w:t xml:space="preserve"> </w:t>
      </w:r>
      <w:r w:rsidR="00BA2D71">
        <w:t xml:space="preserve">emphasised </w:t>
      </w:r>
      <w:r w:rsidR="000C3554">
        <w:t>in</w:t>
      </w:r>
      <w:r>
        <w:t xml:space="preserve"> a recent joint report by Ramboll &amp; Save the Children </w:t>
      </w:r>
      <w:r>
        <w:fldChar w:fldCharType="begin"/>
      </w:r>
      <w:r>
        <w:instrText xml:space="preserve"> ADDIN ZOTERO_ITEM CSL_CITATION {"citationID":"wsbYeJEK","properties":{"formattedCitation":"(2017)","plainCitation":"(2017)","noteIndex":0},"citationItems":[{"id":5913,"uris":["http://zotero.org/users/5557903/items/7QFMYJH9"],"uri":["http://zotero.org/users/5557903/items/7QFMYJH9"],"itemData":{"id":5913,"type":"webpage","title":"Shelter Innovations Workshop - Conclusions and Recommendations","URL":"https://uk.ramboll.com/-/media/files/ruk/2_sectors-and-services-brochures/buildings/shelter-workshop-a5-leaflet-06-2017-final-hi-res.pdf","author":[{"family":"Ramboll &amp; Save the Children","given":""}],"issued":{"date-parts":[["2017"]]},"accessed":{"date-parts":[["2019",2,27]]}},"suppress-author":true}],"schema":"https://github.com/citation-style-language/schema/raw/master/csl-citation.json"} </w:instrText>
      </w:r>
      <w:r>
        <w:fldChar w:fldCharType="separate"/>
      </w:r>
      <w:r w:rsidRPr="001B4704">
        <w:t>(2017)</w:t>
      </w:r>
      <w:r>
        <w:fldChar w:fldCharType="end"/>
      </w:r>
      <w:r w:rsidR="000C3554">
        <w:t xml:space="preserve">. </w:t>
      </w:r>
      <w:r w:rsidR="004B1A91">
        <w:t xml:space="preserve">The report unveiled the shortcomings of current shelter design, </w:t>
      </w:r>
      <w:r w:rsidR="00353E5D">
        <w:t>highlighting</w:t>
      </w:r>
      <w:r w:rsidR="004B1A91">
        <w:t xml:space="preserve"> a lack of li</w:t>
      </w:r>
      <w:r w:rsidR="00EF4F4B">
        <w:t>f</w:t>
      </w:r>
      <w:r w:rsidR="004B1A91">
        <w:t>e</w:t>
      </w:r>
      <w:r w:rsidR="00353E5D">
        <w:t>-</w:t>
      </w:r>
      <w:r w:rsidR="004B1A91">
        <w:t xml:space="preserve">cycle thinking as a potential missing link between design and sustainability. Ramboll &amp; Save the Children </w:t>
      </w:r>
      <w:r w:rsidR="004B1A91">
        <w:fldChar w:fldCharType="begin"/>
      </w:r>
      <w:r w:rsidR="004B1A91">
        <w:instrText xml:space="preserve"> ADDIN ZOTERO_ITEM CSL_CITATION {"citationID":"6uQBjjmD","properties":{"formattedCitation":"(2017)","plainCitation":"(2017)","noteIndex":0},"citationItems":[{"id":5913,"uris":["http://zotero.org/users/5557903/items/7QFMYJH9"],"uri":["http://zotero.org/users/5557903/items/7QFMYJH9"],"itemData":{"id":5913,"type":"webpage","title":"Shelter Innovations Workshop - Conclusions and Recommendations","URL":"https://uk.ramboll.com/-/media/files/ruk/2_sectors-and-services-brochures/buildings/shelter-workshop-a5-leaflet-06-2017-final-hi-res.pdf","author":[{"family":"Ramboll &amp; Save the Children","given":""}],"issued":{"date-parts":[["2017"]]},"accessed":{"date-parts":[["2019",2,27]]}},"suppress-author":true}],"schema":"https://github.com/citation-style-language/schema/raw/master/csl-citation.json"} </w:instrText>
      </w:r>
      <w:r w:rsidR="004B1A91">
        <w:fldChar w:fldCharType="separate"/>
      </w:r>
      <w:r w:rsidR="004B1A91" w:rsidRPr="004B1A91">
        <w:t>(2017)</w:t>
      </w:r>
      <w:r w:rsidR="004B1A91">
        <w:fldChar w:fldCharType="end"/>
      </w:r>
      <w:r w:rsidR="004B1A91">
        <w:t xml:space="preserve"> particularly </w:t>
      </w:r>
      <w:r w:rsidR="000C3554">
        <w:t xml:space="preserve">highlighted a lack of appreciation of the environmental impacts of aid shelters as a clear knowledge gap and noted that the fact that harming the environment </w:t>
      </w:r>
      <w:r w:rsidR="00353E5D">
        <w:t xml:space="preserve">is often neglected despite the contribution </w:t>
      </w:r>
      <w:r w:rsidR="000C3554">
        <w:t>to natural disasters, which in turn forcibly displace</w:t>
      </w:r>
      <w:r w:rsidR="00353E5D">
        <w:t>s</w:t>
      </w:r>
      <w:r w:rsidR="000C3554">
        <w:t xml:space="preserve"> even more people. </w:t>
      </w:r>
    </w:p>
    <w:p w14:paraId="75296579" w14:textId="77777777" w:rsidR="004D180C" w:rsidRDefault="004D180C" w:rsidP="00525422"/>
    <w:p w14:paraId="27C0AF8E" w14:textId="0E0A34B0" w:rsidR="004D180C" w:rsidRDefault="005C4008" w:rsidP="00525422">
      <w:r>
        <w:t xml:space="preserve">There </w:t>
      </w:r>
      <w:r w:rsidR="000F6ADC">
        <w:t>remains</w:t>
      </w:r>
      <w:r w:rsidR="00353E5D">
        <w:t>,</w:t>
      </w:r>
      <w:r w:rsidR="000F6ADC">
        <w:t xml:space="preserve"> however</w:t>
      </w:r>
      <w:r w:rsidR="00353E5D">
        <w:t>,</w:t>
      </w:r>
      <w:r>
        <w:t xml:space="preserve"> a tension between the need for stockpiled, instantly deployable shelters and the view of shelter as a process where local communities become implementing partners in the event of a crisis </w:t>
      </w:r>
      <w:r w:rsidR="00B729B9">
        <w:t>to drive</w:t>
      </w:r>
      <w:r>
        <w:t xml:space="preserve"> long-term development </w:t>
      </w:r>
      <w:r>
        <w:lastRenderedPageBreak/>
        <w:t>by empowering the community.</w:t>
      </w:r>
      <w:r w:rsidR="000F6ADC">
        <w:t xml:space="preserve"> To this end, t</w:t>
      </w:r>
      <w:r w:rsidR="000F6ADC" w:rsidRPr="000F6ADC">
        <w:t>his article aims to</w:t>
      </w:r>
      <w:r w:rsidR="00F60E88">
        <w:t xml:space="preserve"> build on existing research and</w:t>
      </w:r>
      <w:r w:rsidR="000F6ADC" w:rsidRPr="000F6ADC">
        <w:t xml:space="preserve"> advance the global debate on shelter sustainability by tapping into interdisciplinary expertise on both the African context and refugees’ sheltering.</w:t>
      </w:r>
      <w:r w:rsidR="000F6ADC">
        <w:t xml:space="preserve"> </w:t>
      </w:r>
      <w:r w:rsidR="00146193">
        <w:t xml:space="preserve">The following section reviews existing literature, while the </w:t>
      </w:r>
      <w:r w:rsidR="000F6ADC">
        <w:t>mixed method research design</w:t>
      </w:r>
      <w:r w:rsidR="00EF4F4B">
        <w:t xml:space="preserve"> used</w:t>
      </w:r>
      <w:r w:rsidR="000F6ADC">
        <w:t xml:space="preserve"> is described in </w:t>
      </w:r>
      <w:r w:rsidR="00353E5D">
        <w:t>S</w:t>
      </w:r>
      <w:r w:rsidR="00146193">
        <w:t>ection 3</w:t>
      </w:r>
      <w:r w:rsidR="00173A2F">
        <w:t xml:space="preserve">. Results are presented and discussed in </w:t>
      </w:r>
      <w:r w:rsidR="00353E5D">
        <w:t>S</w:t>
      </w:r>
      <w:r w:rsidR="00173A2F">
        <w:t xml:space="preserve">ections </w:t>
      </w:r>
      <w:r w:rsidR="00146193">
        <w:t xml:space="preserve">4 </w:t>
      </w:r>
      <w:r w:rsidR="00EF4F4B">
        <w:t xml:space="preserve">and </w:t>
      </w:r>
      <w:r w:rsidR="00146193">
        <w:t>5</w:t>
      </w:r>
      <w:r w:rsidR="00EF4F4B">
        <w:t>, while</w:t>
      </w:r>
      <w:r w:rsidR="00173A2F">
        <w:t xml:space="preserve"> </w:t>
      </w:r>
      <w:r w:rsidR="00353E5D">
        <w:t>S</w:t>
      </w:r>
      <w:r w:rsidR="00173A2F">
        <w:t xml:space="preserve">ection </w:t>
      </w:r>
      <w:r w:rsidR="00146193">
        <w:t xml:space="preserve">6 </w:t>
      </w:r>
      <w:r w:rsidR="00173A2F">
        <w:t xml:space="preserve">concludes the article. </w:t>
      </w:r>
    </w:p>
    <w:p w14:paraId="1EEC4072" w14:textId="52F817F1" w:rsidR="004D180C" w:rsidRDefault="004D180C" w:rsidP="004D180C">
      <w:pPr>
        <w:pStyle w:val="Heading1"/>
      </w:pPr>
      <w:r>
        <w:t>2. Literature Review</w:t>
      </w:r>
    </w:p>
    <w:p w14:paraId="2F323322" w14:textId="77777777" w:rsidR="004D180C" w:rsidRDefault="004D180C" w:rsidP="00525422"/>
    <w:p w14:paraId="7F0DE767" w14:textId="216A5975" w:rsidR="0057058D" w:rsidRDefault="00745D23" w:rsidP="00A5101C">
      <w:r>
        <w:t xml:space="preserve">In a </w:t>
      </w:r>
      <w:r w:rsidR="00A5101C">
        <w:t>systematic</w:t>
      </w:r>
      <w:r>
        <w:t xml:space="preserve"> literature review focused on the past and future of post</w:t>
      </w:r>
      <w:r w:rsidR="00353E5D">
        <w:t>-</w:t>
      </w:r>
      <w:r>
        <w:t xml:space="preserve">disaster reconstruction, Yi and Yang </w:t>
      </w:r>
      <w:r>
        <w:fldChar w:fldCharType="begin"/>
      </w:r>
      <w:r>
        <w:instrText xml:space="preserve"> ADDIN ZOTERO_ITEM CSL_CITATION {"citationID":"tuO2O0aN","properties":{"formattedCitation":"(2014)","plainCitation":"(2014)","noteIndex":0},"citationItems":[{"id":6186,"uris":["http://zotero.org/users/5557903/items/M37RJSVN"],"uri":["http://zotero.org/users/5557903/items/M37RJSVN"],"itemData":{"id":6186,"type":"article-journal","title":"Research trends of post disaster reconstruction: The past and the future","container-title":"Habitat International","page":"21-29","volume":"42","source":"Crossref","abstract":"Natural disasters can have adverse effect on human lives. To raise the awareness of research and better combat future events, it is important to identify recent research trends in the area of post disaster reconstruction (PDR). The authors used a three-round literature review strategy to study journal papers published in the last decade that are related to PDR with speciﬁc conditions using the Scopus search engine. A wide range of PDR related papers from a general perspective was examined in the ﬁrst two rounds while the ﬁnal round established 88 papers as target publications through visual examination of the abstracts, keywords and as necessary, main texts. These papers were analysed in terms of research origins, active researchers, research organisations, most cited papers, regional concerns, major themes and deliverables, for clues of the past trends and future directions. The need for appropriate PDR research is increasingly recognised. The publication number multiplied 5 times from 2002 to 2012. For PDR research with a construction perspective, the increase is sixfold. Developing countries such as those in Asia attract almost 50% researchers’ attention for regional concerns while the US is the single most concentrated (24%) country. Africa is hardly represented. Researchers in developed countries lead in worldwide PDR research. This contrasts to the need for expertise in developing countries. Past works focused on waste management, stakeholder analysis, resourcing, infrastructure issue, resilience and vulnerability, reconstruction approach, sustainable reconstruction and governance issues. Future research should respond to resourcing, integrated development, sustainability and resilience building to cover the gaps. By means of a holistic summary and structured analysis of key patterns, the authors hope to provide a streamlined access to existing research ﬁndings and make predictions of future trends. They also hope to encourage a more holistic approach to PDR research and international collaborations.","DOI":"10.1016/j.habitatint.2013.10.005","ISSN":"01973975","title-short":"Research trends of post disaster reconstruction","language":"en","author":[{"family":"Yi","given":"Honglei"},{"family":"Yang","given":"Jay"}],"issued":{"date-parts":[["2014",4]]}},"suppress-author":true}],"schema":"https://github.com/citation-style-language/schema/raw/master/csl-citation.json"} </w:instrText>
      </w:r>
      <w:r>
        <w:fldChar w:fldCharType="separate"/>
      </w:r>
      <w:r w:rsidRPr="00745D23">
        <w:t>(2014)</w:t>
      </w:r>
      <w:r>
        <w:fldChar w:fldCharType="end"/>
      </w:r>
      <w:r>
        <w:t xml:space="preserve"> highlighted several aspects</w:t>
      </w:r>
      <w:r w:rsidR="00A5101C">
        <w:t xml:space="preserve"> which are key to</w:t>
      </w:r>
      <w:r>
        <w:t xml:space="preserve"> the scope of this article. Firstly, </w:t>
      </w:r>
      <w:r w:rsidR="00A5101C">
        <w:t xml:space="preserve">when mapping global hubs of research in the field they found that </w:t>
      </w:r>
      <w:r>
        <w:t>Af</w:t>
      </w:r>
      <w:r w:rsidR="00A5101C">
        <w:t>rica is hardly represented.</w:t>
      </w:r>
      <w:r>
        <w:t xml:space="preserve"> </w:t>
      </w:r>
      <w:r w:rsidR="00A5101C">
        <w:t>This</w:t>
      </w:r>
      <w:r>
        <w:t xml:space="preserve"> adds to the finding that most of the research in the field is carried out</w:t>
      </w:r>
      <w:r w:rsidR="00A5101C">
        <w:t xml:space="preserve"> by academics in developed countries, often neglecting the need for, and availability of, expertise in developing countries. They further highlight that future research should focus on sustainability and integrate</w:t>
      </w:r>
      <w:r w:rsidR="00353E5D">
        <w:t>d</w:t>
      </w:r>
      <w:r w:rsidR="00A5101C">
        <w:t xml:space="preserve"> development, which they have identified as an existing and significant gap </w:t>
      </w:r>
      <w:r w:rsidR="00A5101C">
        <w:fldChar w:fldCharType="begin"/>
      </w:r>
      <w:r w:rsidR="00A5101C">
        <w:instrText xml:space="preserve"> ADDIN ZOTERO_ITEM CSL_CITATION {"citationID":"gzBHXhaI","properties":{"formattedCitation":"(Yi and Yang, 2014)","plainCitation":"(Yi and Yang, 2014)","noteIndex":0},"citationItems":[{"id":6186,"uris":["http://zotero.org/users/5557903/items/M37RJSVN"],"uri":["http://zotero.org/users/5557903/items/M37RJSVN"],"itemData":{"id":6186,"type":"article-journal","title":"Research trends of post disaster reconstruction: The past and the future","container-title":"Habitat International","page":"21-29","volume":"42","source":"Crossref","abstract":"Natural disasters can have adverse effect on human lives. To raise the awareness of research and better combat future events, it is important to identify recent research trends in the area of post disaster reconstruction (PDR). The authors used a three-round literature review strategy to study journal papers published in the last decade that are related to PDR with speciﬁc conditions using the Scopus search engine. A wide range of PDR related papers from a general perspective was examined in the ﬁrst two rounds while the ﬁnal round established 88 papers as target publications through visual examination of the abstracts, keywords and as necessary, main texts. These papers were analysed in terms of research origins, active researchers, research organisations, most cited papers, regional concerns, major themes and deliverables, for clues of the past trends and future directions. The need for appropriate PDR research is increasingly recognised. The publication number multiplied 5 times from 2002 to 2012. For PDR research with a construction perspective, the increase is sixfold. Developing countries such as those in Asia attract almost 50% researchers’ attention for regional concerns while the US is the single most concentrated (24%) country. Africa is hardly represented. Researchers in developed countries lead in worldwide PDR research. This contrasts to the need for expertise in developing countries. Past works focused on waste management, stakeholder analysis, resourcing, infrastructure issue, resilience and vulnerability, reconstruction approach, sustainable reconstruction and governance issues. Future research should respond to resourcing, integrated development, sustainability and resilience building to cover the gaps. By means of a holistic summary and structured analysis of key patterns, the authors hope to provide a streamlined access to existing research ﬁndings and make predictions of future trends. They also hope to encourage a more holistic approach to PDR research and international collaborations.","DOI":"10.1016/j.habitatint.2013.10.005","ISSN":"01973975","title-short":"Research trends of post disaster reconstruction","language":"en","author":[{"family":"Yi","given":"Honglei"},{"family":"Yang","given":"Jay"}],"issued":{"date-parts":[["2014",4]]}}}],"schema":"https://github.com/citation-style-language/schema/raw/master/csl-citation.json"} </w:instrText>
      </w:r>
      <w:r w:rsidR="00A5101C">
        <w:fldChar w:fldCharType="separate"/>
      </w:r>
      <w:r w:rsidR="00A5101C" w:rsidRPr="00A5101C">
        <w:t>(Yi and Yang, 2014)</w:t>
      </w:r>
      <w:r w:rsidR="00A5101C">
        <w:fldChar w:fldCharType="end"/>
      </w:r>
      <w:r w:rsidR="00A5101C">
        <w:t xml:space="preserve">. Within this sustainability ethos, the authors make a compelling case for considering sustainability as early as possible after the disaster occurs rather than “revisiting the issue after life returns to normal” </w:t>
      </w:r>
      <w:r w:rsidR="00A5101C">
        <w:fldChar w:fldCharType="begin"/>
      </w:r>
      <w:r w:rsidR="00A5101C">
        <w:instrText xml:space="preserve"> ADDIN ZOTERO_ITEM CSL_CITATION {"citationID":"n6f0mkyQ","properties":{"formattedCitation":"(Yi and Yang, 2014, p.28)","plainCitation":"(Yi and Yang, 2014, p.28)","noteIndex":0},"citationItems":[{"id":6186,"uris":["http://zotero.org/users/5557903/items/M37RJSVN"],"uri":["http://zotero.org/users/5557903/items/M37RJSVN"],"itemData":{"id":6186,"type":"article-journal","title":"Research trends of post disaster reconstruction: The past and the future","container-title":"Habitat International","page":"21-29","volume":"42","source":"Crossref","abstract":"Natural disasters can have adverse effect on human lives. To raise the awareness of research and better combat future events, it is important to identify recent research trends in the area of post disaster reconstruction (PDR). The authors used a three-round literature review strategy to study journal papers published in the last decade that are related to PDR with speciﬁc conditions using the Scopus search engine. A wide range of PDR related papers from a general perspective was examined in the ﬁrst two rounds while the ﬁnal round established 88 papers as target publications through visual examination of the abstracts, keywords and as necessary, main texts. These papers were analysed in terms of research origins, active researchers, research organisations, most cited papers, regional concerns, major themes and deliverables, for clues of the past trends and future directions. The need for appropriate PDR research is increasingly recognised. The publication number multiplied 5 times from 2002 to 2012. For PDR research with a construction perspective, the increase is sixfold. Developing countries such as those in Asia attract almost 50% researchers’ attention for regional concerns while the US is the single most concentrated (24%) country. Africa is hardly represented. Researchers in developed countries lead in worldwide PDR research. This contrasts to the need for expertise in developing countries. Past works focused on waste management, stakeholder analysis, resourcing, infrastructure issue, resilience and vulnerability, reconstruction approach, sustainable reconstruction and governance issues. Future research should respond to resourcing, integrated development, sustainability and resilience building to cover the gaps. By means of a holistic summary and structured analysis of key patterns, the authors hope to provide a streamlined access to existing research ﬁndings and make predictions of future trends. They also hope to encourage a more holistic approach to PDR research and international collaborations.","DOI":"10.1016/j.habitatint.2013.10.005","ISSN":"01973975","title-short":"Research trends of post disaster reconstruction","language":"en","author":[{"family":"Yi","given":"Honglei"},{"family":"Yang","given":"Jay"}],"issued":{"date-parts":[["2014",4]]}},"suffix":", p.28"}],"schema":"https://github.com/citation-style-language/schema/raw/master/csl-citation.json"} </w:instrText>
      </w:r>
      <w:r w:rsidR="00A5101C">
        <w:fldChar w:fldCharType="separate"/>
      </w:r>
      <w:r w:rsidR="00A5101C" w:rsidRPr="00A5101C">
        <w:t>(Yi and Yang, 2014, p.28)</w:t>
      </w:r>
      <w:r w:rsidR="00A5101C">
        <w:fldChar w:fldCharType="end"/>
      </w:r>
      <w:r w:rsidR="00A5101C">
        <w:t xml:space="preserve">. </w:t>
      </w:r>
      <w:r w:rsidR="0057058D">
        <w:t xml:space="preserve">This aspect echoes the findings of Abrahams </w:t>
      </w:r>
      <w:r w:rsidR="0057058D">
        <w:fldChar w:fldCharType="begin"/>
      </w:r>
      <w:r w:rsidR="0057058D">
        <w:instrText xml:space="preserve"> ADDIN ZOTERO_ITEM CSL_CITATION {"citationID":"HWIgRrPE","properties":{"formattedCitation":"(2014)","plainCitation":"(2014)","noteIndex":0},"citationItems":[{"id":6188,"uris":["http://zotero.org/users/5557903/items/53GFK3E9"],"uri":["http://zotero.org/users/5557903/items/53GFK3E9"],"itemData":{"id":6188,"type":"article-journal","title":"The barriers to environmental sustainability in post-disaster settings: a case study of transitional shelter implementation in Haiti","container-title":"Disasters","page":"S25-S49","volume":"38","issue":"s1","source":"Wiley Online Library","abstract":"Disaster recovery operations that do not account for environmental sustainability (ES) risk exacerbating the impact of the disaster and hindering long-term recovery efforts. Yet aid agencies do not always consider ES. This research is a case study of the recovery that followed the 2010 earthquake in Haiti. Using timber and concrete procurement as proxies for broader post-disaster operations, research examined perceptions of ES as well as attempts at and barriers to incorporating it into programming. Identified barriers can be grouped into two categories: (1) prioritisations and perceptions within the disaster response sector that resulted in limited enthusiasm for incorporating ES into programming, and (2) structural and organisational barriers within the disaster response framework that impeded ES attempts and served as a further disincentive to incorporating ES into programming. As a result of those barriers, incorporation of ES was sporadic and inconsistent and often depended on the capacity and motivation of specific implementers.","DOI":"10.1111/disa.12054","ISSN":"1467-7717","title-short":"The barriers to environmental sustainability in post-disaster settings","language":"en","author":[{"family":"Abrahams","given":"Daniel"}],"issued":{"date-parts":[["2014"]]}},"suppress-author":true}],"schema":"https://github.com/citation-style-language/schema/raw/master/csl-citation.json"} </w:instrText>
      </w:r>
      <w:r w:rsidR="0057058D">
        <w:fldChar w:fldCharType="separate"/>
      </w:r>
      <w:r w:rsidR="0057058D" w:rsidRPr="0057058D">
        <w:t>(2014)</w:t>
      </w:r>
      <w:r w:rsidR="0057058D">
        <w:fldChar w:fldCharType="end"/>
      </w:r>
      <w:r w:rsidR="0057058D">
        <w:t xml:space="preserve"> who undertook a case study of transitional shelter implementation in Haiti and concluded that neglecting environmental sustainability can exacerbate the impact of the disaster and hinder the long-term recovery. The author also identified barriers to environmental sustainability, which he grouped into prioritisations and perceptions within the disaster response sector</w:t>
      </w:r>
      <w:r w:rsidR="000819D6">
        <w:t>,</w:t>
      </w:r>
      <w:r w:rsidR="0057058D">
        <w:t xml:space="preserve"> as well as structural and organisational barriers within the disaster response framework </w:t>
      </w:r>
      <w:r w:rsidR="0057058D">
        <w:fldChar w:fldCharType="begin"/>
      </w:r>
      <w:r w:rsidR="0057058D">
        <w:instrText xml:space="preserve"> ADDIN ZOTERO_ITEM CSL_CITATION {"citationID":"H2zeTRTU","properties":{"formattedCitation":"(Abrahams, 2014)","plainCitation":"(Abrahams, 2014)","noteIndex":0},"citationItems":[{"id":6188,"uris":["http://zotero.org/users/5557903/items/53GFK3E9"],"uri":["http://zotero.org/users/5557903/items/53GFK3E9"],"itemData":{"id":6188,"type":"article-journal","title":"The barriers to environmental sustainability in post-disaster settings: a case study of transitional shelter implementation in Haiti","container-title":"Disasters","page":"S25-S49","volume":"38","issue":"s1","source":"Wiley Online Library","abstract":"Disaster recovery operations that do not account for environmental sustainability (ES) risk exacerbating the impact of the disaster and hindering long-term recovery efforts. Yet aid agencies do not always consider ES. This research is a case study of the recovery that followed the 2010 earthquake in Haiti. Using timber and concrete procurement as proxies for broader post-disaster operations, research examined perceptions of ES as well as attempts at and barriers to incorporating it into programming. Identified barriers can be grouped into two categories: (1) prioritisations and perceptions within the disaster response sector that resulted in limited enthusiasm for incorporating ES into programming, and (2) structural and organisational barriers within the disaster response framework that impeded ES attempts and served as a further disincentive to incorporating ES into programming. As a result of those barriers, incorporation of ES was sporadic and inconsistent and often depended on the capacity and motivation of specific implementers.","DOI":"10.1111/disa.12054","ISSN":"1467-7717","title-short":"The barriers to environmental sustainability in post-disaster settings","language":"en","author":[{"family":"Abrahams","given":"Daniel"}],"issued":{"date-parts":[["2014"]]}}}],"schema":"https://github.com/citation-style-language/schema/raw/master/csl-citation.json"} </w:instrText>
      </w:r>
      <w:r w:rsidR="0057058D">
        <w:fldChar w:fldCharType="separate"/>
      </w:r>
      <w:r w:rsidR="0057058D" w:rsidRPr="0057058D">
        <w:t>(Abrahams, 2014)</w:t>
      </w:r>
      <w:r w:rsidR="0057058D">
        <w:fldChar w:fldCharType="end"/>
      </w:r>
      <w:r w:rsidR="0057058D">
        <w:t xml:space="preserve">. </w:t>
      </w:r>
    </w:p>
    <w:p w14:paraId="2F119FB2" w14:textId="77777777" w:rsidR="0057058D" w:rsidRDefault="0057058D" w:rsidP="00A5101C"/>
    <w:p w14:paraId="374792FC" w14:textId="32FC6B8C" w:rsidR="004D180C" w:rsidRDefault="00F60E88" w:rsidP="004D180C">
      <w:r>
        <w:t>E</w:t>
      </w:r>
      <w:r w:rsidR="00A5101C">
        <w:t xml:space="preserve">xisting academic literature on the sustainability of post-disaster sheltering solutions is </w:t>
      </w:r>
      <w:r w:rsidR="000819D6">
        <w:t>scarce</w:t>
      </w:r>
      <w:r w:rsidR="00A5101C">
        <w:t xml:space="preserve">. In addition to the report by Ramboll &amp; Save the Children </w:t>
      </w:r>
      <w:r w:rsidR="00A5101C">
        <w:fldChar w:fldCharType="begin"/>
      </w:r>
      <w:r w:rsidR="00A5101C">
        <w:instrText xml:space="preserve"> ADDIN ZOTERO_ITEM CSL_CITATION {"citationID":"DmC16Smo","properties":{"formattedCitation":"(2017)","plainCitation":"(2017)","noteIndex":0},"citationItems":[{"id":5913,"uris":["http://zotero.org/users/5557903/items/7QFMYJH9"],"uri":["http://zotero.org/users/5557903/items/7QFMYJH9"],"itemData":{"id":5913,"type":"webpage","title":"Shelter Innovations Workshop - Conclusions and Recommendations","URL":"https://uk.ramboll.com/-/media/files/ruk/2_sectors-and-services-brochures/buildings/shelter-workshop-a5-leaflet-06-2017-final-hi-res.pdf","author":[{"family":"Ramboll &amp; Save the Children","given":""}],"issued":{"date-parts":[["2017"]]},"accessed":{"date-parts":[["2019",2,27]]}},"suppress-author":true}],"schema":"https://github.com/citation-style-language/schema/raw/master/csl-citation.json"} </w:instrText>
      </w:r>
      <w:r w:rsidR="00A5101C">
        <w:fldChar w:fldCharType="separate"/>
      </w:r>
      <w:r w:rsidR="00A5101C" w:rsidRPr="004B1A91">
        <w:t>(2017)</w:t>
      </w:r>
      <w:r w:rsidR="00A5101C">
        <w:fldChar w:fldCharType="end"/>
      </w:r>
      <w:r w:rsidR="00A5101C">
        <w:t xml:space="preserve">, </w:t>
      </w:r>
      <w:r w:rsidR="000819D6">
        <w:t xml:space="preserve">which concluded </w:t>
      </w:r>
      <w:r w:rsidR="00A5101C">
        <w:t xml:space="preserve">that this aspect is often overlooked, Albadra et al. </w:t>
      </w:r>
      <w:r w:rsidR="00A5101C">
        <w:fldChar w:fldCharType="begin"/>
      </w:r>
      <w:r w:rsidR="00A5101C">
        <w:instrText xml:space="preserve"> ADDIN ZOTERO_ITEM CSL_CITATION {"citationID":"QWqKLx8v","properties":{"formattedCitation":"(2018)","plainCitation":"(2018)","noteIndex":0},"citationItems":[{"id":5914,"uris":["http://zotero.org/users/5557903/items/FVM52JDZ"],"uri":["http://zotero.org/users/5557903/items/FVM52JDZ"],"itemData":{"id":5914,"type":"article-journal","title":"Toward healthy housing for the displaced","container-title":"The Journal of Architecture","page":"115-136","volume":"23","issue":"1","author":[{"family":"Albadra","given":"Dima"},{"family":"Coley","given":"David"},{"family":"Hart","given":"Jason"}],"issued":{"date-parts":[["2018"]]}},"suppress-author":true}],"schema":"https://github.com/citation-style-language/schema/raw/master/csl-citation.json"} </w:instrText>
      </w:r>
      <w:r w:rsidR="00A5101C">
        <w:fldChar w:fldCharType="separate"/>
      </w:r>
      <w:r w:rsidR="00A5101C" w:rsidRPr="000C3554">
        <w:t>(2018)</w:t>
      </w:r>
      <w:r w:rsidR="00A5101C">
        <w:fldChar w:fldCharType="end"/>
      </w:r>
      <w:r w:rsidR="00A5101C">
        <w:t xml:space="preserve"> reviewed academic literature over the past four decades and found that only </w:t>
      </w:r>
      <w:r>
        <w:t>a few</w:t>
      </w:r>
      <w:r w:rsidR="00A5101C">
        <w:t xml:space="preserve"> academic papers addressed sheltering sustainability and life-cycle environmental impacts.</w:t>
      </w:r>
      <w:r w:rsidR="0057058D">
        <w:t xml:space="preserve"> </w:t>
      </w:r>
      <w:r w:rsidR="004D180C">
        <w:t xml:space="preserve">Within this body of literature, </w:t>
      </w:r>
      <w:r>
        <w:t>most articles focus</w:t>
      </w:r>
      <w:r w:rsidR="004D180C">
        <w:t xml:space="preserve"> on temporary housing</w:t>
      </w:r>
      <w:r w:rsidR="00BF2735">
        <w:t xml:space="preserve"> and are based on case studies</w:t>
      </w:r>
      <w:r w:rsidR="004D180C">
        <w:t xml:space="preserve">. </w:t>
      </w:r>
      <w:r w:rsidR="00AA4129">
        <w:t xml:space="preserve">Atmaca </w:t>
      </w:r>
      <w:r w:rsidR="004D180C">
        <w:fldChar w:fldCharType="begin"/>
      </w:r>
      <w:r w:rsidR="00AA4129">
        <w:instrText xml:space="preserve"> ADDIN ZOTERO_ITEM CSL_CITATION {"citationID":"zVdqFGDA","properties":{"formattedCitation":"(2017)","plainCitation":"(2017)","noteIndex":0},"citationItems":[{"id":6170,"uris":["http://zotero.org/users/5557903/items/WNZS9XWQ"],"uri":["http://zotero.org/users/5557903/items/WNZS9XWQ"],"itemData":{"id":6170,"type":"article-journal","title":"Life-cycle assessment of post-disaster temporary housing","container-title":"Building Research &amp; Information","page":"524-538","volume":"45","issue":"5","source":"Taylor and Francis+NEJM","abstract":"The estimation of energy consumption and related CO2 emissions from buildings is increasingly important in life-cycle assessment (LCA) studies that have been applied in the design of more energy-efficient building construction systems and materials. This study undertakes a life-cycle energy analysis (LCEA) and life-cycle CO2 emissions analysis (LCCO2A) of two common types of post-disaster temporary houses constructed in Turkey. The proposed model includes building construction, operation and demolition phases to estimate total energy use and CO2 emissions over 15- and 25-year lifespans for container houses (CH) and prefabricated houses (PH) respectively. Energy efficiency and emission parameters are defined per m2 and on a per capita basis. It is found that the operation phase is dominant in both PH and CH and contributes 86–88% of the primary energy requirements and 95–96% of CO2 emissions. The embodied energy (EE) of the constructions accounts for 12–14% of the overall life-cycle energy consumption. The results show that life-cycle energy and emissions intensity in CH are higher than those for PH. However, this pattern is reversed when energy requirements are expressed on a per capita basis.","DOI":"10.1080/09613218.2015.1127116","ISSN":"0961-3218","author":[{"family":"Atmaca","given":"Nihat"}],"issued":{"date-parts":[["2017",7,4]]}},"suppress-author":true}],"schema":"https://github.com/citation-style-language/schema/raw/master/csl-citation.json"} </w:instrText>
      </w:r>
      <w:r w:rsidR="004D180C">
        <w:fldChar w:fldCharType="separate"/>
      </w:r>
      <w:r w:rsidR="00AA4129" w:rsidRPr="00AA4129">
        <w:t>(2017)</w:t>
      </w:r>
      <w:r w:rsidR="004D180C">
        <w:fldChar w:fldCharType="end"/>
      </w:r>
      <w:r>
        <w:t xml:space="preserve"> </w:t>
      </w:r>
      <w:r w:rsidR="00146193">
        <w:t xml:space="preserve">carried out a life cycle assessment (LCA) for container and prefabricated houses </w:t>
      </w:r>
      <w:r w:rsidR="000819D6">
        <w:t xml:space="preserve">across a </w:t>
      </w:r>
      <w:r w:rsidR="00146193">
        <w:t>15 and 2</w:t>
      </w:r>
      <w:r>
        <w:t>5 year lifespan in Turkey, finding</w:t>
      </w:r>
      <w:r w:rsidR="00146193">
        <w:t xml:space="preserve"> higher carbon and energy values for the container houses</w:t>
      </w:r>
      <w:r w:rsidR="008671DA">
        <w:t>.</w:t>
      </w:r>
      <w:r w:rsidR="008671DA" w:rsidRPr="008671DA">
        <w:t xml:space="preserve"> </w:t>
      </w:r>
      <w:r w:rsidR="008671DA">
        <w:t xml:space="preserve">In a study that also considered life cycle costs </w:t>
      </w:r>
      <w:r w:rsidR="008671DA">
        <w:fldChar w:fldCharType="begin"/>
      </w:r>
      <w:r w:rsidR="008671DA">
        <w:instrText xml:space="preserve"> ADDIN ZOTERO_ITEM CSL_CITATION {"citationID":"uLKy6Od2","properties":{"formattedCitation":"(Atmaca and Atmaca, 2016)","plainCitation":"(Atmaca and Atmaca, 2016)","noteIndex":0},"citationItems":[{"id":6172,"uris":["http://zotero.org/users/5557903/items/NZNMENL3"],"uri":["http://zotero.org/users/5557903/items/NZNMENL3"],"itemData":{"id":6172,"type":"article-journal","title":"Comparative life cycle energy and cost analysis of post-disaster temporary housings","container-title":"Applied Energy","page":"429-443","volume":"171","source":"ScienceDirect","abstract":"Temporary housings play an important role by providing people a habitable environment while the effects of a disaster are being fixed. In this paper, life cycle energy and cost analysis of two common types of post-disaster temporary housings constructed in Turkey has been studied. The aim of this study was to identify whether it is more convenient to use prefabricated (PH) or container housings (CH) in post-disaster reconstruction projects. Construction and operational energy requirements are calculated over 15years using a comprehensive approach. The energy and financial requirements of the housings have been evaluated by considering four different base areas. The life cycle investment, operation, maintenance, service and end of life costs have been investigated by using the net present value technique. Life cycle primary energy consumption values of the most widely used prefabricated (PH70) and container (CH20) housings are calculated to be 18.5 and 24.7GJ/m2, respectively. The results show that operational phase was dominant over the housings 15-year lifetime. The life cycle cost of PH70 and CH20 are calculated to be 919 and 1308$/m2, respectively. It is found that increasing the total base area of the housings is an important cost-effective energy reduction measure. The results expressed that prefabricated housings have 25.1 and 29.7% lower life cycle energy and cost requirements respectively.","DOI":"10.1016/j.apenergy.2016.03.058","ISSN":"0306-2619","journalAbbreviation":"Applied Energy","author":[{"family":"Atmaca","given":"Adem"},{"family":"Atmaca","given":"Nihat"}],"issued":{"date-parts":[["2016",6,1]]}}}],"schema":"https://github.com/citation-style-language/schema/raw/master/csl-citation.json"} </w:instrText>
      </w:r>
      <w:r w:rsidR="008671DA">
        <w:fldChar w:fldCharType="separate"/>
      </w:r>
      <w:r w:rsidR="008671DA" w:rsidRPr="008671DA">
        <w:t>(Atmaca and Atmaca, 2016)</w:t>
      </w:r>
      <w:r w:rsidR="008671DA">
        <w:fldChar w:fldCharType="end"/>
      </w:r>
      <w:r>
        <w:t>, the authors</w:t>
      </w:r>
      <w:r w:rsidR="008671DA">
        <w:t xml:space="preserve"> found that in addition to lower energy requirements, prefabricated houses also incurred 30% lower costs</w:t>
      </w:r>
      <w:r w:rsidR="000819D6" w:rsidRPr="000819D6">
        <w:t xml:space="preserve"> </w:t>
      </w:r>
      <w:r w:rsidR="000819D6">
        <w:t>on average</w:t>
      </w:r>
      <w:r w:rsidR="008671DA">
        <w:t>.</w:t>
      </w:r>
      <w:r>
        <w:t xml:space="preserve"> </w:t>
      </w:r>
      <w:r w:rsidR="008671DA">
        <w:t>Both studies</w:t>
      </w:r>
      <w:r w:rsidR="00146193">
        <w:t xml:space="preserve"> concluded that the majority of the whole-life energy and carbon is linked to the operational phase, with materials and construction accounting for</w:t>
      </w:r>
      <w:r>
        <w:t xml:space="preserve"> a mere</w:t>
      </w:r>
      <w:r w:rsidR="00146193">
        <w:t xml:space="preserve"> 12-14</w:t>
      </w:r>
      <w:r w:rsidR="008671DA">
        <w:t>%</w:t>
      </w:r>
      <w:r>
        <w:t xml:space="preserve">. </w:t>
      </w:r>
      <w:r w:rsidR="008671DA">
        <w:t xml:space="preserve"> </w:t>
      </w:r>
    </w:p>
    <w:p w14:paraId="26E4999E" w14:textId="3C8FEF65" w:rsidR="008671DA" w:rsidRDefault="008671DA" w:rsidP="004D180C"/>
    <w:p w14:paraId="5ACD4C98" w14:textId="6AD7AD31" w:rsidR="003320BF" w:rsidRDefault="000819D6" w:rsidP="004D180C">
      <w:r>
        <w:t>Conversely,</w:t>
      </w:r>
      <w:r w:rsidR="008671DA">
        <w:t xml:space="preserve"> Song et al. </w:t>
      </w:r>
      <w:r w:rsidR="008671DA">
        <w:fldChar w:fldCharType="begin"/>
      </w:r>
      <w:r w:rsidR="008671DA">
        <w:instrText xml:space="preserve"> ADDIN ZOTERO_ITEM CSL_CITATION {"citationID":"yB8CfY2P","properties":{"formattedCitation":"(2016)","plainCitation":"(2016)","noteIndex":0},"citationItems":[{"id":6174,"uris":["http://zotero.org/users/5557903/items/RKIMXHDW"],"uri":["http://zotero.org/users/5557903/items/RKIMXHDW"],"itemData":{"id":6174,"type":"article-journal","title":"Life-time performance of post-disaster temporary housing: A case study in Nanjing","container-title":"Energy and Buildings","page":"394-404","volume":"128","source":"ScienceDirect","abstract":"Temporary housing is crucial to disaster recovery, due to the demand for large numbers within a short period. The short life cycle and unique functional requirements associated with temporary housing could lead to significant environmental impacts. However these have not been adequately investigated. This paper focuses on the life cycle performance of light-framed temporary housing in China with local technologies, taking Chinese electricity mix of each process and domestic transportation distances into consideration. The research selects four popular temporary housing in China, calculates the material requirements and compares the life cycle impact of different wall assemblies based on Future House built in Nanjing. While energy consumption and greenhouse gas emissions are used as surrogate indicators of environmental impact, total life-time impact is established by including construction energy, operating energy, maintenance energy and end-of-life energy and corresponding greenhouse gas emissions. It was found that the life cycle energy of post-disaster temporary housing is much higher in comparison to low energy buildings with construction energy contributing 65% to life cycle energy due to unique requirements. The results also show that life cycle energy of post-disaster shelters could be reduced by using recycled materials, lighter structural materials and light wall cladding materials.","DOI":"10.1016/j.enbuild.2016.07.019","ISSN":"0378-7788","title-short":"Life-time performance of post-disaster temporary housing","journalAbbreviation":"Energy and Buildings","author":[{"family":"Song","given":"Yiming"},{"family":"Mithraratne","given":"Nalanie"},{"family":"Zhang","given":"Hong"}],"issued":{"date-parts":[["2016",9,15]]}},"suppress-author":true}],"schema":"https://github.com/citation-style-language/schema/raw/master/csl-citation.json"} </w:instrText>
      </w:r>
      <w:r w:rsidR="008671DA">
        <w:fldChar w:fldCharType="separate"/>
      </w:r>
      <w:r w:rsidR="008671DA" w:rsidRPr="008671DA">
        <w:t>(2016)</w:t>
      </w:r>
      <w:r w:rsidR="008671DA">
        <w:fldChar w:fldCharType="end"/>
      </w:r>
      <w:r w:rsidR="008671DA">
        <w:t>, who carried out an LCA of light-framed temporary housing in a case study in Nanjing, China built with local technologies</w:t>
      </w:r>
      <w:r>
        <w:t>,</w:t>
      </w:r>
      <w:r w:rsidR="008671DA">
        <w:t xml:space="preserve"> found that the life cycle energy of post-disaster temporary housing is much higher than that of low-energy buildings, and that the construction contributes to 65% of the whole-life energy. To mitigate such high embodied energy, the authors suggested using recycled materials as well as light</w:t>
      </w:r>
      <w:r w:rsidR="003320BF">
        <w:t xml:space="preserve">er structures and light cladding. </w:t>
      </w:r>
    </w:p>
    <w:p w14:paraId="11D365E8" w14:textId="77777777" w:rsidR="003320BF" w:rsidRDefault="003320BF" w:rsidP="004D180C"/>
    <w:p w14:paraId="3C9391BD" w14:textId="06B7DCB3" w:rsidR="00E960E6" w:rsidRDefault="000819D6" w:rsidP="004D180C">
      <w:r>
        <w:lastRenderedPageBreak/>
        <w:t xml:space="preserve">Amin Hosseini et al. </w:t>
      </w:r>
      <w:r>
        <w:fldChar w:fldCharType="begin"/>
      </w:r>
      <w:r>
        <w:instrText xml:space="preserve"> ADDIN ZOTERO_ITEM CSL_CITATION {"citationID":"7jtNZmY0","properties":{"formattedCitation":"(2016)","plainCitation":"(2016)","noteIndex":0},"citationItems":[{"id":6176,"uris":["http://zotero.org/users/5557903/items/97KVA8G8"],"uri":["http://zotero.org/users/5557903/items/97KVA8G8"],"itemData":{"id":6176,"type":"article-journal","title":"Multi-criteria decision-making method for assessing the sustainability of post-disaster temporary housing units technologies: A case study in Bam, 2003","container-title":"Sustainable Cities and Society","page":"38-51","volume":"20","source":"ScienceDirect","abstract":"Temporary housing units (THUs) have been used for displaced population (DP) in the aftermath of natural disasters to serve as an alternative residence while the permanent housing process is completed. A THU is often provided as a prefabricated system, which has been criticized due to the economic, environmental, and social aspects of THUs. However, this model has been widely used in previous recovery programs. Additionally, it should be highlighted that the lack of potential of certain areas persuades decision-makers to implement the THUs. This paper presents a new model for choosing optimized THUs based on the sustainability concept. This model supports decision-makers in selecting a more adequate type of THU, to reduce the negative impact of temporary housing (TH) when there is no other possibility. The Integrated Value Model for Sustainable Assessment (MIVES), a Multi-Criteria Decision Making (MCDM) model that includes the value function concept, is used to evaluate the sustainability value of each THU alternative. THU technologies that had been suggested for the Bam earthquake recovery program by a semi-public organization have been analysed by this method to achieve two aims: (1) to determine the most sustainable technology to use and (2) to test the designed model.","DOI":"10.1016/j.scs.2015.09.012","ISSN":"2210-6707","title-short":"Multi-criteria decision-making method for assessing the sustainability of post-disaster temporary housing units technologies","journalAbbreviation":"Sustainable Cities and Society","author":[{"family":"Amin Hosseini","given":"S. M."},{"family":"Fuente","given":"Albert","non-dropping-particle":"de la"},{"family":"Pons","given":"Oriol"}],"issued":{"date-parts":[["2016",1,1]]}},"suppress-author":true}],"schema":"https://github.com/citation-style-language/schema/raw/master/csl-citation.json"} </w:instrText>
      </w:r>
      <w:r>
        <w:fldChar w:fldCharType="separate"/>
      </w:r>
      <w:r w:rsidRPr="003320BF">
        <w:t>(2016)</w:t>
      </w:r>
      <w:r>
        <w:fldChar w:fldCharType="end"/>
      </w:r>
      <w:r>
        <w:t xml:space="preserve"> conducted a</w:t>
      </w:r>
      <w:r w:rsidR="003320BF">
        <w:t xml:space="preserve"> case study of temporary housing units in Bam, Iran</w:t>
      </w:r>
      <w:r w:rsidR="00060B0D">
        <w:t xml:space="preserve"> and, r</w:t>
      </w:r>
      <w:r w:rsidR="003320BF">
        <w:t xml:space="preserve">ather than quantifying impacts, they propose a new multi-criteria decision-making method to assess the sustainability of post-disaster temporary housing units. Their sustainability analysis is based on the three sustainability pillars and </w:t>
      </w:r>
      <w:r w:rsidR="00060B0D">
        <w:t>considers</w:t>
      </w:r>
      <w:r w:rsidR="003320BF">
        <w:t xml:space="preserve"> economic, social, and environmental requirements. Economic indicators are construction and maintenance costs; social indicators are construction time, risk resistance against natural or man-made disasters, and comfort; and environmental indicators are embodied energy and carbon, waste generation, and water consumption </w:t>
      </w:r>
      <w:r w:rsidR="003320BF">
        <w:fldChar w:fldCharType="begin"/>
      </w:r>
      <w:r w:rsidR="003320BF">
        <w:instrText xml:space="preserve"> ADDIN ZOTERO_ITEM CSL_CITATION {"citationID":"CQLjzBy2","properties":{"formattedCitation":"(Amin Hosseini et al., 2016)","plainCitation":"(Amin Hosseini et al., 2016)","noteIndex":0},"citationItems":[{"id":6176,"uris":["http://zotero.org/users/5557903/items/97KVA8G8"],"uri":["http://zotero.org/users/5557903/items/97KVA8G8"],"itemData":{"id":6176,"type":"article-journal","title":"Multi-criteria decision-making method for assessing the sustainability of post-disaster temporary housing units technologies: A case study in Bam, 2003","container-title":"Sustainable Cities and Society","page":"38-51","volume":"20","source":"ScienceDirect","abstract":"Temporary housing units (THUs) have been used for displaced population (DP) in the aftermath of natural disasters to serve as an alternative residence while the permanent housing process is completed. A THU is often provided as a prefabricated system, which has been criticized due to the economic, environmental, and social aspects of THUs. However, this model has been widely used in previous recovery programs. Additionally, it should be highlighted that the lack of potential of certain areas persuades decision-makers to implement the THUs. This paper presents a new model for choosing optimized THUs based on the sustainability concept. This model supports decision-makers in selecting a more adequate type of THU, to reduce the negative impact of temporary housing (TH) when there is no other possibility. The Integrated Value Model for Sustainable Assessment (MIVES), a Multi-Criteria Decision Making (MCDM) model that includes the value function concept, is used to evaluate the sustainability value of each THU alternative. THU technologies that had been suggested for the Bam earthquake recovery program by a semi-public organization have been analysed by this method to achieve two aims: (1) to determine the most sustainable technology to use and (2) to test the designed model.","DOI":"10.1016/j.scs.2015.09.012","ISSN":"2210-6707","title-short":"Multi-criteria decision-making method for assessing the sustainability of post-disaster temporary housing units technologies","journalAbbreviation":"Sustainable Cities and Society","author":[{"family":"Amin Hosseini","given":"S. M."},{"family":"Fuente","given":"Albert","non-dropping-particle":"de la"},{"family":"Pons","given":"Oriol"}],"issued":{"date-parts":[["2016",1,1]]}}}],"schema":"https://github.com/citation-style-language/schema/raw/master/csl-citation.json"} </w:instrText>
      </w:r>
      <w:r w:rsidR="003320BF">
        <w:fldChar w:fldCharType="separate"/>
      </w:r>
      <w:r w:rsidR="003320BF" w:rsidRPr="003320BF">
        <w:t>(Amin Hosseini et al., 2016)</w:t>
      </w:r>
      <w:r w:rsidR="003320BF">
        <w:fldChar w:fldCharType="end"/>
      </w:r>
      <w:r w:rsidR="003320BF">
        <w:t xml:space="preserve">. </w:t>
      </w:r>
      <w:r w:rsidR="00645977">
        <w:t xml:space="preserve">This framework is then applied to four different solutions to identify the one that offers the best performance. One issue with their results is that values for embodied energy and carbon are entirely taken from the ICE database </w:t>
      </w:r>
      <w:r w:rsidR="00645977">
        <w:fldChar w:fldCharType="begin"/>
      </w:r>
      <w:r w:rsidR="00645977">
        <w:instrText xml:space="preserve"> ADDIN ZOTERO_ITEM CSL_CITATION {"citationID":"0i17DlFb","properties":{"formattedCitation":"(Hammond and Jones, 2011)","plainCitation":"(Hammond and Jones, 2011)","noteIndex":0},"citationItems":[{"id":2362,"uris":["http://zotero.org/users/5557903/items/UZZ28MZT"],"uri":["http://zotero.org/users/5557903/items/UZZ28MZT"],"itemData":{"id":2362,"type":"book","title":"Embodied carbon: the inventory of carbon and energy (ICE). BG 10/2011","publisher":"University of Bath and BSRIA","ISBN":"978-0-86022-703-8","author":[{"family":"Hammond","given":"Geoffrey"},{"family":"Jones","given":"Craig"}],"issued":{"date-parts":[["2011"]]}}}],"schema":"https://github.com/citation-style-language/schema/raw/master/csl-citation.json"} </w:instrText>
      </w:r>
      <w:r w:rsidR="00645977">
        <w:fldChar w:fldCharType="separate"/>
      </w:r>
      <w:r w:rsidR="00645977" w:rsidRPr="00645977">
        <w:t>(Hammond and Jones, 2011)</w:t>
      </w:r>
      <w:r w:rsidR="00645977">
        <w:fldChar w:fldCharType="end"/>
      </w:r>
      <w:r w:rsidR="00645977">
        <w:t xml:space="preserve">, which is strictly UK specific and therefore unlikely to represent the Iranian context. The use of </w:t>
      </w:r>
      <w:r w:rsidR="00060B0D">
        <w:t xml:space="preserve">inapplicable </w:t>
      </w:r>
      <w:r w:rsidR="00645977">
        <w:t xml:space="preserve">numbers might well affect the validity of the results produced although the framework could still be used if supported by appropriate data. </w:t>
      </w:r>
    </w:p>
    <w:p w14:paraId="363B0B16" w14:textId="77777777" w:rsidR="00E960E6" w:rsidRDefault="00E960E6" w:rsidP="004D180C"/>
    <w:p w14:paraId="608B30FB" w14:textId="45CD7272" w:rsidR="00250951" w:rsidRDefault="00250951" w:rsidP="004D180C">
      <w:r>
        <w:t xml:space="preserve">Another framework, with the different aim of assessing the resilience embedded in reconstruction projects of post-disaster housing, was developed by Ahmed and Charlesworth </w:t>
      </w:r>
      <w:r>
        <w:fldChar w:fldCharType="begin"/>
      </w:r>
      <w:r>
        <w:instrText xml:space="preserve"> ADDIN ZOTERO_ITEM CSL_CITATION {"citationID":"HBBODMGY","properties":{"formattedCitation":"(2015)","plainCitation":"(2015)","noteIndex":0},"citationItems":[{"id":6187,"uris":["http://zotero.org/users/5557903/items/9P3233PM"],"uri":["http://zotero.org/users/5557903/items/9P3233PM"],"itemData":{"id":6187,"type":"article-journal","title":"An evaluation framework for assessing resilience of post-disaster housing","container-title":"International Journal of Disaster Resilience in the Built Environment; Bingley","page":"300-312","volume":"6","issue":"3","source":"ProQuest","abstract":"Purpose\n– The purpose of this paper is to discuss the utility of a tool for assessing resilience of housing. After disasters, maximum resources are often allocated for housing reconstruction, and most initiatives on disaster resilient housing have arisen after disasters. With widespread claims by agencies of having “built back better”, it is important to establish an evaluation framework that allows understanding to what extent resilience has been successfully achieved in such housing projects. This paper discusses such a tool developed by the authors.\n– In a study commissioned by the Australian Shelter Reference Group, the authors have developed an evaluation tool for assessing resilience in housing and tested it in several housing reconstruction projects in the Asia-Pacific region. Various evaluation frameworks were reviewed to develop the tool. An approach derived from the log frame was adapted in alignment with other key approaches. The tool is practical and targeted for agency staff involved in housing projects, evaluators of housing reconstruction projects and communities to assess their housing in terms of resilience. It comprises three main stages of an assessment process with guided activities at each stage.\n– The tool was tested in the Cook Islands and Sri Lanka, and the key findings of the test assessments are presented to demonstrate the prospects of the tool. While the case study projects all indicated achievement of a level of resilience, problems were evident in terms of designs issues and external factors.\n– Such a tool has the potential to be used more widely through advocacy to prioritise resilience in post-disaster housing reconstruction.","DOI":"http://dx.doi.org.ezproxy.napier.ac.uk/10.1108/IJDRBE-11-2013-0042","ISSN":"17595908","language":"English","author":[{"family":"Ahmed","given":"Iftekhar"},{"family":"Charlesworth","given":"Esther Ruth"}],"issued":{"date-parts":[["2015"]]}},"suppress-author":true}],"schema":"https://github.com/citation-style-language/schema/raw/master/csl-citation.json"} </w:instrText>
      </w:r>
      <w:r>
        <w:fldChar w:fldCharType="separate"/>
      </w:r>
      <w:r w:rsidRPr="00250951">
        <w:t>(2015)</w:t>
      </w:r>
      <w:r>
        <w:fldChar w:fldCharType="end"/>
      </w:r>
      <w:r>
        <w:t>. Their framework</w:t>
      </w:r>
      <w:r w:rsidR="00060B0D">
        <w:t xml:space="preserve"> was</w:t>
      </w:r>
      <w:r>
        <w:t xml:space="preserve"> intended to be used as a tool in the field</w:t>
      </w:r>
      <w:r w:rsidR="00060B0D">
        <w:t xml:space="preserve"> and</w:t>
      </w:r>
      <w:r>
        <w:t xml:space="preserve"> is based on three stages: pre-assessment, assessment, and consolidation. Their take on sustainability is that more resilient housing</w:t>
      </w:r>
      <w:r w:rsidR="00060B0D">
        <w:t>,</w:t>
      </w:r>
      <w:r>
        <w:t xml:space="preserve"> designed with future risks in mind</w:t>
      </w:r>
      <w:r w:rsidR="00060B0D">
        <w:t>,</w:t>
      </w:r>
      <w:r>
        <w:t xml:space="preserve"> can increase its durability and </w:t>
      </w:r>
      <w:r w:rsidR="00F60E88">
        <w:t xml:space="preserve">thus </w:t>
      </w:r>
      <w:r>
        <w:t xml:space="preserve">prove more sustainable. The authors tested their tool in the Cook Islands and Sri Lanka, concluding that </w:t>
      </w:r>
      <w:r w:rsidR="00060B0D">
        <w:t>it</w:t>
      </w:r>
      <w:r>
        <w:t xml:space="preserve"> proved usef</w:t>
      </w:r>
      <w:r w:rsidR="0057058D">
        <w:t xml:space="preserve">ul to NGOs to evaluate the disaster resilience of previously built housing projects. </w:t>
      </w:r>
    </w:p>
    <w:p w14:paraId="467CF4D7" w14:textId="6848D555" w:rsidR="00645977" w:rsidRDefault="00645977" w:rsidP="004D180C"/>
    <w:p w14:paraId="046C8E8A" w14:textId="38BD32B3" w:rsidR="00E960E6" w:rsidRDefault="00645977" w:rsidP="004D180C">
      <w:r>
        <w:t xml:space="preserve">Arslan and Cosgun </w:t>
      </w:r>
      <w:r>
        <w:fldChar w:fldCharType="begin"/>
      </w:r>
      <w:r>
        <w:instrText xml:space="preserve"> ADDIN ZOTERO_ITEM CSL_CITATION {"citationID":"ssh4kt3S","properties":{"formattedCitation":"(2008)","plainCitation":"(2008)","noteIndex":0},"citationItems":[{"id":6179,"uris":["http://zotero.org/users/5557903/items/7RQBY59M"],"uri":["http://zotero.org/users/5557903/items/7RQBY59M"],"itemData":{"id":6179,"type":"article-journal","title":"Reuse and recycle potentials of the temporary houses after occupancy: Example of Duzce, Turkey","container-title":"Building and Environment","page":"702-709","volume":"43","issue":"5","source":"ScienceDirect","abstract":"Temporary housing reconstruction after the earthquake is a crucial issue regarding its social, physical, psychological and environmental effects. The needs of disaster victims for the temporary shelters and houses should be met rapidly. In that way the victims have chance for returning back to their daily life activities as soon as possible. Thus, national and international aids–resources used in post-disaster construction activities were mainly focused on sheltering and housing after the emergency phase. Consequently, temporary housing sites were frequently constructed as a solution on the aftermath of the disaster. The purpose of this study is to research temporary housing sites reuse and recycle potentials after occupancy in the case study of Duzce, Turkey. Solution proposals for obtaining the sustainability of the temporary housing sites were determined with respect to the observations made in production, occupancy, dismantling and evacuation processes of the temporary housing sites in a case study by taking the existing dwellers’ expectations into consideration. The results showed the need for pre-disaster design and organization to accelerate reuse and recycle potentials of the houses and sites. The reuse and recycle recommendations of the case study can be used to boost the reconstruction of the disaster affected regions by the assistance of local and central government as well.","DOI":"10.1016/j.buildenv.2007.01.051","ISSN":"0360-1323","title-short":"Reuse and recycle potentials of the temporary houses after occupancy","journalAbbreviation":"Building and Environment","author":[{"family":"Arslan","given":"Hakan"},{"family":"Cosgun","given":"Nilay"}],"issued":{"date-parts":[["2008",5,1]]}},"suppress-author":true}],"schema":"https://github.com/citation-style-language/schema/raw/master/csl-citation.json"} </w:instrText>
      </w:r>
      <w:r>
        <w:fldChar w:fldCharType="separate"/>
      </w:r>
      <w:r w:rsidRPr="00645977">
        <w:t>(2008)</w:t>
      </w:r>
      <w:r>
        <w:fldChar w:fldCharType="end"/>
      </w:r>
      <w:r>
        <w:t xml:space="preserve"> adopted a qualitative approach to investigate the reuse and recycle potential of t</w:t>
      </w:r>
      <w:r w:rsidR="00FB4B22">
        <w:t>emporary houses after occupancy, from a case study in Duzce, Turkey. They observed production, occupancy, and dismantling phases concluding that better pre-disaster design and organisation is necessary to maximise the recycling and reuse potential of housing units once they have been vacated. The authors also identified the necessity of integrated planning and distribution between all actors involved (local and national governments, NGOs, and the affected communities).</w:t>
      </w:r>
      <w:r w:rsidR="00A37930">
        <w:t xml:space="preserve"> In another case study in the same location in Turkey, Arslan </w:t>
      </w:r>
      <w:r w:rsidR="00A37930">
        <w:fldChar w:fldCharType="begin"/>
      </w:r>
      <w:r w:rsidR="00A37930">
        <w:instrText xml:space="preserve"> ADDIN ZOTERO_ITEM CSL_CITATION {"citationID":"f1jm4IAr","properties":{"formattedCitation":"(2007)","plainCitation":"(2007)","noteIndex":0},"citationItems":[{"id":6182,"uris":["http://zotero.org/users/5557903/items/8QPHI67U"],"uri":["http://zotero.org/users/5557903/items/8QPHI67U"],"itemData":{"id":6182,"type":"article-journal","title":"Re-design, re-use and recycle of temporary houses","container-title":"Building and Environment","page":"400-406","volume":"42","issue":"1","source":"ScienceDirect","abstract":"Disasters are recurring to global problems, which results in homelessness. The affected region had economical, environmental and social problems as well. In relief and reconstruction phases, the need for integrated management appeared in order to use the national sources actively and productively. Especially housing implementations had an important role for future development of the affected region. For accelerating the reconstruction of the region and forming a sustainable community, which maintains itself socially, environmentally and economically over time; energy usage for construction should be kept to a minimum. Past research in Turkey shows that the cost of temporary houses (to be used as the short term shelter) had a ratio of 10–15% of the total expenses of whole construction activity. For saving money and protecting the environment and conserving scarce resources, the affected region must consider the option of temporary houses to meet their short and long-term need during the reconstruction process. After the end of usage, temporary houses should be able to be re-used for the same or new function. This study is a test of re-design and re-use of a temporary housing site; by using recycled materials, minimum energy and voluntary participation so that this site can finally become a permanent housing site.","DOI":"10.1016/j.buildenv.2005.07.032","ISSN":"0360-1323","journalAbbreviation":"Building and Environment","author":[{"family":"Arslan","given":"Hakan"}],"issued":{"date-parts":[["2007",1,1]]}},"suppress-author":true}],"schema":"https://github.com/citation-style-language/schema/raw/master/csl-citation.json"} </w:instrText>
      </w:r>
      <w:r w:rsidR="00A37930">
        <w:fldChar w:fldCharType="separate"/>
      </w:r>
      <w:r w:rsidR="00A37930" w:rsidRPr="00A37930">
        <w:t>(2007)</w:t>
      </w:r>
      <w:r w:rsidR="00A37930">
        <w:fldChar w:fldCharType="end"/>
      </w:r>
      <w:r w:rsidR="00A37930">
        <w:t xml:space="preserve"> optimised the design of a temporary housing unit to maximise </w:t>
      </w:r>
      <w:r w:rsidR="00060B0D">
        <w:t>the reuse and recycle</w:t>
      </w:r>
      <w:r w:rsidR="00A37930">
        <w:t xml:space="preserve"> potential in the transition from dismantling the unit to the reconstruction of a permanent house.</w:t>
      </w:r>
      <w:r w:rsidR="00E960E6">
        <w:t xml:space="preserve"> </w:t>
      </w:r>
    </w:p>
    <w:p w14:paraId="34D21BE6" w14:textId="77777777" w:rsidR="00E960E6" w:rsidRDefault="00E960E6" w:rsidP="004D180C"/>
    <w:p w14:paraId="719B00A9" w14:textId="783F8266" w:rsidR="004C5553" w:rsidRDefault="004C5553" w:rsidP="004D180C">
      <w:r>
        <w:t xml:space="preserve">Design was also the key focus of Tucker et al. </w:t>
      </w:r>
      <w:r>
        <w:fldChar w:fldCharType="begin"/>
      </w:r>
      <w:r>
        <w:instrText xml:space="preserve"> ADDIN ZOTERO_ITEM CSL_CITATION {"citationID":"rP6lfAaj","properties":{"formattedCitation":"(2014)","plainCitation":"(2014)","noteIndex":0},"citationItems":[{"id":6191,"uris":["http://zotero.org/users/5557903/items/XUYP4WWV"],"uri":["http://zotero.org/users/5557903/items/XUYP4WWV"],"itemData":{"id":6191,"type":"article-journal","title":"Some design aspects of sustainable post-disaster housing","container-title":"International Journal of Disaster Resilience in the Built Environment; Bingley","page":"163-181","volume":"5","issue":"2","source":"ProQuest","abstract":"Purpose\n– The aim of this paper is to discuss selected aspects of the design of post-disaster housing building on current guidance in this area. The paper focuses on the use of appropriate materials and technology to suit the climate and site and draws lessons from traditional housing types and settlement patterns.\n– A case study of a design project is used to illustrate an approach toward sustainable design. The approach is structured and could therefore fit into the wider structures and frameworks of providing such housing.\n– A design was generated that meets many of the desired environmental criteria. It was also found that important design resources are required by the design team not mentioned in the existing guidelines.\n– A limitation of the paper is that the design is hypothetical and there has been no input from prospective inhabitants or other groups.\n– The design approach illustrated here may be of use to relief organizations working in the field and also could be used to develop further awareness of sustainability. Organizations that provide for and coordinate post-disaster construction could consider making further design resources available as part of a project.\n– The study addresses the design of housing, which itself is an activity located in society.\n– The paper adds to the discussion on the design of post-disaster housing and supports the argument that such housing can help to support wider and longer-term development.","DOI":"http://dx.doi.org.ezproxy.napier.ac.uk/10.1108/IJDRBE-06-2012-0019","ISSN":"17595908","language":"English","author":[{"family":"Tucker","given":"Simon"},{"family":"Gamage","given":"Arosha"},{"family":"Wijeyesekera","given":"Chitral"}],"issued":{"date-parts":[["2014"]]}},"suppress-author":true}],"schema":"https://github.com/citation-style-language/schema/raw/master/csl-citation.json"} </w:instrText>
      </w:r>
      <w:r>
        <w:fldChar w:fldCharType="separate"/>
      </w:r>
      <w:r w:rsidRPr="004C5553">
        <w:t>(2014)</w:t>
      </w:r>
      <w:r>
        <w:fldChar w:fldCharType="end"/>
      </w:r>
      <w:r>
        <w:t xml:space="preserve"> who used a case study in Sri Lanka to illustrate a structured approach to sustainable design </w:t>
      </w:r>
      <w:r w:rsidR="006908AF">
        <w:t>of</w:t>
      </w:r>
      <w:r>
        <w:t xml:space="preserve"> post-disaster housing. This was used to generate a housing design that meets the desired environmental criteria. One of the limitations that the authors identify, in line with what Yi and Yang </w:t>
      </w:r>
      <w:r>
        <w:fldChar w:fldCharType="begin"/>
      </w:r>
      <w:r>
        <w:instrText xml:space="preserve"> ADDIN ZOTERO_ITEM CSL_CITATION {"citationID":"9gGGFV3x","properties":{"formattedCitation":"(2014)","plainCitation":"(2014)","noteIndex":0},"citationItems":[{"id":6186,"uris":["http://zotero.org/users/5557903/items/M37RJSVN"],"uri":["http://zotero.org/users/5557903/items/M37RJSVN"],"itemData":{"id":6186,"type":"article-journal","title":"Research trends of post disaster reconstruction: The past and the future","container-title":"Habitat International","page":"21-29","volume":"42","source":"Crossref","abstract":"Natural disasters can have adverse effect on human lives. To raise the awareness of research and better combat future events, it is important to identify recent research trends in the area of post disaster reconstruction (PDR). The authors used a three-round literature review strategy to study journal papers published in the last decade that are related to PDR with speciﬁc conditions using the Scopus search engine. A wide range of PDR related papers from a general perspective was examined in the ﬁrst two rounds while the ﬁnal round established 88 papers as target publications through visual examination of the abstracts, keywords and as necessary, main texts. These papers were analysed in terms of research origins, active researchers, research organisations, most cited papers, regional concerns, major themes and deliverables, for clues of the past trends and future directions. The need for appropriate PDR research is increasingly recognised. The publication number multiplied 5 times from 2002 to 2012. For PDR research with a construction perspective, the increase is sixfold. Developing countries such as those in Asia attract almost 50% researchers’ attention for regional concerns while the US is the single most concentrated (24%) country. Africa is hardly represented. Researchers in developed countries lead in worldwide PDR research. This contrasts to the need for expertise in developing countries. Past works focused on waste management, stakeholder analysis, resourcing, infrastructure issue, resilience and vulnerability, reconstruction approach, sustainable reconstruction and governance issues. Future research should respond to resourcing, integrated development, sustainability and resilience building to cover the gaps. By means of a holistic summary and structured analysis of key patterns, the authors hope to provide a streamlined access to existing research ﬁndings and make predictions of future trends. They also hope to encourage a more holistic approach to PDR research and international collaborations.","DOI":"10.1016/j.habitatint.2013.10.005","ISSN":"01973975","title-short":"Research trends of post disaster reconstruction","language":"en","author":[{"family":"Yi","given":"Honglei"},{"family":"Yang","given":"Jay"}],"issued":{"date-parts":[["2014",4]]}},"suppress-author":true}],"schema":"https://github.com/citation-style-language/schema/raw/master/csl-citation.json"} </w:instrText>
      </w:r>
      <w:r>
        <w:fldChar w:fldCharType="separate"/>
      </w:r>
      <w:r w:rsidRPr="00745D23">
        <w:t>(2014)</w:t>
      </w:r>
      <w:r>
        <w:fldChar w:fldCharType="end"/>
      </w:r>
      <w:r>
        <w:t xml:space="preserve"> also highlighted in their review, is the lack of involvement of relevant stakeholders (e.g. inhabitants) or expert groups in developing countries. Nonetheless, their approach of applying lessons from traditional housing to the construction of post-disaster housing shows that more sustainable solutions can be achieved “because the materials and construction methods are more rooted in the cultural and climatic contexts” </w:t>
      </w:r>
      <w:r>
        <w:fldChar w:fldCharType="begin"/>
      </w:r>
      <w:r>
        <w:instrText xml:space="preserve"> ADDIN ZOTERO_ITEM CSL_CITATION {"citationID":"VIozHkjz","properties":{"formattedCitation":"(Tucker et al., 2014, p.177)","plainCitation":"(Tucker et al., 2014, p.177)","noteIndex":0},"citationItems":[{"id":6191,"uris":["http://zotero.org/users/5557903/items/XUYP4WWV"],"uri":["http://zotero.org/users/5557903/items/XUYP4WWV"],"itemData":{"id":6191,"type":"article-journal","title":"Some design aspects of sustainable post-disaster housing","container-title":"International Journal of Disaster Resilience in the Built Environment; Bingley","page":"163-181","volume":"5","issue":"2","source":"ProQuest","abstract":"Purpose\n– The aim of this paper is to discuss selected aspects of the design of post-disaster housing building on current guidance in this area. The paper focuses on the use of appropriate materials and technology to suit the climate and site and draws lessons from traditional housing types and settlement patterns.\n– A case study of a design project is used to illustrate an approach toward sustainable design. The approach is structured and could therefore fit into the wider structures and frameworks of providing such housing.\n– A design was generated that meets many of the desired environmental criteria. It was also found that important design resources are required by the design team not mentioned in the existing guidelines.\n– A limitation of the paper is that the design is hypothetical and there has been no input from prospective inhabitants or other groups.\n– The design approach illustrated here may be of use to relief organizations working in the field and also could be used to develop further awareness of sustainability. Organizations that provide for and coordinate post-disaster construction could consider making further design resources available as part of a project.\n– The study addresses the design of housing, which itself is an activity located in society.\n– The paper adds to the discussion on the design of post-disaster housing and supports the argument that such housing can help to support wider and longer-term development.","DOI":"http://dx.doi.org.ezproxy.napier.ac.uk/10.1108/IJDRBE-06-2012-0019","ISSN":"17595908","language":"English","author":[{"family":"Tucker","given":"Simon"},{"family":"Gamage","given":"Arosha"},{"family":"Wijeyesekera","given":"Chitral"}],"issued":{"date-parts":[["2014"]]}},"suffix":", p.177"}],"schema":"https://github.com/citation-style-language/schema/raw/master/csl-citation.json"} </w:instrText>
      </w:r>
      <w:r>
        <w:fldChar w:fldCharType="separate"/>
      </w:r>
      <w:r w:rsidRPr="004C5553">
        <w:t>(Tucker et al., 2014, p.177)</w:t>
      </w:r>
      <w:r>
        <w:fldChar w:fldCharType="end"/>
      </w:r>
      <w:r>
        <w:t xml:space="preserve">. </w:t>
      </w:r>
    </w:p>
    <w:p w14:paraId="4A8FDB94" w14:textId="4D119782" w:rsidR="00AD35E7" w:rsidRDefault="00AD35E7" w:rsidP="004D180C"/>
    <w:p w14:paraId="36EE286C" w14:textId="6422D97E" w:rsidR="00AD35E7" w:rsidRDefault="00AD35E7" w:rsidP="004D180C">
      <w:r>
        <w:t xml:space="preserve">In a recent study, Fosas et al. </w:t>
      </w:r>
      <w:r>
        <w:fldChar w:fldCharType="begin"/>
      </w:r>
      <w:r>
        <w:instrText xml:space="preserve"> ADDIN ZOTERO_ITEM CSL_CITATION {"citationID":"8p0w2LXh","properties":{"formattedCitation":"(2018)","plainCitation":"(2018)","noteIndex":0},"citationItems":[{"id":6192,"uris":["http://zotero.org/users/5557903/items/RD49K8M6"],"uri":["http://zotero.org/users/5557903/items/RD49K8M6"],"itemData":{"id":6192,"type":"article-journal","title":"Refugee housing through cyclic design","container-title":"Architectural Science Review","page":"327-337","volume":"61","issue":"5","source":"Taylor and Francis+NEJM","abstract":"There are more than six million refugees living in camps globally, primarily in places with severe climates. While camps are planned to be temporary, they can be in use for decades. This ‘planned temporariness’, despite their potential longevity, together with the pressures of rapidly emerging situations, means the construction and monitoring of demonstrators is not a primary concern for their developers. This lack of iterative design improvement results in shelters with thermal environments far from ideal and a risk of increased morbidity. Here we propose a cyclical process for improving such shelters involving the thermal monitoring of pre-existing shelters to construct validated baseline simulation models of similar shelters in other areas of emerging crisis. These models can then be evolved and improved within an optimization cycle before mass-construction and field testing. Here we demonstrate the method for the case of Azraq camp in Jordan. Starting from an analysis of field survey data which exposes a high incidence of heat-stress experienced in the shelters, a series of architectural strategies are applied to the design, resulting in significant reductions in overheating. This work suggests that the proposed cyclical approach can lead to significant improvement in conditions currently experienced in refugee camp shelters.","DOI":"10.1080/00038628.2018.1502155","ISSN":"0003-8628","author":[{"family":"Fosas","given":"Daniel"},{"family":"Albadra","given":"Dima"},{"family":"Natarajan","given":"Sukumar"},{"family":"Coley","given":"David A."}],"issued":{"date-parts":[["2018",9,3]]}},"suppress-author":true}],"schema":"https://github.com/citation-style-language/schema/raw/master/csl-citation.json"} </w:instrText>
      </w:r>
      <w:r>
        <w:fldChar w:fldCharType="separate"/>
      </w:r>
      <w:r w:rsidRPr="00AD35E7">
        <w:t>(2018)</w:t>
      </w:r>
      <w:r>
        <w:fldChar w:fldCharType="end"/>
      </w:r>
      <w:r>
        <w:t xml:space="preserve"> focused on improved refugee housing through cyclic design applied to the Azraq camp in Jordan. Their work is solely focused on the </w:t>
      </w:r>
      <w:r>
        <w:lastRenderedPageBreak/>
        <w:t>operational phase (i.e.</w:t>
      </w:r>
      <w:r w:rsidR="00060B0D">
        <w:t xml:space="preserve"> </w:t>
      </w:r>
      <w:r>
        <w:t xml:space="preserve">the occupancy stage) and the authors propose the thermal monitoring of existing shelters to develop and validate baseline simulation models, which can then be used for improvement and optimisation cycles before mass-construction </w:t>
      </w:r>
      <w:r>
        <w:fldChar w:fldCharType="begin"/>
      </w:r>
      <w:r>
        <w:instrText xml:space="preserve"> ADDIN ZOTERO_ITEM CSL_CITATION {"citationID":"OFMdPmJL","properties":{"formattedCitation":"(Fosas et al., 2018)","plainCitation":"(Fosas et al., 2018)","noteIndex":0},"citationItems":[{"id":6192,"uris":["http://zotero.org/users/5557903/items/RD49K8M6"],"uri":["http://zotero.org/users/5557903/items/RD49K8M6"],"itemData":{"id":6192,"type":"article-journal","title":"Refugee housing through cyclic design","container-title":"Architectural Science Review","page":"327-337","volume":"61","issue":"5","source":"Taylor and Francis+NEJM","abstract":"There are more than six million refugees living in camps globally, primarily in places with severe climates. While camps are planned to be temporary, they can be in use for decades. This ‘planned temporariness’, despite their potential longevity, together with the pressures of rapidly emerging situations, means the construction and monitoring of demonstrators is not a primary concern for their developers. This lack of iterative design improvement results in shelters with thermal environments far from ideal and a risk of increased morbidity. Here we propose a cyclical process for improving such shelters involving the thermal monitoring of pre-existing shelters to construct validated baseline simulation models of similar shelters in other areas of emerging crisis. These models can then be evolved and improved within an optimization cycle before mass-construction and field testing. Here we demonstrate the method for the case of Azraq camp in Jordan. Starting from an analysis of field survey data which exposes a high incidence of heat-stress experienced in the shelters, a series of architectural strategies are applied to the design, resulting in significant reductions in overheating. This work suggests that the proposed cyclical approach can lead to significant improvement in conditions currently experienced in refugee camp shelters.","DOI":"10.1080/00038628.2018.1502155","ISSN":"0003-8628","author":[{"family":"Fosas","given":"Daniel"},{"family":"Albadra","given":"Dima"},{"family":"Natarajan","given":"Sukumar"},{"family":"Coley","given":"David A."}],"issued":{"date-parts":[["2018",9,3]]}}}],"schema":"https://github.com/citation-style-language/schema/raw/master/csl-citation.json"} </w:instrText>
      </w:r>
      <w:r>
        <w:fldChar w:fldCharType="separate"/>
      </w:r>
      <w:r w:rsidRPr="00AD35E7">
        <w:t>(Fosas et al., 2018)</w:t>
      </w:r>
      <w:r>
        <w:fldChar w:fldCharType="end"/>
      </w:r>
      <w:r>
        <w:t xml:space="preserve">. Their analysis of the Azraq camp revealed that existing shelters overheat significantly, causing thermal distress and increased morbidity. The cyclic design approach </w:t>
      </w:r>
      <w:r w:rsidR="006908AF">
        <w:t xml:space="preserve">they proposed </w:t>
      </w:r>
      <w:r>
        <w:t xml:space="preserve">resulted in the incorporation of simple passive design strategies which </w:t>
      </w:r>
      <w:r w:rsidR="006908AF">
        <w:t>yielded</w:t>
      </w:r>
      <w:r>
        <w:t xml:space="preserve"> substantial performance improvements in terms of thermal comfort. </w:t>
      </w:r>
    </w:p>
    <w:p w14:paraId="0A54256E" w14:textId="4E0007D2" w:rsidR="00227AF0" w:rsidRDefault="00227AF0" w:rsidP="004D180C"/>
    <w:p w14:paraId="6AE77ABC" w14:textId="4BD0BC89" w:rsidR="00227AF0" w:rsidRDefault="0034500C" w:rsidP="00227AF0">
      <w:r>
        <w:t xml:space="preserve">Escamilla and Habert </w:t>
      </w:r>
      <w:r>
        <w:fldChar w:fldCharType="begin"/>
      </w:r>
      <w:r>
        <w:instrText xml:space="preserve"> ADDIN ZOTERO_ITEM CSL_CITATION {"citationID":"Hp7kxa7v","properties":{"formattedCitation":"(2015)","plainCitation":"(2015)","noteIndex":0},"citationItems":[{"id":5915,"uris":["http://zotero.org/users/5557903/items/INJNIB6A"],"uri":["http://zotero.org/users/5557903/items/INJNIB6A"],"itemData":{"id":5915,"type":"article-journal","title":"Global or local construction materials for post-disaster reconstruction? Sustainability assessment of twenty post-disaster shelter designs","container-title":"Building and Environment","page":"692-702","volume":"92","abstract":"The number and intensity of natural disasters is growing every year, with 394 major events affecting over 268 million people worldwide in the past decade. The objective of this study was to identify whether it is more appropriate to use local or global materials in post-disaster reconstruction projects. Twenty transitional shelters were identified over 11 different locations worldwide, and their environmental, economic, and mechanical/technical performances were compared. The environmental and economic assessments were based on life cycle cost and life cycle assessment. In the mechanical/technical assessments, the relationships between hazard zones and their performances were assessed for earthquakes, wind loads and floods. Sustainability was assessed using a benchmark system that incorporates the results from these three categories. The results show that shelters with high technical performance can be achieved with low price/low environmental impact per functional unit regardless of the type of material used. Local materials withhold higher potential for low environmental impacts and costs and global materials have higher potential to produce better technical performances. Although local constructive systems can provide the best compromise between environmental impacts and cost, their structural design requires more effort.","DOI":"10.1016/j.buildenv.2015.05.036","ISSN":"0360-1323","journalAbbreviation":"Building and Environment","author":[{"family":"Escamilla","given":"E. Zea"},{"family":"Habert","given":"G."}],"issued":{"date-parts":[["2015",10,1]]}},"suppress-author":true}],"schema":"https://github.com/citation-style-language/schema/raw/master/csl-citation.json"} </w:instrText>
      </w:r>
      <w:r>
        <w:fldChar w:fldCharType="separate"/>
      </w:r>
      <w:r w:rsidRPr="004B1A91">
        <w:t>(2015)</w:t>
      </w:r>
      <w:r>
        <w:fldChar w:fldCharType="end"/>
      </w:r>
      <w:r>
        <w:t xml:space="preserve"> offer a</w:t>
      </w:r>
      <w:r w:rsidR="00227AF0">
        <w:t xml:space="preserve"> more holistic approach to sustainability evaluation</w:t>
      </w:r>
      <w:r>
        <w:t xml:space="preserve"> through their assessment of the </w:t>
      </w:r>
      <w:r w:rsidR="00227AF0">
        <w:t xml:space="preserve">economic and environmental performance—through life cycle costing (LCC) and LCA, respectively—of 20 shelter designs </w:t>
      </w:r>
      <w:r>
        <w:t xml:space="preserve">across </w:t>
      </w:r>
      <w:r w:rsidR="00227AF0">
        <w:t xml:space="preserve">11 different global locations. They concluded that both global and local materials can be used sustainably in sheltering, and that shelters with high cost and/or environmental impact are not associated with a better technical performance. In particular, local materials </w:t>
      </w:r>
      <w:r>
        <w:t xml:space="preserve">provide </w:t>
      </w:r>
      <w:r w:rsidR="00227AF0">
        <w:t xml:space="preserve">better environmental performance and lower costs while globally sourced materials show higher </w:t>
      </w:r>
      <w:r w:rsidR="00E27124">
        <w:t xml:space="preserve">costs </w:t>
      </w:r>
      <w:r w:rsidR="00227AF0">
        <w:t xml:space="preserve">and better technical performance </w:t>
      </w:r>
      <w:r w:rsidR="00227AF0">
        <w:fldChar w:fldCharType="begin"/>
      </w:r>
      <w:r w:rsidR="00227AF0">
        <w:instrText xml:space="preserve"> ADDIN ZOTERO_ITEM CSL_CITATION {"citationID":"oayYZHr6","properties":{"formattedCitation":"(Escamilla and Habert, 2015)","plainCitation":"(Escamilla and Habert, 2015)","noteIndex":0},"citationItems":[{"id":5915,"uris":["http://zotero.org/users/5557903/items/INJNIB6A"],"uri":["http://zotero.org/users/5557903/items/INJNIB6A"],"itemData":{"id":5915,"type":"article-journal","title":"Global or local construction materials for post-disaster reconstruction? Sustainability assessment of twenty post-disaster shelter designs","container-title":"Building and Environment","page":"692-702","volume":"92","abstract":"The number and intensity of natural disasters is growing every year, with 394 major events affecting over 268 million people worldwide in the past decade. The objective of this study was to identify whether it is more appropriate to use local or global materials in post-disaster reconstruction projects. Twenty transitional shelters were identified over 11 different locations worldwide, and their environmental, economic, and mechanical/technical performances were compared. The environmental and economic assessments were based on life cycle cost and life cycle assessment. In the mechanical/technical assessments, the relationships between hazard zones and their performances were assessed for earthquakes, wind loads and floods. Sustainability was assessed using a benchmark system that incorporates the results from these three categories. The results show that shelters with high technical performance can be achieved with low price/low environmental impact per functional unit regardless of the type of material used. Local materials withhold higher potential for low environmental impacts and costs and global materials have higher potential to produce better technical performances. Although local constructive systems can provide the best compromise between environmental impacts and cost, their structural design requires more effort.","DOI":"10.1016/j.buildenv.2015.05.036","ISSN":"0360-1323","journalAbbreviation":"Building and Environment","author":[{"family":"Escamilla","given":"E. Zea"},{"family":"Habert","given":"G."}],"issued":{"date-parts":[["2015",10,1]]}}}],"schema":"https://github.com/citation-style-language/schema/raw/master/csl-citation.json"} </w:instrText>
      </w:r>
      <w:r w:rsidR="00227AF0">
        <w:fldChar w:fldCharType="separate"/>
      </w:r>
      <w:r w:rsidR="00227AF0" w:rsidRPr="004D180C">
        <w:t>(Escamilla and Habert, 2015)</w:t>
      </w:r>
      <w:r w:rsidR="00227AF0">
        <w:fldChar w:fldCharType="end"/>
      </w:r>
      <w:r w:rsidR="00227AF0">
        <w:t xml:space="preserve">. Later work, partly by the same authors </w:t>
      </w:r>
      <w:r w:rsidR="00227AF0">
        <w:fldChar w:fldCharType="begin"/>
      </w:r>
      <w:r w:rsidR="00227AF0">
        <w:instrText xml:space="preserve"> ADDIN ZOTERO_ITEM CSL_CITATION {"citationID":"56aZtsLH","properties":{"formattedCitation":"(Celentano et al., 2019)","plainCitation":"(Celentano et al., 2019)","noteIndex":0},"citationItems":[{"id":5916,"uris":["http://zotero.org/users/5557903/items/EX66VC8X"],"uri":["http://zotero.org/users/5557903/items/EX66VC8X"],"itemData":{"id":5916,"type":"article-journal","title":"A matter of speed: The impact of material choice in post-disaster reconstruction","container-title":"International Journal of Disaster Risk Reduction","page":"34-44","volume":"34","abstract":"The effects of urbanization and climate change are dangerously converging. The most affected populations are the urban poor, settled in informal settlements vulnerable to increasingly frequent disasters. This severely contributes to the existing housing gap of these regions, already struggling with housing demand. The speed of shelter delivery becomes key for an efficient response in order to prevent spontaneous informal resettlements on unsafe lands. The present study aims to understand the impact of material choice on post-disaster shelters delivery through a multiscale analysis of construction speed. The scales considered are: Constructive technology, Shelter Unit and Post-disaster settlement. At the the Constructive technology scale, nine different reconstruction solutions for the Nepal earthquake are compared, covering a range from local to industrialized. Successively, twelve shelter designs by the International Federation of the Red Cross have been studied under the same lens at the Shelter unit scale and for Post-disaster settlements. The study identifies a clear correlation between material procurement and speed at the constructive technology scale. At the shelter scale, this correlation becomes secondary and construction time is seriously impacted by the complexity of roof design. Moving to the settlement scale, the choice of local over industrialized materials seems to drive the speed again. The study indicates how a multiscale approach is necessary to analyze the impacts of material selection, providing efficient guidelines for post-disaster reconstruction. Beyond that, it highlights that effective reconstruction can be developed with diverse materials, but its emergency responsiveness can seriously be compromised by a non-appropriate design.","DOI":"10.1016/j.ijdrr.2018.10.026","ISSN":"2212-4209","journalAbbreviation":"International Journal of Disaster Risk Reduction","author":[{"family":"Celentano","given":"Giulia"},{"family":"Escamilla","given":"Edwin Zea"},{"family":"Göswein","given":"Verena"},{"family":"Habert","given":"Guillaume"}],"issued":{"date-parts":[["2019",3,1]]}}}],"schema":"https://github.com/citation-style-language/schema/raw/master/csl-citation.json"} </w:instrText>
      </w:r>
      <w:r w:rsidR="00227AF0">
        <w:fldChar w:fldCharType="separate"/>
      </w:r>
      <w:r w:rsidR="00227AF0" w:rsidRPr="004D180C">
        <w:t>(Celentano et al., 2019)</w:t>
      </w:r>
      <w:r w:rsidR="00227AF0">
        <w:fldChar w:fldCharType="end"/>
      </w:r>
      <w:r w:rsidR="00227AF0">
        <w:t xml:space="preserve">, identified the speed of shelter delivery as a crucial element to respond to crises efficiently and avoid spontaneous unsafe or unlawful informal re-settlements. They found a significant correlation between material procurement and speed, with construction time strongly influenced by the complexity of roof design </w:t>
      </w:r>
      <w:r w:rsidR="00227AF0">
        <w:fldChar w:fldCharType="begin"/>
      </w:r>
      <w:r w:rsidR="00227AF0">
        <w:instrText xml:space="preserve"> ADDIN ZOTERO_ITEM CSL_CITATION {"citationID":"zE6JgjhO","properties":{"formattedCitation":"(Celentano et al., 2019)","plainCitation":"(Celentano et al., 2019)","noteIndex":0},"citationItems":[{"id":5916,"uris":["http://zotero.org/users/5557903/items/EX66VC8X"],"uri":["http://zotero.org/users/5557903/items/EX66VC8X"],"itemData":{"id":5916,"type":"article-journal","title":"A matter of speed: The impact of material choice in post-disaster reconstruction","container-title":"International Journal of Disaster Risk Reduction","page":"34-44","volume":"34","abstract":"The effects of urbanization and climate change are dangerously converging. The most affected populations are the urban poor, settled in informal settlements vulnerable to increasingly frequent disasters. This severely contributes to the existing housing gap of these regions, already struggling with housing demand. The speed of shelter delivery becomes key for an efficient response in order to prevent spontaneous informal resettlements on unsafe lands. The present study aims to understand the impact of material choice on post-disaster shelters delivery through a multiscale analysis of construction speed. The scales considered are: Constructive technology, Shelter Unit and Post-disaster settlement. At the the Constructive technology scale, nine different reconstruction solutions for the Nepal earthquake are compared, covering a range from local to industrialized. Successively, twelve shelter designs by the International Federation of the Red Cross have been studied under the same lens at the Shelter unit scale and for Post-disaster settlements. The study identifies a clear correlation between material procurement and speed at the constructive technology scale. At the shelter scale, this correlation becomes secondary and construction time is seriously impacted by the complexity of roof design. Moving to the settlement scale, the choice of local over industrialized materials seems to drive the speed again. The study indicates how a multiscale approach is necessary to analyze the impacts of material selection, providing efficient guidelines for post-disaster reconstruction. Beyond that, it highlights that effective reconstruction can be developed with diverse materials, but its emergency responsiveness can seriously be compromised by a non-appropriate design.","DOI":"10.1016/j.ijdrr.2018.10.026","ISSN":"2212-4209","journalAbbreviation":"International Journal of Disaster Risk Reduction","author":[{"family":"Celentano","given":"Giulia"},{"family":"Escamilla","given":"Edwin Zea"},{"family":"Göswein","given":"Verena"},{"family":"Habert","given":"Guillaume"}],"issued":{"date-parts":[["2019",3,1]]}}}],"schema":"https://github.com/citation-style-language/schema/raw/master/csl-citation.json"} </w:instrText>
      </w:r>
      <w:r w:rsidR="00227AF0">
        <w:fldChar w:fldCharType="separate"/>
      </w:r>
      <w:r w:rsidR="00227AF0" w:rsidRPr="004D180C">
        <w:t>(Celentano et al., 2019)</w:t>
      </w:r>
      <w:r w:rsidR="00227AF0">
        <w:fldChar w:fldCharType="end"/>
      </w:r>
      <w:r w:rsidR="00227AF0">
        <w:t xml:space="preserve">. They also proposed a multiscale approach for material selection to drive efficient reconstruction. </w:t>
      </w:r>
    </w:p>
    <w:p w14:paraId="4D5C7EE0" w14:textId="77777777" w:rsidR="00227AF0" w:rsidRDefault="00227AF0" w:rsidP="00227AF0"/>
    <w:p w14:paraId="707C2586" w14:textId="4B52AFA3" w:rsidR="00227AF0" w:rsidRDefault="00227AF0" w:rsidP="00227AF0">
      <w:r>
        <w:t>Technical aspects are</w:t>
      </w:r>
      <w:r w:rsidR="0034500C">
        <w:t xml:space="preserve"> a</w:t>
      </w:r>
      <w:r>
        <w:t xml:space="preserve"> fundamental consider</w:t>
      </w:r>
      <w:r w:rsidR="0034500C">
        <w:t>ation</w:t>
      </w:r>
      <w:r>
        <w:t xml:space="preserve"> as they help </w:t>
      </w:r>
      <w:r w:rsidR="0034500C">
        <w:t>pin</w:t>
      </w:r>
      <w:r>
        <w:t>point solutions that are technically sound and economically viable. However,</w:t>
      </w:r>
      <w:r w:rsidR="006908AF">
        <w:t xml:space="preserve"> some of the studies reviewed showed that</w:t>
      </w:r>
      <w:r>
        <w:t xml:space="preserve"> focusing solely on the technicalities of shelter design risks sheltering</w:t>
      </w:r>
      <w:r w:rsidR="0034500C">
        <w:t xml:space="preserve"> being viewed</w:t>
      </w:r>
      <w:r>
        <w:t xml:space="preserve"> as a product rather than as a key element of </w:t>
      </w:r>
      <w:r w:rsidRPr="00DF36B7">
        <w:t>a process that accepts incremental additions and amendments</w:t>
      </w:r>
      <w:r>
        <w:t xml:space="preserve">. According to the International Organisation for Migration </w:t>
      </w:r>
      <w:r>
        <w:fldChar w:fldCharType="begin"/>
      </w:r>
      <w:r>
        <w:instrText xml:space="preserve"> ADDIN ZOTERO_ITEM CSL_CITATION {"citationID":"Urzu1atA","properties":{"formattedCitation":"(IOM, 2012)","plainCitation":"(IOM, 2012)","noteIndex":0},"citationItems":[{"id":5919,"uris":["http://zotero.org/users/5557903/items/T7M95TUR"],"uri":["http://zotero.org/users/5557903/items/T7M95TUR"],"itemData":{"id":5919,"type":"article-journal","title":"Transitional Shelter Guidelines. Available at: https://www.iom.int/files/live/sites/iom/files/What-We-Do/docs/Transitional-Shelter-Guidelines.pdf","container-title":"International Organization for Migration","source":"Zotero","language":"en","author":[{"family":"IOM","given":""}],"issued":{"date-parts":[["2012"]]}}}],"schema":"https://github.com/citation-style-language/schema/raw/master/csl-citation.json"} </w:instrText>
      </w:r>
      <w:r>
        <w:fldChar w:fldCharType="separate"/>
      </w:r>
      <w:r w:rsidRPr="004D180C">
        <w:t>(IOM, 2012)</w:t>
      </w:r>
      <w:r>
        <w:fldChar w:fldCharType="end"/>
      </w:r>
      <w:r>
        <w:t xml:space="preserve">, this </w:t>
      </w:r>
      <w:r w:rsidR="006908AF">
        <w:t xml:space="preserve">is a </w:t>
      </w:r>
      <w:r>
        <w:t>vital role of</w:t>
      </w:r>
      <w:r w:rsidR="006908AF">
        <w:t xml:space="preserve"> shelters</w:t>
      </w:r>
      <w:r>
        <w:t xml:space="preserve">. Technical assessments also </w:t>
      </w:r>
      <w:r w:rsidR="0034500C">
        <w:t>exclude</w:t>
      </w:r>
      <w:r>
        <w:t xml:space="preserve"> social considerations, and </w:t>
      </w:r>
      <w:r w:rsidR="00E960E6">
        <w:t>solutions designed solely with a technical focus in mind can</w:t>
      </w:r>
      <w:r>
        <w:t xml:space="preserve"> fall short of meeting users’ needs and respecting diverse and local cultures. Social and cultural inadequacy is indeed one of the shortcomings in PDPC housing identified by Félix et al. </w:t>
      </w:r>
      <w:r>
        <w:fldChar w:fldCharType="begin"/>
      </w:r>
      <w:r>
        <w:instrText xml:space="preserve"> ADDIN ZOTERO_ITEM CSL_CITATION {"citationID":"1wvgdlaB","properties":{"formattedCitation":"(2013)","plainCitation":"(2013)","noteIndex":0},"citationItems":[{"id":5920,"uris":["http://zotero.org/users/5557903/items/5D7GQ4YY"],"uri":["http://zotero.org/users/5557903/items/5D7GQ4YY"],"itemData":{"id":5920,"type":"article-journal","title":"Temporary housing after disasters: A state of the art survey","container-title":"Habitat International","page":"136-141","volume":"40","author":[{"family":"Félix","given":"Daniel"},{"family":"Branco","given":"Jorge M."},{"family":"Feio","given":"Artur"}],"issued":{"date-parts":[["2013"]]}},"suppress-author":true}],"schema":"https://github.com/citation-style-language/schema/raw/master/csl-citation.json"} </w:instrText>
      </w:r>
      <w:r>
        <w:fldChar w:fldCharType="separate"/>
      </w:r>
      <w:r w:rsidRPr="00916B20">
        <w:t>(2013)</w:t>
      </w:r>
      <w:r>
        <w:fldChar w:fldCharType="end"/>
      </w:r>
      <w:r>
        <w:t xml:space="preserve">. Significant improvements in cultural aspects and social sustainability have also been identified as critical elements to improve global humanitarian response by </w:t>
      </w:r>
      <w:r w:rsidRPr="00BD06C3">
        <w:t>Alshawawreh</w:t>
      </w:r>
      <w:r>
        <w:t xml:space="preserve"> et al. </w:t>
      </w:r>
      <w:r>
        <w:fldChar w:fldCharType="begin"/>
      </w:r>
      <w:r>
        <w:instrText xml:space="preserve"> ADDIN ZOTERO_ITEM CSL_CITATION {"citationID":"91ClDSJc","properties":{"formattedCitation":"(2017)","plainCitation":"(2017)","noteIndex":0},"citationItems":[{"id":5921,"uris":["http://zotero.org/users/5557903/items/S2NJM2PF"],"uri":["http://zotero.org/users/5557903/items/S2NJM2PF"],"itemData":{"id":5921,"type":"article-journal","title":"Assessing the Sheltering Response in the Middle East: Studying Syrian Camps in Jordan","container-title":"World Academy of Science, Engineering and Technology, International Journal of Social, Behavioral, Educational, Economic, Business and Industrial Engineering","page":"1993-1999","volume":"11","issue":"8","author":[{"family":"Alshawawreh","given":"Lara A."},{"family":"Smith","given":"R. Sean"},{"family":"Wood","given":"John B."}],"issued":{"date-parts":[["2017"]]}},"suppress-author":true}],"schema":"https://github.com/citation-style-language/schema/raw/master/csl-citation.json"} </w:instrText>
      </w:r>
      <w:r>
        <w:fldChar w:fldCharType="separate"/>
      </w:r>
      <w:r w:rsidRPr="00BD06C3">
        <w:t>(2017)</w:t>
      </w:r>
      <w:r>
        <w:fldChar w:fldCharType="end"/>
      </w:r>
      <w:r>
        <w:t xml:space="preserve">, during site visits to the Syrian camps in Jordan and interviews with their residents. Geographical foci are important not just to account for the diversity of cultures that must be respected, but also for an effective design that reflects the diversity of the global climate. This is evident from the Köppen-Geiger </w:t>
      </w:r>
      <w:r>
        <w:fldChar w:fldCharType="begin"/>
      </w:r>
      <w:r>
        <w:instrText xml:space="preserve"> ADDIN ZOTERO_ITEM CSL_CITATION {"citationID":"yUiJz21O","properties":{"formattedCitation":"(Beck et al., 2018; Peel et al., 2007)","plainCitation":"(Beck et al., 2018; Peel et al., 2007)","noteIndex":0},"citationItems":[{"id":5922,"uris":["http://zotero.org/users/5557903/items/TL8UE2LD"],"uri":["http://zotero.org/users/5557903/items/TL8UE2LD"],"itemData":{"id":5922,"type":"article-journal","title":"Present and future Köppen-Geiger climate classification maps at 1-km resolution","container-title":"Scientific Data","page":"180214","volume":"5","source":"www.nature.com","abstract":"We present new global maps of the Köppen-Geiger climate classification at an unprecedented 1-km resolution for the present-day (1980–2016) and for projected future conditions (2071–2100) under climate change. The present-day map is derived from an ensemble of four high-resolution, topographically-corrected climatic maps. The future map is derived from an ensemble of 32 climate model projections (scenario RCP8.5), by superimposing the projected climate change anomaly on the baseline high-resolution climatic maps. For both time periods we calculate confidence levels from the ensemble spread, providing valuable indications of the reliability of the classifications. The new maps exhibit a higher classification accuracy and substantially more detail than previous maps, particularly in regions with sharp spatial or elevation gradients. We anticipate the new maps will be useful for numerous applications, including species and vegetation distribution modeling. The new maps including the associated confidence maps are freely available via www.gloh2o.org/koppen.","DOI":"10.1038/sdata.2018.214","ISSN":"2052-4463","language":"en","author":[{"family":"Beck","given":"Hylke E."},{"family":"Zimmermann","given":"Niklaus E."},{"family":"McVicar","given":"Tim R."},{"family":"Vergopolan","given":"Noemi"},{"family":"Berg","given":"Alexis"},{"family":"Wood","given":"Eric F."}],"issued":{"date-parts":[["2018",10,30]]}}},{"id":4130,"uris":["http://zotero.org/users/5557903/items/FBZCPAPL"],"uri":["http://zotero.org/users/5557903/items/FBZCPAPL"],"itemData":{"id":4130,"type":"article-journal","title":"Updated world map of the Köppen-Geiger climate classification","container-title":"Hydrology and earth system sciences discussions","page":"439-473","volume":"4","issue":"2","ISSN":"1812-2108","author":[{"family":"Peel","given":"Murray C."},{"family":"Finlayson","given":"Brian L."},{"family":"McMahon","given":"Thomas A."}],"issued":{"date-parts":[["2007"]]}}}],"schema":"https://github.com/citation-style-language/schema/raw/master/csl-citation.json"} </w:instrText>
      </w:r>
      <w:r>
        <w:fldChar w:fldCharType="separate"/>
      </w:r>
      <w:r w:rsidRPr="004D180C">
        <w:t>(Beck et al., 2018; Peel et al., 2007)</w:t>
      </w:r>
      <w:r>
        <w:fldChar w:fldCharType="end"/>
      </w:r>
      <w:r>
        <w:t xml:space="preserve"> climate classification map (</w:t>
      </w:r>
      <w:r>
        <w:fldChar w:fldCharType="begin"/>
      </w:r>
      <w:r>
        <w:instrText xml:space="preserve"> REF _Ref2179844 \h  \* MERGEFORMAT </w:instrText>
      </w:r>
      <w:r>
        <w:fldChar w:fldCharType="separate"/>
      </w:r>
      <w:r>
        <w:t xml:space="preserve">Figure </w:t>
      </w:r>
      <w:r>
        <w:rPr>
          <w:noProof/>
        </w:rPr>
        <w:t>2</w:t>
      </w:r>
      <w:r>
        <w:fldChar w:fldCharType="end"/>
      </w:r>
      <w:r>
        <w:t xml:space="preserve">). </w:t>
      </w:r>
    </w:p>
    <w:p w14:paraId="65B870D3" w14:textId="2AF1E8B8" w:rsidR="00227AF0" w:rsidRDefault="00227AF0" w:rsidP="00227AF0"/>
    <w:p w14:paraId="1D79B13D" w14:textId="790E1F54" w:rsidR="00E960E6" w:rsidRDefault="00E960E6" w:rsidP="00227AF0">
      <w:r>
        <w:t>Africa has several clearly distinguished climate zones and</w:t>
      </w:r>
      <w:r w:rsidR="00507F8D">
        <w:t>,</w:t>
      </w:r>
      <w:r>
        <w:t xml:space="preserve"> realistically</w:t>
      </w:r>
      <w:r w:rsidR="00507F8D">
        <w:t>,</w:t>
      </w:r>
      <w:r>
        <w:t xml:space="preserve"> each one would have solutions that work better than they do in different climates. O</w:t>
      </w:r>
      <w:r w:rsidRPr="000F6ADC">
        <w:t>ne-size-fits-all</w:t>
      </w:r>
      <w:r>
        <w:t xml:space="preserve"> solutions are therefore unlikely to ever work in PDPC sheltering</w:t>
      </w:r>
      <w:r w:rsidR="006908AF">
        <w:t xml:space="preserve">, much as they </w:t>
      </w:r>
      <w:r w:rsidR="00507F8D">
        <w:t>fail to</w:t>
      </w:r>
      <w:r w:rsidR="006908AF">
        <w:t xml:space="preserve"> work for regular buildings</w:t>
      </w:r>
      <w:r w:rsidR="008960CE">
        <w:t xml:space="preserve"> </w:t>
      </w:r>
      <w:r w:rsidR="008960CE">
        <w:fldChar w:fldCharType="begin"/>
      </w:r>
      <w:r w:rsidR="008960CE">
        <w:instrText xml:space="preserve"> ADDIN ZOTERO_ITEM CSL_CITATION {"citationID":"uI0jCd5w","properties":{"formattedCitation":"(Oliver, 2007)","plainCitation":"(Oliver, 2007)","noteIndex":0},"citationItems":[{"id":6200,"uris":["http://zotero.org/users/5557903/items/PMASBR6A"],"uri":["http://zotero.org/users/5557903/items/PMASBR6A"],"itemData":{"id":6200,"type":"book","title":"Built to Meet Needs: Cultural Issues in Vernacular Architecture","publisher":"Routledge","source":"www.taylorfrancis.com","abstract":"The study of vernacular architecture explores the characteristics of domestic buildings in particular regions or localities, and the many social and cultural","URL":"https://www.taylorfrancis.com/books/9780080476308","ISBN":"978-0-08-047630-8","note":"DOI: 10.4324/9780080476308","title-short":"Built to Meet Needs","language":"en","author":[{"family":"Oliver","given":"Paul"}],"issued":{"date-parts":[["2007",6,7]]},"accessed":{"date-parts":[["2019",6,11]]}}}],"schema":"https://github.com/citation-style-language/schema/raw/master/csl-citation.json"} </w:instrText>
      </w:r>
      <w:r w:rsidR="008960CE">
        <w:fldChar w:fldCharType="separate"/>
      </w:r>
      <w:r w:rsidR="008960CE" w:rsidRPr="008960CE">
        <w:t>(Oliver, 2007)</w:t>
      </w:r>
      <w:r w:rsidR="008960CE">
        <w:fldChar w:fldCharType="end"/>
      </w:r>
      <w:r w:rsidR="006908AF">
        <w:t>,</w:t>
      </w:r>
      <w:r>
        <w:t xml:space="preserve"> as they ignore the diversity that exists </w:t>
      </w:r>
      <w:r w:rsidR="007E288D">
        <w:t xml:space="preserve">both </w:t>
      </w:r>
      <w:r w:rsidR="00507F8D">
        <w:t xml:space="preserve">with </w:t>
      </w:r>
      <w:r>
        <w:t>people and the environment.</w:t>
      </w:r>
    </w:p>
    <w:p w14:paraId="6FCD4543" w14:textId="77777777" w:rsidR="00227AF0" w:rsidRDefault="00227AF0" w:rsidP="00227AF0">
      <w:r>
        <w:rPr>
          <w:noProof/>
          <w:lang w:eastAsia="en-GB"/>
        </w:rPr>
        <w:lastRenderedPageBreak/>
        <w:drawing>
          <wp:inline distT="0" distB="0" distL="0" distR="0" wp14:anchorId="072983AB" wp14:editId="0253BE21">
            <wp:extent cx="5774265" cy="3248025"/>
            <wp:effectExtent l="19050" t="19050" r="1714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d/d5/K%C3%B6ppen-Geiger_Climate_Classification_Map.png/1920px-K%C3%B6ppen-Geiger_Climate_Classification_Map.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780430" cy="3251493"/>
                    </a:xfrm>
                    <a:prstGeom prst="rect">
                      <a:avLst/>
                    </a:prstGeom>
                    <a:noFill/>
                    <a:ln>
                      <a:solidFill>
                        <a:schemeClr val="bg1">
                          <a:lumMod val="50000"/>
                        </a:schemeClr>
                      </a:solidFill>
                    </a:ln>
                  </pic:spPr>
                </pic:pic>
              </a:graphicData>
            </a:graphic>
          </wp:inline>
        </w:drawing>
      </w:r>
    </w:p>
    <w:p w14:paraId="30E709C9" w14:textId="34A18D19" w:rsidR="00227AF0" w:rsidRDefault="00227AF0" w:rsidP="00227AF0">
      <w:pPr>
        <w:pStyle w:val="Caption"/>
      </w:pPr>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w:t>
      </w:r>
      <w:r w:rsidR="00507F8D">
        <w:t>–</w:t>
      </w:r>
      <w:r>
        <w:t xml:space="preserve"> </w:t>
      </w:r>
      <w:r w:rsidR="00507F8D">
        <w:t xml:space="preserve">Global </w:t>
      </w:r>
      <w:r w:rsidRPr="005C4008">
        <w:t>Köppen-Geiger climate classification map</w:t>
      </w:r>
      <w:r>
        <w:t xml:space="preserve"> </w:t>
      </w:r>
      <w:r>
        <w:fldChar w:fldCharType="begin"/>
      </w:r>
      <w:r>
        <w:instrText xml:space="preserve"> ADDIN ZOTERO_ITEM CSL_CITATION {"citationID":"XeoZrJBm","properties":{"formattedCitation":"(Beck et al., 2018)","plainCitation":"(Beck et al., 2018)","noteIndex":0},"citationItems":[{"id":5922,"uris":["http://zotero.org/users/5557903/items/TL8UE2LD"],"uri":["http://zotero.org/users/5557903/items/TL8UE2LD"],"itemData":{"id":5922,"type":"article-journal","title":"Present and future Köppen-Geiger climate classification maps at 1-km resolution","container-title":"Scientific Data","page":"180214","volume":"5","source":"www.nature.com","abstract":"We present new global maps of the Köppen-Geiger climate classification at an unprecedented 1-km resolution for the present-day (1980–2016) and for projected future conditions (2071–2100) under climate change. The present-day map is derived from an ensemble of four high-resolution, topographically-corrected climatic maps. The future map is derived from an ensemble of 32 climate model projections (scenario RCP8.5), by superimposing the projected climate change anomaly on the baseline high-resolution climatic maps. For both time periods we calculate confidence levels from the ensemble spread, providing valuable indications of the reliability of the classifications. The new maps exhibit a higher classification accuracy and substantially more detail than previous maps, particularly in regions with sharp spatial or elevation gradients. We anticipate the new maps will be useful for numerous applications, including species and vegetation distribution modeling. The new maps including the associated confidence maps are freely available via www.gloh2o.org/koppen.","DOI":"10.1038/sdata.2018.214","ISSN":"2052-4463","language":"en","author":[{"family":"Beck","given":"Hylke E."},{"family":"Zimmermann","given":"Niklaus E."},{"family":"McVicar","given":"Tim R."},{"family":"Vergopolan","given":"Noemi"},{"family":"Berg","given":"Alexis"},{"family":"Wood","given":"Eric F."}],"issued":{"date-parts":[["2018",10,30]]}}}],"schema":"https://github.com/citation-style-language/schema/raw/master/csl-citation.json"} </w:instrText>
      </w:r>
      <w:r>
        <w:fldChar w:fldCharType="separate"/>
      </w:r>
      <w:r w:rsidRPr="004D180C">
        <w:t>(Beck et al., 2018)</w:t>
      </w:r>
      <w:r>
        <w:fldChar w:fldCharType="end"/>
      </w:r>
      <w:r>
        <w:t xml:space="preserve"> - </w:t>
      </w:r>
      <w:r w:rsidRPr="000F6ADC">
        <w:t>CC BY 4.0</w:t>
      </w:r>
    </w:p>
    <w:p w14:paraId="5CBB70C6" w14:textId="4A289C0E" w:rsidR="00A61C89" w:rsidRDefault="00227AF0" w:rsidP="00227AF0">
      <w:r>
        <w:t>The literature review</w:t>
      </w:r>
      <w:r w:rsidR="004D378F">
        <w:t>ed</w:t>
      </w:r>
      <w:r>
        <w:t xml:space="preserve"> in this section has highlighted several important aspects, which this article intends to build on. Firstly, Africa is severely underrepresented in the existing literature</w:t>
      </w:r>
      <w:r w:rsidR="00C32945">
        <w:t xml:space="preserve"> </w:t>
      </w:r>
      <w:r w:rsidR="004D378F">
        <w:t>at</w:t>
      </w:r>
      <w:r w:rsidR="00C32945">
        <w:t xml:space="preserve"> different levels:</w:t>
      </w:r>
      <w:r>
        <w:t xml:space="preserve"> as the focus of existing studies</w:t>
      </w:r>
      <w:r w:rsidR="00C32945">
        <w:t>,</w:t>
      </w:r>
      <w:r>
        <w:t xml:space="preserve"> in terms of academic authors</w:t>
      </w:r>
      <w:r w:rsidR="00C32945">
        <w:t>, and in providing local expert knowledge and stakeholders’ involvement</w:t>
      </w:r>
      <w:r>
        <w:t>.</w:t>
      </w:r>
      <w:r w:rsidR="00C32945">
        <w:t xml:space="preserve"> These are all key elements to achieve long-term development, sustainability, and community empowerment. Further</w:t>
      </w:r>
      <w:r w:rsidR="00A61C89">
        <w:t>more</w:t>
      </w:r>
      <w:r w:rsidR="00C32945">
        <w:t xml:space="preserve">, a substantial share of the existing literature is based on case studies. This proves the need for a contextualised approach with local foci, due to the sheer difference that exists in </w:t>
      </w:r>
      <w:r w:rsidR="00A61C89">
        <w:t>PDPC</w:t>
      </w:r>
      <w:r w:rsidR="00C32945">
        <w:t xml:space="preserve"> situations around the world. This view is further supported by technical analyses and life cycle assessments carried out for different shelter solutions around the world: no single </w:t>
      </w:r>
      <w:r w:rsidR="00A61C89">
        <w:t xml:space="preserve">optimal </w:t>
      </w:r>
      <w:r w:rsidR="00C32945">
        <w:t>solution exists f</w:t>
      </w:r>
      <w:r w:rsidR="00A61C89">
        <w:t>ro</w:t>
      </w:r>
      <w:r w:rsidR="00C32945">
        <w:t>m a technical, environment</w:t>
      </w:r>
      <w:r w:rsidR="004D378F">
        <w:t>al</w:t>
      </w:r>
      <w:r w:rsidR="00C32945">
        <w:t xml:space="preserve">, and economic viewpoint. Additionally, short-termism does not pay off and the benefits are </w:t>
      </w:r>
      <w:r w:rsidR="00A61C89">
        <w:t xml:space="preserve">only </w:t>
      </w:r>
      <w:r w:rsidR="00C32945">
        <w:t>maximised if sustainability considerations come as early as possible following a disaster or conflict.</w:t>
      </w:r>
    </w:p>
    <w:p w14:paraId="5356A00F" w14:textId="12F7A646" w:rsidR="00A61C89" w:rsidRDefault="00A61C89" w:rsidP="00227AF0"/>
    <w:p w14:paraId="3F315A54" w14:textId="031D52B3" w:rsidR="008E74E6" w:rsidRDefault="00A61C89" w:rsidP="00227AF0">
      <w:r>
        <w:t xml:space="preserve">An opportunity </w:t>
      </w:r>
      <w:r w:rsidR="008A009D">
        <w:t>also emerged</w:t>
      </w:r>
      <w:r w:rsidR="00084822">
        <w:t xml:space="preserve"> </w:t>
      </w:r>
      <w:r>
        <w:t xml:space="preserve">to </w:t>
      </w:r>
      <w:r w:rsidR="00084822">
        <w:t xml:space="preserve">learn from traditional housing techniques, including materials and construction methods, which could result in solutions better suited to meet the needs of their intended users. </w:t>
      </w:r>
      <w:r w:rsidR="0019766E">
        <w:t>Additionally, the literature reviewed showed that</w:t>
      </w:r>
      <w:r w:rsidR="00B234CE">
        <w:t>, in order</w:t>
      </w:r>
      <w:r w:rsidR="0019766E">
        <w:t xml:space="preserve"> to be holistically addressed</w:t>
      </w:r>
      <w:r w:rsidR="00B234CE">
        <w:t>,</w:t>
      </w:r>
      <w:r w:rsidR="0019766E">
        <w:t xml:space="preserve"> sustainability requires the consideration of </w:t>
      </w:r>
      <w:r w:rsidR="008E74E6">
        <w:t xml:space="preserve">at least the following </w:t>
      </w:r>
      <w:r w:rsidR="0019766E">
        <w:t xml:space="preserve">four intertwined dimensions: </w:t>
      </w:r>
    </w:p>
    <w:p w14:paraId="37DFCAF0" w14:textId="1B3FDE6E" w:rsidR="008E74E6" w:rsidRDefault="0019766E" w:rsidP="008E74E6">
      <w:pPr>
        <w:pStyle w:val="ListParagraph"/>
        <w:numPr>
          <w:ilvl w:val="0"/>
          <w:numId w:val="21"/>
        </w:numPr>
      </w:pPr>
      <w:r>
        <w:t xml:space="preserve">technical performance </w:t>
      </w:r>
      <w:r w:rsidR="008E74E6">
        <w:t xml:space="preserve">– </w:t>
      </w:r>
      <w:r>
        <w:t xml:space="preserve">to ensure solutions that are fit for purpose </w:t>
      </w:r>
    </w:p>
    <w:p w14:paraId="3D868D11" w14:textId="788BF20B" w:rsidR="008E74E6" w:rsidRDefault="0019766E" w:rsidP="008E74E6">
      <w:pPr>
        <w:pStyle w:val="ListParagraph"/>
        <w:numPr>
          <w:ilvl w:val="0"/>
          <w:numId w:val="21"/>
        </w:numPr>
      </w:pPr>
      <w:r>
        <w:t xml:space="preserve">economic viability </w:t>
      </w:r>
      <w:r w:rsidR="008E74E6">
        <w:t xml:space="preserve">– </w:t>
      </w:r>
      <w:r>
        <w:t xml:space="preserve">to ensure solutions can be realistically procured by NGOs and deployed in the field </w:t>
      </w:r>
    </w:p>
    <w:p w14:paraId="59C7D8C1" w14:textId="6632E55A" w:rsidR="008E74E6" w:rsidRDefault="0019766E" w:rsidP="008E74E6">
      <w:pPr>
        <w:pStyle w:val="ListParagraph"/>
        <w:numPr>
          <w:ilvl w:val="0"/>
          <w:numId w:val="21"/>
        </w:numPr>
      </w:pPr>
      <w:r>
        <w:t xml:space="preserve">low environmental impacts </w:t>
      </w:r>
      <w:r w:rsidR="008E74E6">
        <w:t xml:space="preserve">- </w:t>
      </w:r>
      <w:r>
        <w:t>to reduce the harm to the planet and to avoid high carbon emissions due to material</w:t>
      </w:r>
      <w:r w:rsidR="008E74E6">
        <w:t>s</w:t>
      </w:r>
      <w:r>
        <w:t>, transportation and operation that in turn further contribute to climate change and natural disasters</w:t>
      </w:r>
      <w:r w:rsidR="008E74E6">
        <w:t>,</w:t>
      </w:r>
      <w:r>
        <w:t xml:space="preserve"> and </w:t>
      </w:r>
    </w:p>
    <w:p w14:paraId="4411850A" w14:textId="114AA899" w:rsidR="0019766E" w:rsidRDefault="0019766E" w:rsidP="00950D8A">
      <w:pPr>
        <w:pStyle w:val="ListParagraph"/>
        <w:numPr>
          <w:ilvl w:val="0"/>
          <w:numId w:val="21"/>
        </w:numPr>
      </w:pPr>
      <w:r>
        <w:t xml:space="preserve">social suitability </w:t>
      </w:r>
      <w:r w:rsidR="008E74E6">
        <w:t xml:space="preserve">– </w:t>
      </w:r>
      <w:r>
        <w:t xml:space="preserve">to ensure the solutions benefit the intended users and their communities and act </w:t>
      </w:r>
      <w:r w:rsidR="008E74E6">
        <w:t>to</w:t>
      </w:r>
      <w:r>
        <w:t xml:space="preserve"> drive long-term empowerment and development. </w:t>
      </w:r>
    </w:p>
    <w:p w14:paraId="13B5F8CF" w14:textId="77777777" w:rsidR="0019766E" w:rsidRDefault="0019766E" w:rsidP="00227AF0"/>
    <w:p w14:paraId="5D8001C5" w14:textId="7832A6BB" w:rsidR="00227AF0" w:rsidRDefault="00084822" w:rsidP="00227AF0">
      <w:r>
        <w:lastRenderedPageBreak/>
        <w:t xml:space="preserve">All these considerations have formed the basis for this research, and helped </w:t>
      </w:r>
      <w:r w:rsidR="008E74E6">
        <w:t xml:space="preserve">to </w:t>
      </w:r>
      <w:r>
        <w:t xml:space="preserve">shape the methodology adopted, which is discussed in the next section. </w:t>
      </w:r>
    </w:p>
    <w:p w14:paraId="2C63B135" w14:textId="77777777" w:rsidR="00E960E6" w:rsidRPr="00E54376" w:rsidRDefault="00E960E6" w:rsidP="00227AF0"/>
    <w:p w14:paraId="2B83916F" w14:textId="064F48B5" w:rsidR="009B5C4B" w:rsidRDefault="004D180C" w:rsidP="00525422">
      <w:pPr>
        <w:pStyle w:val="Heading1"/>
      </w:pPr>
      <w:r>
        <w:t>3</w:t>
      </w:r>
      <w:r w:rsidR="00173A2F">
        <w:t xml:space="preserve">. </w:t>
      </w:r>
      <w:r w:rsidR="001243BF">
        <w:t>Methodology</w:t>
      </w:r>
    </w:p>
    <w:p w14:paraId="13C66883" w14:textId="4D51353B" w:rsidR="00AF5CD8" w:rsidRDefault="00AF5CD8" w:rsidP="00525422">
      <w:pPr>
        <w:rPr>
          <w:b/>
        </w:rPr>
      </w:pPr>
    </w:p>
    <w:p w14:paraId="3F73E443" w14:textId="4A335A21" w:rsidR="00AC2ECB" w:rsidRDefault="00B656D3" w:rsidP="00525422">
      <w:r>
        <w:t>The interdisciplinarity of this research</w:t>
      </w:r>
      <w:r w:rsidR="0043012C">
        <w:t>,</w:t>
      </w:r>
      <w:r>
        <w:t xml:space="preserve"> as well as </w:t>
      </w:r>
      <w:r w:rsidR="0043012C">
        <w:t>the complexity of the topic it deals with,</w:t>
      </w:r>
      <w:r>
        <w:t xml:space="preserve"> guided us towards a mixed methods research design</w:t>
      </w:r>
      <w:r w:rsidR="008E74E6">
        <w:t xml:space="preserve"> and the</w:t>
      </w:r>
      <w:r>
        <w:t xml:space="preserve"> overarching framework is shown in Figure 3. </w:t>
      </w:r>
    </w:p>
    <w:p w14:paraId="7AA452E5" w14:textId="5C70BB43" w:rsidR="00B656D3" w:rsidRDefault="00B656D3" w:rsidP="00525422"/>
    <w:p w14:paraId="68CF8400" w14:textId="77777777" w:rsidR="0043012C" w:rsidRDefault="00BF65AA" w:rsidP="00525422">
      <w:pPr>
        <w:keepNext/>
      </w:pPr>
      <w:r>
        <w:rPr>
          <w:noProof/>
          <w:lang w:eastAsia="en-GB"/>
        </w:rPr>
        <w:drawing>
          <wp:inline distT="0" distB="0" distL="0" distR="0" wp14:anchorId="044A4365" wp14:editId="78C4F93E">
            <wp:extent cx="5303015" cy="3717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thodology.png"/>
                    <pic:cNvPicPr/>
                  </pic:nvPicPr>
                  <pic:blipFill>
                    <a:blip r:embed="rId12">
                      <a:extLst>
                        <a:ext uri="{28A0092B-C50C-407E-A947-70E740481C1C}">
                          <a14:useLocalDpi xmlns:a14="http://schemas.microsoft.com/office/drawing/2010/main" val="0"/>
                        </a:ext>
                      </a:extLst>
                    </a:blip>
                    <a:stretch>
                      <a:fillRect/>
                    </a:stretch>
                  </pic:blipFill>
                  <pic:spPr>
                    <a:xfrm>
                      <a:off x="0" y="0"/>
                      <a:ext cx="5303015" cy="3717925"/>
                    </a:xfrm>
                    <a:prstGeom prst="rect">
                      <a:avLst/>
                    </a:prstGeom>
                  </pic:spPr>
                </pic:pic>
              </a:graphicData>
            </a:graphic>
          </wp:inline>
        </w:drawing>
      </w:r>
    </w:p>
    <w:p w14:paraId="6BCCE72F" w14:textId="4AE586BE" w:rsidR="00B656D3" w:rsidRDefault="0043012C" w:rsidP="00525422">
      <w:pPr>
        <w:pStyle w:val="Caption"/>
      </w:pPr>
      <w:r>
        <w:t xml:space="preserve">Figure </w:t>
      </w:r>
      <w:r w:rsidR="007923E2">
        <w:rPr>
          <w:noProof/>
        </w:rPr>
        <w:fldChar w:fldCharType="begin"/>
      </w:r>
      <w:r w:rsidR="007923E2">
        <w:rPr>
          <w:noProof/>
        </w:rPr>
        <w:instrText xml:space="preserve"> SEQ Figure \* ARABIC </w:instrText>
      </w:r>
      <w:r w:rsidR="007923E2">
        <w:rPr>
          <w:noProof/>
        </w:rPr>
        <w:fldChar w:fldCharType="separate"/>
      </w:r>
      <w:r w:rsidR="00EB1A80">
        <w:rPr>
          <w:noProof/>
        </w:rPr>
        <w:t>3</w:t>
      </w:r>
      <w:r w:rsidR="007923E2">
        <w:rPr>
          <w:noProof/>
        </w:rPr>
        <w:fldChar w:fldCharType="end"/>
      </w:r>
      <w:r>
        <w:t xml:space="preserve"> - Mixed methods research framework designed for, and utilised in, the current research</w:t>
      </w:r>
    </w:p>
    <w:p w14:paraId="649708FD" w14:textId="63D6FCCE" w:rsidR="00632D4D" w:rsidRDefault="00981508" w:rsidP="00525422">
      <w:r>
        <w:t>Preliminary work was carried out in parallel at both the University of Cape Town</w:t>
      </w:r>
      <w:r w:rsidR="008E74E6">
        <w:t>, Africa,</w:t>
      </w:r>
      <w:r>
        <w:t xml:space="preserve"> and Edinburgh Napier University</w:t>
      </w:r>
      <w:r w:rsidR="008E74E6">
        <w:t>, UK</w:t>
      </w:r>
      <w:r>
        <w:t>. Team members in Africa focused on understanding the status quo in the country</w:t>
      </w:r>
      <w:r w:rsidR="008E74E6">
        <w:t>,</w:t>
      </w:r>
      <w:r>
        <w:t xml:space="preserve"> </w:t>
      </w:r>
      <w:r w:rsidR="00667585">
        <w:t xml:space="preserve">including numbers of displaced people, shares of people displaced by conflict and by disasters, number and population of informal settlements, and country specific analyses for Uganda, Kenya, Ethiopia, Sudan, DRC, Nigeria, and South Africa. The team also worked on retrieving, reviewing and understanding information related to traditional </w:t>
      </w:r>
      <w:r w:rsidR="004306AB">
        <w:t xml:space="preserve">African </w:t>
      </w:r>
      <w:r w:rsidR="00667585">
        <w:t xml:space="preserve">architecture </w:t>
      </w:r>
      <w:r w:rsidR="00667585">
        <w:fldChar w:fldCharType="begin"/>
      </w:r>
      <w:r w:rsidR="004D180C">
        <w:instrText xml:space="preserve"> ADDIN ZOTERO_ITEM CSL_CITATION {"citationID":"1cFPqIkq","properties":{"formattedCitation":"(e.g. Denyer, 1978)","plainCitation":"(e.g. Denyer, 1978)","noteIndex":0},"citationItems":[{"id":5941,"uris":["http://zotero.org/users/5557903/items/6GKS34VG"],"uri":["http://zotero.org/users/5557903/items/6GKS34VG"],"itemData":{"id":5941,"type":"report","title":"African traditional architecture: an historical and geographical perspective","publisher":"Heinemann,","author":[{"family":"Denyer","given":"Susan"}],"issued":{"date-parts":[["1978"]]}},"prefix":"e.g. "}],"schema":"https://github.com/citation-style-language/schema/raw/master/csl-citation.json"} </w:instrText>
      </w:r>
      <w:r w:rsidR="00667585">
        <w:fldChar w:fldCharType="separate"/>
      </w:r>
      <w:r w:rsidR="004D180C" w:rsidRPr="004D180C">
        <w:t>(e.g. Denyer, 1978)</w:t>
      </w:r>
      <w:r w:rsidR="00667585">
        <w:fldChar w:fldCharType="end"/>
      </w:r>
      <w:r w:rsidR="00667585">
        <w:t xml:space="preserve">, as well as traditional construction techniques and local materials </w:t>
      </w:r>
      <w:r w:rsidR="00667585">
        <w:fldChar w:fldCharType="begin"/>
      </w:r>
      <w:r w:rsidR="004D180C">
        <w:instrText xml:space="preserve"> ADDIN ZOTERO_ITEM CSL_CITATION {"citationID":"Dsb3ju3u","properties":{"formattedCitation":"(e.g. Van Lengen, 2008)","plainCitation":"(e.g. Van Lengen, 2008)","noteIndex":0},"citationItems":[{"id":5942,"uris":["http://zotero.org/users/5557903/items/SAGQZAIR"],"uri":["http://zotero.org/users/5557903/items/SAGQZAIR"],"itemData":{"id":5942,"type":"book","title":"The barefoot architect: a handbook for green building","publisher":"Shelter Publications, Inc.","ISBN":"0-936070-42-0","author":[{"family":"Van Lengen","given":"Johan"}],"issued":{"date-parts":[["2008"]]}},"prefix":"e.g. "}],"schema":"https://github.com/citation-style-language/schema/raw/master/csl-citation.json"} </w:instrText>
      </w:r>
      <w:r w:rsidR="00667585">
        <w:fldChar w:fldCharType="separate"/>
      </w:r>
      <w:r w:rsidR="004D180C" w:rsidRPr="004D180C">
        <w:t>(e.g. Van Lengen, 2008)</w:t>
      </w:r>
      <w:r w:rsidR="00667585">
        <w:fldChar w:fldCharType="end"/>
      </w:r>
      <w:r w:rsidR="00667585">
        <w:t xml:space="preserve">. Concomitantly, the team in the UK reviewed and analysed the state of the art on post-disaster post-conflict sheltering. The analysis focused on both existing solutions (PDPC shelters that have been used in the field) and novel designs (PDPC shelters that have been engineered and prototyped but never deployed in a disaster/conflict context). Both clusters have </w:t>
      </w:r>
      <w:r w:rsidR="0052618F">
        <w:t xml:space="preserve">been assessed against </w:t>
      </w:r>
      <w:r w:rsidR="00632D4D">
        <w:t xml:space="preserve">the </w:t>
      </w:r>
      <w:r w:rsidR="0052618F">
        <w:t>four key dimensions</w:t>
      </w:r>
      <w:r w:rsidR="00632D4D">
        <w:t xml:space="preserve"> </w:t>
      </w:r>
      <w:r w:rsidR="008E74E6">
        <w:t xml:space="preserve">which </w:t>
      </w:r>
      <w:r w:rsidR="00632D4D">
        <w:t>emerged from the literature review</w:t>
      </w:r>
      <w:r w:rsidR="0052618F">
        <w:t>: environmental impacts, social su</w:t>
      </w:r>
      <w:r w:rsidR="00AD72F2">
        <w:t>it</w:t>
      </w:r>
      <w:r w:rsidR="0052618F">
        <w:t xml:space="preserve">ability, economic viability, and technical performance. </w:t>
      </w:r>
    </w:p>
    <w:p w14:paraId="6A224014" w14:textId="77777777" w:rsidR="00632D4D" w:rsidRDefault="00632D4D" w:rsidP="00525422"/>
    <w:p w14:paraId="227EC9B1" w14:textId="2F158A1E" w:rsidR="00BA401B" w:rsidRDefault="00AD72F2" w:rsidP="00525422">
      <w:r>
        <w:lastRenderedPageBreak/>
        <w:t>The analysis of these four dimensions allowed a comprehensive list of sustainability criteria</w:t>
      </w:r>
      <w:r w:rsidR="00A8506C" w:rsidRPr="00A8506C">
        <w:t xml:space="preserve"> </w:t>
      </w:r>
      <w:r w:rsidR="00A8506C">
        <w:t>to be derived</w:t>
      </w:r>
      <w:r w:rsidR="004A669D">
        <w:t xml:space="preserve">. </w:t>
      </w:r>
      <w:r w:rsidR="00BA401B">
        <w:t>The factors identified for each sustainability dimension are shown in Table 1.</w:t>
      </w:r>
    </w:p>
    <w:p w14:paraId="79186B96" w14:textId="26939168" w:rsidR="00BA401B" w:rsidRDefault="00BA401B" w:rsidP="00F21A5C">
      <w:pPr>
        <w:pStyle w:val="Caption"/>
        <w:keepNext/>
      </w:pPr>
      <w:r>
        <w:t xml:space="preserve">Table </w:t>
      </w:r>
      <w:r w:rsidR="003D4318">
        <w:fldChar w:fldCharType="begin"/>
      </w:r>
      <w:r w:rsidR="003D4318">
        <w:instrText xml:space="preserve"> SEQ Table \* ARABIC </w:instrText>
      </w:r>
      <w:r w:rsidR="003D4318">
        <w:fldChar w:fldCharType="separate"/>
      </w:r>
      <w:r>
        <w:rPr>
          <w:noProof/>
        </w:rPr>
        <w:t>1</w:t>
      </w:r>
      <w:r w:rsidR="003D4318">
        <w:rPr>
          <w:noProof/>
        </w:rPr>
        <w:fldChar w:fldCharType="end"/>
      </w:r>
      <w:r>
        <w:t xml:space="preserve"> - Factors considered across the four sustainability dimensions</w:t>
      </w:r>
    </w:p>
    <w:tbl>
      <w:tblPr>
        <w:tblW w:w="6804" w:type="dxa"/>
        <w:tblLook w:val="04A0" w:firstRow="1" w:lastRow="0" w:firstColumn="1" w:lastColumn="0" w:noHBand="0" w:noVBand="1"/>
      </w:tblPr>
      <w:tblGrid>
        <w:gridCol w:w="1733"/>
        <w:gridCol w:w="5071"/>
      </w:tblGrid>
      <w:tr w:rsidR="00BA401B" w:rsidRPr="00A8506C" w14:paraId="1A6633E2" w14:textId="77777777" w:rsidTr="00950D8A">
        <w:trPr>
          <w:trHeight w:val="300"/>
        </w:trPr>
        <w:tc>
          <w:tcPr>
            <w:tcW w:w="1733" w:type="dxa"/>
            <w:vMerge w:val="restart"/>
            <w:tcBorders>
              <w:top w:val="nil"/>
              <w:left w:val="nil"/>
              <w:bottom w:val="single" w:sz="4" w:space="0" w:color="000000"/>
              <w:right w:val="nil"/>
            </w:tcBorders>
            <w:shd w:val="clear" w:color="auto" w:fill="auto"/>
            <w:noWrap/>
            <w:vAlign w:val="center"/>
            <w:hideMark/>
          </w:tcPr>
          <w:p w14:paraId="6C58B0AD" w14:textId="77777777" w:rsidR="00BA401B" w:rsidRPr="00950D8A" w:rsidRDefault="00BA401B" w:rsidP="00BA401B">
            <w:pPr>
              <w:jc w:val="center"/>
              <w:rPr>
                <w:rFonts w:eastAsia="Times New Roman" w:cs="Calibri"/>
                <w:b/>
                <w:bCs/>
                <w:color w:val="000000"/>
                <w:sz w:val="22"/>
                <w:szCs w:val="22"/>
                <w:lang w:eastAsia="en-GB"/>
              </w:rPr>
            </w:pPr>
            <w:r w:rsidRPr="00950D8A">
              <w:rPr>
                <w:rFonts w:eastAsia="Times New Roman" w:cs="Calibri"/>
                <w:b/>
                <w:bCs/>
                <w:color w:val="000000"/>
                <w:sz w:val="22"/>
                <w:szCs w:val="22"/>
                <w:lang w:eastAsia="en-GB"/>
              </w:rPr>
              <w:t xml:space="preserve">Social  </w:t>
            </w:r>
          </w:p>
        </w:tc>
        <w:tc>
          <w:tcPr>
            <w:tcW w:w="5071" w:type="dxa"/>
            <w:tcBorders>
              <w:top w:val="nil"/>
              <w:left w:val="nil"/>
              <w:bottom w:val="nil"/>
              <w:right w:val="nil"/>
            </w:tcBorders>
            <w:shd w:val="clear" w:color="auto" w:fill="auto"/>
            <w:noWrap/>
            <w:vAlign w:val="bottom"/>
            <w:hideMark/>
          </w:tcPr>
          <w:p w14:paraId="217ED961" w14:textId="77777777" w:rsidR="00BA401B" w:rsidRPr="00950D8A" w:rsidRDefault="00BA401B" w:rsidP="00BA401B">
            <w:pPr>
              <w:rPr>
                <w:rFonts w:eastAsia="Times New Roman" w:cs="Calibri"/>
                <w:color w:val="000000"/>
                <w:sz w:val="22"/>
                <w:szCs w:val="22"/>
                <w:lang w:eastAsia="en-GB"/>
              </w:rPr>
            </w:pPr>
            <w:r w:rsidRPr="00950D8A">
              <w:rPr>
                <w:rFonts w:eastAsia="Times New Roman" w:cs="Calibri"/>
                <w:color w:val="000000"/>
                <w:sz w:val="22"/>
                <w:szCs w:val="22"/>
                <w:lang w:eastAsia="en-GB"/>
              </w:rPr>
              <w:t>Social Status</w:t>
            </w:r>
          </w:p>
        </w:tc>
      </w:tr>
      <w:tr w:rsidR="00BA401B" w:rsidRPr="00A8506C" w14:paraId="25C668A3" w14:textId="77777777" w:rsidTr="00950D8A">
        <w:trPr>
          <w:trHeight w:val="300"/>
        </w:trPr>
        <w:tc>
          <w:tcPr>
            <w:tcW w:w="1733" w:type="dxa"/>
            <w:vMerge/>
            <w:tcBorders>
              <w:top w:val="nil"/>
              <w:left w:val="nil"/>
              <w:bottom w:val="single" w:sz="4" w:space="0" w:color="000000"/>
              <w:right w:val="nil"/>
            </w:tcBorders>
            <w:vAlign w:val="center"/>
            <w:hideMark/>
          </w:tcPr>
          <w:p w14:paraId="5DE1302E" w14:textId="77777777" w:rsidR="00BA401B" w:rsidRPr="00950D8A" w:rsidRDefault="00BA401B" w:rsidP="00BA401B">
            <w:pPr>
              <w:rPr>
                <w:rFonts w:eastAsia="Times New Roman" w:cs="Calibri"/>
                <w:b/>
                <w:bCs/>
                <w:color w:val="000000"/>
                <w:sz w:val="22"/>
                <w:szCs w:val="22"/>
                <w:lang w:eastAsia="en-GB"/>
              </w:rPr>
            </w:pPr>
          </w:p>
        </w:tc>
        <w:tc>
          <w:tcPr>
            <w:tcW w:w="5071" w:type="dxa"/>
            <w:tcBorders>
              <w:top w:val="nil"/>
              <w:left w:val="nil"/>
              <w:bottom w:val="nil"/>
              <w:right w:val="nil"/>
            </w:tcBorders>
            <w:shd w:val="clear" w:color="auto" w:fill="auto"/>
            <w:noWrap/>
            <w:vAlign w:val="bottom"/>
            <w:hideMark/>
          </w:tcPr>
          <w:p w14:paraId="23022EB4" w14:textId="77777777" w:rsidR="00BA401B" w:rsidRPr="00950D8A" w:rsidRDefault="00BA401B" w:rsidP="00BA401B">
            <w:pPr>
              <w:rPr>
                <w:rFonts w:eastAsia="Times New Roman" w:cs="Calibri"/>
                <w:color w:val="000000"/>
                <w:sz w:val="22"/>
                <w:szCs w:val="22"/>
                <w:lang w:eastAsia="en-GB"/>
              </w:rPr>
            </w:pPr>
            <w:r w:rsidRPr="00950D8A">
              <w:rPr>
                <w:rFonts w:eastAsia="Times New Roman" w:cs="Calibri"/>
                <w:color w:val="000000"/>
                <w:sz w:val="22"/>
                <w:szCs w:val="22"/>
                <w:lang w:eastAsia="en-GB"/>
              </w:rPr>
              <w:t>Involvement of local people</w:t>
            </w:r>
          </w:p>
        </w:tc>
      </w:tr>
      <w:tr w:rsidR="00BA401B" w:rsidRPr="00A8506C" w14:paraId="7338B98C" w14:textId="77777777" w:rsidTr="00950D8A">
        <w:trPr>
          <w:trHeight w:val="300"/>
        </w:trPr>
        <w:tc>
          <w:tcPr>
            <w:tcW w:w="1733" w:type="dxa"/>
            <w:vMerge/>
            <w:tcBorders>
              <w:top w:val="nil"/>
              <w:left w:val="nil"/>
              <w:bottom w:val="single" w:sz="4" w:space="0" w:color="000000"/>
              <w:right w:val="nil"/>
            </w:tcBorders>
            <w:vAlign w:val="center"/>
            <w:hideMark/>
          </w:tcPr>
          <w:p w14:paraId="47A9065D" w14:textId="77777777" w:rsidR="00BA401B" w:rsidRPr="00950D8A" w:rsidRDefault="00BA401B" w:rsidP="00BA401B">
            <w:pPr>
              <w:rPr>
                <w:rFonts w:eastAsia="Times New Roman" w:cs="Calibri"/>
                <w:b/>
                <w:bCs/>
                <w:color w:val="000000"/>
                <w:sz w:val="22"/>
                <w:szCs w:val="22"/>
                <w:lang w:eastAsia="en-GB"/>
              </w:rPr>
            </w:pPr>
          </w:p>
        </w:tc>
        <w:tc>
          <w:tcPr>
            <w:tcW w:w="5071" w:type="dxa"/>
            <w:tcBorders>
              <w:top w:val="nil"/>
              <w:left w:val="nil"/>
              <w:bottom w:val="single" w:sz="4" w:space="0" w:color="auto"/>
              <w:right w:val="nil"/>
            </w:tcBorders>
            <w:shd w:val="clear" w:color="auto" w:fill="auto"/>
            <w:noWrap/>
            <w:vAlign w:val="bottom"/>
            <w:hideMark/>
          </w:tcPr>
          <w:p w14:paraId="3A65ECC3" w14:textId="77777777" w:rsidR="00BA401B" w:rsidRPr="00950D8A" w:rsidRDefault="00BA401B" w:rsidP="00BA401B">
            <w:pPr>
              <w:rPr>
                <w:rFonts w:eastAsia="Times New Roman" w:cs="Calibri"/>
                <w:color w:val="000000"/>
                <w:sz w:val="22"/>
                <w:szCs w:val="22"/>
                <w:lang w:eastAsia="en-GB"/>
              </w:rPr>
            </w:pPr>
            <w:r w:rsidRPr="00950D8A">
              <w:rPr>
                <w:rFonts w:eastAsia="Times New Roman" w:cs="Calibri"/>
                <w:color w:val="000000"/>
                <w:sz w:val="22"/>
                <w:szCs w:val="22"/>
                <w:lang w:eastAsia="en-GB"/>
              </w:rPr>
              <w:t>Familiarity to intended users</w:t>
            </w:r>
          </w:p>
        </w:tc>
      </w:tr>
      <w:tr w:rsidR="00BA401B" w:rsidRPr="00A8506C" w14:paraId="571ADBD1" w14:textId="77777777" w:rsidTr="00950D8A">
        <w:trPr>
          <w:trHeight w:val="300"/>
        </w:trPr>
        <w:tc>
          <w:tcPr>
            <w:tcW w:w="1733" w:type="dxa"/>
            <w:vMerge w:val="restart"/>
            <w:tcBorders>
              <w:top w:val="nil"/>
              <w:left w:val="nil"/>
              <w:bottom w:val="single" w:sz="4" w:space="0" w:color="000000"/>
              <w:right w:val="nil"/>
            </w:tcBorders>
            <w:shd w:val="clear" w:color="auto" w:fill="auto"/>
            <w:noWrap/>
            <w:vAlign w:val="center"/>
            <w:hideMark/>
          </w:tcPr>
          <w:p w14:paraId="62331F5A" w14:textId="77777777" w:rsidR="00BA401B" w:rsidRPr="00950D8A" w:rsidRDefault="00BA401B" w:rsidP="00BA401B">
            <w:pPr>
              <w:jc w:val="center"/>
              <w:rPr>
                <w:rFonts w:eastAsia="Times New Roman" w:cs="Calibri"/>
                <w:b/>
                <w:bCs/>
                <w:color w:val="000000"/>
                <w:sz w:val="22"/>
                <w:szCs w:val="22"/>
                <w:lang w:eastAsia="en-GB"/>
              </w:rPr>
            </w:pPr>
            <w:r w:rsidRPr="00950D8A">
              <w:rPr>
                <w:rFonts w:eastAsia="Times New Roman" w:cs="Calibri"/>
                <w:b/>
                <w:bCs/>
                <w:color w:val="000000"/>
                <w:sz w:val="22"/>
                <w:szCs w:val="22"/>
                <w:lang w:eastAsia="en-GB"/>
              </w:rPr>
              <w:t>Environmental</w:t>
            </w:r>
          </w:p>
        </w:tc>
        <w:tc>
          <w:tcPr>
            <w:tcW w:w="5071" w:type="dxa"/>
            <w:tcBorders>
              <w:top w:val="nil"/>
              <w:left w:val="nil"/>
              <w:bottom w:val="nil"/>
              <w:right w:val="nil"/>
            </w:tcBorders>
            <w:shd w:val="clear" w:color="auto" w:fill="auto"/>
            <w:noWrap/>
            <w:vAlign w:val="bottom"/>
            <w:hideMark/>
          </w:tcPr>
          <w:p w14:paraId="5E46A453" w14:textId="77777777" w:rsidR="00BA401B" w:rsidRPr="00950D8A" w:rsidRDefault="00BA401B" w:rsidP="00BA401B">
            <w:pPr>
              <w:rPr>
                <w:rFonts w:eastAsia="Times New Roman" w:cs="Calibri"/>
                <w:color w:val="000000"/>
                <w:sz w:val="22"/>
                <w:szCs w:val="22"/>
                <w:lang w:eastAsia="en-GB"/>
              </w:rPr>
            </w:pPr>
            <w:r w:rsidRPr="00950D8A">
              <w:rPr>
                <w:rFonts w:eastAsia="Times New Roman" w:cs="Calibri"/>
                <w:color w:val="000000"/>
                <w:sz w:val="22"/>
                <w:szCs w:val="22"/>
                <w:lang w:eastAsia="en-GB"/>
              </w:rPr>
              <w:t>Local availability of materials required</w:t>
            </w:r>
          </w:p>
        </w:tc>
      </w:tr>
      <w:tr w:rsidR="00BA401B" w:rsidRPr="00A8506C" w14:paraId="07D6EBAF" w14:textId="77777777" w:rsidTr="00950D8A">
        <w:trPr>
          <w:trHeight w:val="300"/>
        </w:trPr>
        <w:tc>
          <w:tcPr>
            <w:tcW w:w="1733" w:type="dxa"/>
            <w:vMerge/>
            <w:tcBorders>
              <w:top w:val="nil"/>
              <w:left w:val="nil"/>
              <w:bottom w:val="single" w:sz="4" w:space="0" w:color="000000"/>
              <w:right w:val="nil"/>
            </w:tcBorders>
            <w:vAlign w:val="center"/>
            <w:hideMark/>
          </w:tcPr>
          <w:p w14:paraId="3C6FCEB2" w14:textId="77777777" w:rsidR="00BA401B" w:rsidRPr="00950D8A" w:rsidRDefault="00BA401B" w:rsidP="00BA401B">
            <w:pPr>
              <w:rPr>
                <w:rFonts w:eastAsia="Times New Roman" w:cs="Calibri"/>
                <w:b/>
                <w:bCs/>
                <w:color w:val="000000"/>
                <w:sz w:val="22"/>
                <w:szCs w:val="22"/>
                <w:lang w:eastAsia="en-GB"/>
              </w:rPr>
            </w:pPr>
          </w:p>
        </w:tc>
        <w:tc>
          <w:tcPr>
            <w:tcW w:w="5071" w:type="dxa"/>
            <w:tcBorders>
              <w:top w:val="nil"/>
              <w:left w:val="nil"/>
              <w:bottom w:val="nil"/>
              <w:right w:val="nil"/>
            </w:tcBorders>
            <w:shd w:val="clear" w:color="auto" w:fill="auto"/>
            <w:noWrap/>
            <w:vAlign w:val="bottom"/>
            <w:hideMark/>
          </w:tcPr>
          <w:p w14:paraId="2859607A" w14:textId="77777777" w:rsidR="00BA401B" w:rsidRPr="00950D8A" w:rsidRDefault="00BA401B" w:rsidP="00BA401B">
            <w:pPr>
              <w:rPr>
                <w:rFonts w:eastAsia="Times New Roman" w:cs="Calibri"/>
                <w:color w:val="000000"/>
                <w:sz w:val="22"/>
                <w:szCs w:val="22"/>
                <w:lang w:eastAsia="en-GB"/>
              </w:rPr>
            </w:pPr>
            <w:r w:rsidRPr="00950D8A">
              <w:rPr>
                <w:rFonts w:eastAsia="Times New Roman" w:cs="Calibri"/>
                <w:color w:val="000000"/>
                <w:sz w:val="22"/>
                <w:szCs w:val="22"/>
                <w:lang w:eastAsia="en-GB"/>
              </w:rPr>
              <w:t>Healthy (does not harm, e.g. toxic substances)</w:t>
            </w:r>
          </w:p>
        </w:tc>
      </w:tr>
      <w:tr w:rsidR="00BA401B" w:rsidRPr="00A8506C" w14:paraId="4D6D5192" w14:textId="77777777" w:rsidTr="00950D8A">
        <w:trPr>
          <w:trHeight w:val="300"/>
        </w:trPr>
        <w:tc>
          <w:tcPr>
            <w:tcW w:w="1733" w:type="dxa"/>
            <w:vMerge/>
            <w:tcBorders>
              <w:top w:val="nil"/>
              <w:left w:val="nil"/>
              <w:bottom w:val="single" w:sz="4" w:space="0" w:color="000000"/>
              <w:right w:val="nil"/>
            </w:tcBorders>
            <w:vAlign w:val="center"/>
            <w:hideMark/>
          </w:tcPr>
          <w:p w14:paraId="5B1C575D" w14:textId="77777777" w:rsidR="00BA401B" w:rsidRPr="00950D8A" w:rsidRDefault="00BA401B" w:rsidP="00BA401B">
            <w:pPr>
              <w:rPr>
                <w:rFonts w:eastAsia="Times New Roman" w:cs="Calibri"/>
                <w:b/>
                <w:bCs/>
                <w:color w:val="000000"/>
                <w:sz w:val="22"/>
                <w:szCs w:val="22"/>
                <w:lang w:eastAsia="en-GB"/>
              </w:rPr>
            </w:pPr>
          </w:p>
        </w:tc>
        <w:tc>
          <w:tcPr>
            <w:tcW w:w="5071" w:type="dxa"/>
            <w:tcBorders>
              <w:top w:val="nil"/>
              <w:left w:val="nil"/>
              <w:bottom w:val="single" w:sz="4" w:space="0" w:color="auto"/>
              <w:right w:val="nil"/>
            </w:tcBorders>
            <w:shd w:val="clear" w:color="auto" w:fill="auto"/>
            <w:noWrap/>
            <w:vAlign w:val="bottom"/>
            <w:hideMark/>
          </w:tcPr>
          <w:p w14:paraId="69506CDD" w14:textId="77777777" w:rsidR="00BA401B" w:rsidRPr="00950D8A" w:rsidRDefault="00BA401B" w:rsidP="00BA401B">
            <w:pPr>
              <w:rPr>
                <w:rFonts w:eastAsia="Times New Roman" w:cs="Calibri"/>
                <w:color w:val="000000"/>
                <w:sz w:val="22"/>
                <w:szCs w:val="22"/>
                <w:lang w:eastAsia="en-GB"/>
              </w:rPr>
            </w:pPr>
            <w:r w:rsidRPr="00950D8A">
              <w:rPr>
                <w:rFonts w:eastAsia="Times New Roman" w:cs="Calibri"/>
                <w:color w:val="000000"/>
                <w:sz w:val="22"/>
                <w:szCs w:val="22"/>
                <w:lang w:eastAsia="en-GB"/>
              </w:rPr>
              <w:t>Low environmental impacts (e.g. carbon emissions)</w:t>
            </w:r>
          </w:p>
        </w:tc>
      </w:tr>
      <w:tr w:rsidR="00BA401B" w:rsidRPr="00A8506C" w14:paraId="308F6010" w14:textId="77777777" w:rsidTr="00950D8A">
        <w:trPr>
          <w:trHeight w:val="300"/>
        </w:trPr>
        <w:tc>
          <w:tcPr>
            <w:tcW w:w="1733" w:type="dxa"/>
            <w:vMerge w:val="restart"/>
            <w:tcBorders>
              <w:top w:val="nil"/>
              <w:left w:val="nil"/>
              <w:bottom w:val="single" w:sz="4" w:space="0" w:color="000000"/>
              <w:right w:val="nil"/>
            </w:tcBorders>
            <w:shd w:val="clear" w:color="auto" w:fill="auto"/>
            <w:noWrap/>
            <w:vAlign w:val="center"/>
            <w:hideMark/>
          </w:tcPr>
          <w:p w14:paraId="75DF2E78" w14:textId="77777777" w:rsidR="00BA401B" w:rsidRPr="00950D8A" w:rsidRDefault="00BA401B" w:rsidP="00BA401B">
            <w:pPr>
              <w:jc w:val="center"/>
              <w:rPr>
                <w:rFonts w:eastAsia="Times New Roman" w:cs="Calibri"/>
                <w:b/>
                <w:bCs/>
                <w:color w:val="000000"/>
                <w:sz w:val="22"/>
                <w:szCs w:val="22"/>
                <w:lang w:eastAsia="en-GB"/>
              </w:rPr>
            </w:pPr>
            <w:r w:rsidRPr="00950D8A">
              <w:rPr>
                <w:rFonts w:eastAsia="Times New Roman" w:cs="Calibri"/>
                <w:b/>
                <w:bCs/>
                <w:color w:val="000000"/>
                <w:sz w:val="22"/>
                <w:szCs w:val="22"/>
                <w:lang w:eastAsia="en-GB"/>
              </w:rPr>
              <w:t>Economic</w:t>
            </w:r>
          </w:p>
        </w:tc>
        <w:tc>
          <w:tcPr>
            <w:tcW w:w="5071" w:type="dxa"/>
            <w:tcBorders>
              <w:top w:val="nil"/>
              <w:left w:val="nil"/>
              <w:bottom w:val="nil"/>
              <w:right w:val="nil"/>
            </w:tcBorders>
            <w:shd w:val="clear" w:color="auto" w:fill="auto"/>
            <w:noWrap/>
            <w:vAlign w:val="bottom"/>
            <w:hideMark/>
          </w:tcPr>
          <w:p w14:paraId="0E06A908" w14:textId="77777777" w:rsidR="00BA401B" w:rsidRPr="00950D8A" w:rsidRDefault="00BA401B" w:rsidP="00BA401B">
            <w:pPr>
              <w:rPr>
                <w:rFonts w:eastAsia="Times New Roman" w:cs="Calibri"/>
                <w:color w:val="000000"/>
                <w:sz w:val="22"/>
                <w:szCs w:val="22"/>
                <w:lang w:eastAsia="en-GB"/>
              </w:rPr>
            </w:pPr>
            <w:r w:rsidRPr="00950D8A">
              <w:rPr>
                <w:rFonts w:eastAsia="Times New Roman" w:cs="Calibri"/>
                <w:color w:val="000000"/>
                <w:sz w:val="22"/>
                <w:szCs w:val="22"/>
                <w:lang w:eastAsia="en-GB"/>
              </w:rPr>
              <w:t>Low construction costs</w:t>
            </w:r>
          </w:p>
        </w:tc>
      </w:tr>
      <w:tr w:rsidR="00BA401B" w:rsidRPr="00A8506C" w14:paraId="03EABC7B" w14:textId="77777777" w:rsidTr="00950D8A">
        <w:trPr>
          <w:trHeight w:val="300"/>
        </w:trPr>
        <w:tc>
          <w:tcPr>
            <w:tcW w:w="1733" w:type="dxa"/>
            <w:vMerge/>
            <w:tcBorders>
              <w:top w:val="nil"/>
              <w:left w:val="nil"/>
              <w:bottom w:val="single" w:sz="4" w:space="0" w:color="000000"/>
              <w:right w:val="nil"/>
            </w:tcBorders>
            <w:vAlign w:val="center"/>
            <w:hideMark/>
          </w:tcPr>
          <w:p w14:paraId="07651C95" w14:textId="77777777" w:rsidR="00BA401B" w:rsidRPr="00950D8A" w:rsidRDefault="00BA401B" w:rsidP="00BA401B">
            <w:pPr>
              <w:rPr>
                <w:rFonts w:eastAsia="Times New Roman" w:cs="Calibri"/>
                <w:b/>
                <w:bCs/>
                <w:color w:val="000000"/>
                <w:sz w:val="22"/>
                <w:szCs w:val="22"/>
                <w:lang w:eastAsia="en-GB"/>
              </w:rPr>
            </w:pPr>
          </w:p>
        </w:tc>
        <w:tc>
          <w:tcPr>
            <w:tcW w:w="5071" w:type="dxa"/>
            <w:tcBorders>
              <w:top w:val="nil"/>
              <w:left w:val="nil"/>
              <w:bottom w:val="nil"/>
              <w:right w:val="nil"/>
            </w:tcBorders>
            <w:shd w:val="clear" w:color="auto" w:fill="auto"/>
            <w:noWrap/>
            <w:vAlign w:val="bottom"/>
            <w:hideMark/>
          </w:tcPr>
          <w:p w14:paraId="4D0640A4" w14:textId="77777777" w:rsidR="00BA401B" w:rsidRPr="00950D8A" w:rsidRDefault="00BA401B" w:rsidP="00BA401B">
            <w:pPr>
              <w:rPr>
                <w:rFonts w:eastAsia="Times New Roman" w:cs="Calibri"/>
                <w:color w:val="000000"/>
                <w:sz w:val="22"/>
                <w:szCs w:val="22"/>
                <w:lang w:eastAsia="en-GB"/>
              </w:rPr>
            </w:pPr>
            <w:r w:rsidRPr="00950D8A">
              <w:rPr>
                <w:rFonts w:eastAsia="Times New Roman" w:cs="Calibri"/>
                <w:color w:val="000000"/>
                <w:sz w:val="22"/>
                <w:szCs w:val="22"/>
                <w:lang w:eastAsia="en-GB"/>
              </w:rPr>
              <w:t>Long potential lifespan</w:t>
            </w:r>
          </w:p>
        </w:tc>
      </w:tr>
      <w:tr w:rsidR="00BA401B" w:rsidRPr="00A8506C" w14:paraId="4B5A2F72" w14:textId="77777777" w:rsidTr="00950D8A">
        <w:trPr>
          <w:trHeight w:val="300"/>
        </w:trPr>
        <w:tc>
          <w:tcPr>
            <w:tcW w:w="1733" w:type="dxa"/>
            <w:vMerge/>
            <w:tcBorders>
              <w:top w:val="nil"/>
              <w:left w:val="nil"/>
              <w:bottom w:val="single" w:sz="4" w:space="0" w:color="000000"/>
              <w:right w:val="nil"/>
            </w:tcBorders>
            <w:vAlign w:val="center"/>
            <w:hideMark/>
          </w:tcPr>
          <w:p w14:paraId="5F4D798C" w14:textId="77777777" w:rsidR="00BA401B" w:rsidRPr="00950D8A" w:rsidRDefault="00BA401B" w:rsidP="00BA401B">
            <w:pPr>
              <w:rPr>
                <w:rFonts w:eastAsia="Times New Roman" w:cs="Calibri"/>
                <w:b/>
                <w:bCs/>
                <w:color w:val="000000"/>
                <w:sz w:val="22"/>
                <w:szCs w:val="22"/>
                <w:lang w:eastAsia="en-GB"/>
              </w:rPr>
            </w:pPr>
          </w:p>
        </w:tc>
        <w:tc>
          <w:tcPr>
            <w:tcW w:w="5071" w:type="dxa"/>
            <w:tcBorders>
              <w:top w:val="nil"/>
              <w:left w:val="nil"/>
              <w:bottom w:val="single" w:sz="4" w:space="0" w:color="auto"/>
              <w:right w:val="nil"/>
            </w:tcBorders>
            <w:shd w:val="clear" w:color="auto" w:fill="auto"/>
            <w:noWrap/>
            <w:vAlign w:val="bottom"/>
            <w:hideMark/>
          </w:tcPr>
          <w:p w14:paraId="3A3CD8E9" w14:textId="77777777" w:rsidR="00BA401B" w:rsidRPr="00950D8A" w:rsidRDefault="00BA401B" w:rsidP="00BA401B">
            <w:pPr>
              <w:rPr>
                <w:rFonts w:eastAsia="Times New Roman" w:cs="Calibri"/>
                <w:color w:val="000000"/>
                <w:sz w:val="22"/>
                <w:szCs w:val="22"/>
                <w:lang w:eastAsia="en-GB"/>
              </w:rPr>
            </w:pPr>
            <w:r w:rsidRPr="00950D8A">
              <w:rPr>
                <w:rFonts w:eastAsia="Times New Roman" w:cs="Calibri"/>
                <w:color w:val="000000"/>
                <w:sz w:val="22"/>
                <w:szCs w:val="22"/>
                <w:lang w:eastAsia="en-GB"/>
              </w:rPr>
              <w:t>Low life cycle costs</w:t>
            </w:r>
          </w:p>
        </w:tc>
      </w:tr>
      <w:tr w:rsidR="00BA401B" w:rsidRPr="00A8506C" w14:paraId="3A86C6BE" w14:textId="77777777" w:rsidTr="00950D8A">
        <w:trPr>
          <w:trHeight w:val="300"/>
        </w:trPr>
        <w:tc>
          <w:tcPr>
            <w:tcW w:w="1733" w:type="dxa"/>
            <w:vMerge w:val="restart"/>
            <w:tcBorders>
              <w:top w:val="nil"/>
              <w:left w:val="nil"/>
              <w:bottom w:val="single" w:sz="4" w:space="0" w:color="000000"/>
              <w:right w:val="nil"/>
            </w:tcBorders>
            <w:shd w:val="clear" w:color="auto" w:fill="auto"/>
            <w:noWrap/>
            <w:vAlign w:val="center"/>
            <w:hideMark/>
          </w:tcPr>
          <w:p w14:paraId="5DDB0938" w14:textId="77777777" w:rsidR="00BA401B" w:rsidRPr="00950D8A" w:rsidRDefault="00BA401B" w:rsidP="00BA401B">
            <w:pPr>
              <w:jc w:val="center"/>
              <w:rPr>
                <w:rFonts w:eastAsia="Times New Roman" w:cs="Calibri"/>
                <w:b/>
                <w:bCs/>
                <w:color w:val="000000"/>
                <w:sz w:val="22"/>
                <w:szCs w:val="22"/>
                <w:lang w:eastAsia="en-GB"/>
              </w:rPr>
            </w:pPr>
            <w:r w:rsidRPr="00950D8A">
              <w:rPr>
                <w:rFonts w:eastAsia="Times New Roman" w:cs="Calibri"/>
                <w:b/>
                <w:bCs/>
                <w:color w:val="000000"/>
                <w:sz w:val="22"/>
                <w:szCs w:val="22"/>
                <w:lang w:eastAsia="en-GB"/>
              </w:rPr>
              <w:t>Technical</w:t>
            </w:r>
          </w:p>
        </w:tc>
        <w:tc>
          <w:tcPr>
            <w:tcW w:w="5071" w:type="dxa"/>
            <w:tcBorders>
              <w:top w:val="nil"/>
              <w:left w:val="nil"/>
              <w:bottom w:val="nil"/>
              <w:right w:val="nil"/>
            </w:tcBorders>
            <w:shd w:val="clear" w:color="auto" w:fill="auto"/>
            <w:noWrap/>
            <w:vAlign w:val="bottom"/>
            <w:hideMark/>
          </w:tcPr>
          <w:p w14:paraId="36FD9D42" w14:textId="77777777" w:rsidR="00BA401B" w:rsidRPr="00950D8A" w:rsidRDefault="00BA401B" w:rsidP="00BA401B">
            <w:pPr>
              <w:rPr>
                <w:rFonts w:eastAsia="Times New Roman" w:cs="Calibri"/>
                <w:color w:val="000000"/>
                <w:sz w:val="22"/>
                <w:szCs w:val="22"/>
                <w:lang w:eastAsia="en-GB"/>
              </w:rPr>
            </w:pPr>
            <w:r w:rsidRPr="00950D8A">
              <w:rPr>
                <w:rFonts w:eastAsia="Times New Roman" w:cs="Calibri"/>
                <w:color w:val="000000"/>
                <w:sz w:val="22"/>
                <w:szCs w:val="22"/>
                <w:lang w:eastAsia="en-GB"/>
              </w:rPr>
              <w:t>Easy to maintain</w:t>
            </w:r>
          </w:p>
        </w:tc>
      </w:tr>
      <w:tr w:rsidR="00BA401B" w:rsidRPr="00A8506C" w14:paraId="6D19157A" w14:textId="77777777" w:rsidTr="00950D8A">
        <w:trPr>
          <w:trHeight w:val="300"/>
        </w:trPr>
        <w:tc>
          <w:tcPr>
            <w:tcW w:w="1733" w:type="dxa"/>
            <w:vMerge/>
            <w:tcBorders>
              <w:top w:val="nil"/>
              <w:left w:val="nil"/>
              <w:bottom w:val="single" w:sz="4" w:space="0" w:color="000000"/>
              <w:right w:val="nil"/>
            </w:tcBorders>
            <w:vAlign w:val="center"/>
            <w:hideMark/>
          </w:tcPr>
          <w:p w14:paraId="5F8331BA" w14:textId="77777777" w:rsidR="00BA401B" w:rsidRPr="00950D8A" w:rsidRDefault="00BA401B" w:rsidP="00BA401B">
            <w:pPr>
              <w:rPr>
                <w:rFonts w:eastAsia="Times New Roman" w:cs="Calibri"/>
                <w:b/>
                <w:bCs/>
                <w:color w:val="000000"/>
                <w:sz w:val="22"/>
                <w:szCs w:val="22"/>
                <w:lang w:eastAsia="en-GB"/>
              </w:rPr>
            </w:pPr>
          </w:p>
        </w:tc>
        <w:tc>
          <w:tcPr>
            <w:tcW w:w="5071" w:type="dxa"/>
            <w:tcBorders>
              <w:top w:val="nil"/>
              <w:left w:val="nil"/>
              <w:bottom w:val="nil"/>
              <w:right w:val="nil"/>
            </w:tcBorders>
            <w:shd w:val="clear" w:color="auto" w:fill="auto"/>
            <w:noWrap/>
            <w:vAlign w:val="bottom"/>
            <w:hideMark/>
          </w:tcPr>
          <w:p w14:paraId="47178A15" w14:textId="77777777" w:rsidR="00BA401B" w:rsidRPr="00950D8A" w:rsidRDefault="00BA401B" w:rsidP="00BA401B">
            <w:pPr>
              <w:rPr>
                <w:rFonts w:eastAsia="Times New Roman" w:cs="Calibri"/>
                <w:color w:val="000000"/>
                <w:sz w:val="22"/>
                <w:szCs w:val="22"/>
                <w:lang w:eastAsia="en-GB"/>
              </w:rPr>
            </w:pPr>
            <w:r w:rsidRPr="00950D8A">
              <w:rPr>
                <w:rFonts w:eastAsia="Times New Roman" w:cs="Calibri"/>
                <w:color w:val="000000"/>
                <w:sz w:val="22"/>
                <w:szCs w:val="22"/>
                <w:lang w:eastAsia="en-GB"/>
              </w:rPr>
              <w:t>Safe (e.g. low fire risk, sound structure)</w:t>
            </w:r>
          </w:p>
        </w:tc>
      </w:tr>
      <w:tr w:rsidR="00BA401B" w:rsidRPr="00A8506C" w14:paraId="400C4251" w14:textId="77777777" w:rsidTr="00950D8A">
        <w:trPr>
          <w:trHeight w:val="300"/>
        </w:trPr>
        <w:tc>
          <w:tcPr>
            <w:tcW w:w="1733" w:type="dxa"/>
            <w:vMerge/>
            <w:tcBorders>
              <w:top w:val="nil"/>
              <w:left w:val="nil"/>
              <w:bottom w:val="single" w:sz="4" w:space="0" w:color="000000"/>
              <w:right w:val="nil"/>
            </w:tcBorders>
            <w:vAlign w:val="center"/>
            <w:hideMark/>
          </w:tcPr>
          <w:p w14:paraId="7659DEF4" w14:textId="77777777" w:rsidR="00BA401B" w:rsidRPr="00950D8A" w:rsidRDefault="00BA401B" w:rsidP="00BA401B">
            <w:pPr>
              <w:rPr>
                <w:rFonts w:eastAsia="Times New Roman" w:cs="Calibri"/>
                <w:b/>
                <w:bCs/>
                <w:color w:val="000000"/>
                <w:sz w:val="22"/>
                <w:szCs w:val="22"/>
                <w:lang w:eastAsia="en-GB"/>
              </w:rPr>
            </w:pPr>
          </w:p>
        </w:tc>
        <w:tc>
          <w:tcPr>
            <w:tcW w:w="5071" w:type="dxa"/>
            <w:tcBorders>
              <w:top w:val="nil"/>
              <w:left w:val="nil"/>
              <w:bottom w:val="single" w:sz="4" w:space="0" w:color="auto"/>
              <w:right w:val="nil"/>
            </w:tcBorders>
            <w:shd w:val="clear" w:color="auto" w:fill="auto"/>
            <w:noWrap/>
            <w:vAlign w:val="bottom"/>
            <w:hideMark/>
          </w:tcPr>
          <w:p w14:paraId="70CB3DBC" w14:textId="77777777" w:rsidR="00BA401B" w:rsidRPr="00950D8A" w:rsidRDefault="00BA401B" w:rsidP="00BA401B">
            <w:pPr>
              <w:rPr>
                <w:rFonts w:eastAsia="Times New Roman" w:cs="Calibri"/>
                <w:color w:val="000000"/>
                <w:sz w:val="22"/>
                <w:szCs w:val="22"/>
                <w:lang w:eastAsia="en-GB"/>
              </w:rPr>
            </w:pPr>
            <w:r w:rsidRPr="00950D8A">
              <w:rPr>
                <w:rFonts w:eastAsia="Times New Roman" w:cs="Calibri"/>
                <w:color w:val="000000"/>
                <w:sz w:val="22"/>
                <w:szCs w:val="22"/>
                <w:lang w:eastAsia="en-GB"/>
              </w:rPr>
              <w:t>High construction speed</w:t>
            </w:r>
          </w:p>
        </w:tc>
      </w:tr>
    </w:tbl>
    <w:p w14:paraId="5F5AB88F" w14:textId="77777777" w:rsidR="00BA401B" w:rsidRDefault="00BA401B" w:rsidP="00525422"/>
    <w:p w14:paraId="73C62EE1" w14:textId="28F1FE3F" w:rsidR="00B656D3" w:rsidRDefault="003B7819" w:rsidP="00525422">
      <w:r>
        <w:t xml:space="preserve">Both teams prepared reports </w:t>
      </w:r>
      <w:r w:rsidR="00632D4D">
        <w:t xml:space="preserve">of </w:t>
      </w:r>
      <w:r>
        <w:t>their work that constituted the starting point for the following phases of the research, namely the Delphi and the Analytical Hierarchy Process</w:t>
      </w:r>
      <w:r w:rsidR="00213856">
        <w:t xml:space="preserve"> (AHP)</w:t>
      </w:r>
      <w:r w:rsidR="00A8506C">
        <w:t xml:space="preserve"> methods</w:t>
      </w:r>
      <w:r>
        <w:t xml:space="preserve">. </w:t>
      </w:r>
      <w:r w:rsidR="00AE04C2">
        <w:t>The Delphi has been used twice: to reach consensus on a manageable number of agreed solutions for both the load bearing structure and the roof of PDPC sheltering</w:t>
      </w:r>
      <w:r w:rsidR="00213856">
        <w:t xml:space="preserve"> (</w:t>
      </w:r>
      <w:r w:rsidR="00A8506C">
        <w:t>Delphi #</w:t>
      </w:r>
      <w:r w:rsidR="00213856">
        <w:t>1), and to reach consensus on the scoring of the identified solutions based on the sustainability criteria identified in the preliminary phase</w:t>
      </w:r>
      <w:r w:rsidR="00A8506C">
        <w:t xml:space="preserve"> (Delphi #2)</w:t>
      </w:r>
      <w:r w:rsidR="00213856">
        <w:t>. The AHP has instead been used to assign weights to the sustainability criteria</w:t>
      </w:r>
      <w:r w:rsidR="00343D19">
        <w:t xml:space="preserve"> (through the individual comparative weighting of the factors presented in Table 1)</w:t>
      </w:r>
      <w:r w:rsidR="00213856">
        <w:t xml:space="preserve">, and combined them with the scored results in order to rank the results according to the individual weights of each criterion. </w:t>
      </w:r>
      <w:r>
        <w:t xml:space="preserve">Both methods are described in </w:t>
      </w:r>
      <w:r w:rsidR="00213856">
        <w:t xml:space="preserve">detail in </w:t>
      </w:r>
      <w:r>
        <w:t xml:space="preserve">the following </w:t>
      </w:r>
      <w:r w:rsidR="00213856">
        <w:t>sub-</w:t>
      </w:r>
      <w:r>
        <w:t xml:space="preserve">sections. </w:t>
      </w:r>
    </w:p>
    <w:p w14:paraId="761B5A09" w14:textId="2F526915" w:rsidR="00981508" w:rsidRDefault="00981508" w:rsidP="00525422"/>
    <w:p w14:paraId="079608C0" w14:textId="26BDEA64" w:rsidR="004074E3" w:rsidRDefault="004D180C" w:rsidP="00525422">
      <w:pPr>
        <w:pStyle w:val="Heading2"/>
      </w:pPr>
      <w:r>
        <w:t>3</w:t>
      </w:r>
      <w:r w:rsidR="004074E3">
        <w:t>.1 The Delphi method</w:t>
      </w:r>
    </w:p>
    <w:p w14:paraId="55E176A1" w14:textId="73AADBD0" w:rsidR="004074E3" w:rsidRDefault="004074E3" w:rsidP="00525422"/>
    <w:p w14:paraId="04CE5CE3" w14:textId="468E7AC8" w:rsidR="004074E3" w:rsidRDefault="004074E3" w:rsidP="00525422">
      <w:r w:rsidRPr="004074E3">
        <w:t xml:space="preserve">The Delphi method (or technique) was first presented by Norman Dalkey and Olaf Helmer in the 1950s </w:t>
      </w:r>
      <w:r>
        <w:fldChar w:fldCharType="begin"/>
      </w:r>
      <w:r w:rsidR="004D180C">
        <w:instrText xml:space="preserve"> ADDIN ZOTERO_ITEM CSL_CITATION {"citationID":"w1svO6Rx","properties":{"formattedCitation":"(Franklin and Hart, 2007)","plainCitation":"(Franklin and Hart, 2007)","noteIndex":0},"citationItems":[{"id":5943,"uris":["http://zotero.org/users/5557903/items/ET94A28P"],"uri":["http://zotero.org/users/5557903/items/ET94A28P"],"itemData":{"id":5943,"type":"article-journal","title":"Idea generation and exploration: Benefits and limitations of the policy Delphi research method","container-title":"Innovative Higher Education","page":"237-246","volume":"31","issue":"4","author":[{"family":"Franklin","given":"Kathy K."},{"family":"Hart","given":"Jan K."}],"issued":{"date-parts":[["2007"]]}}}],"schema":"https://github.com/citation-style-language/schema/raw/master/csl-citation.json"} </w:instrText>
      </w:r>
      <w:r>
        <w:fldChar w:fldCharType="separate"/>
      </w:r>
      <w:r w:rsidR="004D180C" w:rsidRPr="004D180C">
        <w:t>(Franklin and Hart, 2007)</w:t>
      </w:r>
      <w:r>
        <w:fldChar w:fldCharType="end"/>
      </w:r>
      <w:r w:rsidRPr="004074E3">
        <w:t xml:space="preserve"> and</w:t>
      </w:r>
      <w:r>
        <w:t xml:space="preserve"> it has since been widely employed in several aspects of management, applied, medical, engineering, environmental</w:t>
      </w:r>
      <w:r w:rsidR="00A8506C">
        <w:t>,</w:t>
      </w:r>
      <w:r>
        <w:t xml:space="preserve"> </w:t>
      </w:r>
      <w:r w:rsidR="00A8506C">
        <w:t>and</w:t>
      </w:r>
      <w:r>
        <w:t xml:space="preserve"> social sciences </w:t>
      </w:r>
      <w:r>
        <w:fldChar w:fldCharType="begin"/>
      </w:r>
      <w:r w:rsidR="00950D8A">
        <w:instrText xml:space="preserve"> ADDIN ZOTERO_ITEM CSL_CITATION {"citationID":"lNYxy1wW","properties":{"formattedCitation":"(Ameyaw et al., 2016; Harland et al., 1999; Jorm, 2015; MacCarthy and Atthirawong, 2003; Strand et al., 2017)","plainCitation":"(Ameyaw et al., 2016; Harland et al., 1999; Jorm, 2015; MacCarthy and Atthirawong, 2003; Strand et al., 2017)","noteIndex":0},"citationItems":[{"id":5944,"uris":["http://zotero.org/users/5557903/items/Z5UMALI6"],"uri":["http://zotero.org/users/5557903/items/Z5UMALI6"],"itemData":{"id":5944,"type":"article-journal","title":"Developing the concept of supply strategy","container-title":"International Journal of Operations &amp; Production Management","page":"650-674","volume":"19","issue":"7","author":[{"family":"Harland","given":"Christine M."},{"family":"Lamming","given":"Richard C."},{"family":"Cousins","given":"Paul D."}],"issued":{"date-parts":[["1999"]]}}},{"id":5945,"uris":["http://zotero.org/users/5557903/items/4X4MQUHN"],"uri":["http://zotero.org/users/5557903/items/4X4MQUHN"],"itemData":{"id":5945,"type":"article-journal","title":"Factors affecting location decisions in international operations–a Delphi study","container-title":"International Journal of Operations &amp; Production Management","page":"794-818","volume":"23","issue":"7","author":[{"family":"MacCarthy","given":"Bart L."},{"family":"Atthirawong","given":"Walailak"}],"issued":{"date-parts":[["2003"]]}}},{"id":5946,"uris":["http://zotero.org/users/5557903/items/AXDQR8WY"],"uri":["http://zotero.org/users/5557903/items/AXDQR8WY"],"itemData":{"id":5946,"type":"article-journal","title":"Using the Delphi expert consensus method in mental health research","container-title":"Australian &amp; New Zealand Journal of Psychiatry","page":"887-897","volume":"49","issue":"10","author":[{"family":"Jorm","given":"Anthony F."}],"issued":{"date-parts":[["2015"]]}}},{"id":5948,"uris":["http://zotero.org/users/5557903/items/VXH8YDHD"],"uri":["http://zotero.org/users/5557903/items/VXH8YDHD"],"itemData":{"id":5948,"type":"article-journal","title":"Application of Delphi method in construction engineering and management research: a quantitative perspective","container-title":"Journal of Civil Engineering and Management","page":"991-1000","volume":"22","issue":"8","author":[{"family":"Ameyaw","given":"Effah Ernest"},{"family":"Hu","given":"Yi"},{"family":"Shan","given":"Ming"},{"family":"Chan","given":"Albert PC"},{"family":"Le","given":"Yun"}],"issued":{"date-parts":[["2016"]]}}},{"id":5947,"uris":["http://zotero.org/users/5557903/items/WKX2B8RZ"],"uri":["http://zotero.org/users/5557903/items/WKX2B8RZ"],"itemData":{"id":5947,"type":"article-journal","title":"Using the Delphi method to value protection of the Amazon rainforest","container-title":"Ecological economics","page":"475-484","volume":"131","author":[{"family":"Strand","given":"Jon"},{"family":"Carson","given":"Richard T."},{"family":"Navrud","given":"Stale"},{"family":"Ortiz-Bobea","given":"Ariel"},{"family":"Vincent","given":"Jeffrey R."}],"issued":{"date-parts":[["2017"]]}}}],"schema":"https://github.com/citation-style-language/schema/raw/master/csl-citation.json"} </w:instrText>
      </w:r>
      <w:r>
        <w:fldChar w:fldCharType="separate"/>
      </w:r>
      <w:r w:rsidR="00950D8A" w:rsidRPr="00950D8A">
        <w:t>(Ameyaw et al., 2016; Harland et al., 1999; Jorm, 2015; MacCarthy and Atthirawong, 2003; Strand et al., 2017)</w:t>
      </w:r>
      <w:r>
        <w:fldChar w:fldCharType="end"/>
      </w:r>
      <w:r>
        <w:t xml:space="preserve">. </w:t>
      </w:r>
      <w:r w:rsidR="00AE04C2" w:rsidRPr="00AE04C2">
        <w:t xml:space="preserve">A Delphi is often used either as a forecasting technique or as a tool </w:t>
      </w:r>
      <w:r w:rsidR="00A8506C">
        <w:t>“</w:t>
      </w:r>
      <w:r w:rsidR="00AE04C2" w:rsidRPr="00AE04C2">
        <w:t>to investigate and understand the factors that influence or may influence decision-making on a specific issue, topic or problem area</w:t>
      </w:r>
      <w:r w:rsidR="00A8506C">
        <w:t>”</w:t>
      </w:r>
      <w:r w:rsidR="00AE04C2">
        <w:t xml:space="preserve"> </w:t>
      </w:r>
      <w:r w:rsidR="00AE04C2">
        <w:fldChar w:fldCharType="begin"/>
      </w:r>
      <w:r w:rsidR="004D180C">
        <w:instrText xml:space="preserve"> ADDIN ZOTERO_ITEM CSL_CITATION {"citationID":"fmAxRnml","properties":{"formattedCitation":"(MacCarthy and Atthirawong, 2003, p.796)","plainCitation":"(MacCarthy and Atthirawong, 2003, p.796)","noteIndex":0},"citationItems":[{"id":5945,"uris":["http://zotero.org/users/5557903/items/4X4MQUHN"],"uri":["http://zotero.org/users/5557903/items/4X4MQUHN"],"itemData":{"id":5945,"type":"article-journal","title":"Factors affecting location decisions in international operations–a Delphi study","container-title":"International Journal of Operations &amp; Production Management","page":"794-818","volume":"23","issue":"7","author":[{"family":"MacCarthy","given":"Bart L."},{"family":"Atthirawong","given":"Walailak"}],"issued":{"date-parts":[["2003"]]}},"suffix":", p.796"}],"schema":"https://github.com/citation-style-language/schema/raw/master/csl-citation.json"} </w:instrText>
      </w:r>
      <w:r w:rsidR="00AE04C2">
        <w:fldChar w:fldCharType="separate"/>
      </w:r>
      <w:r w:rsidR="004D180C" w:rsidRPr="004D180C">
        <w:t>(MacCarthy and Atthirawong, 2003, p.796)</w:t>
      </w:r>
      <w:r w:rsidR="00AE04C2">
        <w:fldChar w:fldCharType="end"/>
      </w:r>
      <w:r w:rsidR="00AE04C2" w:rsidRPr="00AE04C2">
        <w:t>.</w:t>
      </w:r>
      <w:r w:rsidR="00AE04C2">
        <w:t xml:space="preserve"> </w:t>
      </w:r>
      <w:r w:rsidR="00A8506C">
        <w:t>In practice,</w:t>
      </w:r>
      <w:r w:rsidR="00A8506C" w:rsidRPr="00C843BB">
        <w:t xml:space="preserve"> </w:t>
      </w:r>
      <w:r w:rsidR="00A8506C">
        <w:t>t</w:t>
      </w:r>
      <w:r w:rsidR="00C843BB" w:rsidRPr="00C843BB">
        <w:t>he Delphi structure</w:t>
      </w:r>
      <w:r w:rsidR="00AE04C2">
        <w:t>s</w:t>
      </w:r>
      <w:r w:rsidR="00C843BB" w:rsidRPr="00C843BB">
        <w:t xml:space="preserve"> a plural communication so that individuals </w:t>
      </w:r>
      <w:r w:rsidR="00130D92">
        <w:t>can effectively</w:t>
      </w:r>
      <w:r w:rsidR="00C843BB" w:rsidRPr="00C843BB">
        <w:t xml:space="preserve"> deal with complex problems</w:t>
      </w:r>
      <w:r w:rsidR="00C843BB">
        <w:t xml:space="preserve"> </w:t>
      </w:r>
      <w:r w:rsidR="00C843BB">
        <w:fldChar w:fldCharType="begin"/>
      </w:r>
      <w:r w:rsidR="004D180C">
        <w:instrText xml:space="preserve"> ADDIN ZOTERO_ITEM CSL_CITATION {"citationID":"MFlBxkRN","properties":{"formattedCitation":"(Linstone and Turoff, 1975)","plainCitation":"(Linstone and Turoff, 1975)","noteIndex":0},"citationItems":[{"id":5949,"uris":["http://zotero.org/users/5557903/items/TWHDZUUC"],"uri":["http://zotero.org/users/5557903/items/TWHDZUUC"],"itemData":{"id":5949,"type":"book","title":"The delphi method","publisher":"Addison-Wesley Reading, MA","ISBN":"0-201-04294-0","author":[{"family":"Linstone","given":"Harold A."},{"family":"Turoff","given":"Murray"}],"issued":{"date-parts":[["1975"]]}}}],"schema":"https://github.com/citation-style-language/schema/raw/master/csl-citation.json"} </w:instrText>
      </w:r>
      <w:r w:rsidR="00C843BB">
        <w:fldChar w:fldCharType="separate"/>
      </w:r>
      <w:r w:rsidR="004D180C" w:rsidRPr="004D180C">
        <w:t>(Linstone and Turoff, 1975</w:t>
      </w:r>
      <w:r w:rsidR="004D180C" w:rsidRPr="00AA4129">
        <w:t>)</w:t>
      </w:r>
      <w:r w:rsidR="00C843BB">
        <w:fldChar w:fldCharType="end"/>
      </w:r>
      <w:r w:rsidR="00AE04C2">
        <w:t xml:space="preserve"> </w:t>
      </w:r>
      <w:r w:rsidR="00C843BB">
        <w:t xml:space="preserve">through </w:t>
      </w:r>
      <w:r w:rsidR="00C843BB" w:rsidRPr="00C843BB">
        <w:t>a systematic and iterative process that aims to develop a consensus by attempting to use the combined knowledge of a panel of experts</w:t>
      </w:r>
      <w:r w:rsidR="00C843BB">
        <w:t xml:space="preserve"> </w:t>
      </w:r>
      <w:r w:rsidR="00C843BB">
        <w:fldChar w:fldCharType="begin"/>
      </w:r>
      <w:r w:rsidR="004D180C">
        <w:instrText xml:space="preserve"> ADDIN ZOTERO_ITEM CSL_CITATION {"citationID":"hZlUACTc","properties":{"formattedCitation":"(Wisniewski, 2009)","plainCitation":"(Wisniewski, 2009)","noteIndex":0},"citationItems":[{"id":5598,"uris":["http://zotero.org/users/5557903/items/AP7WDU3M"],"uri":["http://zotero.org/users/5557903/items/AP7WDU3M"],"itemData":{"id":5598,"type":"book","title":"Quantitative Methods for Decision Makers","publisher":"Pearson Education - FT Prentice Hall","publisher-place":"England","edition":"5th ed.","event-place":"England","author":[{"family":"Wisniewski","given":"M."}],"issued":{"date-parts":[["2009"]]}}}],"schema":"https://github.com/citation-style-language/schema/raw/master/csl-citation.json"} </w:instrText>
      </w:r>
      <w:r w:rsidR="00C843BB">
        <w:fldChar w:fldCharType="separate"/>
      </w:r>
      <w:r w:rsidR="004D180C" w:rsidRPr="004D180C">
        <w:t>(Wisniewski, 2009)</w:t>
      </w:r>
      <w:r w:rsidR="00C843BB">
        <w:fldChar w:fldCharType="end"/>
      </w:r>
      <w:r w:rsidR="00C843BB" w:rsidRPr="00C843BB">
        <w:t>.</w:t>
      </w:r>
      <w:r w:rsidR="00AE04C2">
        <w:t xml:space="preserve"> </w:t>
      </w:r>
      <w:r w:rsidR="00A8506C">
        <w:t>However, t</w:t>
      </w:r>
      <w:r w:rsidR="00AE04C2">
        <w:t xml:space="preserve">he Delphi should not be confused with other techniques using multi-expert opinions (e.g. workshops) since it avoids group interactions of individuals that might result in induced response, and requires anonymity to prevent biases </w:t>
      </w:r>
      <w:r w:rsidR="00AE04C2">
        <w:fldChar w:fldCharType="begin"/>
      </w:r>
      <w:r w:rsidR="004D180C">
        <w:instrText xml:space="preserve"> ADDIN ZOTERO_ITEM CSL_CITATION {"citationID":"f9CkODce","properties":{"formattedCitation":"(MacCarthy and Atthirawong, 2003)","plainCitation":"(MacCarthy and Atthirawong, 2003)","noteIndex":0},"citationItems":[{"id":5945,"uris":["http://zotero.org/users/5557903/items/4X4MQUHN"],"uri":["http://zotero.org/users/5557903/items/4X4MQUHN"],"itemData":{"id":5945,"type":"article-journal","title":"Factors affecting location decisions in international operations–a Delphi study","container-title":"International Journal of Operations &amp; Production Management","page":"794-818","volume":"23","issue":"7","author":[{"family":"MacCarthy","given":"Bart L."},{"family":"Atthirawong","given":"Walailak"}],"issued":{"date-parts":[["2003"]]}}}],"schema":"https://github.com/citation-style-language/schema/raw/master/csl-citation.json"} </w:instrText>
      </w:r>
      <w:r w:rsidR="00AE04C2">
        <w:fldChar w:fldCharType="separate"/>
      </w:r>
      <w:r w:rsidR="004D180C" w:rsidRPr="004D180C">
        <w:t>(MacCarthy and Atthirawong, 2003)</w:t>
      </w:r>
      <w:r w:rsidR="00AE04C2">
        <w:fldChar w:fldCharType="end"/>
      </w:r>
      <w:r w:rsidR="00AE04C2">
        <w:t xml:space="preserve">. Therefore, </w:t>
      </w:r>
      <w:r w:rsidR="00A8506C">
        <w:t>“</w:t>
      </w:r>
      <w:r w:rsidR="00AE04C2" w:rsidRPr="00AE04C2">
        <w:t xml:space="preserve">the psychological factors affecting panel discussions such as compromising, the </w:t>
      </w:r>
      <w:r w:rsidR="00D262DB">
        <w:t>‘</w:t>
      </w:r>
      <w:r w:rsidR="00AE04C2" w:rsidRPr="00AE04C2">
        <w:t>bandwagon</w:t>
      </w:r>
      <w:r w:rsidR="00D262DB">
        <w:t>’</w:t>
      </w:r>
      <w:r w:rsidR="00AE04C2" w:rsidRPr="00AE04C2">
        <w:t xml:space="preserve"> effect, or displaying an unwillingness to reverse </w:t>
      </w:r>
      <w:r w:rsidR="00AE04C2" w:rsidRPr="00AE04C2">
        <w:lastRenderedPageBreak/>
        <w:t>or modify a previous</w:t>
      </w:r>
      <w:r w:rsidR="00330643">
        <w:t>ly</w:t>
      </w:r>
      <w:r w:rsidR="00AE04C2" w:rsidRPr="00AE04C2">
        <w:t xml:space="preserve"> stated opinion in the face of reasonable counter arguments, can be minimized</w:t>
      </w:r>
      <w:r w:rsidR="00A8506C">
        <w:t>”</w:t>
      </w:r>
      <w:r w:rsidR="00AE04C2" w:rsidRPr="00AE04C2">
        <w:t xml:space="preserve"> </w:t>
      </w:r>
      <w:r w:rsidR="00AE04C2">
        <w:fldChar w:fldCharType="begin"/>
      </w:r>
      <w:r w:rsidR="004D180C">
        <w:instrText xml:space="preserve"> ADDIN ZOTERO_ITEM CSL_CITATION {"citationID":"MI3F0hAv","properties":{"formattedCitation":"(McDermott and Stock, 1980, p.3)","plainCitation":"(McDermott and Stock, 1980, p.3)","noteIndex":0},"citationItems":[{"id":5951,"uris":["http://zotero.org/users/5557903/items/BEKGMZ52"],"uri":["http://zotero.org/users/5557903/items/BEKGMZ52"],"itemData":{"id":5951,"type":"article-journal","title":"An application of the project Delphi forecasting method to logistics management","container-title":"Journal of Business Logistics","volume":"2","issue":"1","author":[{"family":"McDermott","given":"D. R."},{"family":"Stock","given":"J. R."}],"issued":{"date-parts":[["1980"]]}},"suffix":", p.3"}],"schema":"https://github.com/citation-style-language/schema/raw/master/csl-citation.json"} </w:instrText>
      </w:r>
      <w:r w:rsidR="00AE04C2">
        <w:fldChar w:fldCharType="separate"/>
      </w:r>
      <w:r w:rsidR="004D180C" w:rsidRPr="004D180C">
        <w:t>(McDermott and Stock, 1980, p.3</w:t>
      </w:r>
      <w:r w:rsidR="004D180C" w:rsidRPr="00AA4129">
        <w:t>)</w:t>
      </w:r>
      <w:r w:rsidR="00AE04C2">
        <w:fldChar w:fldCharType="end"/>
      </w:r>
      <w:r w:rsidR="00AE04C2">
        <w:t xml:space="preserve">.  </w:t>
      </w:r>
      <w:r w:rsidR="00E84B16" w:rsidRPr="00E84B16">
        <w:t>Overall, the Delphi is characterised by four specific features</w:t>
      </w:r>
      <w:r w:rsidR="00E84B16">
        <w:t xml:space="preserve"> </w:t>
      </w:r>
      <w:r w:rsidR="00E84B16">
        <w:fldChar w:fldCharType="begin"/>
      </w:r>
      <w:r w:rsidR="004D180C">
        <w:instrText xml:space="preserve"> ADDIN ZOTERO_ITEM CSL_CITATION {"citationID":"keyUKwHB","properties":{"formattedCitation":"(Benson et al., 1982; Tavana et al., 1996)","plainCitation":"(Benson et al., 1982; Tavana et al., 1996)","noteIndex":0},"citationItems":[{"id":5952,"uris":["http://zotero.org/users/5557903/items/J3F9L3LN"],"uri":["http://zotero.org/users/5557903/items/J3F9L3LN"],"itemData":{"id":5952,"type":"article-journal","title":"Manufacturing systems of the future: A Delphi study","container-title":"Production &amp; Inventory Management","page":"656-674","volume":"20","issue":"6","author":[{"family":"Benson","given":"P. G."},{"family":"Hill","given":"A. V."},{"family":"Hoffman","given":"T. R."}],"issued":{"date-parts":[["1982"]]}}},{"id":5953,"uris":["http://zotero.org/users/5557903/items/G83UPLN5"],"uri":["http://zotero.org/users/5557903/items/G83UPLN5"],"itemData":{"id":5953,"type":"article-journal","title":"A group decision support framework for consensus ranking of technical manager candidates","container-title":"Omega","page":"523-538","volume":"24","issue":"5","author":[{"family":"Tavana","given":"Madjid"},{"family":"Kennedy","given":"Dennis T."},{"family":"Joglekar","given":"Prafulla"}],"issued":{"date-parts":[["1996"]]}}}],"schema":"https://github.com/citation-style-language/schema/raw/master/csl-citation.json"} </w:instrText>
      </w:r>
      <w:r w:rsidR="00E84B16">
        <w:fldChar w:fldCharType="separate"/>
      </w:r>
      <w:r w:rsidR="004D180C" w:rsidRPr="004D180C">
        <w:t>(Benson et al., 1982; Tavana et al., 1996)</w:t>
      </w:r>
      <w:r w:rsidR="00E84B16">
        <w:fldChar w:fldCharType="end"/>
      </w:r>
      <w:r w:rsidR="00E84B16">
        <w:t xml:space="preserve">: </w:t>
      </w:r>
      <w:r w:rsidR="00E84B16" w:rsidRPr="00E84B16">
        <w:t xml:space="preserve"> </w:t>
      </w:r>
      <w:r w:rsidR="00DE36A2">
        <w:t xml:space="preserve">(1) </w:t>
      </w:r>
      <w:r w:rsidR="00E84B16" w:rsidRPr="00E84B16">
        <w:rPr>
          <w:lang w:val="en-US"/>
        </w:rPr>
        <w:t>anonymity among the panel of experts</w:t>
      </w:r>
      <w:r w:rsidR="00E84B16">
        <w:rPr>
          <w:lang w:val="en-US"/>
        </w:rPr>
        <w:t>;</w:t>
      </w:r>
      <w:r w:rsidR="00DE36A2">
        <w:rPr>
          <w:lang w:val="en-US"/>
        </w:rPr>
        <w:t xml:space="preserve"> (2) </w:t>
      </w:r>
      <w:r w:rsidR="00E84B16" w:rsidRPr="00E84B16">
        <w:rPr>
          <w:lang w:val="en-US"/>
        </w:rPr>
        <w:t>obtaining a statistical group response from structured questioning</w:t>
      </w:r>
      <w:r w:rsidR="00E84B16">
        <w:rPr>
          <w:lang w:val="en-US"/>
        </w:rPr>
        <w:t>;</w:t>
      </w:r>
      <w:r w:rsidR="00DE36A2">
        <w:rPr>
          <w:lang w:val="en-US"/>
        </w:rPr>
        <w:t xml:space="preserve"> (3) </w:t>
      </w:r>
      <w:r w:rsidR="00E84B16" w:rsidRPr="00E84B16">
        <w:rPr>
          <w:lang w:val="en-US"/>
        </w:rPr>
        <w:t>iteration</w:t>
      </w:r>
      <w:r w:rsidR="00E84B16">
        <w:rPr>
          <w:lang w:val="en-US"/>
        </w:rPr>
        <w:t>;</w:t>
      </w:r>
      <w:r w:rsidR="00DE36A2">
        <w:rPr>
          <w:lang w:val="en-US"/>
        </w:rPr>
        <w:t xml:space="preserve"> and (4) </w:t>
      </w:r>
      <w:r w:rsidR="00E84B16" w:rsidRPr="00E84B16">
        <w:rPr>
          <w:lang w:val="en-US"/>
        </w:rPr>
        <w:t>controlled feedback</w:t>
      </w:r>
      <w:r w:rsidR="00E84B16">
        <w:rPr>
          <w:lang w:val="en-US"/>
        </w:rPr>
        <w:t>.</w:t>
      </w:r>
      <w:r w:rsidR="00DE36A2">
        <w:rPr>
          <w:lang w:val="en-US"/>
        </w:rPr>
        <w:t xml:space="preserve"> </w:t>
      </w:r>
      <w:r w:rsidR="00E84B16">
        <w:t xml:space="preserve">They have all been </w:t>
      </w:r>
      <w:r w:rsidR="00A8506C">
        <w:t>adhered to when</w:t>
      </w:r>
      <w:r w:rsidR="00E84B16">
        <w:t xml:space="preserve"> implementing the Delphi for this research. </w:t>
      </w:r>
    </w:p>
    <w:p w14:paraId="01978D66" w14:textId="543CCA98" w:rsidR="00DE36A2" w:rsidRDefault="00DE36A2" w:rsidP="00525422"/>
    <w:p w14:paraId="7F5334E9" w14:textId="5B22B847" w:rsidR="00446515" w:rsidRDefault="00A23126" w:rsidP="00525422">
      <w:r w:rsidRPr="00A23126">
        <w:t>The panel selection is at least as vital as the questions asked.</w:t>
      </w:r>
      <w:r>
        <w:t xml:space="preserve"> </w:t>
      </w:r>
      <w:r w:rsidRPr="00A23126">
        <w:t xml:space="preserve">According to Clayton </w:t>
      </w:r>
      <w:r w:rsidR="00CB1C0D">
        <w:fldChar w:fldCharType="begin"/>
      </w:r>
      <w:r w:rsidR="00CB1C0D">
        <w:instrText xml:space="preserve"> ADDIN ZOTERO_ITEM CSL_CITATION {"citationID":"Zye2RAgq","properties":{"formattedCitation":"(1997)","plainCitation":"(1997)","noteIndex":0},"citationItems":[{"id":5954,"uris":["http://zotero.org/users/5557903/items/CSVUXSZT"],"uri":["http://zotero.org/use</w:instrText>
      </w:r>
      <w:r w:rsidR="00CB1C0D">
        <w:rPr>
          <w:rFonts w:hint="eastAsia"/>
        </w:rPr>
        <w:instrText>rs/5557903/items/CSVUXSZT"],"itemData":{"id":5954,"type":"article-journal","title":"Delphi: a technique to harness expert opinion for critical decision</w:instrText>
      </w:r>
      <w:r w:rsidR="00CB1C0D">
        <w:rPr>
          <w:rFonts w:hint="eastAsia"/>
        </w:rPr>
        <w:instrText>‐</w:instrText>
      </w:r>
      <w:r w:rsidR="00CB1C0D">
        <w:rPr>
          <w:rFonts w:hint="eastAsia"/>
        </w:rPr>
        <w:instrText>making tasks in education","container-title":"Educational Psychology","page":"373-386","volume":"17","i</w:instrText>
      </w:r>
      <w:r w:rsidR="00CB1C0D">
        <w:instrText xml:space="preserve">ssue":"4","author":[{"family":"Clayton","given":"Mark J."}],"issued":{"date-parts":[["1997"]]}},"suppress-author":true}],"schema":"https://github.com/citation-style-language/schema/raw/master/csl-citation.json"} </w:instrText>
      </w:r>
      <w:r w:rsidR="00CB1C0D">
        <w:fldChar w:fldCharType="separate"/>
      </w:r>
      <w:r w:rsidR="00CB1C0D" w:rsidRPr="00CB1C0D">
        <w:t>(1997)</w:t>
      </w:r>
      <w:r w:rsidR="00CB1C0D">
        <w:fldChar w:fldCharType="end"/>
      </w:r>
      <w:r w:rsidRPr="00A23126">
        <w:t xml:space="preserve">, an accurate choice of the panel members is essential for the reliability of the data collected throughout the process. </w:t>
      </w:r>
      <w:r w:rsidR="00330643">
        <w:t>However,</w:t>
      </w:r>
      <w:r w:rsidRPr="00A23126">
        <w:t xml:space="preserve"> what does “to be exp</w:t>
      </w:r>
      <w:r w:rsidR="00330643">
        <w:t>ert</w:t>
      </w:r>
      <w:r w:rsidRPr="00A23126">
        <w:t>” mean? As expressed by</w:t>
      </w:r>
      <w:r w:rsidR="009E4E7E">
        <w:t xml:space="preserve"> Martino</w:t>
      </w:r>
      <w:r w:rsidR="00CB1C0D">
        <w:t xml:space="preserve"> </w:t>
      </w:r>
      <w:r w:rsidR="00CB1C0D">
        <w:fldChar w:fldCharType="begin"/>
      </w:r>
      <w:r w:rsidR="00950D8A">
        <w:instrText xml:space="preserve"> ADDIN ZOTERO_ITEM CSL_CITATION {"citationID":"6iougXfP","properties":{"formattedCitation":"(1993)","plainCitation":"(1993)","noteIndex":0},"citationItems":[{"id":5955,"uris":["http://zotero.org/users/5557903/items/KYWN99CX"],"uri":["http://zotero.org/users/5557903/items/KYWN99CX"],"itemData":{"id":5955,"type":"book","title":"Technological forecasting for decision making","publisher":"McGraw-Hill, Inc.","ISBN":"0-07-040777-0","author":[{"family":"Martino","given":"Joseph P."}],"issued":{"date-parts":[["1993"]]}},"suppress-author":true}],"schema":"https://github.com/citation-style-language/schema/raw/master/csl-citation.json"} </w:instrText>
      </w:r>
      <w:r w:rsidR="00CB1C0D">
        <w:fldChar w:fldCharType="separate"/>
      </w:r>
      <w:r w:rsidR="00950D8A" w:rsidRPr="00950D8A">
        <w:t>(1993)</w:t>
      </w:r>
      <w:r w:rsidR="00CB1C0D">
        <w:fldChar w:fldCharType="end"/>
      </w:r>
      <w:r w:rsidR="00A8506C">
        <w:t>,</w:t>
      </w:r>
      <w:r w:rsidRPr="00A23126">
        <w:t xml:space="preserve"> </w:t>
      </w:r>
      <w:r w:rsidR="00950D8A">
        <w:t>panellists should be expert in knowing more than most people about the topic being considered</w:t>
      </w:r>
      <w:r w:rsidRPr="00A23126">
        <w:t>. Therefore, a panel member should be selected with regard to the topic under investigation</w:t>
      </w:r>
      <w:r w:rsidR="00BC3958">
        <w:t xml:space="preserve"> and e</w:t>
      </w:r>
      <w:r w:rsidRPr="00A23126">
        <w:t xml:space="preserve">xpertise in other areas is irrelevant. In order to achieve a comprehensive perspective of the topics considered, the panel members should also come from several fields. Sampling them all from the same </w:t>
      </w:r>
      <w:r w:rsidR="009E4E7E">
        <w:t xml:space="preserve">professional and cultural </w:t>
      </w:r>
      <w:r w:rsidRPr="00A23126">
        <w:t xml:space="preserve">background would be the first step to invalidate the </w:t>
      </w:r>
      <w:r w:rsidR="009E4E7E">
        <w:t>study</w:t>
      </w:r>
      <w:r w:rsidRPr="00A23126">
        <w:t>.</w:t>
      </w:r>
      <w:r w:rsidR="00AC7204">
        <w:t xml:space="preserve"> </w:t>
      </w:r>
      <w:r w:rsidR="00330643">
        <w:t>T</w:t>
      </w:r>
      <w:r w:rsidR="00AC7204">
        <w:t>h</w:t>
      </w:r>
      <w:r w:rsidR="00BC3958">
        <w:t>us, th</w:t>
      </w:r>
      <w:r w:rsidR="00AC7204">
        <w:t xml:space="preserve">ese guidelines </w:t>
      </w:r>
      <w:r w:rsidR="00330643">
        <w:t xml:space="preserve">were followed </w:t>
      </w:r>
      <w:r w:rsidR="00AC7204">
        <w:t xml:space="preserve">in convening </w:t>
      </w:r>
      <w:r w:rsidR="000A69B9">
        <w:t>the</w:t>
      </w:r>
      <w:r w:rsidR="00AC7204">
        <w:t xml:space="preserve"> panel of experts. </w:t>
      </w:r>
      <w:r w:rsidR="00AC7204" w:rsidRPr="00AC7204">
        <w:t xml:space="preserve">A further issue in selecting panel members is in their number. </w:t>
      </w:r>
      <w:r w:rsidR="00BA2004">
        <w:t xml:space="preserve">A recent study </w:t>
      </w:r>
      <w:r w:rsidR="00BA2004">
        <w:fldChar w:fldCharType="begin"/>
      </w:r>
      <w:r w:rsidR="00BA2004">
        <w:instrText xml:space="preserve"> ADDIN ZOTERO_ITEM CSL_CITATION {"citationID":"RMr5AeRr","properties":{"formattedCitation":"(Toppinen et al., 2017)","plainCitation":"(Toppinen et al., 2017)","noteIndex":0},"citationItems":[{"id":6195,"uris":["http://zotero.org/users/5557903/items/DRP4RH4L"],"uri":["http://zotero.org/users/5557903/items/DRP4RH4L"],"itemData":{"id":6195,"type":"article-journal","title":"The European pulp and paper industry in transition to a bio-economy: A Delphi study","container-title":"Futures","page":"1-14","volume":"88","source":"ScienceDirect","abstract":"The current challenge facing the European pulp and paper industry is how to materialize the transformation to a bio-economy, as well as to realize the necessary new green innovations. The risks, costs and constraints of doing business will increase, thereby further intensifying competition, but at the same time new business opportunities will open up. This study adopts a three-round dissensus-based Delphi approach in order to explore our key research question of how the pulp and paper industry may change strategically, and what is the potential for value creation in the year 2030. According to our expert panel, the main drivers of competitiveness in 2030 will include energy and material efficiency, sustainability, as well as new innovations in products to serve customer needs better. According to the projected 2030 scenario, the pulp and paper industry will produce more diversified products, focus on higher value-added, and aim at consumer segments with higher environmental awareness. On average, 40 percent of the turnover will according to the panel come from genuinely new products. Strategic cross-sectorial partnerships will have a key role in making this big leap, while simultaneously acknowledging the changing needs of sustainability-conscious customers and other stakeholders.","DOI":"10.1016/j.futures.2017.02.002","ISSN":"0016-3287","title-short":"The European pulp and paper industry in transition to a bio-economy","journalAbbreviation":"Futures","author":[{"family":"Toppinen","given":"Anne"},{"family":"Pätäri","given":"Satu"},{"family":"Tuppura","given":"Anni"},{"family":"Jantunen","given":"Ari"}],"issued":{"date-parts":[["2017",4,1]]}}}],"schema":"https://github.com/citation-style-language/schema/raw/master/csl-citation.json"} </w:instrText>
      </w:r>
      <w:r w:rsidR="00BA2004">
        <w:fldChar w:fldCharType="separate"/>
      </w:r>
      <w:r w:rsidR="00BA2004" w:rsidRPr="00BA2004">
        <w:t>(Toppinen et al., 2017)</w:t>
      </w:r>
      <w:r w:rsidR="00BA2004">
        <w:fldChar w:fldCharType="end"/>
      </w:r>
      <w:r w:rsidR="00BA2004">
        <w:t xml:space="preserve"> report</w:t>
      </w:r>
      <w:r w:rsidR="000C5DB0">
        <w:t>s</w:t>
      </w:r>
      <w:r w:rsidR="00BA2004">
        <w:t xml:space="preserve"> that Delphi panellists can range from few to 50, and w</w:t>
      </w:r>
      <w:r w:rsidR="00BA2004" w:rsidRPr="00AC7204">
        <w:t xml:space="preserve">ithin </w:t>
      </w:r>
      <w:r w:rsidR="005B0C1A">
        <w:t xml:space="preserve">the </w:t>
      </w:r>
      <w:r w:rsidR="00AC7204" w:rsidRPr="00AC7204">
        <w:t xml:space="preserve">existing literature only one </w:t>
      </w:r>
      <w:r w:rsidR="005B0C1A">
        <w:t xml:space="preserve">study </w:t>
      </w:r>
      <w:r w:rsidR="00AC7204" w:rsidRPr="00AC7204">
        <w:t xml:space="preserve">suggested a rule for the number of experts to be involved. McDermott and Stock </w:t>
      </w:r>
      <w:r w:rsidR="00AC7204">
        <w:fldChar w:fldCharType="begin"/>
      </w:r>
      <w:r w:rsidR="00950D8A">
        <w:instrText xml:space="preserve"> ADDIN ZOTERO_ITEM CSL_CITATION {"citationID":"W32NgE23","properties":{"formattedCitation":"(1980)","plainCitation":"(1980)","noteIndex":0},"citationItems":[{"id":5951,"uris":["http://zotero.org/users/5557903/items/BEKGMZ52"],"uri":["http://zotero.org/users/5557903/items/BEKGMZ52"],"itemData":{"id":5951,"type":"article-journal","title":"An application of the project Delphi forecasting method to logistics management","container-title":"Journal of Business Logistics","volume":"2","issue":"1","author":[{"family":"McDermott","given":"D. R."},{"family":"Stock","given":"J. R."}],"issued":{"date-parts":[["1980"]]}},"suppress-author":true}],"schema":"https://github.com/citation-style-language/schema/raw/master/csl-citation.json"} </w:instrText>
      </w:r>
      <w:r w:rsidR="00AC7204">
        <w:fldChar w:fldCharType="separate"/>
      </w:r>
      <w:r w:rsidR="00950D8A" w:rsidRPr="00950D8A">
        <w:t>(1980)</w:t>
      </w:r>
      <w:r w:rsidR="00AC7204">
        <w:fldChar w:fldCharType="end"/>
      </w:r>
      <w:r w:rsidR="00950D8A">
        <w:t xml:space="preserve"> suggest that consensus decisions achieved by Delphi panels with five or more experts are superior to individual decision making. </w:t>
      </w:r>
      <w:r w:rsidR="00BC3958">
        <w:t>Therefore, w</w:t>
      </w:r>
      <w:r w:rsidR="00AC7204">
        <w:t xml:space="preserve">e have attempted </w:t>
      </w:r>
      <w:r w:rsidR="005B0C1A">
        <w:t xml:space="preserve">to </w:t>
      </w:r>
      <w:r w:rsidR="00BC3958">
        <w:t>avoid this</w:t>
      </w:r>
      <w:r w:rsidR="005B0C1A">
        <w:t xml:space="preserve"> lower bound</w:t>
      </w:r>
      <w:r w:rsidR="00C27172">
        <w:t xml:space="preserve"> reference value and </w:t>
      </w:r>
      <w:r w:rsidR="000C5DB0">
        <w:t xml:space="preserve">managed </w:t>
      </w:r>
      <w:r w:rsidR="00632D4D">
        <w:t xml:space="preserve">to recruit a total of </w:t>
      </w:r>
      <w:r w:rsidR="00446515">
        <w:t xml:space="preserve">nine experts for this research. Details </w:t>
      </w:r>
      <w:r w:rsidR="00A507A4">
        <w:t xml:space="preserve">that can be disclosed about </w:t>
      </w:r>
      <w:r w:rsidR="00446515">
        <w:t xml:space="preserve">the panel are given in Table </w:t>
      </w:r>
      <w:r w:rsidR="0053227B">
        <w:t>2</w:t>
      </w:r>
      <w:r w:rsidR="00446515">
        <w:t xml:space="preserve">. </w:t>
      </w:r>
    </w:p>
    <w:p w14:paraId="622C1237" w14:textId="77777777" w:rsidR="00446515" w:rsidRDefault="00446515" w:rsidP="00525422"/>
    <w:p w14:paraId="0E72D1A2" w14:textId="5817249C" w:rsidR="00D74090" w:rsidRDefault="00D74090" w:rsidP="00525422">
      <w:pPr>
        <w:pStyle w:val="Caption"/>
        <w:keepNext/>
      </w:pPr>
      <w:r>
        <w:t xml:space="preserve">Table </w:t>
      </w:r>
      <w:r w:rsidR="006C4073">
        <w:rPr>
          <w:noProof/>
        </w:rPr>
        <w:fldChar w:fldCharType="begin"/>
      </w:r>
      <w:r w:rsidR="006C4073">
        <w:rPr>
          <w:noProof/>
        </w:rPr>
        <w:instrText xml:space="preserve"> SEQ Table \* ARABIC </w:instrText>
      </w:r>
      <w:r w:rsidR="006C4073">
        <w:rPr>
          <w:noProof/>
        </w:rPr>
        <w:fldChar w:fldCharType="separate"/>
      </w:r>
      <w:r w:rsidR="00BA401B">
        <w:rPr>
          <w:noProof/>
        </w:rPr>
        <w:t>2</w:t>
      </w:r>
      <w:r w:rsidR="006C4073">
        <w:rPr>
          <w:noProof/>
        </w:rPr>
        <w:fldChar w:fldCharType="end"/>
      </w:r>
      <w:r>
        <w:t xml:space="preserve"> - Background details on the expert panel</w:t>
      </w:r>
    </w:p>
    <w:tbl>
      <w:tblPr>
        <w:tblW w:w="9020" w:type="dxa"/>
        <w:tblLook w:val="04A0" w:firstRow="1" w:lastRow="0" w:firstColumn="1" w:lastColumn="0" w:noHBand="0" w:noVBand="1"/>
      </w:tblPr>
      <w:tblGrid>
        <w:gridCol w:w="3686"/>
        <w:gridCol w:w="2977"/>
        <w:gridCol w:w="2357"/>
      </w:tblGrid>
      <w:tr w:rsidR="00C83488" w:rsidRPr="00BC3958" w14:paraId="067C9C31" w14:textId="05A94B2E" w:rsidTr="000C5DB0">
        <w:trPr>
          <w:trHeight w:val="300"/>
        </w:trPr>
        <w:tc>
          <w:tcPr>
            <w:tcW w:w="3686" w:type="dxa"/>
            <w:tcBorders>
              <w:top w:val="nil"/>
              <w:left w:val="nil"/>
              <w:bottom w:val="single" w:sz="4" w:space="0" w:color="auto"/>
              <w:right w:val="single" w:sz="4" w:space="0" w:color="auto"/>
            </w:tcBorders>
            <w:shd w:val="clear" w:color="auto" w:fill="auto"/>
            <w:noWrap/>
            <w:vAlign w:val="bottom"/>
            <w:hideMark/>
          </w:tcPr>
          <w:p w14:paraId="2E2C0D4D" w14:textId="77777777" w:rsidR="00C83488" w:rsidRPr="00950D8A" w:rsidRDefault="00C83488" w:rsidP="00525422">
            <w:pPr>
              <w:rPr>
                <w:rFonts w:eastAsia="Times New Roman" w:cs="Calibri"/>
                <w:b/>
                <w:bCs/>
                <w:color w:val="000000"/>
                <w:sz w:val="22"/>
                <w:szCs w:val="20"/>
                <w:lang w:eastAsia="en-GB"/>
              </w:rPr>
            </w:pPr>
            <w:r w:rsidRPr="00950D8A">
              <w:rPr>
                <w:rFonts w:eastAsia="Times New Roman" w:cs="Calibri"/>
                <w:b/>
                <w:bCs/>
                <w:color w:val="000000"/>
                <w:sz w:val="22"/>
                <w:szCs w:val="20"/>
                <w:lang w:eastAsia="en-GB"/>
              </w:rPr>
              <w:t xml:space="preserve">Professional Background </w:t>
            </w:r>
          </w:p>
        </w:tc>
        <w:tc>
          <w:tcPr>
            <w:tcW w:w="2977" w:type="dxa"/>
            <w:tcBorders>
              <w:top w:val="nil"/>
              <w:left w:val="nil"/>
              <w:bottom w:val="single" w:sz="4" w:space="0" w:color="auto"/>
              <w:right w:val="single" w:sz="4" w:space="0" w:color="auto"/>
            </w:tcBorders>
            <w:shd w:val="clear" w:color="auto" w:fill="auto"/>
            <w:noWrap/>
            <w:vAlign w:val="bottom"/>
            <w:hideMark/>
          </w:tcPr>
          <w:p w14:paraId="6B06FF4A" w14:textId="692D5326" w:rsidR="00C83488" w:rsidRPr="00950D8A" w:rsidRDefault="00C83488" w:rsidP="00525422">
            <w:pPr>
              <w:rPr>
                <w:rFonts w:eastAsia="Times New Roman" w:cs="Calibri"/>
                <w:b/>
                <w:bCs/>
                <w:color w:val="000000"/>
                <w:sz w:val="22"/>
                <w:szCs w:val="20"/>
                <w:lang w:eastAsia="en-GB"/>
              </w:rPr>
            </w:pPr>
            <w:r w:rsidRPr="00950D8A">
              <w:rPr>
                <w:rFonts w:eastAsia="Times New Roman" w:cs="Calibri"/>
                <w:b/>
                <w:bCs/>
                <w:color w:val="000000"/>
                <w:sz w:val="22"/>
                <w:szCs w:val="20"/>
                <w:lang w:eastAsia="en-GB"/>
              </w:rPr>
              <w:t>Geographical location</w:t>
            </w:r>
          </w:p>
        </w:tc>
        <w:tc>
          <w:tcPr>
            <w:tcW w:w="2357" w:type="dxa"/>
            <w:tcBorders>
              <w:top w:val="nil"/>
              <w:left w:val="single" w:sz="4" w:space="0" w:color="auto"/>
              <w:bottom w:val="single" w:sz="4" w:space="0" w:color="auto"/>
              <w:right w:val="nil"/>
            </w:tcBorders>
          </w:tcPr>
          <w:p w14:paraId="4AB5CDD2" w14:textId="5266438B" w:rsidR="00C83488" w:rsidRPr="00950D8A" w:rsidRDefault="00C83488" w:rsidP="00525422">
            <w:pPr>
              <w:rPr>
                <w:rFonts w:eastAsia="Times New Roman" w:cs="Calibri"/>
                <w:b/>
                <w:bCs/>
                <w:color w:val="000000"/>
                <w:sz w:val="22"/>
                <w:szCs w:val="20"/>
                <w:lang w:eastAsia="en-GB"/>
              </w:rPr>
            </w:pPr>
            <w:r w:rsidRPr="00950D8A">
              <w:rPr>
                <w:rFonts w:eastAsia="Times New Roman" w:cs="Calibri"/>
                <w:b/>
                <w:bCs/>
                <w:color w:val="000000"/>
                <w:sz w:val="22"/>
                <w:szCs w:val="20"/>
                <w:lang w:eastAsia="en-GB"/>
              </w:rPr>
              <w:t>Gender</w:t>
            </w:r>
          </w:p>
        </w:tc>
      </w:tr>
      <w:tr w:rsidR="00C83488" w:rsidRPr="00BC3958" w14:paraId="2C2F0D47" w14:textId="3BA5CE47" w:rsidTr="000C5DB0">
        <w:trPr>
          <w:trHeight w:val="300"/>
        </w:trPr>
        <w:tc>
          <w:tcPr>
            <w:tcW w:w="3686" w:type="dxa"/>
            <w:tcBorders>
              <w:top w:val="single" w:sz="4" w:space="0" w:color="auto"/>
              <w:left w:val="nil"/>
              <w:bottom w:val="nil"/>
              <w:right w:val="single" w:sz="4" w:space="0" w:color="auto"/>
            </w:tcBorders>
            <w:shd w:val="clear" w:color="auto" w:fill="auto"/>
            <w:noWrap/>
            <w:vAlign w:val="bottom"/>
            <w:hideMark/>
          </w:tcPr>
          <w:p w14:paraId="7580C343" w14:textId="77777777" w:rsidR="00C83488" w:rsidRPr="00950D8A" w:rsidRDefault="00C83488" w:rsidP="00525422">
            <w:pPr>
              <w:rPr>
                <w:rFonts w:eastAsia="Times New Roman" w:cs="Calibri"/>
                <w:color w:val="000000"/>
                <w:sz w:val="22"/>
                <w:szCs w:val="20"/>
                <w:lang w:eastAsia="en-GB"/>
              </w:rPr>
            </w:pPr>
            <w:r w:rsidRPr="00950D8A">
              <w:rPr>
                <w:rFonts w:eastAsia="Times New Roman" w:cs="Calibri"/>
                <w:color w:val="000000"/>
                <w:sz w:val="22"/>
                <w:szCs w:val="20"/>
                <w:lang w:eastAsia="en-GB"/>
              </w:rPr>
              <w:t>Humanitarian engineering</w:t>
            </w:r>
          </w:p>
        </w:tc>
        <w:tc>
          <w:tcPr>
            <w:tcW w:w="2977" w:type="dxa"/>
            <w:tcBorders>
              <w:top w:val="single" w:sz="4" w:space="0" w:color="auto"/>
              <w:left w:val="nil"/>
              <w:bottom w:val="nil"/>
              <w:right w:val="single" w:sz="4" w:space="0" w:color="auto"/>
            </w:tcBorders>
            <w:shd w:val="clear" w:color="auto" w:fill="auto"/>
            <w:noWrap/>
            <w:vAlign w:val="bottom"/>
            <w:hideMark/>
          </w:tcPr>
          <w:p w14:paraId="67CFDBC5" w14:textId="77777777" w:rsidR="00C83488" w:rsidRPr="00950D8A" w:rsidRDefault="00C83488" w:rsidP="00525422">
            <w:pPr>
              <w:rPr>
                <w:rFonts w:eastAsia="Times New Roman" w:cs="Calibri"/>
                <w:color w:val="000000"/>
                <w:sz w:val="22"/>
                <w:szCs w:val="20"/>
                <w:lang w:eastAsia="en-GB"/>
              </w:rPr>
            </w:pPr>
            <w:r w:rsidRPr="00950D8A">
              <w:rPr>
                <w:rFonts w:eastAsia="Times New Roman" w:cs="Calibri"/>
                <w:color w:val="000000"/>
                <w:sz w:val="22"/>
                <w:szCs w:val="20"/>
                <w:lang w:eastAsia="en-GB"/>
              </w:rPr>
              <w:t>Africa (3)</w:t>
            </w:r>
          </w:p>
        </w:tc>
        <w:tc>
          <w:tcPr>
            <w:tcW w:w="2357" w:type="dxa"/>
            <w:tcBorders>
              <w:top w:val="single" w:sz="4" w:space="0" w:color="auto"/>
              <w:left w:val="single" w:sz="4" w:space="0" w:color="auto"/>
              <w:bottom w:val="nil"/>
              <w:right w:val="nil"/>
            </w:tcBorders>
          </w:tcPr>
          <w:p w14:paraId="62E73D3A" w14:textId="2E7E8CC9" w:rsidR="00C83488" w:rsidRPr="00950D8A" w:rsidRDefault="006B4AD6" w:rsidP="00525422">
            <w:pPr>
              <w:rPr>
                <w:rFonts w:eastAsia="Times New Roman" w:cs="Calibri"/>
                <w:color w:val="000000"/>
                <w:sz w:val="22"/>
                <w:szCs w:val="20"/>
                <w:lang w:eastAsia="en-GB"/>
              </w:rPr>
            </w:pPr>
            <w:r w:rsidRPr="00950D8A">
              <w:rPr>
                <w:rFonts w:eastAsia="Times New Roman" w:cs="Calibri"/>
                <w:color w:val="000000"/>
                <w:sz w:val="22"/>
                <w:szCs w:val="20"/>
                <w:lang w:eastAsia="en-GB"/>
              </w:rPr>
              <w:t>F (5)</w:t>
            </w:r>
          </w:p>
        </w:tc>
      </w:tr>
      <w:tr w:rsidR="00C83488" w:rsidRPr="00BC3958" w14:paraId="0BE2372D" w14:textId="5C24C631" w:rsidTr="006B4AD6">
        <w:trPr>
          <w:trHeight w:val="300"/>
        </w:trPr>
        <w:tc>
          <w:tcPr>
            <w:tcW w:w="3686" w:type="dxa"/>
            <w:tcBorders>
              <w:top w:val="nil"/>
              <w:left w:val="nil"/>
              <w:bottom w:val="nil"/>
              <w:right w:val="single" w:sz="4" w:space="0" w:color="auto"/>
            </w:tcBorders>
            <w:shd w:val="clear" w:color="auto" w:fill="auto"/>
            <w:noWrap/>
            <w:vAlign w:val="bottom"/>
            <w:hideMark/>
          </w:tcPr>
          <w:p w14:paraId="241D282C" w14:textId="77777777" w:rsidR="00C83488" w:rsidRPr="00950D8A" w:rsidRDefault="00C83488" w:rsidP="00525422">
            <w:pPr>
              <w:rPr>
                <w:rFonts w:eastAsia="Times New Roman" w:cs="Calibri"/>
                <w:color w:val="000000"/>
                <w:sz w:val="22"/>
                <w:szCs w:val="20"/>
                <w:lang w:eastAsia="en-GB"/>
              </w:rPr>
            </w:pPr>
            <w:r w:rsidRPr="00950D8A">
              <w:rPr>
                <w:rFonts w:eastAsia="Times New Roman" w:cs="Calibri"/>
                <w:color w:val="000000"/>
                <w:sz w:val="22"/>
                <w:szCs w:val="20"/>
                <w:lang w:eastAsia="en-GB"/>
              </w:rPr>
              <w:t>NGO (Refugee camps)</w:t>
            </w:r>
          </w:p>
        </w:tc>
        <w:tc>
          <w:tcPr>
            <w:tcW w:w="2977" w:type="dxa"/>
            <w:tcBorders>
              <w:top w:val="nil"/>
              <w:left w:val="nil"/>
              <w:bottom w:val="nil"/>
              <w:right w:val="single" w:sz="4" w:space="0" w:color="auto"/>
            </w:tcBorders>
            <w:shd w:val="clear" w:color="auto" w:fill="auto"/>
            <w:noWrap/>
            <w:vAlign w:val="bottom"/>
            <w:hideMark/>
          </w:tcPr>
          <w:p w14:paraId="0D9AEF7D" w14:textId="77777777" w:rsidR="00C83488" w:rsidRPr="00950D8A" w:rsidRDefault="00C83488" w:rsidP="00525422">
            <w:pPr>
              <w:rPr>
                <w:rFonts w:eastAsia="Times New Roman" w:cs="Calibri"/>
                <w:color w:val="000000"/>
                <w:sz w:val="22"/>
                <w:szCs w:val="20"/>
                <w:lang w:eastAsia="en-GB"/>
              </w:rPr>
            </w:pPr>
            <w:r w:rsidRPr="00950D8A">
              <w:rPr>
                <w:rFonts w:eastAsia="Times New Roman" w:cs="Calibri"/>
                <w:color w:val="000000"/>
                <w:sz w:val="22"/>
                <w:szCs w:val="20"/>
                <w:lang w:eastAsia="en-GB"/>
              </w:rPr>
              <w:t>Middle East (2)</w:t>
            </w:r>
          </w:p>
        </w:tc>
        <w:tc>
          <w:tcPr>
            <w:tcW w:w="2357" w:type="dxa"/>
            <w:tcBorders>
              <w:top w:val="nil"/>
              <w:left w:val="single" w:sz="4" w:space="0" w:color="auto"/>
              <w:bottom w:val="nil"/>
              <w:right w:val="nil"/>
            </w:tcBorders>
          </w:tcPr>
          <w:p w14:paraId="09D423C4" w14:textId="5C304EE7" w:rsidR="00C83488" w:rsidRPr="00950D8A" w:rsidRDefault="006B4AD6" w:rsidP="00525422">
            <w:pPr>
              <w:rPr>
                <w:rFonts w:eastAsia="Times New Roman" w:cs="Calibri"/>
                <w:color w:val="000000"/>
                <w:sz w:val="22"/>
                <w:szCs w:val="20"/>
                <w:lang w:eastAsia="en-GB"/>
              </w:rPr>
            </w:pPr>
            <w:r w:rsidRPr="00950D8A">
              <w:rPr>
                <w:rFonts w:eastAsia="Times New Roman" w:cs="Calibri"/>
                <w:color w:val="000000"/>
                <w:sz w:val="22"/>
                <w:szCs w:val="20"/>
                <w:lang w:eastAsia="en-GB"/>
              </w:rPr>
              <w:t>M</w:t>
            </w:r>
            <w:r w:rsidR="00C83488" w:rsidRPr="00950D8A">
              <w:rPr>
                <w:rFonts w:eastAsia="Times New Roman" w:cs="Calibri"/>
                <w:color w:val="000000"/>
                <w:sz w:val="22"/>
                <w:szCs w:val="20"/>
                <w:lang w:eastAsia="en-GB"/>
              </w:rPr>
              <w:t xml:space="preserve"> (</w:t>
            </w:r>
            <w:r w:rsidRPr="00950D8A">
              <w:rPr>
                <w:rFonts w:eastAsia="Times New Roman" w:cs="Calibri"/>
                <w:color w:val="000000"/>
                <w:sz w:val="22"/>
                <w:szCs w:val="20"/>
                <w:lang w:eastAsia="en-GB"/>
              </w:rPr>
              <w:t>4</w:t>
            </w:r>
            <w:r w:rsidR="00C83488" w:rsidRPr="00950D8A">
              <w:rPr>
                <w:rFonts w:eastAsia="Times New Roman" w:cs="Calibri"/>
                <w:color w:val="000000"/>
                <w:sz w:val="22"/>
                <w:szCs w:val="20"/>
                <w:lang w:eastAsia="en-GB"/>
              </w:rPr>
              <w:t>)</w:t>
            </w:r>
          </w:p>
        </w:tc>
      </w:tr>
      <w:tr w:rsidR="00C83488" w:rsidRPr="00BC3958" w14:paraId="6F8A1009" w14:textId="2A6CC124" w:rsidTr="006B4AD6">
        <w:trPr>
          <w:trHeight w:val="300"/>
        </w:trPr>
        <w:tc>
          <w:tcPr>
            <w:tcW w:w="3686" w:type="dxa"/>
            <w:tcBorders>
              <w:top w:val="nil"/>
              <w:left w:val="nil"/>
              <w:bottom w:val="nil"/>
              <w:right w:val="single" w:sz="4" w:space="0" w:color="auto"/>
            </w:tcBorders>
            <w:shd w:val="clear" w:color="auto" w:fill="auto"/>
            <w:noWrap/>
            <w:vAlign w:val="bottom"/>
            <w:hideMark/>
          </w:tcPr>
          <w:p w14:paraId="006B65A2" w14:textId="77777777" w:rsidR="00C83488" w:rsidRPr="00950D8A" w:rsidRDefault="00C83488" w:rsidP="00525422">
            <w:pPr>
              <w:rPr>
                <w:rFonts w:eastAsia="Times New Roman" w:cs="Calibri"/>
                <w:color w:val="000000"/>
                <w:sz w:val="22"/>
                <w:szCs w:val="20"/>
                <w:lang w:eastAsia="en-GB"/>
              </w:rPr>
            </w:pPr>
            <w:r w:rsidRPr="00950D8A">
              <w:rPr>
                <w:rFonts w:eastAsia="Times New Roman" w:cs="Calibri"/>
                <w:color w:val="000000"/>
                <w:sz w:val="22"/>
                <w:szCs w:val="20"/>
                <w:lang w:eastAsia="en-GB"/>
              </w:rPr>
              <w:t>Architectures of emergencies</w:t>
            </w:r>
          </w:p>
        </w:tc>
        <w:tc>
          <w:tcPr>
            <w:tcW w:w="2977" w:type="dxa"/>
            <w:tcBorders>
              <w:top w:val="nil"/>
              <w:left w:val="nil"/>
              <w:bottom w:val="nil"/>
              <w:right w:val="single" w:sz="4" w:space="0" w:color="auto"/>
            </w:tcBorders>
            <w:shd w:val="clear" w:color="auto" w:fill="auto"/>
            <w:noWrap/>
            <w:vAlign w:val="bottom"/>
            <w:hideMark/>
          </w:tcPr>
          <w:p w14:paraId="3326B8BE" w14:textId="77777777" w:rsidR="00C83488" w:rsidRPr="00950D8A" w:rsidRDefault="00C83488" w:rsidP="00525422">
            <w:pPr>
              <w:rPr>
                <w:rFonts w:eastAsia="Times New Roman" w:cs="Calibri"/>
                <w:color w:val="000000"/>
                <w:sz w:val="22"/>
                <w:szCs w:val="20"/>
                <w:lang w:eastAsia="en-GB"/>
              </w:rPr>
            </w:pPr>
            <w:r w:rsidRPr="00950D8A">
              <w:rPr>
                <w:rFonts w:eastAsia="Times New Roman" w:cs="Calibri"/>
                <w:color w:val="000000"/>
                <w:sz w:val="22"/>
                <w:szCs w:val="20"/>
                <w:lang w:eastAsia="en-GB"/>
              </w:rPr>
              <w:t>Europe (4)</w:t>
            </w:r>
          </w:p>
        </w:tc>
        <w:tc>
          <w:tcPr>
            <w:tcW w:w="2357" w:type="dxa"/>
            <w:tcBorders>
              <w:top w:val="nil"/>
              <w:left w:val="single" w:sz="4" w:space="0" w:color="auto"/>
              <w:bottom w:val="nil"/>
              <w:right w:val="nil"/>
            </w:tcBorders>
          </w:tcPr>
          <w:p w14:paraId="293A38A1" w14:textId="77777777" w:rsidR="00C83488" w:rsidRPr="00950D8A" w:rsidRDefault="00C83488" w:rsidP="00525422">
            <w:pPr>
              <w:rPr>
                <w:rFonts w:eastAsia="Times New Roman" w:cs="Calibri"/>
                <w:color w:val="000000"/>
                <w:sz w:val="22"/>
                <w:szCs w:val="20"/>
                <w:lang w:eastAsia="en-GB"/>
              </w:rPr>
            </w:pPr>
          </w:p>
        </w:tc>
      </w:tr>
      <w:tr w:rsidR="00C83488" w:rsidRPr="00BC3958" w14:paraId="28057F7B" w14:textId="399B34F5" w:rsidTr="006B4AD6">
        <w:trPr>
          <w:trHeight w:val="300"/>
        </w:trPr>
        <w:tc>
          <w:tcPr>
            <w:tcW w:w="3686" w:type="dxa"/>
            <w:tcBorders>
              <w:top w:val="nil"/>
              <w:left w:val="nil"/>
              <w:bottom w:val="nil"/>
              <w:right w:val="single" w:sz="4" w:space="0" w:color="auto"/>
            </w:tcBorders>
            <w:shd w:val="clear" w:color="auto" w:fill="auto"/>
            <w:noWrap/>
            <w:vAlign w:val="bottom"/>
            <w:hideMark/>
          </w:tcPr>
          <w:p w14:paraId="1E962BC2" w14:textId="77777777" w:rsidR="00C83488" w:rsidRPr="00950D8A" w:rsidRDefault="00C83488" w:rsidP="00525422">
            <w:pPr>
              <w:rPr>
                <w:rFonts w:eastAsia="Times New Roman" w:cs="Calibri"/>
                <w:color w:val="000000"/>
                <w:sz w:val="22"/>
                <w:szCs w:val="20"/>
                <w:lang w:eastAsia="en-GB"/>
              </w:rPr>
            </w:pPr>
            <w:r w:rsidRPr="00950D8A">
              <w:rPr>
                <w:rFonts w:eastAsia="Times New Roman" w:cs="Calibri"/>
                <w:color w:val="000000"/>
                <w:sz w:val="22"/>
                <w:szCs w:val="20"/>
                <w:lang w:eastAsia="en-GB"/>
              </w:rPr>
              <w:t>Bio-architecture</w:t>
            </w:r>
          </w:p>
        </w:tc>
        <w:tc>
          <w:tcPr>
            <w:tcW w:w="2977" w:type="dxa"/>
            <w:tcBorders>
              <w:top w:val="nil"/>
              <w:left w:val="nil"/>
              <w:bottom w:val="nil"/>
              <w:right w:val="single" w:sz="4" w:space="0" w:color="auto"/>
            </w:tcBorders>
            <w:shd w:val="clear" w:color="auto" w:fill="auto"/>
            <w:noWrap/>
            <w:vAlign w:val="bottom"/>
            <w:hideMark/>
          </w:tcPr>
          <w:p w14:paraId="021984BA" w14:textId="77777777" w:rsidR="00C83488" w:rsidRPr="00950D8A" w:rsidRDefault="00C83488" w:rsidP="00525422">
            <w:pPr>
              <w:rPr>
                <w:rFonts w:eastAsia="Times New Roman" w:cs="Calibri"/>
                <w:color w:val="000000"/>
                <w:sz w:val="22"/>
                <w:szCs w:val="20"/>
                <w:lang w:eastAsia="en-GB"/>
              </w:rPr>
            </w:pPr>
          </w:p>
        </w:tc>
        <w:tc>
          <w:tcPr>
            <w:tcW w:w="2357" w:type="dxa"/>
            <w:tcBorders>
              <w:top w:val="nil"/>
              <w:left w:val="single" w:sz="4" w:space="0" w:color="auto"/>
              <w:bottom w:val="nil"/>
              <w:right w:val="nil"/>
            </w:tcBorders>
          </w:tcPr>
          <w:p w14:paraId="124B64E3" w14:textId="77777777" w:rsidR="00C83488" w:rsidRPr="00950D8A" w:rsidRDefault="00C83488" w:rsidP="00525422">
            <w:pPr>
              <w:rPr>
                <w:rFonts w:eastAsia="Times New Roman" w:cs="Calibri"/>
                <w:color w:val="000000"/>
                <w:sz w:val="22"/>
                <w:szCs w:val="20"/>
                <w:lang w:eastAsia="en-GB"/>
              </w:rPr>
            </w:pPr>
          </w:p>
        </w:tc>
      </w:tr>
      <w:tr w:rsidR="00C83488" w:rsidRPr="00BC3958" w14:paraId="050512BB" w14:textId="716A0FAF" w:rsidTr="006B4AD6">
        <w:trPr>
          <w:trHeight w:val="300"/>
        </w:trPr>
        <w:tc>
          <w:tcPr>
            <w:tcW w:w="3686" w:type="dxa"/>
            <w:tcBorders>
              <w:top w:val="nil"/>
              <w:left w:val="nil"/>
              <w:bottom w:val="nil"/>
              <w:right w:val="single" w:sz="4" w:space="0" w:color="auto"/>
            </w:tcBorders>
            <w:shd w:val="clear" w:color="auto" w:fill="auto"/>
            <w:noWrap/>
            <w:vAlign w:val="bottom"/>
            <w:hideMark/>
          </w:tcPr>
          <w:p w14:paraId="75F85618" w14:textId="77777777" w:rsidR="00C83488" w:rsidRPr="00950D8A" w:rsidRDefault="00C83488" w:rsidP="00525422">
            <w:pPr>
              <w:rPr>
                <w:rFonts w:eastAsia="Times New Roman" w:cs="Calibri"/>
                <w:color w:val="000000"/>
                <w:sz w:val="22"/>
                <w:szCs w:val="20"/>
                <w:lang w:eastAsia="en-GB"/>
              </w:rPr>
            </w:pPr>
            <w:r w:rsidRPr="00950D8A">
              <w:rPr>
                <w:rFonts w:eastAsia="Times New Roman" w:cs="Calibri"/>
                <w:color w:val="000000"/>
                <w:sz w:val="22"/>
                <w:szCs w:val="20"/>
                <w:lang w:eastAsia="en-GB"/>
              </w:rPr>
              <w:t>Biomimicry and policy-making</w:t>
            </w:r>
          </w:p>
        </w:tc>
        <w:tc>
          <w:tcPr>
            <w:tcW w:w="2977" w:type="dxa"/>
            <w:tcBorders>
              <w:top w:val="nil"/>
              <w:left w:val="nil"/>
              <w:bottom w:val="nil"/>
              <w:right w:val="single" w:sz="4" w:space="0" w:color="auto"/>
            </w:tcBorders>
            <w:shd w:val="clear" w:color="auto" w:fill="auto"/>
            <w:noWrap/>
            <w:vAlign w:val="bottom"/>
            <w:hideMark/>
          </w:tcPr>
          <w:p w14:paraId="530BC157" w14:textId="77777777" w:rsidR="00C83488" w:rsidRPr="00950D8A" w:rsidRDefault="00C83488" w:rsidP="00525422">
            <w:pPr>
              <w:rPr>
                <w:rFonts w:eastAsia="Times New Roman" w:cs="Calibri"/>
                <w:color w:val="000000"/>
                <w:sz w:val="22"/>
                <w:szCs w:val="20"/>
                <w:lang w:eastAsia="en-GB"/>
              </w:rPr>
            </w:pPr>
          </w:p>
        </w:tc>
        <w:tc>
          <w:tcPr>
            <w:tcW w:w="2357" w:type="dxa"/>
            <w:tcBorders>
              <w:top w:val="nil"/>
              <w:left w:val="single" w:sz="4" w:space="0" w:color="auto"/>
              <w:bottom w:val="nil"/>
              <w:right w:val="nil"/>
            </w:tcBorders>
          </w:tcPr>
          <w:p w14:paraId="0CE8A7C3" w14:textId="77777777" w:rsidR="00C83488" w:rsidRPr="00950D8A" w:rsidRDefault="00C83488" w:rsidP="00525422">
            <w:pPr>
              <w:rPr>
                <w:rFonts w:eastAsia="Times New Roman" w:cs="Calibri"/>
                <w:color w:val="000000"/>
                <w:sz w:val="22"/>
                <w:szCs w:val="20"/>
                <w:lang w:eastAsia="en-GB"/>
              </w:rPr>
            </w:pPr>
          </w:p>
        </w:tc>
      </w:tr>
      <w:tr w:rsidR="00C83488" w:rsidRPr="00BC3958" w14:paraId="3251BF4E" w14:textId="547888A1" w:rsidTr="006B4AD6">
        <w:trPr>
          <w:trHeight w:val="300"/>
        </w:trPr>
        <w:tc>
          <w:tcPr>
            <w:tcW w:w="3686" w:type="dxa"/>
            <w:tcBorders>
              <w:top w:val="nil"/>
              <w:left w:val="nil"/>
              <w:bottom w:val="nil"/>
              <w:right w:val="single" w:sz="4" w:space="0" w:color="auto"/>
            </w:tcBorders>
            <w:shd w:val="clear" w:color="auto" w:fill="auto"/>
            <w:noWrap/>
            <w:vAlign w:val="bottom"/>
            <w:hideMark/>
          </w:tcPr>
          <w:p w14:paraId="2EAC4788" w14:textId="77777777" w:rsidR="00C83488" w:rsidRPr="00950D8A" w:rsidRDefault="00C83488" w:rsidP="00525422">
            <w:pPr>
              <w:rPr>
                <w:rFonts w:eastAsia="Times New Roman" w:cs="Calibri"/>
                <w:color w:val="000000"/>
                <w:sz w:val="22"/>
                <w:szCs w:val="20"/>
                <w:lang w:eastAsia="en-GB"/>
              </w:rPr>
            </w:pPr>
            <w:r w:rsidRPr="00950D8A">
              <w:rPr>
                <w:rFonts w:eastAsia="Times New Roman" w:cs="Calibri"/>
                <w:color w:val="000000"/>
                <w:sz w:val="22"/>
                <w:szCs w:val="20"/>
                <w:lang w:eastAsia="en-GB"/>
              </w:rPr>
              <w:t>Construction management</w:t>
            </w:r>
          </w:p>
        </w:tc>
        <w:tc>
          <w:tcPr>
            <w:tcW w:w="2977" w:type="dxa"/>
            <w:tcBorders>
              <w:top w:val="nil"/>
              <w:left w:val="nil"/>
              <w:bottom w:val="nil"/>
              <w:right w:val="single" w:sz="4" w:space="0" w:color="auto"/>
            </w:tcBorders>
            <w:shd w:val="clear" w:color="auto" w:fill="auto"/>
            <w:noWrap/>
            <w:vAlign w:val="bottom"/>
            <w:hideMark/>
          </w:tcPr>
          <w:p w14:paraId="2240FDB5" w14:textId="77777777" w:rsidR="00C83488" w:rsidRPr="00950D8A" w:rsidRDefault="00C83488" w:rsidP="00525422">
            <w:pPr>
              <w:rPr>
                <w:rFonts w:eastAsia="Times New Roman" w:cs="Calibri"/>
                <w:color w:val="000000"/>
                <w:sz w:val="22"/>
                <w:szCs w:val="20"/>
                <w:lang w:eastAsia="en-GB"/>
              </w:rPr>
            </w:pPr>
          </w:p>
        </w:tc>
        <w:tc>
          <w:tcPr>
            <w:tcW w:w="2357" w:type="dxa"/>
            <w:tcBorders>
              <w:top w:val="nil"/>
              <w:left w:val="single" w:sz="4" w:space="0" w:color="auto"/>
              <w:bottom w:val="nil"/>
              <w:right w:val="nil"/>
            </w:tcBorders>
          </w:tcPr>
          <w:p w14:paraId="2F1E6972" w14:textId="77777777" w:rsidR="00C83488" w:rsidRPr="00950D8A" w:rsidRDefault="00C83488" w:rsidP="00525422">
            <w:pPr>
              <w:rPr>
                <w:rFonts w:eastAsia="Times New Roman" w:cs="Calibri"/>
                <w:color w:val="000000"/>
                <w:sz w:val="22"/>
                <w:szCs w:val="20"/>
                <w:lang w:eastAsia="en-GB"/>
              </w:rPr>
            </w:pPr>
          </w:p>
        </w:tc>
      </w:tr>
      <w:tr w:rsidR="00C83488" w:rsidRPr="00BC3958" w14:paraId="1CADD912" w14:textId="3CC015E7" w:rsidTr="006B4AD6">
        <w:trPr>
          <w:trHeight w:val="300"/>
        </w:trPr>
        <w:tc>
          <w:tcPr>
            <w:tcW w:w="3686" w:type="dxa"/>
            <w:tcBorders>
              <w:top w:val="nil"/>
              <w:left w:val="nil"/>
              <w:bottom w:val="nil"/>
              <w:right w:val="single" w:sz="4" w:space="0" w:color="auto"/>
            </w:tcBorders>
            <w:shd w:val="clear" w:color="auto" w:fill="auto"/>
            <w:noWrap/>
            <w:vAlign w:val="bottom"/>
            <w:hideMark/>
          </w:tcPr>
          <w:p w14:paraId="0524CFCF" w14:textId="77777777" w:rsidR="00C83488" w:rsidRPr="00950D8A" w:rsidRDefault="00C83488" w:rsidP="00525422">
            <w:pPr>
              <w:rPr>
                <w:rFonts w:eastAsia="Times New Roman" w:cs="Calibri"/>
                <w:color w:val="000000"/>
                <w:sz w:val="22"/>
                <w:szCs w:val="20"/>
                <w:lang w:eastAsia="en-GB"/>
              </w:rPr>
            </w:pPr>
            <w:r w:rsidRPr="00950D8A">
              <w:rPr>
                <w:rFonts w:eastAsia="Times New Roman" w:cs="Calibri"/>
                <w:color w:val="000000"/>
                <w:sz w:val="22"/>
                <w:szCs w:val="20"/>
                <w:lang w:eastAsia="en-GB"/>
              </w:rPr>
              <w:t>Project management</w:t>
            </w:r>
          </w:p>
        </w:tc>
        <w:tc>
          <w:tcPr>
            <w:tcW w:w="2977" w:type="dxa"/>
            <w:tcBorders>
              <w:top w:val="nil"/>
              <w:left w:val="nil"/>
              <w:bottom w:val="nil"/>
              <w:right w:val="single" w:sz="4" w:space="0" w:color="auto"/>
            </w:tcBorders>
            <w:shd w:val="clear" w:color="auto" w:fill="auto"/>
            <w:noWrap/>
            <w:vAlign w:val="bottom"/>
            <w:hideMark/>
          </w:tcPr>
          <w:p w14:paraId="7044DBB6" w14:textId="77777777" w:rsidR="00C83488" w:rsidRPr="00950D8A" w:rsidRDefault="00C83488" w:rsidP="00525422">
            <w:pPr>
              <w:rPr>
                <w:rFonts w:eastAsia="Times New Roman" w:cs="Calibri"/>
                <w:color w:val="000000"/>
                <w:sz w:val="22"/>
                <w:szCs w:val="20"/>
                <w:lang w:eastAsia="en-GB"/>
              </w:rPr>
            </w:pPr>
          </w:p>
        </w:tc>
        <w:tc>
          <w:tcPr>
            <w:tcW w:w="2357" w:type="dxa"/>
            <w:tcBorders>
              <w:top w:val="nil"/>
              <w:left w:val="single" w:sz="4" w:space="0" w:color="auto"/>
              <w:bottom w:val="nil"/>
              <w:right w:val="nil"/>
            </w:tcBorders>
          </w:tcPr>
          <w:p w14:paraId="30151071" w14:textId="77777777" w:rsidR="00C83488" w:rsidRPr="00950D8A" w:rsidRDefault="00C83488" w:rsidP="00525422">
            <w:pPr>
              <w:rPr>
                <w:rFonts w:eastAsia="Times New Roman" w:cs="Calibri"/>
                <w:color w:val="000000"/>
                <w:sz w:val="22"/>
                <w:szCs w:val="20"/>
                <w:lang w:eastAsia="en-GB"/>
              </w:rPr>
            </w:pPr>
          </w:p>
        </w:tc>
      </w:tr>
      <w:tr w:rsidR="00C83488" w:rsidRPr="00BC3958" w14:paraId="71FE8A3A" w14:textId="33248A81" w:rsidTr="006B4AD6">
        <w:trPr>
          <w:trHeight w:val="300"/>
        </w:trPr>
        <w:tc>
          <w:tcPr>
            <w:tcW w:w="3686" w:type="dxa"/>
            <w:tcBorders>
              <w:top w:val="nil"/>
              <w:left w:val="nil"/>
              <w:bottom w:val="nil"/>
              <w:right w:val="single" w:sz="4" w:space="0" w:color="auto"/>
            </w:tcBorders>
            <w:shd w:val="clear" w:color="auto" w:fill="auto"/>
            <w:noWrap/>
            <w:vAlign w:val="bottom"/>
            <w:hideMark/>
          </w:tcPr>
          <w:p w14:paraId="546D3612" w14:textId="77777777" w:rsidR="00C83488" w:rsidRPr="00950D8A" w:rsidRDefault="00C83488" w:rsidP="00525422">
            <w:pPr>
              <w:rPr>
                <w:rFonts w:eastAsia="Times New Roman" w:cs="Calibri"/>
                <w:color w:val="000000"/>
                <w:sz w:val="22"/>
                <w:szCs w:val="20"/>
                <w:lang w:eastAsia="en-GB"/>
              </w:rPr>
            </w:pPr>
            <w:r w:rsidRPr="00950D8A">
              <w:rPr>
                <w:rFonts w:eastAsia="Times New Roman" w:cs="Calibri"/>
                <w:color w:val="000000"/>
                <w:sz w:val="22"/>
                <w:szCs w:val="20"/>
                <w:lang w:eastAsia="en-GB"/>
              </w:rPr>
              <w:t>Structural engineering</w:t>
            </w:r>
          </w:p>
        </w:tc>
        <w:tc>
          <w:tcPr>
            <w:tcW w:w="2977" w:type="dxa"/>
            <w:tcBorders>
              <w:top w:val="nil"/>
              <w:left w:val="nil"/>
              <w:bottom w:val="nil"/>
              <w:right w:val="single" w:sz="4" w:space="0" w:color="auto"/>
            </w:tcBorders>
            <w:shd w:val="clear" w:color="auto" w:fill="auto"/>
            <w:noWrap/>
            <w:vAlign w:val="bottom"/>
            <w:hideMark/>
          </w:tcPr>
          <w:p w14:paraId="7CC022A8" w14:textId="77777777" w:rsidR="00C83488" w:rsidRPr="00950D8A" w:rsidRDefault="00C83488" w:rsidP="00525422">
            <w:pPr>
              <w:rPr>
                <w:rFonts w:eastAsia="Times New Roman" w:cs="Calibri"/>
                <w:color w:val="000000"/>
                <w:sz w:val="22"/>
                <w:szCs w:val="20"/>
                <w:lang w:eastAsia="en-GB"/>
              </w:rPr>
            </w:pPr>
          </w:p>
        </w:tc>
        <w:tc>
          <w:tcPr>
            <w:tcW w:w="2357" w:type="dxa"/>
            <w:tcBorders>
              <w:top w:val="nil"/>
              <w:left w:val="single" w:sz="4" w:space="0" w:color="auto"/>
              <w:bottom w:val="nil"/>
              <w:right w:val="nil"/>
            </w:tcBorders>
          </w:tcPr>
          <w:p w14:paraId="1BE24D55" w14:textId="77777777" w:rsidR="00C83488" w:rsidRPr="00950D8A" w:rsidRDefault="00C83488" w:rsidP="00525422">
            <w:pPr>
              <w:rPr>
                <w:rFonts w:eastAsia="Times New Roman" w:cs="Calibri"/>
                <w:color w:val="000000"/>
                <w:sz w:val="22"/>
                <w:szCs w:val="20"/>
                <w:lang w:eastAsia="en-GB"/>
              </w:rPr>
            </w:pPr>
          </w:p>
        </w:tc>
      </w:tr>
      <w:tr w:rsidR="00C83488" w:rsidRPr="00BC3958" w14:paraId="227691A5" w14:textId="53BD80E2" w:rsidTr="006B4AD6">
        <w:trPr>
          <w:trHeight w:val="300"/>
        </w:trPr>
        <w:tc>
          <w:tcPr>
            <w:tcW w:w="3686" w:type="dxa"/>
            <w:tcBorders>
              <w:top w:val="nil"/>
              <w:left w:val="nil"/>
              <w:bottom w:val="nil"/>
              <w:right w:val="single" w:sz="4" w:space="0" w:color="auto"/>
            </w:tcBorders>
            <w:shd w:val="clear" w:color="auto" w:fill="auto"/>
            <w:noWrap/>
            <w:vAlign w:val="bottom"/>
            <w:hideMark/>
          </w:tcPr>
          <w:p w14:paraId="4D09D55F" w14:textId="77777777" w:rsidR="00C83488" w:rsidRPr="00950D8A" w:rsidRDefault="00C83488" w:rsidP="00525422">
            <w:pPr>
              <w:rPr>
                <w:rFonts w:eastAsia="Times New Roman" w:cs="Calibri"/>
                <w:color w:val="000000"/>
                <w:sz w:val="22"/>
                <w:szCs w:val="20"/>
                <w:lang w:eastAsia="en-GB"/>
              </w:rPr>
            </w:pPr>
            <w:r w:rsidRPr="00950D8A">
              <w:rPr>
                <w:rFonts w:eastAsia="Times New Roman" w:cs="Calibri"/>
                <w:color w:val="000000"/>
                <w:sz w:val="22"/>
                <w:szCs w:val="20"/>
                <w:lang w:eastAsia="en-GB"/>
              </w:rPr>
              <w:t>Humanitarian logistics</w:t>
            </w:r>
          </w:p>
        </w:tc>
        <w:tc>
          <w:tcPr>
            <w:tcW w:w="2977" w:type="dxa"/>
            <w:tcBorders>
              <w:top w:val="nil"/>
              <w:left w:val="nil"/>
              <w:bottom w:val="nil"/>
              <w:right w:val="single" w:sz="4" w:space="0" w:color="auto"/>
            </w:tcBorders>
            <w:shd w:val="clear" w:color="auto" w:fill="auto"/>
            <w:noWrap/>
            <w:vAlign w:val="bottom"/>
            <w:hideMark/>
          </w:tcPr>
          <w:p w14:paraId="0D4B728F" w14:textId="77777777" w:rsidR="00C83488" w:rsidRPr="00950D8A" w:rsidRDefault="00C83488" w:rsidP="00525422">
            <w:pPr>
              <w:rPr>
                <w:rFonts w:eastAsia="Times New Roman" w:cs="Calibri"/>
                <w:color w:val="000000"/>
                <w:sz w:val="22"/>
                <w:szCs w:val="20"/>
                <w:lang w:eastAsia="en-GB"/>
              </w:rPr>
            </w:pPr>
          </w:p>
        </w:tc>
        <w:tc>
          <w:tcPr>
            <w:tcW w:w="2357" w:type="dxa"/>
            <w:tcBorders>
              <w:top w:val="nil"/>
              <w:left w:val="single" w:sz="4" w:space="0" w:color="auto"/>
              <w:bottom w:val="nil"/>
              <w:right w:val="nil"/>
            </w:tcBorders>
          </w:tcPr>
          <w:p w14:paraId="28063120" w14:textId="77777777" w:rsidR="00C83488" w:rsidRPr="00950D8A" w:rsidRDefault="00C83488" w:rsidP="00525422">
            <w:pPr>
              <w:rPr>
                <w:rFonts w:eastAsia="Times New Roman" w:cs="Calibri"/>
                <w:color w:val="000000"/>
                <w:sz w:val="22"/>
                <w:szCs w:val="20"/>
                <w:lang w:eastAsia="en-GB"/>
              </w:rPr>
            </w:pPr>
          </w:p>
        </w:tc>
      </w:tr>
    </w:tbl>
    <w:p w14:paraId="3B3500CF" w14:textId="6899750B" w:rsidR="00DE36A2" w:rsidRPr="00AC7204" w:rsidRDefault="00AC7204" w:rsidP="00525422">
      <w:r>
        <w:t xml:space="preserve"> </w:t>
      </w:r>
    </w:p>
    <w:p w14:paraId="6BFDC431" w14:textId="5D315D98" w:rsidR="00D74090" w:rsidRDefault="004D180C" w:rsidP="00525422">
      <w:pPr>
        <w:pStyle w:val="Heading2"/>
      </w:pPr>
      <w:r>
        <w:t>3</w:t>
      </w:r>
      <w:r w:rsidR="00D74090">
        <w:t xml:space="preserve">.2 Analytic Hierarchy Process (AHP) </w:t>
      </w:r>
    </w:p>
    <w:p w14:paraId="5A86D896" w14:textId="2052250E" w:rsidR="00A23126" w:rsidRDefault="00A23126" w:rsidP="00525422"/>
    <w:p w14:paraId="06671A96" w14:textId="4845F06F" w:rsidR="002011B3" w:rsidRDefault="00750E47" w:rsidP="00525422">
      <w:r w:rsidRPr="00750E47">
        <w:t>The Analytic Hierarchy Process (AHP) is a structured technique for handling complex decision</w:t>
      </w:r>
      <w:r w:rsidR="00167F5A">
        <w:t>-making</w:t>
      </w:r>
      <w:r w:rsidRPr="00750E47">
        <w:t xml:space="preserve"> problems </w:t>
      </w:r>
      <w:r w:rsidR="00107964">
        <w:t xml:space="preserve"> which was </w:t>
      </w:r>
      <w:r w:rsidRPr="00750E47">
        <w:t>developed by</w:t>
      </w:r>
      <w:r>
        <w:t xml:space="preserve"> </w:t>
      </w:r>
      <w:r w:rsidR="00BB29FE">
        <w:t xml:space="preserve">Thomas Saaty </w:t>
      </w:r>
      <w:r w:rsidR="00BB29FE">
        <w:fldChar w:fldCharType="begin"/>
      </w:r>
      <w:r w:rsidR="004D180C">
        <w:instrText xml:space="preserve"> ADDIN ZOTERO_ITEM CSL_CITATION {"citationID":"aqkn5Ss9","properties":{"formattedCitation":"(1987, 1988)","plainCitation":"(1987, 1988)","noteIndex":0},"citationItems":[{"id":5957,"uris":["http://zotero.org/users/5557903/items/P6C4EC62"],"uri":["http://zotero.org/users/5557903/items/P6C4EC62"],"itemData":{"id":5957,"type":"article-journal","title":"The analytic hierarchy process—what it is and how it is used","container-title":"Mathematical Modelling","page":"161-176","volume":"9","issue":"3","source":"ScienceDirect","abstract":"Here we introduce the Analytic Hierarchy Process as a method of measurement with ratio scales and illustrate it with two examples. We then give the axioms and some of the central theoretical underpinnings of the theory. Finally, we discuss some of the ideas relating to this process and its ramifications. In this paper we give special emphasis to departure from consistency and its measurement and to the use of absolute and relative measurement, providing examples and justification for rank preservation and reversal in relative measurement.","DOI":"10.1016/0270-0255(87)90473-8","ISSN":"0270-0255","journalAbbreviation":"Mathematical Modelling","author":[{"family":"Saaty","given":"R. W."}],"issued":{"date-parts":[["1987",1,1]]}},"suppress-author":true},{"id":5937,"uris":["http://zotero.org/users/5557903/items/ENFLPJ3A"],"uri":["http://zotero.org/users/5557903/items/ENFLPJ3A"],"itemData":{"id":5937,"type":"chapter","title":"What is the analytic hierarchy process?","container-title":"Mathematical models for decision support","publisher":"Springer","page":"109-121","author":[{"family":"Saaty","given":"Thomas L."}],"issued":{"date-parts":[["1988"]]}},"suppress-author":true}],"schema":"https://github.com/citation-style-language/schema/raw/master/csl-citation.json"} </w:instrText>
      </w:r>
      <w:r w:rsidR="00BB29FE">
        <w:fldChar w:fldCharType="separate"/>
      </w:r>
      <w:r w:rsidR="004D180C" w:rsidRPr="004D180C">
        <w:t>(1987</w:t>
      </w:r>
      <w:r w:rsidR="00D262DB">
        <w:t>;</w:t>
      </w:r>
      <w:r w:rsidR="004D180C" w:rsidRPr="004D180C">
        <w:t xml:space="preserve"> 1988)</w:t>
      </w:r>
      <w:r w:rsidR="00BB29FE">
        <w:fldChar w:fldCharType="end"/>
      </w:r>
      <w:r w:rsidR="00107964">
        <w:t xml:space="preserve"> and</w:t>
      </w:r>
      <w:r w:rsidR="003A17C5">
        <w:t xml:space="preserve"> has also been</w:t>
      </w:r>
      <w:r w:rsidR="00DC23EF">
        <w:t xml:space="preserve"> applied in </w:t>
      </w:r>
      <w:r w:rsidR="009D00CE">
        <w:t xml:space="preserve">conflict- and </w:t>
      </w:r>
      <w:r w:rsidR="008D6382">
        <w:t>disaster</w:t>
      </w:r>
      <w:r w:rsidR="009D00CE">
        <w:t xml:space="preserve">-related research </w:t>
      </w:r>
      <w:r w:rsidR="009D00CE">
        <w:fldChar w:fldCharType="begin"/>
      </w:r>
      <w:r w:rsidR="004D180C">
        <w:instrText xml:space="preserve"> ADDIN ZOTERO_ITEM CSL_CITATION {"citationID":"UQvBemtq","properties":{"formattedCitation":"(e.g. Saaty, 1990; Tu\\uc0\\u287{}ba Tur\\uc0\\u287{}ut et al., 2011)","plainCitation":"(e.g. Saaty, 1990; Tuğba Turğut et al., 2011)","noteIndex":0},"citationItems":[{"id":5960,"uris":["http://zotero.org/users/5557903/items/R78V9AUG"],"uri":["http://zotero.org/users/5557903/items/R78V9AUG"],"itemData":{"id":5960,"type":"article-journal","title":"The analytic hierarchy process in conflict management","container-title":"International Journal of Conflict Management","page":"47-68","volume":"1","issue":"1","author":[{"family":"Saaty","given":""}],"issued":{"date-parts":[["1990"]]}},"prefix":"e.g. "},{"id":5961,"uris":["http://zotero.org/users/5557903/items/556J7R4Q"],"uri":["http://zotero.org/users/5557903/items/556J7R4Q"],"itemData":{"id":5961,"type":"article-journal","title":"A fuzzy AHP based decision support system for disaster center location selection and a case study for Istanbul","container-title":"Disaster Prevention and Management: An International Journal","page":"499-520","volume":"20","issue":"5","author":[{"family":"Tuğba Turğut","given":"Banu"},{"family":"Taş","given":"Gamze"},{"family":"Herekoğlu","given":"Ahmet"},{"family":"Tozan","given":"Hakan"},{"family":"Vayvay","given":"Ozalp"}],"issued":{"date-parts":[["2011"]]}}}],"schema":"https://github.com/citation-style-language/schema/raw/master/csl-citation.json"} </w:instrText>
      </w:r>
      <w:r w:rsidR="009D00CE">
        <w:fldChar w:fldCharType="separate"/>
      </w:r>
      <w:r w:rsidR="004D180C" w:rsidRPr="00AA4129">
        <w:rPr>
          <w:rFonts w:cs="Times New Roman"/>
        </w:rPr>
        <w:t>(e.g. Saaty, 1990; Tuğba Turğut et al., 2011)</w:t>
      </w:r>
      <w:r w:rsidR="009D00CE">
        <w:fldChar w:fldCharType="end"/>
      </w:r>
      <w:r w:rsidR="009D00CE">
        <w:t xml:space="preserve">. </w:t>
      </w:r>
      <w:r w:rsidR="008D6382">
        <w:t>B</w:t>
      </w:r>
      <w:r w:rsidR="008D6382" w:rsidRPr="008D6382">
        <w:t xml:space="preserve">oth quantitative and qualitative factors are combined by using </w:t>
      </w:r>
      <w:r w:rsidR="00107964">
        <w:t xml:space="preserve">the </w:t>
      </w:r>
      <w:r w:rsidR="008D6382" w:rsidRPr="008D6382">
        <w:t>AHP in the decision-making process.</w:t>
      </w:r>
      <w:r w:rsidR="002912F9">
        <w:t xml:space="preserve"> AHP is a flexible and adaptable tool and it has therefore found several applications in the field of engineering and the built environment. For instance,</w:t>
      </w:r>
      <w:r w:rsidR="00BE6BED">
        <w:t xml:space="preserve"> </w:t>
      </w:r>
      <w:r w:rsidR="00F53F28">
        <w:t>it has been used</w:t>
      </w:r>
      <w:r w:rsidR="00BE6BED">
        <w:t xml:space="preserve"> </w:t>
      </w:r>
      <w:r w:rsidR="00F53F28">
        <w:t xml:space="preserve">to select the location of tsunami shelter </w:t>
      </w:r>
      <w:r w:rsidR="00BE6BED">
        <w:lastRenderedPageBreak/>
        <w:fldChar w:fldCharType="begin"/>
      </w:r>
      <w:r w:rsidR="004D180C">
        <w:instrText xml:space="preserve"> ADDIN ZOTERO_ITEM CSL_CITATION {"citationID":"pNeRloZw","properties":{"formattedCitation":"(Choi et al., 2012)","plainCitation":"(Choi et al., 2012)","noteIndex":0},"citationItems":[{"id":5962,"uris":["http://zotero.org/users/5557903/items/DIY2TE5Q"],"uri":["http://zotero.org/users/5557903/items/DIY2TE5Q"],"itemData":{"id":5962,"type":"article-journal","title":"Study on the selection of the tsunami shelter using AHP and GIS analysis","container-title":"Journal of the Korean Society of Surveying, Geodesy, Photogrammetry and Cartography","page":"503-509","volume":"30","issue":"6_1","author":[{"family":"Choi","given":"Jong-Ho"},{"family":"Kang","given":"In-Joon"},{"family":"King","given":"Sang-Seok"}],"issued":{"date-parts":[["2012"]]}}}],"schema":"https://github.com/citation-style-language/schema/raw/master/csl-citation.json"} </w:instrText>
      </w:r>
      <w:r w:rsidR="00BE6BED">
        <w:fldChar w:fldCharType="separate"/>
      </w:r>
      <w:r w:rsidR="004D180C" w:rsidRPr="004D180C">
        <w:t>(Choi et al., 2012)</w:t>
      </w:r>
      <w:r w:rsidR="00BE6BED">
        <w:fldChar w:fldCharType="end"/>
      </w:r>
      <w:r w:rsidR="004931B8" w:rsidRPr="004931B8">
        <w:t xml:space="preserve"> </w:t>
      </w:r>
      <w:r w:rsidR="004931B8">
        <w:t xml:space="preserve">as well as environmentally friendly design alternatives </w:t>
      </w:r>
      <w:r w:rsidR="004931B8">
        <w:fldChar w:fldCharType="begin"/>
      </w:r>
      <w:r w:rsidR="004D180C">
        <w:instrText xml:space="preserve"> ADDIN ZOTERO_ITEM CSL_CITATION {"citationID":"wPh3jPhS","properties":{"formattedCitation":"(Ng, 2016)","plainCitation":"(Ng, 2016)","noteIndex":0},"citationItems":[{"id":5935,"uris":["http://zotero.org/users/5557903/items/UZCU6MIF"],"uri":["http://zotero.org/users/5557903/items/UZCU6MIF"],"itemData":{"id":5935,"type":"article-journal","title":"An evidential reasoning-based AHP approach for the selection of environmentally-friendly designs","container-title":"Environmental Impact Assessment Review","page":"1-7","volume":"61","author":[{"family":"Ng","given":"C. Y."}],"issued":{"date-parts":[["2016"]]}}}],"schema":"https://github.com/citation-style-language/schema/raw/master/csl-citation.json"} </w:instrText>
      </w:r>
      <w:r w:rsidR="004931B8">
        <w:fldChar w:fldCharType="separate"/>
      </w:r>
      <w:r w:rsidR="004D180C" w:rsidRPr="004D180C">
        <w:t>(Ng, 2016)</w:t>
      </w:r>
      <w:r w:rsidR="004931B8">
        <w:fldChar w:fldCharType="end"/>
      </w:r>
      <w:r w:rsidR="00CB5DAD">
        <w:t>, or</w:t>
      </w:r>
      <w:r w:rsidR="00BE6BED">
        <w:t xml:space="preserve"> </w:t>
      </w:r>
      <w:r w:rsidR="007436AD">
        <w:t>to identify</w:t>
      </w:r>
      <w:r w:rsidR="00F53F28">
        <w:t xml:space="preserve"> suitable</w:t>
      </w:r>
      <w:r w:rsidR="00CB5DAD">
        <w:t xml:space="preserve"> construction methods for</w:t>
      </w:r>
      <w:r w:rsidR="00F53F28">
        <w:t xml:space="preserve"> bridge</w:t>
      </w:r>
      <w:r w:rsidR="00282A8D">
        <w:t>s</w:t>
      </w:r>
      <w:r w:rsidR="00F53F28">
        <w:t xml:space="preserve"> </w:t>
      </w:r>
      <w:r w:rsidR="00F53F28">
        <w:fldChar w:fldCharType="begin"/>
      </w:r>
      <w:r w:rsidR="004D180C">
        <w:instrText xml:space="preserve"> ADDIN ZOTERO_ITEM CSL_CITATION {"citationID":"zFRHABQa","properties":{"formattedCitation":"(Pan, 2008)","plainCitation":"(Pan, 2008)","noteIndex":0},"citationItems":[{"id":5936,"uris":["http://zotero.org/users/5557903/items/BZSAC6X4"],"uri":["http://zotero.org/users/5557903/items/BZSAC6X4"],"itemData":{"id":5936,"type":"article-journal","title":"Fuzzy AHP approach for selecting the suitable bridge construction method","container-title":"Automation in construction","page":"958-965","volume":"17","issue":"8","author":[{"family":"Pan","given":"Nang-Fei"}],"issued":{"date-parts":[["2008"]]}}}],"schema":"https://github.com/citation-style-language/schema/raw/master/csl-citation.json"} </w:instrText>
      </w:r>
      <w:r w:rsidR="00F53F28">
        <w:fldChar w:fldCharType="separate"/>
      </w:r>
      <w:r w:rsidR="004D180C" w:rsidRPr="004D180C">
        <w:t>(Pan, 2008)</w:t>
      </w:r>
      <w:r w:rsidR="00F53F28">
        <w:fldChar w:fldCharType="end"/>
      </w:r>
      <w:r w:rsidR="00CB5DAD">
        <w:t xml:space="preserve"> and </w:t>
      </w:r>
      <w:r w:rsidR="00282A8D">
        <w:t>building components</w:t>
      </w:r>
      <w:r w:rsidR="0058488E">
        <w:t xml:space="preserve"> </w:t>
      </w:r>
      <w:r w:rsidR="0058488E">
        <w:fldChar w:fldCharType="begin"/>
      </w:r>
      <w:r w:rsidR="004D180C">
        <w:instrText xml:space="preserve"> ADDIN ZOTERO_ITEM CSL_CITATION {"citationID":"dW2aLwvB","properties":{"formattedCitation":"(Moghayedi and Windapo, 2018)","plainCitation":"(Moghayedi and Windapo, 2018)","noteIndex":0},"citationItems":[{"id":5931,"uris":["http://zotero.org/users/5557903/items/NCC855RU"],"uri":["http://zotero.org/users/5557903/items/NCC855RU"],"itemData":{"id":5931,"type":"article-journal","title":"Key Performance Criteria Influencing the Selection of Construction Methods Used for the Fabrication of Building Components in the Middle East","container-title":"Sustainable Construction and Building Materials","source":"www.intechopen.com","abstract":"There is a lack of an efficient systematic approach to the selection of appropriate construction methods for building projects. Not only various innovative methods are now available, but also established methods may often be adapted inappropriately, without recourse to the necessary scientific foundation of their efficiency. The result is that there is a low level of performance on building projects. This study examines how key performance criteria were used in the selection of construction methods on projects. The study employed an extant review of the literature, cross-section survey of construction managers of building projects and experts interview in the Middle East to identify and evaluate the influencing of the key performance criteria on selecting construction methods for building projects. It emerged from the Pearson Correlation Coefficient and Analytical Hierarchy Process analysis that key performance criteria consisting of time, quality, and cost have strong positive significant roles in the selection of construction methods used on building projects and that these selection criteria differed depending on the building components. The study concludes that the likelihood of a construction method being selected for use on projects in the Middle East depends on its ability to shorten the duration, improving the quality and reduce the cost of projects.","URL":"https://www.intechopen.com/online-first/key-performance-criteria-influencing-the-selection-of-construction-methods-used-for-the-fabrication-","DOI":"10.5772/intechopen.81673","language":"en","author":[{"family":"Moghayedi","given":"Alireza"},{"family":"Windapo","given":"Abimbola"}],"issued":{"date-parts":[["2018",11,26]]},"accessed":{"date-parts":[["2019",2,28]]}}}],"schema":"https://github.com/citation-style-language/schema/raw/master/csl-citation.json"} </w:instrText>
      </w:r>
      <w:r w:rsidR="0058488E">
        <w:fldChar w:fldCharType="separate"/>
      </w:r>
      <w:r w:rsidR="004D180C" w:rsidRPr="004D180C">
        <w:t>(Moghayedi and Windapo, 2018)</w:t>
      </w:r>
      <w:r w:rsidR="0058488E">
        <w:fldChar w:fldCharType="end"/>
      </w:r>
      <w:r w:rsidR="00282A8D">
        <w:t xml:space="preserve">. </w:t>
      </w:r>
      <w:r w:rsidR="002011B3">
        <w:t xml:space="preserve">The AHP </w:t>
      </w:r>
      <w:bookmarkStart w:id="1" w:name="_GoBack"/>
      <w:bookmarkEnd w:id="1"/>
      <w:r w:rsidR="002011B3">
        <w:t xml:space="preserve">can be divided into the following steps: </w:t>
      </w:r>
    </w:p>
    <w:p w14:paraId="48474B2D" w14:textId="77777777" w:rsidR="002011B3" w:rsidRDefault="002011B3" w:rsidP="00525422"/>
    <w:p w14:paraId="1D6DE494" w14:textId="66F8A783" w:rsidR="002011B3" w:rsidRPr="002011B3" w:rsidRDefault="002011B3" w:rsidP="00525422">
      <w:pPr>
        <w:pStyle w:val="ListParagraph"/>
        <w:numPr>
          <w:ilvl w:val="0"/>
          <w:numId w:val="20"/>
        </w:numPr>
      </w:pPr>
      <w:r w:rsidRPr="002011B3">
        <w:t>Structure the decision hierarchy</w:t>
      </w:r>
      <w:r w:rsidR="00107964">
        <w:t>,</w:t>
      </w:r>
      <w:r w:rsidRPr="002011B3">
        <w:t xml:space="preserve"> </w:t>
      </w:r>
      <w:r w:rsidR="00107964" w:rsidRPr="002011B3">
        <w:t>considering</w:t>
      </w:r>
      <w:r w:rsidRPr="002011B3">
        <w:t xml:space="preserve"> the goal of the study and determine</w:t>
      </w:r>
      <w:r w:rsidR="00AC5285">
        <w:t xml:space="preserve"> the criteria and sub-criteria</w:t>
      </w:r>
    </w:p>
    <w:p w14:paraId="0A643D1E" w14:textId="6C3F3650" w:rsidR="00A23126" w:rsidRDefault="00AC5285" w:rsidP="00525422">
      <w:pPr>
        <w:pStyle w:val="ListParagraph"/>
        <w:numPr>
          <w:ilvl w:val="0"/>
          <w:numId w:val="20"/>
        </w:numPr>
      </w:pPr>
      <w:r w:rsidRPr="00AC5285">
        <w:t xml:space="preserve">Establish a set of all judgments in the comparison matrix in which the set of elements is compared to itself </w:t>
      </w:r>
    </w:p>
    <w:p w14:paraId="11E977B8" w14:textId="50138037" w:rsidR="00AC5285" w:rsidRDefault="00367405" w:rsidP="00525422">
      <w:pPr>
        <w:pStyle w:val="ListParagraph"/>
        <w:numPr>
          <w:ilvl w:val="0"/>
          <w:numId w:val="20"/>
        </w:numPr>
      </w:pPr>
      <w:r w:rsidRPr="00367405">
        <w:t xml:space="preserve">Determine the relative importance of factors by calculating the corresponding </w:t>
      </w:r>
      <w:r>
        <w:t>e</w:t>
      </w:r>
      <w:r w:rsidRPr="00367405">
        <w:t>i</w:t>
      </w:r>
      <w:r>
        <w:t>genvectors to the maximum eigen</w:t>
      </w:r>
      <w:r w:rsidRPr="00367405">
        <w:t>values of comparison</w:t>
      </w:r>
    </w:p>
    <w:p w14:paraId="2F3B458D" w14:textId="172AA037" w:rsidR="00D76195" w:rsidRDefault="00367405" w:rsidP="00525422">
      <w:pPr>
        <w:pStyle w:val="ListParagraph"/>
        <w:numPr>
          <w:ilvl w:val="0"/>
          <w:numId w:val="20"/>
        </w:numPr>
      </w:pPr>
      <w:r w:rsidRPr="00367405">
        <w:t xml:space="preserve">Verify the consistency of judgments across the Consistency Index (CI) </w:t>
      </w:r>
      <w:r w:rsidR="001B0CFE">
        <w:t>and the Consistency Ratio (CR)</w:t>
      </w:r>
    </w:p>
    <w:p w14:paraId="02B1FB3E" w14:textId="4A2F9DB9" w:rsidR="00343D19" w:rsidRDefault="00343D19" w:rsidP="00343D19"/>
    <w:p w14:paraId="1FC2A4E4" w14:textId="16D81E84" w:rsidR="00343D19" w:rsidRDefault="00343D19" w:rsidP="00343D19">
      <w:r>
        <w:t xml:space="preserve">In our specific case, this meant creating a set including the dimensions and their factors presented in Table 1, which was compared to itself </w:t>
      </w:r>
      <w:r w:rsidRPr="00AC5285">
        <w:t>by using the fundamental scale of pair-wise comparison shown in Table</w:t>
      </w:r>
      <w:r>
        <w:t xml:space="preserve"> 3. </w:t>
      </w:r>
      <w:r w:rsidRPr="00AC5285">
        <w:t xml:space="preserve">The criteria on the same level of the hierarchy are compared to establish </w:t>
      </w:r>
      <w:r w:rsidR="00632D4D">
        <w:t xml:space="preserve">the </w:t>
      </w:r>
      <w:r w:rsidRPr="00AC5285">
        <w:t xml:space="preserve">relative importance compared to the criterion of the higher level. This process </w:t>
      </w:r>
      <w:r>
        <w:t>allows</w:t>
      </w:r>
      <w:r w:rsidRPr="00AC5285">
        <w:t xml:space="preserve"> values that weigh criteria </w:t>
      </w:r>
      <w:r w:rsidR="00107964">
        <w:t xml:space="preserve">to be obtained </w:t>
      </w:r>
      <w:r w:rsidRPr="00AC5285">
        <w:t xml:space="preserve">and </w:t>
      </w:r>
      <w:r w:rsidR="00107964">
        <w:t xml:space="preserve">to </w:t>
      </w:r>
      <w:r w:rsidRPr="00AC5285">
        <w:t>define a ranking of the alternatives.</w:t>
      </w:r>
      <w:r>
        <w:t xml:space="preserve"> For instance, within the social dimension, one sample comparison was ‘Kindly indicate the relative importance of familiarity to people to social status’. This was implemented in Excel to capture the quantitative nature of the method and a sample screenshot is given in Section 2 of the supplementary material. </w:t>
      </w:r>
    </w:p>
    <w:p w14:paraId="72D8E42A" w14:textId="48E2A6C7" w:rsidR="00D76195" w:rsidRDefault="00D76195" w:rsidP="00525422"/>
    <w:p w14:paraId="53593106" w14:textId="49E07C0A" w:rsidR="00251D8E" w:rsidRDefault="00251D8E" w:rsidP="00525422">
      <w:pPr>
        <w:pStyle w:val="Caption"/>
        <w:keepNext/>
      </w:pPr>
      <w:r>
        <w:t xml:space="preserve">Table </w:t>
      </w:r>
      <w:r w:rsidR="006C4073">
        <w:rPr>
          <w:noProof/>
        </w:rPr>
        <w:fldChar w:fldCharType="begin"/>
      </w:r>
      <w:r w:rsidR="006C4073">
        <w:rPr>
          <w:noProof/>
        </w:rPr>
        <w:instrText xml:space="preserve"> SEQ Table \* ARABIC </w:instrText>
      </w:r>
      <w:r w:rsidR="006C4073">
        <w:rPr>
          <w:noProof/>
        </w:rPr>
        <w:fldChar w:fldCharType="separate"/>
      </w:r>
      <w:r w:rsidR="00BA401B">
        <w:rPr>
          <w:noProof/>
        </w:rPr>
        <w:t>3</w:t>
      </w:r>
      <w:r w:rsidR="006C4073">
        <w:rPr>
          <w:noProof/>
        </w:rPr>
        <w:fldChar w:fldCharType="end"/>
      </w:r>
      <w:r>
        <w:t xml:space="preserve"> - Scale for pair-wise comparisons in AHP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263"/>
        <w:gridCol w:w="289"/>
      </w:tblGrid>
      <w:tr w:rsidR="00251D8E" w:rsidRPr="004D3FC1" w14:paraId="333CC2A5" w14:textId="77777777" w:rsidTr="00950D8A">
        <w:tc>
          <w:tcPr>
            <w:tcW w:w="2835" w:type="dxa"/>
            <w:tcBorders>
              <w:bottom w:val="single" w:sz="4" w:space="0" w:color="auto"/>
              <w:right w:val="single" w:sz="4" w:space="0" w:color="auto"/>
            </w:tcBorders>
          </w:tcPr>
          <w:p w14:paraId="0854C887" w14:textId="77777777" w:rsidR="00251D8E" w:rsidRPr="004D3FC1" w:rsidRDefault="00251D8E" w:rsidP="00525422">
            <w:pPr>
              <w:rPr>
                <w:rFonts w:eastAsia="Times New Roman" w:cs="Times New Roman"/>
                <w:b/>
                <w:sz w:val="22"/>
                <w:lang w:eastAsia="en-ZA"/>
              </w:rPr>
            </w:pPr>
            <w:r w:rsidRPr="004D3FC1">
              <w:rPr>
                <w:rFonts w:eastAsia="Times New Roman" w:cs="Times New Roman"/>
                <w:b/>
                <w:sz w:val="22"/>
                <w:lang w:eastAsia="en-ZA"/>
              </w:rPr>
              <w:t xml:space="preserve">Definition </w:t>
            </w:r>
          </w:p>
        </w:tc>
        <w:tc>
          <w:tcPr>
            <w:tcW w:w="2552" w:type="dxa"/>
            <w:gridSpan w:val="2"/>
            <w:tcBorders>
              <w:left w:val="single" w:sz="4" w:space="0" w:color="auto"/>
              <w:bottom w:val="single" w:sz="4" w:space="0" w:color="auto"/>
            </w:tcBorders>
          </w:tcPr>
          <w:p w14:paraId="379D93D2" w14:textId="77777777" w:rsidR="00251D8E" w:rsidRPr="004D3FC1" w:rsidRDefault="00251D8E" w:rsidP="00525422">
            <w:pPr>
              <w:rPr>
                <w:rFonts w:eastAsia="Times New Roman" w:cs="Times New Roman"/>
                <w:b/>
                <w:sz w:val="22"/>
                <w:lang w:eastAsia="en-ZA"/>
              </w:rPr>
            </w:pPr>
            <w:r w:rsidRPr="004D3FC1">
              <w:rPr>
                <w:rFonts w:eastAsia="Times New Roman" w:cs="Times New Roman"/>
                <w:b/>
                <w:sz w:val="22"/>
                <w:lang w:eastAsia="en-ZA"/>
              </w:rPr>
              <w:t>Relative importance</w:t>
            </w:r>
          </w:p>
        </w:tc>
      </w:tr>
      <w:tr w:rsidR="00251D8E" w:rsidRPr="004D3FC1" w14:paraId="0C0D6B00" w14:textId="77777777" w:rsidTr="00950D8A">
        <w:trPr>
          <w:gridAfter w:val="1"/>
          <w:wAfter w:w="289" w:type="dxa"/>
        </w:trPr>
        <w:tc>
          <w:tcPr>
            <w:tcW w:w="2835" w:type="dxa"/>
            <w:tcBorders>
              <w:top w:val="single" w:sz="4" w:space="0" w:color="auto"/>
              <w:right w:val="single" w:sz="4" w:space="0" w:color="auto"/>
            </w:tcBorders>
          </w:tcPr>
          <w:p w14:paraId="3D04083C" w14:textId="77777777" w:rsidR="00251D8E" w:rsidRPr="004D3FC1" w:rsidRDefault="00251D8E" w:rsidP="00525422">
            <w:pPr>
              <w:rPr>
                <w:rFonts w:eastAsia="Times New Roman" w:cs="Times New Roman"/>
                <w:sz w:val="22"/>
                <w:lang w:eastAsia="en-ZA"/>
              </w:rPr>
            </w:pPr>
            <w:r w:rsidRPr="004D3FC1">
              <w:rPr>
                <w:rFonts w:eastAsia="Times New Roman" w:cs="Times New Roman"/>
                <w:sz w:val="22"/>
                <w:lang w:eastAsia="en-ZA"/>
              </w:rPr>
              <w:t>Equal importance</w:t>
            </w:r>
          </w:p>
        </w:tc>
        <w:tc>
          <w:tcPr>
            <w:tcW w:w="2263" w:type="dxa"/>
            <w:tcBorders>
              <w:top w:val="single" w:sz="4" w:space="0" w:color="auto"/>
              <w:left w:val="single" w:sz="4" w:space="0" w:color="auto"/>
            </w:tcBorders>
          </w:tcPr>
          <w:p w14:paraId="5EBCCCE6" w14:textId="77777777" w:rsidR="00251D8E" w:rsidRPr="004D3FC1" w:rsidRDefault="00251D8E" w:rsidP="00525422">
            <w:pPr>
              <w:rPr>
                <w:rFonts w:eastAsia="Times New Roman" w:cs="Times New Roman"/>
                <w:sz w:val="22"/>
                <w:lang w:eastAsia="en-ZA"/>
              </w:rPr>
            </w:pPr>
            <w:r w:rsidRPr="004D3FC1">
              <w:rPr>
                <w:rFonts w:eastAsia="Times New Roman" w:cs="Times New Roman"/>
                <w:sz w:val="22"/>
                <w:lang w:eastAsia="en-ZA"/>
              </w:rPr>
              <w:t>1</w:t>
            </w:r>
          </w:p>
        </w:tc>
      </w:tr>
      <w:tr w:rsidR="00251D8E" w:rsidRPr="004D3FC1" w14:paraId="0C9C402A" w14:textId="77777777" w:rsidTr="00950D8A">
        <w:trPr>
          <w:gridAfter w:val="1"/>
          <w:wAfter w:w="289" w:type="dxa"/>
        </w:trPr>
        <w:tc>
          <w:tcPr>
            <w:tcW w:w="2835" w:type="dxa"/>
            <w:tcBorders>
              <w:right w:val="single" w:sz="4" w:space="0" w:color="auto"/>
            </w:tcBorders>
          </w:tcPr>
          <w:p w14:paraId="79CE9180" w14:textId="77777777" w:rsidR="00251D8E" w:rsidRPr="004D3FC1" w:rsidRDefault="00251D8E" w:rsidP="00525422">
            <w:pPr>
              <w:rPr>
                <w:rFonts w:eastAsia="Times New Roman" w:cs="Times New Roman"/>
                <w:sz w:val="22"/>
                <w:lang w:eastAsia="en-ZA"/>
              </w:rPr>
            </w:pPr>
            <w:r w:rsidRPr="004D3FC1">
              <w:rPr>
                <w:rFonts w:eastAsia="Times New Roman" w:cs="Times New Roman"/>
                <w:sz w:val="22"/>
                <w:lang w:eastAsia="en-ZA"/>
              </w:rPr>
              <w:t>Moderate importance</w:t>
            </w:r>
          </w:p>
        </w:tc>
        <w:tc>
          <w:tcPr>
            <w:tcW w:w="2263" w:type="dxa"/>
            <w:tcBorders>
              <w:left w:val="single" w:sz="4" w:space="0" w:color="auto"/>
            </w:tcBorders>
          </w:tcPr>
          <w:p w14:paraId="04B0C5AD" w14:textId="77777777" w:rsidR="00251D8E" w:rsidRPr="004D3FC1" w:rsidRDefault="00251D8E" w:rsidP="00525422">
            <w:pPr>
              <w:rPr>
                <w:rFonts w:eastAsia="Times New Roman" w:cs="Times New Roman"/>
                <w:sz w:val="22"/>
                <w:lang w:eastAsia="en-ZA"/>
              </w:rPr>
            </w:pPr>
            <w:r w:rsidRPr="004D3FC1">
              <w:rPr>
                <w:rFonts w:eastAsia="Times New Roman" w:cs="Times New Roman"/>
                <w:sz w:val="22"/>
                <w:lang w:eastAsia="en-ZA"/>
              </w:rPr>
              <w:t>3</w:t>
            </w:r>
          </w:p>
        </w:tc>
      </w:tr>
      <w:tr w:rsidR="00251D8E" w:rsidRPr="004D3FC1" w14:paraId="3432125F" w14:textId="77777777" w:rsidTr="00950D8A">
        <w:trPr>
          <w:gridAfter w:val="1"/>
          <w:wAfter w:w="289" w:type="dxa"/>
        </w:trPr>
        <w:tc>
          <w:tcPr>
            <w:tcW w:w="2835" w:type="dxa"/>
            <w:tcBorders>
              <w:right w:val="single" w:sz="4" w:space="0" w:color="auto"/>
            </w:tcBorders>
          </w:tcPr>
          <w:p w14:paraId="61563537" w14:textId="77777777" w:rsidR="00251D8E" w:rsidRPr="004D3FC1" w:rsidRDefault="00251D8E" w:rsidP="00525422">
            <w:pPr>
              <w:rPr>
                <w:rFonts w:eastAsia="Times New Roman" w:cs="Times New Roman"/>
                <w:sz w:val="22"/>
                <w:lang w:eastAsia="en-ZA"/>
              </w:rPr>
            </w:pPr>
            <w:r w:rsidRPr="004D3FC1">
              <w:rPr>
                <w:rFonts w:eastAsia="Times New Roman" w:cs="Times New Roman"/>
                <w:sz w:val="22"/>
                <w:lang w:eastAsia="en-ZA"/>
              </w:rPr>
              <w:t>Strong importance</w:t>
            </w:r>
          </w:p>
        </w:tc>
        <w:tc>
          <w:tcPr>
            <w:tcW w:w="2263" w:type="dxa"/>
            <w:tcBorders>
              <w:left w:val="single" w:sz="4" w:space="0" w:color="auto"/>
            </w:tcBorders>
          </w:tcPr>
          <w:p w14:paraId="43447465" w14:textId="77777777" w:rsidR="00251D8E" w:rsidRPr="004D3FC1" w:rsidRDefault="00251D8E" w:rsidP="00525422">
            <w:pPr>
              <w:rPr>
                <w:rFonts w:eastAsia="Times New Roman" w:cs="Times New Roman"/>
                <w:sz w:val="22"/>
                <w:lang w:eastAsia="en-ZA"/>
              </w:rPr>
            </w:pPr>
            <w:r w:rsidRPr="004D3FC1">
              <w:rPr>
                <w:rFonts w:eastAsia="Times New Roman" w:cs="Times New Roman"/>
                <w:sz w:val="22"/>
                <w:lang w:eastAsia="en-ZA"/>
              </w:rPr>
              <w:t>5</w:t>
            </w:r>
          </w:p>
        </w:tc>
      </w:tr>
      <w:tr w:rsidR="00251D8E" w:rsidRPr="004D3FC1" w14:paraId="4552E7EF" w14:textId="77777777" w:rsidTr="00950D8A">
        <w:trPr>
          <w:gridAfter w:val="1"/>
          <w:wAfter w:w="289" w:type="dxa"/>
        </w:trPr>
        <w:tc>
          <w:tcPr>
            <w:tcW w:w="2835" w:type="dxa"/>
            <w:tcBorders>
              <w:right w:val="single" w:sz="4" w:space="0" w:color="auto"/>
            </w:tcBorders>
          </w:tcPr>
          <w:p w14:paraId="7FF78B84" w14:textId="77777777" w:rsidR="00251D8E" w:rsidRPr="004D3FC1" w:rsidRDefault="00251D8E" w:rsidP="00525422">
            <w:pPr>
              <w:rPr>
                <w:rFonts w:eastAsia="Times New Roman" w:cs="Times New Roman"/>
                <w:sz w:val="22"/>
                <w:lang w:eastAsia="en-ZA"/>
              </w:rPr>
            </w:pPr>
            <w:r w:rsidRPr="004D3FC1">
              <w:rPr>
                <w:rFonts w:eastAsia="Times New Roman" w:cs="Times New Roman"/>
                <w:sz w:val="22"/>
                <w:lang w:eastAsia="en-ZA"/>
              </w:rPr>
              <w:t>Demonstrated importance</w:t>
            </w:r>
          </w:p>
        </w:tc>
        <w:tc>
          <w:tcPr>
            <w:tcW w:w="2263" w:type="dxa"/>
            <w:tcBorders>
              <w:left w:val="single" w:sz="4" w:space="0" w:color="auto"/>
            </w:tcBorders>
          </w:tcPr>
          <w:p w14:paraId="56B05252" w14:textId="77777777" w:rsidR="00251D8E" w:rsidRPr="004D3FC1" w:rsidRDefault="00251D8E" w:rsidP="00525422">
            <w:pPr>
              <w:rPr>
                <w:rFonts w:eastAsia="Times New Roman" w:cs="Times New Roman"/>
                <w:sz w:val="22"/>
                <w:lang w:eastAsia="en-ZA"/>
              </w:rPr>
            </w:pPr>
            <w:r w:rsidRPr="004D3FC1">
              <w:rPr>
                <w:rFonts w:eastAsia="Times New Roman" w:cs="Times New Roman"/>
                <w:sz w:val="22"/>
                <w:lang w:eastAsia="en-ZA"/>
              </w:rPr>
              <w:t>7</w:t>
            </w:r>
          </w:p>
        </w:tc>
      </w:tr>
      <w:tr w:rsidR="00251D8E" w:rsidRPr="004D3FC1" w14:paraId="677CD855" w14:textId="77777777" w:rsidTr="00950D8A">
        <w:trPr>
          <w:gridAfter w:val="1"/>
          <w:wAfter w:w="289" w:type="dxa"/>
        </w:trPr>
        <w:tc>
          <w:tcPr>
            <w:tcW w:w="2835" w:type="dxa"/>
            <w:tcBorders>
              <w:right w:val="single" w:sz="4" w:space="0" w:color="auto"/>
            </w:tcBorders>
          </w:tcPr>
          <w:p w14:paraId="189894FE" w14:textId="77777777" w:rsidR="00251D8E" w:rsidRPr="004D3FC1" w:rsidRDefault="00251D8E" w:rsidP="00525422">
            <w:pPr>
              <w:rPr>
                <w:rFonts w:eastAsia="Times New Roman" w:cs="Times New Roman"/>
                <w:sz w:val="22"/>
                <w:lang w:eastAsia="en-ZA"/>
              </w:rPr>
            </w:pPr>
            <w:r w:rsidRPr="004D3FC1">
              <w:rPr>
                <w:rFonts w:eastAsia="Times New Roman" w:cs="Times New Roman"/>
                <w:sz w:val="22"/>
                <w:lang w:eastAsia="en-ZA"/>
              </w:rPr>
              <w:t>Extreme importance</w:t>
            </w:r>
          </w:p>
        </w:tc>
        <w:tc>
          <w:tcPr>
            <w:tcW w:w="2263" w:type="dxa"/>
            <w:tcBorders>
              <w:left w:val="single" w:sz="4" w:space="0" w:color="auto"/>
            </w:tcBorders>
          </w:tcPr>
          <w:p w14:paraId="30988D98" w14:textId="77777777" w:rsidR="00251D8E" w:rsidRPr="004D3FC1" w:rsidRDefault="00251D8E" w:rsidP="00525422">
            <w:pPr>
              <w:rPr>
                <w:rFonts w:eastAsia="Times New Roman" w:cs="Times New Roman"/>
                <w:sz w:val="22"/>
                <w:lang w:eastAsia="en-ZA"/>
              </w:rPr>
            </w:pPr>
            <w:r w:rsidRPr="004D3FC1">
              <w:rPr>
                <w:rFonts w:eastAsia="Times New Roman" w:cs="Times New Roman"/>
                <w:sz w:val="22"/>
                <w:lang w:eastAsia="en-ZA"/>
              </w:rPr>
              <w:t>9</w:t>
            </w:r>
          </w:p>
        </w:tc>
      </w:tr>
      <w:tr w:rsidR="00251D8E" w:rsidRPr="004D3FC1" w14:paraId="087B013C" w14:textId="77777777" w:rsidTr="00950D8A">
        <w:trPr>
          <w:gridAfter w:val="1"/>
          <w:wAfter w:w="289" w:type="dxa"/>
        </w:trPr>
        <w:tc>
          <w:tcPr>
            <w:tcW w:w="2835" w:type="dxa"/>
            <w:tcBorders>
              <w:right w:val="single" w:sz="4" w:space="0" w:color="auto"/>
            </w:tcBorders>
          </w:tcPr>
          <w:p w14:paraId="3B842619" w14:textId="77777777" w:rsidR="00251D8E" w:rsidRPr="004D3FC1" w:rsidRDefault="00251D8E" w:rsidP="00525422">
            <w:pPr>
              <w:rPr>
                <w:rFonts w:eastAsia="Times New Roman" w:cs="Times New Roman"/>
                <w:sz w:val="22"/>
                <w:lang w:eastAsia="en-ZA"/>
              </w:rPr>
            </w:pPr>
            <w:r w:rsidRPr="004D3FC1">
              <w:rPr>
                <w:rFonts w:eastAsia="Times New Roman" w:cs="Times New Roman"/>
                <w:sz w:val="22"/>
                <w:lang w:eastAsia="en-ZA"/>
              </w:rPr>
              <w:t>Intermediate values</w:t>
            </w:r>
          </w:p>
        </w:tc>
        <w:tc>
          <w:tcPr>
            <w:tcW w:w="2263" w:type="dxa"/>
            <w:tcBorders>
              <w:left w:val="single" w:sz="4" w:space="0" w:color="auto"/>
            </w:tcBorders>
          </w:tcPr>
          <w:p w14:paraId="57B6522A" w14:textId="77777777" w:rsidR="00251D8E" w:rsidRPr="004D3FC1" w:rsidRDefault="00251D8E" w:rsidP="00525422">
            <w:pPr>
              <w:rPr>
                <w:rFonts w:eastAsia="Times New Roman" w:cs="Times New Roman"/>
                <w:sz w:val="22"/>
                <w:lang w:eastAsia="en-ZA"/>
              </w:rPr>
            </w:pPr>
            <w:r w:rsidRPr="004D3FC1">
              <w:rPr>
                <w:rFonts w:eastAsia="Times New Roman" w:cs="Times New Roman"/>
                <w:sz w:val="22"/>
                <w:lang w:eastAsia="en-ZA"/>
              </w:rPr>
              <w:t>2, 4, 6, 8</w:t>
            </w:r>
          </w:p>
        </w:tc>
      </w:tr>
    </w:tbl>
    <w:p w14:paraId="3A250BD1" w14:textId="77777777" w:rsidR="00D14B88" w:rsidRDefault="00D14B88" w:rsidP="00525422"/>
    <w:p w14:paraId="03569711" w14:textId="62D14C9E" w:rsidR="00367405" w:rsidRDefault="00D76195" w:rsidP="00525422">
      <w:r>
        <w:t xml:space="preserve">The Consistency Index (CI) is defined as: </w:t>
      </w:r>
    </w:p>
    <w:p w14:paraId="564219A1" w14:textId="1ADFCFD5" w:rsidR="001B0CFE" w:rsidRDefault="001B0CFE" w:rsidP="00525422"/>
    <w:p w14:paraId="1734D155" w14:textId="6ED07B84" w:rsidR="001B0CFE" w:rsidRDefault="001B0CFE" w:rsidP="00525422">
      <w:pPr>
        <w:ind w:left="1440" w:firstLine="720"/>
        <w:jc w:val="center"/>
        <w:rPr>
          <w:szCs w:val="28"/>
          <w:lang w:eastAsia="en-ZA"/>
        </w:rPr>
      </w:pPr>
      <m:oMath>
        <m:r>
          <w:rPr>
            <w:rFonts w:ascii="Cambria Math" w:eastAsia="Times New Roman" w:hAnsi="Cambria Math" w:cs="Times New Roman"/>
            <w:sz w:val="28"/>
            <w:szCs w:val="28"/>
            <w:lang w:eastAsia="en-ZA"/>
          </w:rPr>
          <m:t>CI=</m:t>
        </m:r>
        <m:f>
          <m:fPr>
            <m:ctrlPr>
              <w:rPr>
                <w:rFonts w:ascii="Cambria Math" w:eastAsia="Times New Roman" w:hAnsi="Cambria Math" w:cs="Times New Roman"/>
                <w:i/>
                <w:sz w:val="28"/>
                <w:szCs w:val="28"/>
                <w:lang w:eastAsia="en-ZA"/>
              </w:rPr>
            </m:ctrlPr>
          </m:fPr>
          <m:num>
            <m:sSub>
              <m:sSubPr>
                <m:ctrlPr>
                  <w:rPr>
                    <w:rFonts w:ascii="Cambria Math" w:eastAsia="Times New Roman" w:hAnsi="Cambria Math" w:cs="Times New Roman"/>
                    <w:i/>
                    <w:sz w:val="28"/>
                    <w:szCs w:val="28"/>
                    <w:lang w:eastAsia="en-ZA"/>
                  </w:rPr>
                </m:ctrlPr>
              </m:sSubPr>
              <m:e>
                <m:r>
                  <w:rPr>
                    <w:rFonts w:ascii="Cambria Math" w:eastAsia="Times New Roman" w:hAnsi="Cambria Math" w:cs="Times New Roman"/>
                    <w:sz w:val="28"/>
                    <w:szCs w:val="28"/>
                    <w:lang w:eastAsia="en-ZA"/>
                  </w:rPr>
                  <m:t>λ</m:t>
                </m:r>
              </m:e>
              <m:sub>
                <m:r>
                  <w:rPr>
                    <w:rFonts w:ascii="Cambria Math" w:eastAsia="Times New Roman" w:hAnsi="Cambria Math" w:cs="Times New Roman"/>
                    <w:sz w:val="28"/>
                    <w:szCs w:val="28"/>
                    <w:lang w:eastAsia="en-ZA"/>
                  </w:rPr>
                  <m:t>max</m:t>
                </m:r>
              </m:sub>
            </m:sSub>
            <m:r>
              <w:rPr>
                <w:rFonts w:ascii="Cambria Math" w:eastAsia="Times New Roman" w:hAnsi="Cambria Math" w:cs="Times New Roman"/>
                <w:sz w:val="28"/>
                <w:szCs w:val="28"/>
                <w:lang w:eastAsia="en-ZA"/>
              </w:rPr>
              <m:t>-n</m:t>
            </m:r>
          </m:num>
          <m:den>
            <m:r>
              <w:rPr>
                <w:rFonts w:ascii="Cambria Math" w:eastAsia="Times New Roman" w:hAnsi="Cambria Math" w:cs="Times New Roman"/>
                <w:sz w:val="28"/>
                <w:szCs w:val="28"/>
                <w:lang w:eastAsia="en-ZA"/>
              </w:rPr>
              <m:t>n-1</m:t>
            </m:r>
          </m:den>
        </m:f>
      </m:oMath>
      <w:r w:rsidRPr="001B0CFE">
        <w:rPr>
          <w:sz w:val="28"/>
          <w:szCs w:val="28"/>
          <w:lang w:eastAsia="en-ZA"/>
        </w:rPr>
        <w:tab/>
      </w:r>
      <w:r w:rsidRPr="001B0CFE">
        <w:rPr>
          <w:sz w:val="28"/>
          <w:szCs w:val="28"/>
          <w:lang w:eastAsia="en-ZA"/>
        </w:rPr>
        <w:tab/>
      </w:r>
      <w:r>
        <w:rPr>
          <w:sz w:val="28"/>
          <w:szCs w:val="28"/>
          <w:lang w:eastAsia="en-ZA"/>
        </w:rPr>
        <w:tab/>
      </w:r>
      <w:r>
        <w:rPr>
          <w:sz w:val="28"/>
          <w:szCs w:val="28"/>
          <w:lang w:eastAsia="en-ZA"/>
        </w:rPr>
        <w:tab/>
      </w:r>
      <w:r>
        <w:rPr>
          <w:sz w:val="28"/>
          <w:szCs w:val="28"/>
          <w:lang w:eastAsia="en-ZA"/>
        </w:rPr>
        <w:tab/>
      </w:r>
      <w:r w:rsidRPr="001B0CFE">
        <w:rPr>
          <w:szCs w:val="28"/>
          <w:lang w:eastAsia="en-ZA"/>
        </w:rPr>
        <w:t>(Eq. 1)</w:t>
      </w:r>
    </w:p>
    <w:p w14:paraId="4F1F5909" w14:textId="55957EBF" w:rsidR="00AD3A06" w:rsidRDefault="00AD3A06" w:rsidP="00525422">
      <w:pPr>
        <w:ind w:left="1440" w:firstLine="720"/>
        <w:jc w:val="center"/>
        <w:rPr>
          <w:sz w:val="28"/>
          <w:szCs w:val="28"/>
        </w:rPr>
      </w:pPr>
    </w:p>
    <w:p w14:paraId="632C376E" w14:textId="7C175968" w:rsidR="00AD3A06" w:rsidRDefault="003E2641" w:rsidP="00525422">
      <w:pPr>
        <w:rPr>
          <w:szCs w:val="28"/>
        </w:rPr>
      </w:pPr>
      <w:r w:rsidRPr="00AD3A06">
        <w:rPr>
          <w:szCs w:val="28"/>
        </w:rPr>
        <w:t>where</w:t>
      </w:r>
      <w:r w:rsidR="006222C4">
        <w:rPr>
          <w:szCs w:val="28"/>
        </w:rPr>
        <w:t xml:space="preserve"> </w:t>
      </w:r>
      <m:oMath>
        <m:sSub>
          <m:sSubPr>
            <m:ctrlPr>
              <w:rPr>
                <w:rFonts w:ascii="Cambria Math" w:hAnsi="Cambria Math"/>
                <w:i/>
                <w:szCs w:val="28"/>
              </w:rPr>
            </m:ctrlPr>
          </m:sSubPr>
          <m:e>
            <m:r>
              <w:rPr>
                <w:rFonts w:ascii="Cambria Math" w:hAnsi="Cambria Math"/>
                <w:szCs w:val="28"/>
              </w:rPr>
              <m:t>λ</m:t>
            </m:r>
          </m:e>
          <m:sub>
            <m:r>
              <w:rPr>
                <w:rFonts w:ascii="Cambria Math" w:hAnsi="Cambria Math"/>
                <w:szCs w:val="28"/>
              </w:rPr>
              <m:t>max</m:t>
            </m:r>
          </m:sub>
        </m:sSub>
      </m:oMath>
      <w:r w:rsidR="00AD3A06" w:rsidRPr="00AD3A06">
        <w:rPr>
          <w:szCs w:val="28"/>
        </w:rPr>
        <w:t xml:space="preserve"> is the </w:t>
      </w:r>
      <w:r w:rsidR="006222C4">
        <w:rPr>
          <w:szCs w:val="28"/>
        </w:rPr>
        <w:t>e</w:t>
      </w:r>
      <w:r w:rsidR="00AD3A06" w:rsidRPr="00AD3A06">
        <w:rPr>
          <w:szCs w:val="28"/>
        </w:rPr>
        <w:t>igenvalue corresponding to the matrix of pair-wise comparisons and</w:t>
      </w:r>
      <w:r w:rsidR="00D76195">
        <w:rPr>
          <w:szCs w:val="28"/>
        </w:rPr>
        <w:t xml:space="preserve"> </w:t>
      </w:r>
      <m:oMath>
        <m:r>
          <w:rPr>
            <w:rFonts w:ascii="Cambria Math" w:hAnsi="Cambria Math"/>
            <w:szCs w:val="28"/>
          </w:rPr>
          <m:t>n</m:t>
        </m:r>
      </m:oMath>
      <w:r w:rsidR="00AD3A06" w:rsidRPr="00AD3A06">
        <w:rPr>
          <w:szCs w:val="28"/>
        </w:rPr>
        <w:t xml:space="preserve"> is the number of elements being compared.</w:t>
      </w:r>
      <w:r w:rsidR="00D76195">
        <w:rPr>
          <w:szCs w:val="28"/>
        </w:rPr>
        <w:t xml:space="preserve"> </w:t>
      </w:r>
      <w:r w:rsidR="008A0907">
        <w:rPr>
          <w:szCs w:val="28"/>
        </w:rPr>
        <w:t xml:space="preserve">The Consistency Ratio (CR) </w:t>
      </w:r>
      <w:r w:rsidR="00AC7675">
        <w:rPr>
          <w:szCs w:val="28"/>
        </w:rPr>
        <w:t xml:space="preserve">is </w:t>
      </w:r>
      <w:r w:rsidR="00B43A55">
        <w:rPr>
          <w:szCs w:val="28"/>
        </w:rPr>
        <w:t>calculated</w:t>
      </w:r>
      <w:r w:rsidR="008A0907">
        <w:rPr>
          <w:szCs w:val="28"/>
        </w:rPr>
        <w:t xml:space="preserve"> </w:t>
      </w:r>
      <w:r w:rsidR="00CC19F8">
        <w:rPr>
          <w:szCs w:val="28"/>
        </w:rPr>
        <w:t>using the following equation</w:t>
      </w:r>
      <w:r w:rsidR="008A0907">
        <w:rPr>
          <w:szCs w:val="28"/>
        </w:rPr>
        <w:t>:</w:t>
      </w:r>
    </w:p>
    <w:p w14:paraId="54ED73BA" w14:textId="59245AB4" w:rsidR="008A0907" w:rsidRDefault="008A0907" w:rsidP="00525422">
      <w:pPr>
        <w:rPr>
          <w:szCs w:val="28"/>
        </w:rPr>
      </w:pPr>
    </w:p>
    <w:p w14:paraId="6ED54301" w14:textId="47CD2380" w:rsidR="008A0907" w:rsidRDefault="008A0907" w:rsidP="00525422">
      <w:pPr>
        <w:ind w:left="1440" w:firstLine="720"/>
        <w:jc w:val="center"/>
        <w:rPr>
          <w:szCs w:val="28"/>
          <w:lang w:eastAsia="en-ZA"/>
        </w:rPr>
      </w:pPr>
      <m:oMath>
        <m:r>
          <w:rPr>
            <w:rFonts w:ascii="Cambria Math" w:eastAsia="Times New Roman" w:hAnsi="Cambria Math" w:cs="Times New Roman"/>
            <w:sz w:val="28"/>
            <w:szCs w:val="28"/>
            <w:lang w:eastAsia="en-ZA"/>
          </w:rPr>
          <m:t>CR=</m:t>
        </m:r>
        <m:f>
          <m:fPr>
            <m:ctrlPr>
              <w:rPr>
                <w:rFonts w:ascii="Cambria Math" w:eastAsia="Times New Roman" w:hAnsi="Cambria Math" w:cs="Times New Roman"/>
                <w:i/>
                <w:sz w:val="28"/>
                <w:szCs w:val="28"/>
                <w:lang w:eastAsia="en-ZA"/>
              </w:rPr>
            </m:ctrlPr>
          </m:fPr>
          <m:num>
            <m:r>
              <w:rPr>
                <w:rFonts w:ascii="Cambria Math" w:eastAsia="Times New Roman" w:hAnsi="Cambria Math" w:cs="Times New Roman"/>
                <w:sz w:val="28"/>
                <w:szCs w:val="28"/>
                <w:lang w:eastAsia="en-ZA"/>
              </w:rPr>
              <m:t>CI</m:t>
            </m:r>
          </m:num>
          <m:den>
            <m:r>
              <w:rPr>
                <w:rFonts w:ascii="Cambria Math" w:eastAsia="Times New Roman" w:hAnsi="Cambria Math" w:cs="Times New Roman"/>
                <w:sz w:val="28"/>
                <w:szCs w:val="28"/>
                <w:lang w:eastAsia="en-ZA"/>
              </w:rPr>
              <m:t>RCI</m:t>
            </m:r>
          </m:den>
        </m:f>
      </m:oMath>
      <w:r w:rsidRPr="001B0CFE">
        <w:rPr>
          <w:sz w:val="28"/>
          <w:szCs w:val="28"/>
          <w:lang w:eastAsia="en-ZA"/>
        </w:rPr>
        <w:tab/>
      </w:r>
      <w:r w:rsidRPr="001B0CFE">
        <w:rPr>
          <w:sz w:val="28"/>
          <w:szCs w:val="28"/>
          <w:lang w:eastAsia="en-ZA"/>
        </w:rPr>
        <w:tab/>
      </w:r>
      <w:r>
        <w:rPr>
          <w:sz w:val="28"/>
          <w:szCs w:val="28"/>
          <w:lang w:eastAsia="en-ZA"/>
        </w:rPr>
        <w:tab/>
      </w:r>
      <w:r>
        <w:rPr>
          <w:sz w:val="28"/>
          <w:szCs w:val="28"/>
          <w:lang w:eastAsia="en-ZA"/>
        </w:rPr>
        <w:tab/>
      </w:r>
      <w:r>
        <w:rPr>
          <w:sz w:val="28"/>
          <w:szCs w:val="28"/>
          <w:lang w:eastAsia="en-ZA"/>
        </w:rPr>
        <w:tab/>
      </w:r>
      <w:r w:rsidRPr="001B0CFE">
        <w:rPr>
          <w:szCs w:val="28"/>
          <w:lang w:eastAsia="en-ZA"/>
        </w:rPr>
        <w:t xml:space="preserve">(Eq. </w:t>
      </w:r>
      <w:r>
        <w:rPr>
          <w:szCs w:val="28"/>
          <w:lang w:eastAsia="en-ZA"/>
        </w:rPr>
        <w:t>2</w:t>
      </w:r>
      <w:r w:rsidRPr="001B0CFE">
        <w:rPr>
          <w:szCs w:val="28"/>
          <w:lang w:eastAsia="en-ZA"/>
        </w:rPr>
        <w:t>)</w:t>
      </w:r>
    </w:p>
    <w:p w14:paraId="7C187D58" w14:textId="77777777" w:rsidR="008A0907" w:rsidRPr="00AD3A06" w:rsidRDefault="008A0907" w:rsidP="00525422">
      <w:pPr>
        <w:rPr>
          <w:szCs w:val="28"/>
        </w:rPr>
      </w:pPr>
    </w:p>
    <w:p w14:paraId="273FCC58" w14:textId="44037415" w:rsidR="00A23126" w:rsidRPr="00E84B16" w:rsidRDefault="00D14B88" w:rsidP="00525422">
      <w:r>
        <w:t>where RCI is a random consistency index related to the number of criteria (</w:t>
      </w:r>
      <m:oMath>
        <m:r>
          <w:rPr>
            <w:rFonts w:ascii="Cambria Math" w:hAnsi="Cambria Math"/>
          </w:rPr>
          <m:t>n</m:t>
        </m:r>
      </m:oMath>
      <w:r>
        <w:t xml:space="preserve">) considered, with values given in Table </w:t>
      </w:r>
      <w:r w:rsidR="0053227B">
        <w:t>4</w:t>
      </w:r>
      <w:r>
        <w:t xml:space="preserve">. </w:t>
      </w:r>
    </w:p>
    <w:p w14:paraId="28D12F96" w14:textId="201B2C73" w:rsidR="00C17A22" w:rsidRDefault="00C17A22" w:rsidP="00525422">
      <w:pPr>
        <w:rPr>
          <w:b/>
        </w:rPr>
      </w:pPr>
    </w:p>
    <w:p w14:paraId="4D84F691" w14:textId="77777777" w:rsidR="00E960E6" w:rsidRDefault="00E960E6" w:rsidP="00525422">
      <w:pPr>
        <w:rPr>
          <w:b/>
        </w:rPr>
      </w:pPr>
    </w:p>
    <w:p w14:paraId="17D6B24C" w14:textId="53892B69" w:rsidR="003A53F5" w:rsidRDefault="003A53F5" w:rsidP="00525422">
      <w:pPr>
        <w:pStyle w:val="Caption"/>
        <w:keepNext/>
      </w:pPr>
      <w:r>
        <w:lastRenderedPageBreak/>
        <w:t xml:space="preserve">Table </w:t>
      </w:r>
      <w:r w:rsidR="006C4073">
        <w:rPr>
          <w:noProof/>
        </w:rPr>
        <w:fldChar w:fldCharType="begin"/>
      </w:r>
      <w:r w:rsidR="006C4073">
        <w:rPr>
          <w:noProof/>
        </w:rPr>
        <w:instrText xml:space="preserve"> SEQ Table \* ARABIC </w:instrText>
      </w:r>
      <w:r w:rsidR="006C4073">
        <w:rPr>
          <w:noProof/>
        </w:rPr>
        <w:fldChar w:fldCharType="separate"/>
      </w:r>
      <w:r w:rsidR="00BA401B">
        <w:rPr>
          <w:noProof/>
        </w:rPr>
        <w:t>4</w:t>
      </w:r>
      <w:r w:rsidR="006C4073">
        <w:rPr>
          <w:noProof/>
        </w:rPr>
        <w:fldChar w:fldCharType="end"/>
      </w:r>
      <w:r>
        <w:t xml:space="preserve"> - RCI values</w:t>
      </w:r>
      <w:r w:rsidR="00177BC4">
        <w:t xml:space="preserve"> –adapted from Saaty </w:t>
      </w:r>
      <w:r w:rsidR="00177BC4" w:rsidRPr="00177BC4">
        <w:fldChar w:fldCharType="begin"/>
      </w:r>
      <w:r w:rsidR="00177BC4" w:rsidRPr="00177BC4">
        <w:instrText xml:space="preserve"> ADDIN ZOTERO_ITEM CSL_CITATION {"citationID":"MqLMVzTY","properties":{"formattedCitation":"(1987)","plainCitation":"(1987)","noteIndex":0},"citationItems":[{"id":5957,"uris":["http://zotero.org/users/5557903/items/P6C4EC62"],"uri":["http://zotero.org/users/5557903/items/P6C4EC62"],"itemData":{"id":5957,"type":"article-journal","title":"The analytic hierarchy process—what it is and how it is used","container-title":"Mathematical Modelling","page":"161-176","volume":"9","issue":"3","source":"ScienceDirect","abstract":"Here we introduce the Analytic Hierarchy Process as a method of measurement with ratio scales and illustrate it with two examples. We then give the axioms and some of the central theoretical underpinnings of the theory. Finally, we discuss some of the ideas relating to this process and its ramifications. In this paper we give special emphasis to departure from consistency and its measurement and to the use of absolute and relative measurement, providing examples and justification for rank preservation and reversal in relative measurement.","DOI":"10.1016/0270-0255(87)90473-8","ISSN":"0270-0255","journalAbbreviation":"Mathematical Modelling","author":[{"family":"Saaty","given":"R. W."}],"issued":{"date-parts":[["1987",1,1]]}},"suppress-author":true}],"schema":"https://github.com/citation-style-language/schema/raw/master/csl-citation.json"} </w:instrText>
      </w:r>
      <w:r w:rsidR="00177BC4" w:rsidRPr="00177BC4">
        <w:fldChar w:fldCharType="separate"/>
      </w:r>
      <w:r w:rsidR="00177BC4" w:rsidRPr="00177BC4">
        <w:t>(1987)</w:t>
      </w:r>
      <w:r w:rsidR="00177BC4" w:rsidRPr="00177BC4">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1276"/>
      </w:tblGrid>
      <w:tr w:rsidR="003A53F5" w:rsidRPr="00CC19F8" w14:paraId="14A9A848" w14:textId="77777777" w:rsidTr="0080651B">
        <w:tc>
          <w:tcPr>
            <w:tcW w:w="3397" w:type="dxa"/>
            <w:tcBorders>
              <w:bottom w:val="single" w:sz="4" w:space="0" w:color="auto"/>
              <w:right w:val="single" w:sz="4" w:space="0" w:color="auto"/>
            </w:tcBorders>
          </w:tcPr>
          <w:p w14:paraId="2FFFABFF" w14:textId="76F8070E" w:rsidR="003A53F5" w:rsidRPr="00950D8A" w:rsidRDefault="003A53F5" w:rsidP="00525422">
            <w:pPr>
              <w:rPr>
                <w:rFonts w:cs="Times New Roman"/>
                <w:b/>
                <w:sz w:val="22"/>
                <w:shd w:val="clear" w:color="auto" w:fill="FCFCFC"/>
              </w:rPr>
            </w:pPr>
            <w:r w:rsidRPr="00950D8A">
              <w:rPr>
                <w:rFonts w:cs="Times New Roman"/>
                <w:b/>
                <w:sz w:val="22"/>
                <w:shd w:val="clear" w:color="auto" w:fill="FCFCFC"/>
              </w:rPr>
              <w:t>Number of criteria (</w:t>
            </w:r>
            <m:oMath>
              <m:r>
                <m:rPr>
                  <m:sty m:val="bi"/>
                </m:rPr>
                <w:rPr>
                  <w:rFonts w:ascii="Cambria Math" w:hAnsi="Cambria Math" w:cs="Times New Roman"/>
                  <w:sz w:val="22"/>
                  <w:shd w:val="clear" w:color="auto" w:fill="FCFCFC"/>
                </w:rPr>
                <m:t>n</m:t>
              </m:r>
            </m:oMath>
            <w:r w:rsidRPr="00950D8A">
              <w:rPr>
                <w:rFonts w:cs="Times New Roman"/>
                <w:b/>
                <w:sz w:val="22"/>
                <w:shd w:val="clear" w:color="auto" w:fill="FCFCFC"/>
              </w:rPr>
              <w:t>)</w:t>
            </w:r>
          </w:p>
        </w:tc>
        <w:tc>
          <w:tcPr>
            <w:tcW w:w="1276" w:type="dxa"/>
            <w:tcBorders>
              <w:left w:val="single" w:sz="4" w:space="0" w:color="auto"/>
              <w:bottom w:val="single" w:sz="4" w:space="0" w:color="auto"/>
            </w:tcBorders>
          </w:tcPr>
          <w:p w14:paraId="7E761FAA" w14:textId="64CA5D3F" w:rsidR="003A53F5" w:rsidRPr="00950D8A" w:rsidRDefault="003A53F5" w:rsidP="00525422">
            <w:pPr>
              <w:rPr>
                <w:rFonts w:cs="Times New Roman"/>
                <w:b/>
                <w:sz w:val="22"/>
                <w:shd w:val="clear" w:color="auto" w:fill="FCFCFC"/>
              </w:rPr>
            </w:pPr>
            <w:r w:rsidRPr="00950D8A">
              <w:rPr>
                <w:rFonts w:cs="Times New Roman"/>
                <w:b/>
                <w:sz w:val="22"/>
                <w:shd w:val="clear" w:color="auto" w:fill="FCFCFC"/>
              </w:rPr>
              <w:t>RCI</w:t>
            </w:r>
          </w:p>
        </w:tc>
      </w:tr>
      <w:tr w:rsidR="003A53F5" w:rsidRPr="00CC19F8" w14:paraId="0D3B8D79" w14:textId="77777777" w:rsidTr="0080651B">
        <w:tc>
          <w:tcPr>
            <w:tcW w:w="3397" w:type="dxa"/>
            <w:tcBorders>
              <w:top w:val="single" w:sz="4" w:space="0" w:color="auto"/>
              <w:right w:val="single" w:sz="4" w:space="0" w:color="auto"/>
            </w:tcBorders>
          </w:tcPr>
          <w:p w14:paraId="7E9CC32F" w14:textId="77777777" w:rsidR="003A53F5" w:rsidRPr="00950D8A" w:rsidRDefault="003A53F5" w:rsidP="00525422">
            <w:pPr>
              <w:rPr>
                <w:rFonts w:cs="Times New Roman"/>
                <w:sz w:val="22"/>
                <w:shd w:val="clear" w:color="auto" w:fill="FCFCFC"/>
              </w:rPr>
            </w:pPr>
            <w:r w:rsidRPr="00950D8A">
              <w:rPr>
                <w:rFonts w:cs="Times New Roman"/>
                <w:sz w:val="22"/>
                <w:shd w:val="clear" w:color="auto" w:fill="FCFCFC"/>
              </w:rPr>
              <w:t>1,2</w:t>
            </w:r>
          </w:p>
        </w:tc>
        <w:tc>
          <w:tcPr>
            <w:tcW w:w="1276" w:type="dxa"/>
            <w:tcBorders>
              <w:top w:val="single" w:sz="4" w:space="0" w:color="auto"/>
              <w:left w:val="single" w:sz="4" w:space="0" w:color="auto"/>
            </w:tcBorders>
          </w:tcPr>
          <w:p w14:paraId="5EF8E379" w14:textId="77777777" w:rsidR="003A53F5" w:rsidRPr="00950D8A" w:rsidRDefault="003A53F5" w:rsidP="00525422">
            <w:pPr>
              <w:rPr>
                <w:rFonts w:cs="Times New Roman"/>
                <w:sz w:val="22"/>
                <w:shd w:val="clear" w:color="auto" w:fill="FCFCFC"/>
              </w:rPr>
            </w:pPr>
            <w:r w:rsidRPr="00950D8A">
              <w:rPr>
                <w:rFonts w:cs="Times New Roman"/>
                <w:sz w:val="22"/>
                <w:shd w:val="clear" w:color="auto" w:fill="FCFCFC"/>
              </w:rPr>
              <w:t>0.00</w:t>
            </w:r>
          </w:p>
        </w:tc>
      </w:tr>
      <w:tr w:rsidR="003A53F5" w:rsidRPr="00CC19F8" w14:paraId="4E4961C5" w14:textId="77777777" w:rsidTr="0080651B">
        <w:tc>
          <w:tcPr>
            <w:tcW w:w="3397" w:type="dxa"/>
            <w:tcBorders>
              <w:right w:val="single" w:sz="4" w:space="0" w:color="auto"/>
            </w:tcBorders>
          </w:tcPr>
          <w:p w14:paraId="40AF1FBE" w14:textId="77777777" w:rsidR="003A53F5" w:rsidRPr="00950D8A" w:rsidRDefault="003A53F5" w:rsidP="00525422">
            <w:pPr>
              <w:rPr>
                <w:rFonts w:cs="Times New Roman"/>
                <w:sz w:val="22"/>
                <w:shd w:val="clear" w:color="auto" w:fill="FCFCFC"/>
              </w:rPr>
            </w:pPr>
            <w:r w:rsidRPr="00950D8A">
              <w:rPr>
                <w:rFonts w:cs="Times New Roman"/>
                <w:sz w:val="22"/>
                <w:shd w:val="clear" w:color="auto" w:fill="FCFCFC"/>
              </w:rPr>
              <w:t>3</w:t>
            </w:r>
          </w:p>
        </w:tc>
        <w:tc>
          <w:tcPr>
            <w:tcW w:w="1276" w:type="dxa"/>
            <w:tcBorders>
              <w:left w:val="single" w:sz="4" w:space="0" w:color="auto"/>
            </w:tcBorders>
          </w:tcPr>
          <w:p w14:paraId="19618C20" w14:textId="77777777" w:rsidR="003A53F5" w:rsidRPr="00950D8A" w:rsidRDefault="003A53F5" w:rsidP="00525422">
            <w:pPr>
              <w:rPr>
                <w:rFonts w:cs="Times New Roman"/>
                <w:sz w:val="22"/>
                <w:shd w:val="clear" w:color="auto" w:fill="FCFCFC"/>
              </w:rPr>
            </w:pPr>
            <w:r w:rsidRPr="00950D8A">
              <w:rPr>
                <w:rFonts w:cs="Times New Roman"/>
                <w:sz w:val="22"/>
                <w:shd w:val="clear" w:color="auto" w:fill="FCFCFC"/>
              </w:rPr>
              <w:t>0.58</w:t>
            </w:r>
          </w:p>
        </w:tc>
      </w:tr>
      <w:tr w:rsidR="003A53F5" w:rsidRPr="00CC19F8" w14:paraId="20BE354E" w14:textId="77777777" w:rsidTr="0080651B">
        <w:tc>
          <w:tcPr>
            <w:tcW w:w="3397" w:type="dxa"/>
            <w:tcBorders>
              <w:right w:val="single" w:sz="4" w:space="0" w:color="auto"/>
            </w:tcBorders>
          </w:tcPr>
          <w:p w14:paraId="70389A9B" w14:textId="77777777" w:rsidR="003A53F5" w:rsidRPr="00950D8A" w:rsidRDefault="003A53F5" w:rsidP="00525422">
            <w:pPr>
              <w:rPr>
                <w:rFonts w:cs="Times New Roman"/>
                <w:sz w:val="22"/>
                <w:shd w:val="clear" w:color="auto" w:fill="FCFCFC"/>
              </w:rPr>
            </w:pPr>
            <w:r w:rsidRPr="00950D8A">
              <w:rPr>
                <w:rFonts w:cs="Times New Roman"/>
                <w:sz w:val="22"/>
                <w:shd w:val="clear" w:color="auto" w:fill="FCFCFC"/>
              </w:rPr>
              <w:t>4</w:t>
            </w:r>
          </w:p>
        </w:tc>
        <w:tc>
          <w:tcPr>
            <w:tcW w:w="1276" w:type="dxa"/>
            <w:tcBorders>
              <w:left w:val="single" w:sz="4" w:space="0" w:color="auto"/>
            </w:tcBorders>
          </w:tcPr>
          <w:p w14:paraId="4690168F" w14:textId="77777777" w:rsidR="003A53F5" w:rsidRPr="00950D8A" w:rsidRDefault="003A53F5" w:rsidP="00525422">
            <w:pPr>
              <w:rPr>
                <w:rFonts w:cs="Times New Roman"/>
                <w:sz w:val="22"/>
                <w:shd w:val="clear" w:color="auto" w:fill="FCFCFC"/>
              </w:rPr>
            </w:pPr>
            <w:r w:rsidRPr="00950D8A">
              <w:rPr>
                <w:rFonts w:cs="Times New Roman"/>
                <w:sz w:val="22"/>
                <w:shd w:val="clear" w:color="auto" w:fill="FCFCFC"/>
              </w:rPr>
              <w:t>0.90</w:t>
            </w:r>
          </w:p>
        </w:tc>
      </w:tr>
      <w:tr w:rsidR="003A53F5" w:rsidRPr="00CC19F8" w14:paraId="48537BF0" w14:textId="77777777" w:rsidTr="0080651B">
        <w:tc>
          <w:tcPr>
            <w:tcW w:w="3397" w:type="dxa"/>
            <w:tcBorders>
              <w:right w:val="single" w:sz="4" w:space="0" w:color="auto"/>
            </w:tcBorders>
          </w:tcPr>
          <w:p w14:paraId="3C0FC482" w14:textId="77777777" w:rsidR="003A53F5" w:rsidRPr="00950D8A" w:rsidRDefault="003A53F5" w:rsidP="00525422">
            <w:pPr>
              <w:rPr>
                <w:rFonts w:cs="Times New Roman"/>
                <w:sz w:val="22"/>
                <w:shd w:val="clear" w:color="auto" w:fill="FCFCFC"/>
              </w:rPr>
            </w:pPr>
            <w:r w:rsidRPr="00950D8A">
              <w:rPr>
                <w:rFonts w:cs="Times New Roman"/>
                <w:sz w:val="22"/>
                <w:shd w:val="clear" w:color="auto" w:fill="FCFCFC"/>
              </w:rPr>
              <w:t>5</w:t>
            </w:r>
          </w:p>
        </w:tc>
        <w:tc>
          <w:tcPr>
            <w:tcW w:w="1276" w:type="dxa"/>
            <w:tcBorders>
              <w:left w:val="single" w:sz="4" w:space="0" w:color="auto"/>
            </w:tcBorders>
          </w:tcPr>
          <w:p w14:paraId="43F27A88" w14:textId="77777777" w:rsidR="003A53F5" w:rsidRPr="00950D8A" w:rsidRDefault="003A53F5" w:rsidP="00525422">
            <w:pPr>
              <w:rPr>
                <w:rFonts w:cs="Times New Roman"/>
                <w:sz w:val="22"/>
                <w:shd w:val="clear" w:color="auto" w:fill="FCFCFC"/>
              </w:rPr>
            </w:pPr>
            <w:r w:rsidRPr="00950D8A">
              <w:rPr>
                <w:rFonts w:cs="Times New Roman"/>
                <w:sz w:val="22"/>
                <w:shd w:val="clear" w:color="auto" w:fill="FCFCFC"/>
              </w:rPr>
              <w:t>1.12</w:t>
            </w:r>
          </w:p>
        </w:tc>
      </w:tr>
      <w:tr w:rsidR="003A53F5" w:rsidRPr="00CC19F8" w14:paraId="6B38D6FD" w14:textId="77777777" w:rsidTr="0080651B">
        <w:tc>
          <w:tcPr>
            <w:tcW w:w="3397" w:type="dxa"/>
            <w:tcBorders>
              <w:right w:val="single" w:sz="4" w:space="0" w:color="auto"/>
            </w:tcBorders>
          </w:tcPr>
          <w:p w14:paraId="45C6796F" w14:textId="77777777" w:rsidR="003A53F5" w:rsidRPr="00950D8A" w:rsidRDefault="003A53F5" w:rsidP="00525422">
            <w:pPr>
              <w:rPr>
                <w:rFonts w:cs="Times New Roman"/>
                <w:sz w:val="22"/>
                <w:shd w:val="clear" w:color="auto" w:fill="FCFCFC"/>
              </w:rPr>
            </w:pPr>
            <w:r w:rsidRPr="00950D8A">
              <w:rPr>
                <w:rFonts w:cs="Times New Roman"/>
                <w:sz w:val="22"/>
                <w:shd w:val="clear" w:color="auto" w:fill="FCFCFC"/>
              </w:rPr>
              <w:t>6</w:t>
            </w:r>
          </w:p>
        </w:tc>
        <w:tc>
          <w:tcPr>
            <w:tcW w:w="1276" w:type="dxa"/>
            <w:tcBorders>
              <w:left w:val="single" w:sz="4" w:space="0" w:color="auto"/>
            </w:tcBorders>
          </w:tcPr>
          <w:p w14:paraId="6A2D6998" w14:textId="77777777" w:rsidR="003A53F5" w:rsidRPr="00950D8A" w:rsidRDefault="003A53F5" w:rsidP="00525422">
            <w:pPr>
              <w:rPr>
                <w:rFonts w:cs="Times New Roman"/>
                <w:sz w:val="22"/>
                <w:shd w:val="clear" w:color="auto" w:fill="FCFCFC"/>
              </w:rPr>
            </w:pPr>
            <w:r w:rsidRPr="00950D8A">
              <w:rPr>
                <w:rFonts w:cs="Times New Roman"/>
                <w:sz w:val="22"/>
                <w:shd w:val="clear" w:color="auto" w:fill="FCFCFC"/>
              </w:rPr>
              <w:t>1.24</w:t>
            </w:r>
          </w:p>
        </w:tc>
      </w:tr>
      <w:tr w:rsidR="003A53F5" w:rsidRPr="00CC19F8" w14:paraId="24C09FCC" w14:textId="77777777" w:rsidTr="0080651B">
        <w:tc>
          <w:tcPr>
            <w:tcW w:w="3397" w:type="dxa"/>
            <w:tcBorders>
              <w:right w:val="single" w:sz="4" w:space="0" w:color="auto"/>
            </w:tcBorders>
          </w:tcPr>
          <w:p w14:paraId="7E9CA1E4" w14:textId="77777777" w:rsidR="003A53F5" w:rsidRPr="00950D8A" w:rsidRDefault="003A53F5" w:rsidP="00525422">
            <w:pPr>
              <w:rPr>
                <w:rFonts w:cs="Times New Roman"/>
                <w:sz w:val="22"/>
                <w:shd w:val="clear" w:color="auto" w:fill="FCFCFC"/>
              </w:rPr>
            </w:pPr>
            <w:r w:rsidRPr="00950D8A">
              <w:rPr>
                <w:rFonts w:cs="Times New Roman"/>
                <w:sz w:val="22"/>
                <w:shd w:val="clear" w:color="auto" w:fill="FCFCFC"/>
              </w:rPr>
              <w:t>7</w:t>
            </w:r>
          </w:p>
        </w:tc>
        <w:tc>
          <w:tcPr>
            <w:tcW w:w="1276" w:type="dxa"/>
            <w:tcBorders>
              <w:left w:val="single" w:sz="4" w:space="0" w:color="auto"/>
            </w:tcBorders>
          </w:tcPr>
          <w:p w14:paraId="59FB9CF1" w14:textId="77777777" w:rsidR="003A53F5" w:rsidRPr="00950D8A" w:rsidRDefault="003A53F5" w:rsidP="00525422">
            <w:pPr>
              <w:rPr>
                <w:rFonts w:cs="Times New Roman"/>
                <w:sz w:val="22"/>
                <w:shd w:val="clear" w:color="auto" w:fill="FCFCFC"/>
              </w:rPr>
            </w:pPr>
            <w:r w:rsidRPr="00950D8A">
              <w:rPr>
                <w:rFonts w:cs="Times New Roman"/>
                <w:sz w:val="22"/>
                <w:shd w:val="clear" w:color="auto" w:fill="FCFCFC"/>
              </w:rPr>
              <w:t>1.32</w:t>
            </w:r>
          </w:p>
        </w:tc>
      </w:tr>
      <w:tr w:rsidR="003A53F5" w:rsidRPr="00CC19F8" w14:paraId="4AB382D2" w14:textId="77777777" w:rsidTr="0080651B">
        <w:tc>
          <w:tcPr>
            <w:tcW w:w="3397" w:type="dxa"/>
            <w:tcBorders>
              <w:right w:val="single" w:sz="4" w:space="0" w:color="auto"/>
            </w:tcBorders>
          </w:tcPr>
          <w:p w14:paraId="0CBF0B36" w14:textId="77777777" w:rsidR="003A53F5" w:rsidRPr="00950D8A" w:rsidRDefault="003A53F5" w:rsidP="00525422">
            <w:pPr>
              <w:rPr>
                <w:rFonts w:cs="Times New Roman"/>
                <w:sz w:val="22"/>
                <w:shd w:val="clear" w:color="auto" w:fill="FCFCFC"/>
              </w:rPr>
            </w:pPr>
            <w:r w:rsidRPr="00950D8A">
              <w:rPr>
                <w:rFonts w:cs="Times New Roman"/>
                <w:sz w:val="22"/>
                <w:shd w:val="clear" w:color="auto" w:fill="FCFCFC"/>
              </w:rPr>
              <w:t>8</w:t>
            </w:r>
          </w:p>
        </w:tc>
        <w:tc>
          <w:tcPr>
            <w:tcW w:w="1276" w:type="dxa"/>
            <w:tcBorders>
              <w:left w:val="single" w:sz="4" w:space="0" w:color="auto"/>
            </w:tcBorders>
          </w:tcPr>
          <w:p w14:paraId="181DCFA4" w14:textId="77777777" w:rsidR="003A53F5" w:rsidRPr="00950D8A" w:rsidRDefault="003A53F5" w:rsidP="00525422">
            <w:pPr>
              <w:rPr>
                <w:rFonts w:cs="Times New Roman"/>
                <w:sz w:val="22"/>
                <w:shd w:val="clear" w:color="auto" w:fill="FCFCFC"/>
              </w:rPr>
            </w:pPr>
            <w:r w:rsidRPr="00950D8A">
              <w:rPr>
                <w:rFonts w:cs="Times New Roman"/>
                <w:sz w:val="22"/>
                <w:shd w:val="clear" w:color="auto" w:fill="FCFCFC"/>
              </w:rPr>
              <w:t>1.41</w:t>
            </w:r>
          </w:p>
        </w:tc>
      </w:tr>
      <w:tr w:rsidR="003A53F5" w:rsidRPr="00CC19F8" w14:paraId="46743599" w14:textId="77777777" w:rsidTr="0080651B">
        <w:tc>
          <w:tcPr>
            <w:tcW w:w="3397" w:type="dxa"/>
            <w:tcBorders>
              <w:right w:val="single" w:sz="4" w:space="0" w:color="auto"/>
            </w:tcBorders>
          </w:tcPr>
          <w:p w14:paraId="63AE8DA0" w14:textId="77777777" w:rsidR="003A53F5" w:rsidRPr="00950D8A" w:rsidRDefault="003A53F5" w:rsidP="00525422">
            <w:pPr>
              <w:rPr>
                <w:rFonts w:cs="Times New Roman"/>
                <w:sz w:val="22"/>
                <w:shd w:val="clear" w:color="auto" w:fill="FCFCFC"/>
              </w:rPr>
            </w:pPr>
            <w:r w:rsidRPr="00950D8A">
              <w:rPr>
                <w:rFonts w:cs="Times New Roman"/>
                <w:sz w:val="22"/>
                <w:shd w:val="clear" w:color="auto" w:fill="FCFCFC"/>
              </w:rPr>
              <w:t>9</w:t>
            </w:r>
          </w:p>
        </w:tc>
        <w:tc>
          <w:tcPr>
            <w:tcW w:w="1276" w:type="dxa"/>
            <w:tcBorders>
              <w:left w:val="single" w:sz="4" w:space="0" w:color="auto"/>
            </w:tcBorders>
          </w:tcPr>
          <w:p w14:paraId="3A7C1D13" w14:textId="77777777" w:rsidR="003A53F5" w:rsidRPr="00950D8A" w:rsidRDefault="003A53F5" w:rsidP="00525422">
            <w:pPr>
              <w:rPr>
                <w:rFonts w:cs="Times New Roman"/>
                <w:sz w:val="22"/>
                <w:shd w:val="clear" w:color="auto" w:fill="FCFCFC"/>
              </w:rPr>
            </w:pPr>
            <w:r w:rsidRPr="00950D8A">
              <w:rPr>
                <w:rFonts w:cs="Times New Roman"/>
                <w:sz w:val="22"/>
                <w:shd w:val="clear" w:color="auto" w:fill="FCFCFC"/>
              </w:rPr>
              <w:t>1.45</w:t>
            </w:r>
          </w:p>
        </w:tc>
      </w:tr>
      <w:tr w:rsidR="003A53F5" w:rsidRPr="00CC19F8" w14:paraId="1C4725C3" w14:textId="77777777" w:rsidTr="0080651B">
        <w:tc>
          <w:tcPr>
            <w:tcW w:w="3397" w:type="dxa"/>
            <w:tcBorders>
              <w:right w:val="single" w:sz="4" w:space="0" w:color="auto"/>
            </w:tcBorders>
          </w:tcPr>
          <w:p w14:paraId="7339044C" w14:textId="77777777" w:rsidR="003A53F5" w:rsidRPr="00950D8A" w:rsidRDefault="003A53F5" w:rsidP="00525422">
            <w:pPr>
              <w:rPr>
                <w:rFonts w:cs="Times New Roman"/>
                <w:sz w:val="22"/>
                <w:shd w:val="clear" w:color="auto" w:fill="FCFCFC"/>
              </w:rPr>
            </w:pPr>
            <w:r w:rsidRPr="00950D8A">
              <w:rPr>
                <w:rFonts w:cs="Times New Roman"/>
                <w:sz w:val="22"/>
                <w:shd w:val="clear" w:color="auto" w:fill="FCFCFC"/>
              </w:rPr>
              <w:t>10</w:t>
            </w:r>
          </w:p>
        </w:tc>
        <w:tc>
          <w:tcPr>
            <w:tcW w:w="1276" w:type="dxa"/>
            <w:tcBorders>
              <w:left w:val="single" w:sz="4" w:space="0" w:color="auto"/>
            </w:tcBorders>
          </w:tcPr>
          <w:p w14:paraId="6D66D004" w14:textId="77777777" w:rsidR="003A53F5" w:rsidRPr="00950D8A" w:rsidRDefault="003A53F5" w:rsidP="00525422">
            <w:pPr>
              <w:rPr>
                <w:rFonts w:cs="Times New Roman"/>
                <w:sz w:val="22"/>
                <w:shd w:val="clear" w:color="auto" w:fill="FCFCFC"/>
              </w:rPr>
            </w:pPr>
            <w:r w:rsidRPr="00950D8A">
              <w:rPr>
                <w:rFonts w:cs="Times New Roman"/>
                <w:sz w:val="22"/>
                <w:shd w:val="clear" w:color="auto" w:fill="FCFCFC"/>
              </w:rPr>
              <w:t>1.49</w:t>
            </w:r>
          </w:p>
        </w:tc>
      </w:tr>
    </w:tbl>
    <w:p w14:paraId="42D37B31" w14:textId="57EDDB61" w:rsidR="009B5C4B" w:rsidRDefault="009B5C4B" w:rsidP="00525422"/>
    <w:p w14:paraId="5B05EEEE" w14:textId="26C1C248" w:rsidR="003E2641" w:rsidRPr="009221F7" w:rsidRDefault="00B61384" w:rsidP="00525422">
      <w:r w:rsidRPr="00B61384">
        <w:t xml:space="preserve">The measurement of consistency reflects whether </w:t>
      </w:r>
      <w:r>
        <w:t>an individual</w:t>
      </w:r>
      <w:r w:rsidRPr="00B61384">
        <w:t xml:space="preserve"> understands and captures the interactions among different factors of the problem, or </w:t>
      </w:r>
      <w:r>
        <w:t>if their</w:t>
      </w:r>
      <w:r w:rsidRPr="00B61384">
        <w:t xml:space="preserve"> decision is</w:t>
      </w:r>
      <w:r>
        <w:t xml:space="preserve"> more</w:t>
      </w:r>
      <w:r w:rsidRPr="00B61384">
        <w:t xml:space="preserve"> a matter of random</w:t>
      </w:r>
      <w:r>
        <w:t>ly</w:t>
      </w:r>
      <w:r w:rsidRPr="00B61384">
        <w:t xml:space="preserve"> hitting </w:t>
      </w:r>
      <w:r>
        <w:t>a</w:t>
      </w:r>
      <w:r w:rsidRPr="00B61384">
        <w:t xml:space="preserve"> target.</w:t>
      </w:r>
      <w:r>
        <w:t xml:space="preserve"> </w:t>
      </w:r>
      <w:r w:rsidRPr="00B61384">
        <w:t>However, perfect consistency is hard to achi</w:t>
      </w:r>
      <w:r w:rsidR="00011D82">
        <w:t>eve in real life problem-</w:t>
      </w:r>
      <w:r w:rsidRPr="00B61384">
        <w:t>solving.</w:t>
      </w:r>
      <w:r w:rsidR="002E662A">
        <w:t xml:space="preserve"> Saaty </w:t>
      </w:r>
      <w:r w:rsidR="002E662A">
        <w:fldChar w:fldCharType="begin"/>
      </w:r>
      <w:r w:rsidR="002E662A">
        <w:instrText xml:space="preserve"> ADDIN ZOTERO_ITEM CSL_CITATION {"citationID":"pxQLu0Lg","properties":{"formattedCitation":"(1996)","plainCitation":"(1996)","noteIndex":0},"citationItems":[{"id":5938,"uris":["http://zotero.org/users/5557903/items/5RKWQMTV"],"uri":["http://zotero.org/users/5557903/items/5RKWQMTV"],"itemData":{"id":5938,"type":"book","title":"Decision making with dependence and feedback: The analytic network process","publisher":"RWS Publ.","volume":"4922","author":[{"family":"Saaty","given":"Thomas Lorie"}],"issued":{"date-parts":[["1996"]]}},"suppress-author":true}],"schema":"https://github.com/citation-style-language/schema/raw/master/csl-citation.json"} </w:instrText>
      </w:r>
      <w:r w:rsidR="002E662A">
        <w:fldChar w:fldCharType="separate"/>
      </w:r>
      <w:r w:rsidR="002E662A" w:rsidRPr="002E662A">
        <w:t>(1996)</w:t>
      </w:r>
      <w:r w:rsidR="002E662A">
        <w:fldChar w:fldCharType="end"/>
      </w:r>
      <w:r w:rsidR="009221F7">
        <w:t xml:space="preserve"> </w:t>
      </w:r>
      <w:r w:rsidR="009221F7" w:rsidRPr="009221F7">
        <w:t xml:space="preserve">stated that inconsistency must be precisely one order of magnitude less important than consistency, or simply 10% of the total concern with consistent measurement. If it were larger it would disrupt consistent measurement and if it were smaller it would make </w:t>
      </w:r>
      <w:r w:rsidR="00011D82">
        <w:t xml:space="preserve">an </w:t>
      </w:r>
      <w:r w:rsidR="009221F7" w:rsidRPr="009221F7">
        <w:t xml:space="preserve">insignificant contribution to </w:t>
      </w:r>
      <w:r w:rsidR="00CC19F8">
        <w:t xml:space="preserve">a </w:t>
      </w:r>
      <w:r w:rsidR="009221F7" w:rsidRPr="009221F7">
        <w:t>change in measurement.</w:t>
      </w:r>
      <w:r w:rsidR="009221F7">
        <w:t xml:space="preserve"> This threshold has been applied in the AHP employed in this research. </w:t>
      </w:r>
    </w:p>
    <w:p w14:paraId="07DC91B5" w14:textId="5053368E" w:rsidR="00C17A22" w:rsidRDefault="004D180C" w:rsidP="00525422">
      <w:pPr>
        <w:pStyle w:val="Heading1"/>
      </w:pPr>
      <w:r>
        <w:t>4</w:t>
      </w:r>
      <w:r w:rsidR="00173A2F">
        <w:t xml:space="preserve">. </w:t>
      </w:r>
      <w:r w:rsidR="001243BF">
        <w:t>Results</w:t>
      </w:r>
      <w:r w:rsidR="000F6ADC">
        <w:t xml:space="preserve"> </w:t>
      </w:r>
      <w:r w:rsidR="005622C0">
        <w:t>(Delphi)</w:t>
      </w:r>
    </w:p>
    <w:p w14:paraId="0BA72CA1" w14:textId="65CD6461" w:rsidR="008A71D3" w:rsidRDefault="008A71D3" w:rsidP="00525422"/>
    <w:p w14:paraId="1390D846" w14:textId="2360D681" w:rsidR="008A71D3" w:rsidRDefault="004D180C" w:rsidP="00525422">
      <w:pPr>
        <w:pStyle w:val="Heading2"/>
      </w:pPr>
      <w:r>
        <w:t>4</w:t>
      </w:r>
      <w:r w:rsidR="002D2B13">
        <w:t>.1 First application</w:t>
      </w:r>
      <w:r w:rsidR="005622C0">
        <w:t>: determining allowable solutions</w:t>
      </w:r>
    </w:p>
    <w:p w14:paraId="3131F202" w14:textId="0FC4D452" w:rsidR="001D71C6" w:rsidRDefault="001D71C6" w:rsidP="00525422"/>
    <w:p w14:paraId="0ADA6160" w14:textId="46C20004" w:rsidR="00CC19F8" w:rsidRDefault="006718AF" w:rsidP="00525422">
      <w:r>
        <w:t>The first round of the Delphi saw the panel presented with the question of identifying allowable solutions for PDPC sheltering based on their diverse and multidisciplinary expertise</w:t>
      </w:r>
      <w:r w:rsidR="003A17C5">
        <w:t>,</w:t>
      </w:r>
      <w:r>
        <w:t xml:space="preserve"> and in light of the evidence from the preliminary work carried out in Africa and the UK</w:t>
      </w:r>
      <w:r w:rsidR="00D7000D">
        <w:t xml:space="preserve">. </w:t>
      </w:r>
      <w:r w:rsidR="00FD4FF6">
        <w:t xml:space="preserve">Given </w:t>
      </w:r>
      <w:r w:rsidR="00F05923">
        <w:t xml:space="preserve">the </w:t>
      </w:r>
      <w:r w:rsidR="00FD4FF6">
        <w:t>evidence from existing literature on the criticality of the roof, the experts were asked t</w:t>
      </w:r>
      <w:r w:rsidR="0071778A">
        <w:t>o treat the load bearing structure and the roof separately and identif</w:t>
      </w:r>
      <w:r w:rsidR="00F21131">
        <w:t>y allowable solutions for both</w:t>
      </w:r>
      <w:r w:rsidR="00CC19F8">
        <w:t xml:space="preserve"> They were also asked to</w:t>
      </w:r>
      <w:r w:rsidR="00F21131">
        <w:t xml:space="preserve"> bear in mind evidence presented related to the African contexts as well as positive and negative aspects of existing solutions and novel designs in PDPC sheltering. The panel w</w:t>
      </w:r>
      <w:r w:rsidR="002772D1">
        <w:t>as</w:t>
      </w:r>
      <w:r w:rsidR="00F21131">
        <w:t xml:space="preserve"> tasked with identify</w:t>
      </w:r>
      <w:r w:rsidR="002772D1">
        <w:t>ing</w:t>
      </w:r>
      <w:r w:rsidR="00F21131">
        <w:t xml:space="preserve"> a “manageable” number of allowable solutions where the exact number was not prescribed </w:t>
      </w:r>
      <w:r w:rsidR="00F21131" w:rsidRPr="00F21A5C">
        <w:rPr>
          <w:i/>
        </w:rPr>
        <w:t>a priori</w:t>
      </w:r>
      <w:r w:rsidR="00F21131">
        <w:t xml:space="preserve"> but rather left to the consensus building process of the Delphi. </w:t>
      </w:r>
      <w:r w:rsidR="00B15DDD">
        <w:t>In total, five</w:t>
      </w:r>
      <w:r w:rsidR="009B10A8">
        <w:t xml:space="preserve"> rounds of the Delphi were required in this first application</w:t>
      </w:r>
      <w:r w:rsidR="00B15DDD">
        <w:t>:</w:t>
      </w:r>
      <w:r w:rsidR="00D664E7">
        <w:t xml:space="preserve"> two to reach consensus on load-</w:t>
      </w:r>
      <w:r w:rsidR="00B15DDD">
        <w:t xml:space="preserve">bearing structures and three on the roof. </w:t>
      </w:r>
    </w:p>
    <w:p w14:paraId="7111E753" w14:textId="77777777" w:rsidR="00CC19F8" w:rsidRDefault="00CC19F8" w:rsidP="00525422"/>
    <w:p w14:paraId="0D1209CF" w14:textId="35CD6D84" w:rsidR="001D71C6" w:rsidRDefault="00761D1E" w:rsidP="00525422">
      <w:r>
        <w:t>To rate the different elements in the Delphi</w:t>
      </w:r>
      <w:r w:rsidR="00CC19F8">
        <w:t>,</w:t>
      </w:r>
      <w:r>
        <w:t xml:space="preserve"> a three-point Likert scale was used</w:t>
      </w:r>
      <w:r w:rsidR="00972AAF">
        <w:t xml:space="preserve"> </w:t>
      </w:r>
      <w:r w:rsidR="00972AAF">
        <w:fldChar w:fldCharType="begin"/>
      </w:r>
      <w:r w:rsidR="00972AAF">
        <w:instrText xml:space="preserve"> ADDIN ZOTERO_ITEM CSL_CITATION {"citationID":"MVrrWnu2","properties":{"formattedCitation":"(Jacoby and Matell, 1971)","plainCitation":"(Jacoby and Matell, 1971)","noteIndex":0},"citationItems":[{"id":5970,"uris":["http://zotero.org/users/5557903/items/XHZVBZWZ"],"uri":["http://zotero.org/users/5557903/items/XHZVBZWZ"],"itemData":{"id":5970,"type":"book","title":"Three-point Likert scales are good enough","publisher":"SAGE Publications Sage CA: Los Angeles, CA","ISBN":"0022-2437","author":[{"family":"Jacoby","given":"Jacob"},{"family":"Matell","given":"Michael S."}],"issued":{"date-parts":[["1971"]]}}}],"schema":"https://github.com/citation-style-language/schema/raw/master/csl-citation.json"} </w:instrText>
      </w:r>
      <w:r w:rsidR="00972AAF">
        <w:fldChar w:fldCharType="separate"/>
      </w:r>
      <w:r w:rsidR="00972AAF" w:rsidRPr="004D180C">
        <w:t>(Jacoby and Matell, 1971)</w:t>
      </w:r>
      <w:r w:rsidR="00972AAF">
        <w:fldChar w:fldCharType="end"/>
      </w:r>
      <w:r>
        <w:t xml:space="preserve"> since our intention was not to achieve convergence towards </w:t>
      </w:r>
      <w:r w:rsidRPr="00950D8A">
        <w:rPr>
          <w:iCs/>
        </w:rPr>
        <w:t>a</w:t>
      </w:r>
      <w:r w:rsidR="00CC19F8">
        <w:rPr>
          <w:iCs/>
        </w:rPr>
        <w:t xml:space="preserve"> single</w:t>
      </w:r>
      <w:r>
        <w:rPr>
          <w:i/>
        </w:rPr>
        <w:t xml:space="preserve"> </w:t>
      </w:r>
      <w:r>
        <w:t xml:space="preserve">solution, but rather to understand whether there was enough support by the experts to either keep or discard each solution in turn. </w:t>
      </w:r>
      <w:r w:rsidR="0053227B">
        <w:t xml:space="preserve">It was not prescribed that each roof solution be applicable to every load-bearing solution but that at least one load-bearing solution could fit each identified roof solution. </w:t>
      </w:r>
      <w:r w:rsidR="00325E75">
        <w:t>Regarding the latter, the number of allowable solutions exceeded the “manageable” number as intended by the research team. However, one of the strengths of the Delphi is to allow the panel to defend their vi</w:t>
      </w:r>
      <w:r w:rsidR="003D6D24">
        <w:t>ews and maintain strong divergence in their o</w:t>
      </w:r>
      <w:r w:rsidR="00B466C1">
        <w:t>pinions</w:t>
      </w:r>
      <w:r w:rsidR="0092745E">
        <w:t>,</w:t>
      </w:r>
      <w:r w:rsidR="00B466C1">
        <w:t xml:space="preserve"> </w:t>
      </w:r>
      <w:r w:rsidR="00AA53DE" w:rsidRPr="00AA53DE">
        <w:t>indicating polarity among the experts into two (or more) schools of thought</w:t>
      </w:r>
      <w:r w:rsidR="00AA53DE">
        <w:t xml:space="preserve"> </w:t>
      </w:r>
      <w:r w:rsidR="00AA53DE">
        <w:fldChar w:fldCharType="begin"/>
      </w:r>
      <w:r w:rsidR="004D180C">
        <w:instrText xml:space="preserve"> ADDIN ZOTERO_ITEM CSL_CITATION {"citationID":"eRbL59iE","properties":{"formattedCitation":"(McDermott and Stock, 1980)","plainCitation":"(McDermott and Stock, 1980)","noteIndex":0},"citationItems":[{"id":5951,"uris":["http://zotero.org/users/5557903/items/BEKGMZ52"],"uri":["http://zotero.org/users/5557903/items/BEKGMZ52"],"itemData":{"id":5951,"type":"article-journal","title":"An application of the project Delphi forecasting method to logistics management","container-title":"Journal of Business Logistics","volume":"2","issue":"1","author":[{"family":"McDermott","given":"D. R."},{"family":"Stock","given":"J. R."}],"issued":{"date-parts":[["1980"]]}}}],"schema":"https://github.com/citation-style-language/schema/raw/master/csl-citation.json"} </w:instrText>
      </w:r>
      <w:r w:rsidR="00AA53DE">
        <w:fldChar w:fldCharType="separate"/>
      </w:r>
      <w:r w:rsidR="004D180C" w:rsidRPr="004D180C">
        <w:t>(McDermott and Stock, 1980)</w:t>
      </w:r>
      <w:r w:rsidR="00AA53DE">
        <w:fldChar w:fldCharType="end"/>
      </w:r>
      <w:r w:rsidR="00AA53DE" w:rsidRPr="00AA53DE">
        <w:t>.</w:t>
      </w:r>
      <w:r w:rsidR="00AA53DE">
        <w:t xml:space="preserve"> This </w:t>
      </w:r>
      <w:r w:rsidR="0092745E">
        <w:lastRenderedPageBreak/>
        <w:t>phenomenon occurred</w:t>
      </w:r>
      <w:r w:rsidR="00AA53DE">
        <w:t xml:space="preserve"> in this research and therefore the Delphi was ended when no further agreement could be reached on reducing the number of allowable solutions for the roof. </w:t>
      </w:r>
      <w:r w:rsidR="00057E56">
        <w:t xml:space="preserve">Results of what the panel decided are shown in Table </w:t>
      </w:r>
      <w:r w:rsidR="0053227B">
        <w:t>5</w:t>
      </w:r>
      <w:r w:rsidR="00057E56">
        <w:t xml:space="preserve">. </w:t>
      </w:r>
    </w:p>
    <w:p w14:paraId="615D9249" w14:textId="603D20DF" w:rsidR="00057E56" w:rsidRDefault="00057E56" w:rsidP="00525422"/>
    <w:p w14:paraId="57A468F6" w14:textId="24EF3CF8" w:rsidR="006A4EF4" w:rsidRDefault="006A4EF4" w:rsidP="00525422">
      <w:pPr>
        <w:pStyle w:val="Caption"/>
        <w:keepNext/>
      </w:pPr>
      <w:r>
        <w:t xml:space="preserve">Table </w:t>
      </w:r>
      <w:r w:rsidR="006C4073">
        <w:rPr>
          <w:noProof/>
        </w:rPr>
        <w:fldChar w:fldCharType="begin"/>
      </w:r>
      <w:r w:rsidR="006C4073">
        <w:rPr>
          <w:noProof/>
        </w:rPr>
        <w:instrText xml:space="preserve"> SEQ Table \* ARABIC </w:instrText>
      </w:r>
      <w:r w:rsidR="006C4073">
        <w:rPr>
          <w:noProof/>
        </w:rPr>
        <w:fldChar w:fldCharType="separate"/>
      </w:r>
      <w:r w:rsidR="00BA401B">
        <w:rPr>
          <w:noProof/>
        </w:rPr>
        <w:t>5</w:t>
      </w:r>
      <w:r w:rsidR="006C4073">
        <w:rPr>
          <w:noProof/>
        </w:rPr>
        <w:fldChar w:fldCharType="end"/>
      </w:r>
      <w:r>
        <w:t xml:space="preserve"> - Allowable solutions for both the load bearing structure and the roof </w:t>
      </w:r>
      <w:r w:rsidR="0092745E">
        <w:t xml:space="preserve">that </w:t>
      </w:r>
      <w:r>
        <w:t xml:space="preserve">emerged from the first application of the Delphi in this research - *Natural frame was intended as a frame made of natural materials (e.g. timber, bamboo)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041"/>
      </w:tblGrid>
      <w:tr w:rsidR="00057E56" w:rsidRPr="004D3FC1" w14:paraId="70AE2EBB" w14:textId="77777777" w:rsidTr="0080651B">
        <w:tc>
          <w:tcPr>
            <w:tcW w:w="3969" w:type="dxa"/>
            <w:tcBorders>
              <w:bottom w:val="single" w:sz="4" w:space="0" w:color="auto"/>
              <w:right w:val="single" w:sz="4" w:space="0" w:color="auto"/>
            </w:tcBorders>
          </w:tcPr>
          <w:p w14:paraId="790951E9" w14:textId="474A7F8F" w:rsidR="00057E56" w:rsidRPr="004D3FC1" w:rsidRDefault="00057E56" w:rsidP="00525422">
            <w:pPr>
              <w:rPr>
                <w:b/>
                <w:sz w:val="22"/>
              </w:rPr>
            </w:pPr>
            <w:r w:rsidRPr="004D3FC1">
              <w:rPr>
                <w:b/>
                <w:sz w:val="22"/>
              </w:rPr>
              <w:t xml:space="preserve">Allowable Solutions </w:t>
            </w:r>
            <w:r w:rsidR="006A4EF4" w:rsidRPr="004D3FC1">
              <w:rPr>
                <w:b/>
                <w:sz w:val="22"/>
              </w:rPr>
              <w:br/>
            </w:r>
            <w:r w:rsidRPr="004D3FC1">
              <w:rPr>
                <w:b/>
                <w:sz w:val="22"/>
              </w:rPr>
              <w:t>(load-bearing structure)</w:t>
            </w:r>
          </w:p>
        </w:tc>
        <w:tc>
          <w:tcPr>
            <w:tcW w:w="5041" w:type="dxa"/>
            <w:tcBorders>
              <w:left w:val="single" w:sz="4" w:space="0" w:color="auto"/>
              <w:bottom w:val="single" w:sz="4" w:space="0" w:color="auto"/>
            </w:tcBorders>
          </w:tcPr>
          <w:p w14:paraId="7598597E" w14:textId="5F97A716" w:rsidR="00057E56" w:rsidRPr="004D3FC1" w:rsidRDefault="00057E56" w:rsidP="00525422">
            <w:pPr>
              <w:rPr>
                <w:b/>
                <w:sz w:val="22"/>
              </w:rPr>
            </w:pPr>
            <w:r w:rsidRPr="004D3FC1">
              <w:rPr>
                <w:b/>
                <w:sz w:val="22"/>
              </w:rPr>
              <w:t xml:space="preserve">Allowable Solutions </w:t>
            </w:r>
            <w:r w:rsidR="006A4EF4" w:rsidRPr="004D3FC1">
              <w:rPr>
                <w:b/>
                <w:sz w:val="22"/>
              </w:rPr>
              <w:br/>
            </w:r>
            <w:r w:rsidRPr="004D3FC1">
              <w:rPr>
                <w:b/>
                <w:sz w:val="22"/>
              </w:rPr>
              <w:t>(roof)</w:t>
            </w:r>
          </w:p>
        </w:tc>
      </w:tr>
      <w:tr w:rsidR="00057E56" w:rsidRPr="004D3FC1" w14:paraId="301471F1" w14:textId="77777777" w:rsidTr="0080651B">
        <w:tc>
          <w:tcPr>
            <w:tcW w:w="3969" w:type="dxa"/>
            <w:tcBorders>
              <w:top w:val="single" w:sz="4" w:space="0" w:color="auto"/>
              <w:right w:val="single" w:sz="4" w:space="0" w:color="auto"/>
            </w:tcBorders>
          </w:tcPr>
          <w:p w14:paraId="6543B4CA" w14:textId="0902ABAC" w:rsidR="00057E56" w:rsidRPr="004D3FC1" w:rsidRDefault="0092745E" w:rsidP="00525422">
            <w:pPr>
              <w:rPr>
                <w:sz w:val="22"/>
              </w:rPr>
            </w:pPr>
            <w:r>
              <w:rPr>
                <w:sz w:val="22"/>
              </w:rPr>
              <w:t>P</w:t>
            </w:r>
            <w:r w:rsidR="00402D04" w:rsidRPr="004D3FC1">
              <w:rPr>
                <w:sz w:val="22"/>
              </w:rPr>
              <w:t>refabricated</w:t>
            </w:r>
            <w:r w:rsidR="00057E56" w:rsidRPr="004D3FC1">
              <w:rPr>
                <w:sz w:val="22"/>
              </w:rPr>
              <w:t xml:space="preserve"> frame structure</w:t>
            </w:r>
          </w:p>
        </w:tc>
        <w:tc>
          <w:tcPr>
            <w:tcW w:w="5041" w:type="dxa"/>
            <w:tcBorders>
              <w:top w:val="single" w:sz="4" w:space="0" w:color="auto"/>
              <w:left w:val="single" w:sz="4" w:space="0" w:color="auto"/>
            </w:tcBorders>
          </w:tcPr>
          <w:p w14:paraId="717BA922" w14:textId="46809417" w:rsidR="00057E56" w:rsidRPr="004D3FC1" w:rsidRDefault="0092745E" w:rsidP="00950D8A">
            <w:pPr>
              <w:ind w:left="316" w:hanging="316"/>
              <w:rPr>
                <w:sz w:val="22"/>
              </w:rPr>
            </w:pPr>
            <w:r>
              <w:rPr>
                <w:sz w:val="22"/>
              </w:rPr>
              <w:t>F</w:t>
            </w:r>
            <w:r w:rsidR="009E6600" w:rsidRPr="004D3FC1">
              <w:rPr>
                <w:sz w:val="22"/>
              </w:rPr>
              <w:t xml:space="preserve">lat - </w:t>
            </w:r>
            <w:r w:rsidR="00402D04" w:rsidRPr="004D3FC1">
              <w:rPr>
                <w:sz w:val="22"/>
              </w:rPr>
              <w:t>precast concrete and clay pot frame with mud plaster</w:t>
            </w:r>
          </w:p>
        </w:tc>
      </w:tr>
      <w:tr w:rsidR="00057E56" w:rsidRPr="004D3FC1" w14:paraId="6D800FF1" w14:textId="77777777" w:rsidTr="0080651B">
        <w:tc>
          <w:tcPr>
            <w:tcW w:w="3969" w:type="dxa"/>
            <w:tcBorders>
              <w:right w:val="single" w:sz="4" w:space="0" w:color="auto"/>
            </w:tcBorders>
          </w:tcPr>
          <w:p w14:paraId="1B63F64E" w14:textId="4DBE0F72" w:rsidR="00057E56" w:rsidRPr="004D3FC1" w:rsidRDefault="0092745E" w:rsidP="00525422">
            <w:pPr>
              <w:rPr>
                <w:sz w:val="22"/>
              </w:rPr>
            </w:pPr>
            <w:r>
              <w:rPr>
                <w:sz w:val="22"/>
              </w:rPr>
              <w:t>F</w:t>
            </w:r>
            <w:r w:rsidR="00402D04" w:rsidRPr="004D3FC1">
              <w:rPr>
                <w:sz w:val="22"/>
              </w:rPr>
              <w:t>ormwork</w:t>
            </w:r>
            <w:r w:rsidR="00057E56" w:rsidRPr="004D3FC1">
              <w:rPr>
                <w:sz w:val="22"/>
              </w:rPr>
              <w:t xml:space="preserve"> with local infill</w:t>
            </w:r>
          </w:p>
        </w:tc>
        <w:tc>
          <w:tcPr>
            <w:tcW w:w="5041" w:type="dxa"/>
            <w:tcBorders>
              <w:left w:val="single" w:sz="4" w:space="0" w:color="auto"/>
            </w:tcBorders>
          </w:tcPr>
          <w:p w14:paraId="64ECDA50" w14:textId="0F636122" w:rsidR="00057E56" w:rsidRPr="004D3FC1" w:rsidRDefault="0092745E" w:rsidP="00950D8A">
            <w:pPr>
              <w:ind w:left="316" w:hanging="316"/>
              <w:rPr>
                <w:sz w:val="22"/>
              </w:rPr>
            </w:pPr>
            <w:r>
              <w:rPr>
                <w:sz w:val="22"/>
              </w:rPr>
              <w:t>F</w:t>
            </w:r>
            <w:r w:rsidR="009E6600" w:rsidRPr="004D3FC1">
              <w:rPr>
                <w:sz w:val="22"/>
              </w:rPr>
              <w:t>lat - natural frame</w:t>
            </w:r>
            <w:r w:rsidR="006A4EF4" w:rsidRPr="004D3FC1">
              <w:rPr>
                <w:sz w:val="22"/>
              </w:rPr>
              <w:t>*</w:t>
            </w:r>
            <w:r w:rsidR="009E6600" w:rsidRPr="004D3FC1">
              <w:rPr>
                <w:sz w:val="22"/>
              </w:rPr>
              <w:t xml:space="preserve"> and clay (on closely packed timber)</w:t>
            </w:r>
          </w:p>
        </w:tc>
      </w:tr>
      <w:tr w:rsidR="00057E56" w:rsidRPr="004D3FC1" w14:paraId="26BDF91B" w14:textId="77777777" w:rsidTr="0080651B">
        <w:tc>
          <w:tcPr>
            <w:tcW w:w="3969" w:type="dxa"/>
            <w:tcBorders>
              <w:right w:val="single" w:sz="4" w:space="0" w:color="auto"/>
            </w:tcBorders>
          </w:tcPr>
          <w:p w14:paraId="30DF9920" w14:textId="72920B39" w:rsidR="00057E56" w:rsidRPr="004D3FC1" w:rsidRDefault="0092745E" w:rsidP="00525422">
            <w:pPr>
              <w:rPr>
                <w:sz w:val="22"/>
              </w:rPr>
            </w:pPr>
            <w:r>
              <w:rPr>
                <w:sz w:val="22"/>
              </w:rPr>
              <w:t>S</w:t>
            </w:r>
            <w:r w:rsidR="00057E56" w:rsidRPr="004D3FC1">
              <w:rPr>
                <w:sz w:val="22"/>
              </w:rPr>
              <w:t>undried bricks</w:t>
            </w:r>
          </w:p>
        </w:tc>
        <w:tc>
          <w:tcPr>
            <w:tcW w:w="5041" w:type="dxa"/>
            <w:tcBorders>
              <w:left w:val="single" w:sz="4" w:space="0" w:color="auto"/>
            </w:tcBorders>
          </w:tcPr>
          <w:p w14:paraId="0D0227CF" w14:textId="67C57A8C" w:rsidR="00057E56" w:rsidRPr="004D3FC1" w:rsidRDefault="0092745E" w:rsidP="00950D8A">
            <w:pPr>
              <w:ind w:left="316" w:hanging="316"/>
              <w:rPr>
                <w:sz w:val="22"/>
              </w:rPr>
            </w:pPr>
            <w:r>
              <w:rPr>
                <w:sz w:val="22"/>
              </w:rPr>
              <w:t>F</w:t>
            </w:r>
            <w:r w:rsidR="009E6600" w:rsidRPr="004D3FC1">
              <w:rPr>
                <w:sz w:val="22"/>
              </w:rPr>
              <w:t>lat - natural frame and corrugated sheeting</w:t>
            </w:r>
          </w:p>
        </w:tc>
      </w:tr>
      <w:tr w:rsidR="00057E56" w:rsidRPr="004D3FC1" w14:paraId="649A6FF8" w14:textId="77777777" w:rsidTr="0080651B">
        <w:tc>
          <w:tcPr>
            <w:tcW w:w="3969" w:type="dxa"/>
            <w:tcBorders>
              <w:right w:val="single" w:sz="4" w:space="0" w:color="auto"/>
            </w:tcBorders>
          </w:tcPr>
          <w:p w14:paraId="610A5088" w14:textId="1DFB3BFB" w:rsidR="00057E56" w:rsidRPr="004D3FC1" w:rsidRDefault="0092745E" w:rsidP="00525422">
            <w:pPr>
              <w:rPr>
                <w:sz w:val="22"/>
              </w:rPr>
            </w:pPr>
            <w:r>
              <w:rPr>
                <w:sz w:val="22"/>
              </w:rPr>
              <w:t>S</w:t>
            </w:r>
            <w:r w:rsidR="009E6600" w:rsidRPr="004D3FC1">
              <w:rPr>
                <w:sz w:val="22"/>
              </w:rPr>
              <w:t>andbags</w:t>
            </w:r>
          </w:p>
        </w:tc>
        <w:tc>
          <w:tcPr>
            <w:tcW w:w="5041" w:type="dxa"/>
            <w:tcBorders>
              <w:left w:val="single" w:sz="4" w:space="0" w:color="auto"/>
            </w:tcBorders>
          </w:tcPr>
          <w:p w14:paraId="63C0556F" w14:textId="00428F5F" w:rsidR="00057E56" w:rsidRPr="004D3FC1" w:rsidRDefault="0092745E" w:rsidP="00950D8A">
            <w:pPr>
              <w:ind w:left="316" w:hanging="316"/>
              <w:rPr>
                <w:sz w:val="22"/>
              </w:rPr>
            </w:pPr>
            <w:r>
              <w:rPr>
                <w:sz w:val="22"/>
              </w:rPr>
              <w:t>P</w:t>
            </w:r>
            <w:r w:rsidR="009E6600" w:rsidRPr="004D3FC1">
              <w:rPr>
                <w:sz w:val="22"/>
              </w:rPr>
              <w:t xml:space="preserve">itched </w:t>
            </w:r>
            <w:r>
              <w:rPr>
                <w:sz w:val="22"/>
              </w:rPr>
              <w:t>-</w:t>
            </w:r>
            <w:r w:rsidR="009E6600" w:rsidRPr="004D3FC1">
              <w:rPr>
                <w:sz w:val="22"/>
              </w:rPr>
              <w:t xml:space="preserve"> frameless with sandbags</w:t>
            </w:r>
          </w:p>
        </w:tc>
      </w:tr>
      <w:tr w:rsidR="00057E56" w:rsidRPr="004D3FC1" w14:paraId="636A8050" w14:textId="77777777" w:rsidTr="0080651B">
        <w:tc>
          <w:tcPr>
            <w:tcW w:w="3969" w:type="dxa"/>
            <w:tcBorders>
              <w:right w:val="single" w:sz="4" w:space="0" w:color="auto"/>
            </w:tcBorders>
          </w:tcPr>
          <w:p w14:paraId="13C66579" w14:textId="77777777" w:rsidR="00057E56" w:rsidRPr="004D3FC1" w:rsidRDefault="00057E56" w:rsidP="00525422">
            <w:pPr>
              <w:rPr>
                <w:sz w:val="22"/>
              </w:rPr>
            </w:pPr>
          </w:p>
        </w:tc>
        <w:tc>
          <w:tcPr>
            <w:tcW w:w="5041" w:type="dxa"/>
            <w:tcBorders>
              <w:left w:val="single" w:sz="4" w:space="0" w:color="auto"/>
            </w:tcBorders>
          </w:tcPr>
          <w:p w14:paraId="3D2F8768" w14:textId="1482CEAF" w:rsidR="00057E56" w:rsidRPr="004D3FC1" w:rsidRDefault="0092745E" w:rsidP="00950D8A">
            <w:pPr>
              <w:ind w:left="316" w:hanging="316"/>
              <w:rPr>
                <w:sz w:val="22"/>
              </w:rPr>
            </w:pPr>
            <w:r>
              <w:rPr>
                <w:sz w:val="22"/>
              </w:rPr>
              <w:t>P</w:t>
            </w:r>
            <w:r w:rsidR="009E6600" w:rsidRPr="004D3FC1">
              <w:rPr>
                <w:sz w:val="22"/>
              </w:rPr>
              <w:t>itched - natural frame and corrugated fiberglass/resin</w:t>
            </w:r>
          </w:p>
        </w:tc>
      </w:tr>
      <w:tr w:rsidR="00057E56" w:rsidRPr="004D3FC1" w14:paraId="76C2A81D" w14:textId="77777777" w:rsidTr="0080651B">
        <w:tc>
          <w:tcPr>
            <w:tcW w:w="3969" w:type="dxa"/>
            <w:tcBorders>
              <w:right w:val="single" w:sz="4" w:space="0" w:color="auto"/>
            </w:tcBorders>
          </w:tcPr>
          <w:p w14:paraId="07C96D9C" w14:textId="77777777" w:rsidR="00057E56" w:rsidRPr="004D3FC1" w:rsidRDefault="00057E56" w:rsidP="00525422">
            <w:pPr>
              <w:rPr>
                <w:sz w:val="22"/>
              </w:rPr>
            </w:pPr>
          </w:p>
        </w:tc>
        <w:tc>
          <w:tcPr>
            <w:tcW w:w="5041" w:type="dxa"/>
            <w:tcBorders>
              <w:left w:val="single" w:sz="4" w:space="0" w:color="auto"/>
            </w:tcBorders>
          </w:tcPr>
          <w:p w14:paraId="557EA667" w14:textId="793FD8A1" w:rsidR="00057E56" w:rsidRPr="004D3FC1" w:rsidRDefault="0092745E" w:rsidP="00950D8A">
            <w:pPr>
              <w:ind w:left="316" w:hanging="316"/>
              <w:rPr>
                <w:sz w:val="22"/>
              </w:rPr>
            </w:pPr>
            <w:r>
              <w:rPr>
                <w:sz w:val="22"/>
              </w:rPr>
              <w:t>P</w:t>
            </w:r>
            <w:r w:rsidR="00402837" w:rsidRPr="004D3FC1">
              <w:rPr>
                <w:sz w:val="22"/>
              </w:rPr>
              <w:t>itched</w:t>
            </w:r>
            <w:r>
              <w:rPr>
                <w:sz w:val="22"/>
              </w:rPr>
              <w:t xml:space="preserve"> </w:t>
            </w:r>
            <w:r w:rsidR="00402837" w:rsidRPr="004D3FC1">
              <w:rPr>
                <w:sz w:val="22"/>
              </w:rPr>
              <w:t>-</w:t>
            </w:r>
            <w:r>
              <w:rPr>
                <w:sz w:val="22"/>
              </w:rPr>
              <w:t xml:space="preserve"> </w:t>
            </w:r>
            <w:r w:rsidR="00402837" w:rsidRPr="004D3FC1">
              <w:rPr>
                <w:sz w:val="22"/>
              </w:rPr>
              <w:t>natural frame</w:t>
            </w:r>
            <w:r>
              <w:rPr>
                <w:sz w:val="22"/>
              </w:rPr>
              <w:t xml:space="preserve"> </w:t>
            </w:r>
            <w:r w:rsidR="00402837" w:rsidRPr="004D3FC1">
              <w:rPr>
                <w:sz w:val="22"/>
              </w:rPr>
              <w:t>-</w:t>
            </w:r>
            <w:r>
              <w:rPr>
                <w:sz w:val="22"/>
              </w:rPr>
              <w:t xml:space="preserve"> </w:t>
            </w:r>
            <w:r w:rsidR="00402837" w:rsidRPr="004D3FC1">
              <w:rPr>
                <w:sz w:val="22"/>
              </w:rPr>
              <w:t>thatch/grass</w:t>
            </w:r>
          </w:p>
        </w:tc>
      </w:tr>
      <w:tr w:rsidR="009E6600" w:rsidRPr="004D3FC1" w14:paraId="5F397258" w14:textId="77777777" w:rsidTr="0080651B">
        <w:tc>
          <w:tcPr>
            <w:tcW w:w="3969" w:type="dxa"/>
            <w:tcBorders>
              <w:right w:val="single" w:sz="4" w:space="0" w:color="auto"/>
            </w:tcBorders>
          </w:tcPr>
          <w:p w14:paraId="08B08F35" w14:textId="77777777" w:rsidR="009E6600" w:rsidRPr="004D3FC1" w:rsidRDefault="009E6600" w:rsidP="00525422">
            <w:pPr>
              <w:rPr>
                <w:sz w:val="22"/>
              </w:rPr>
            </w:pPr>
          </w:p>
        </w:tc>
        <w:tc>
          <w:tcPr>
            <w:tcW w:w="5041" w:type="dxa"/>
            <w:tcBorders>
              <w:left w:val="single" w:sz="4" w:space="0" w:color="auto"/>
            </w:tcBorders>
          </w:tcPr>
          <w:p w14:paraId="787297E0" w14:textId="71CC8F12" w:rsidR="009E6600" w:rsidRPr="004D3FC1" w:rsidRDefault="0092745E" w:rsidP="00950D8A">
            <w:pPr>
              <w:ind w:left="316" w:hanging="316"/>
              <w:rPr>
                <w:sz w:val="22"/>
              </w:rPr>
            </w:pPr>
            <w:r w:rsidRPr="004D3FC1">
              <w:rPr>
                <w:sz w:val="22"/>
              </w:rPr>
              <w:t>P</w:t>
            </w:r>
            <w:r w:rsidR="00402837" w:rsidRPr="004D3FC1">
              <w:rPr>
                <w:sz w:val="22"/>
              </w:rPr>
              <w:t>itched</w:t>
            </w:r>
            <w:r>
              <w:rPr>
                <w:sz w:val="22"/>
              </w:rPr>
              <w:t xml:space="preserve"> </w:t>
            </w:r>
            <w:r w:rsidR="00402837" w:rsidRPr="004D3FC1">
              <w:rPr>
                <w:sz w:val="22"/>
              </w:rPr>
              <w:t>- natural frame</w:t>
            </w:r>
            <w:r>
              <w:rPr>
                <w:sz w:val="22"/>
              </w:rPr>
              <w:t xml:space="preserve"> </w:t>
            </w:r>
            <w:r w:rsidR="00402837" w:rsidRPr="004D3FC1">
              <w:rPr>
                <w:sz w:val="22"/>
              </w:rPr>
              <w:t>-</w:t>
            </w:r>
            <w:r>
              <w:rPr>
                <w:sz w:val="22"/>
              </w:rPr>
              <w:t xml:space="preserve"> </w:t>
            </w:r>
            <w:r w:rsidR="00402837" w:rsidRPr="004D3FC1">
              <w:rPr>
                <w:sz w:val="22"/>
              </w:rPr>
              <w:t>tiles</w:t>
            </w:r>
          </w:p>
        </w:tc>
      </w:tr>
      <w:tr w:rsidR="009E6600" w:rsidRPr="004D3FC1" w14:paraId="6A819F73" w14:textId="77777777" w:rsidTr="0080651B">
        <w:tc>
          <w:tcPr>
            <w:tcW w:w="3969" w:type="dxa"/>
            <w:tcBorders>
              <w:right w:val="single" w:sz="4" w:space="0" w:color="auto"/>
            </w:tcBorders>
          </w:tcPr>
          <w:p w14:paraId="674B444A" w14:textId="77777777" w:rsidR="009E6600" w:rsidRPr="004D3FC1" w:rsidRDefault="009E6600" w:rsidP="00525422">
            <w:pPr>
              <w:rPr>
                <w:sz w:val="22"/>
              </w:rPr>
            </w:pPr>
          </w:p>
        </w:tc>
        <w:tc>
          <w:tcPr>
            <w:tcW w:w="5041" w:type="dxa"/>
            <w:tcBorders>
              <w:left w:val="single" w:sz="4" w:space="0" w:color="auto"/>
            </w:tcBorders>
          </w:tcPr>
          <w:p w14:paraId="4D87B6EE" w14:textId="5136A146" w:rsidR="009E6600" w:rsidRPr="004D3FC1" w:rsidRDefault="0092745E" w:rsidP="00950D8A">
            <w:pPr>
              <w:ind w:left="316" w:hanging="316"/>
              <w:rPr>
                <w:sz w:val="22"/>
              </w:rPr>
            </w:pPr>
            <w:r w:rsidRPr="004D3FC1">
              <w:rPr>
                <w:sz w:val="22"/>
              </w:rPr>
              <w:t>P</w:t>
            </w:r>
            <w:r w:rsidR="00402837" w:rsidRPr="004D3FC1">
              <w:rPr>
                <w:sz w:val="22"/>
              </w:rPr>
              <w:t>itched</w:t>
            </w:r>
            <w:r>
              <w:rPr>
                <w:sz w:val="22"/>
              </w:rPr>
              <w:t xml:space="preserve"> </w:t>
            </w:r>
            <w:r w:rsidR="00402837" w:rsidRPr="004D3FC1">
              <w:rPr>
                <w:sz w:val="22"/>
              </w:rPr>
              <w:t>-</w:t>
            </w:r>
            <w:r>
              <w:rPr>
                <w:sz w:val="22"/>
              </w:rPr>
              <w:t xml:space="preserve"> </w:t>
            </w:r>
            <w:r w:rsidR="00402837" w:rsidRPr="004D3FC1">
              <w:rPr>
                <w:sz w:val="22"/>
              </w:rPr>
              <w:t>natural frame</w:t>
            </w:r>
            <w:r>
              <w:rPr>
                <w:sz w:val="22"/>
              </w:rPr>
              <w:t xml:space="preserve"> </w:t>
            </w:r>
            <w:r w:rsidR="00402837" w:rsidRPr="004D3FC1">
              <w:rPr>
                <w:sz w:val="22"/>
              </w:rPr>
              <w:t>-</w:t>
            </w:r>
            <w:r>
              <w:rPr>
                <w:sz w:val="22"/>
              </w:rPr>
              <w:t xml:space="preserve"> </w:t>
            </w:r>
            <w:r w:rsidR="00402837" w:rsidRPr="004D3FC1">
              <w:rPr>
                <w:sz w:val="22"/>
              </w:rPr>
              <w:t>metal</w:t>
            </w:r>
          </w:p>
        </w:tc>
      </w:tr>
      <w:tr w:rsidR="009E6600" w:rsidRPr="004D3FC1" w14:paraId="76A6910D" w14:textId="11CC0FE1" w:rsidTr="0080651B">
        <w:tc>
          <w:tcPr>
            <w:tcW w:w="3969" w:type="dxa"/>
            <w:tcBorders>
              <w:right w:val="single" w:sz="4" w:space="0" w:color="auto"/>
            </w:tcBorders>
          </w:tcPr>
          <w:p w14:paraId="72CA38AE" w14:textId="77777777" w:rsidR="009E6600" w:rsidRPr="004D3FC1" w:rsidRDefault="009E6600" w:rsidP="00525422">
            <w:pPr>
              <w:rPr>
                <w:sz w:val="22"/>
              </w:rPr>
            </w:pPr>
          </w:p>
        </w:tc>
        <w:tc>
          <w:tcPr>
            <w:tcW w:w="5041" w:type="dxa"/>
            <w:tcBorders>
              <w:left w:val="single" w:sz="4" w:space="0" w:color="auto"/>
            </w:tcBorders>
          </w:tcPr>
          <w:p w14:paraId="52ED5A1B" w14:textId="23177767" w:rsidR="009E6600" w:rsidRPr="004D3FC1" w:rsidRDefault="0092745E" w:rsidP="00950D8A">
            <w:pPr>
              <w:ind w:left="316" w:hanging="316"/>
              <w:rPr>
                <w:sz w:val="22"/>
              </w:rPr>
            </w:pPr>
            <w:r w:rsidRPr="004D3FC1">
              <w:rPr>
                <w:sz w:val="22"/>
              </w:rPr>
              <w:t>P</w:t>
            </w:r>
            <w:r w:rsidR="00402837" w:rsidRPr="004D3FC1">
              <w:rPr>
                <w:sz w:val="22"/>
              </w:rPr>
              <w:t>itched</w:t>
            </w:r>
            <w:r>
              <w:rPr>
                <w:sz w:val="22"/>
              </w:rPr>
              <w:t xml:space="preserve"> </w:t>
            </w:r>
            <w:r w:rsidR="00402837" w:rsidRPr="004D3FC1">
              <w:rPr>
                <w:sz w:val="22"/>
              </w:rPr>
              <w:t>-</w:t>
            </w:r>
            <w:r>
              <w:rPr>
                <w:sz w:val="22"/>
              </w:rPr>
              <w:t xml:space="preserve"> </w:t>
            </w:r>
            <w:r w:rsidR="00402837" w:rsidRPr="004D3FC1">
              <w:rPr>
                <w:sz w:val="22"/>
              </w:rPr>
              <w:t>natural frame</w:t>
            </w:r>
            <w:r>
              <w:rPr>
                <w:sz w:val="22"/>
              </w:rPr>
              <w:t xml:space="preserve"> </w:t>
            </w:r>
            <w:r w:rsidR="00402837" w:rsidRPr="004D3FC1">
              <w:rPr>
                <w:sz w:val="22"/>
              </w:rPr>
              <w:t>-</w:t>
            </w:r>
            <w:r>
              <w:rPr>
                <w:sz w:val="22"/>
              </w:rPr>
              <w:t xml:space="preserve"> </w:t>
            </w:r>
            <w:r w:rsidR="00402837" w:rsidRPr="004D3FC1">
              <w:rPr>
                <w:sz w:val="22"/>
              </w:rPr>
              <w:t>plastic</w:t>
            </w:r>
          </w:p>
        </w:tc>
      </w:tr>
      <w:tr w:rsidR="009E6600" w:rsidRPr="004D3FC1" w14:paraId="7FD244F8" w14:textId="77777777" w:rsidTr="0080651B">
        <w:tc>
          <w:tcPr>
            <w:tcW w:w="3969" w:type="dxa"/>
            <w:tcBorders>
              <w:right w:val="single" w:sz="4" w:space="0" w:color="auto"/>
            </w:tcBorders>
          </w:tcPr>
          <w:p w14:paraId="7D116EC9" w14:textId="77777777" w:rsidR="009E6600" w:rsidRPr="004D3FC1" w:rsidRDefault="009E6600" w:rsidP="00525422">
            <w:pPr>
              <w:rPr>
                <w:sz w:val="22"/>
              </w:rPr>
            </w:pPr>
          </w:p>
        </w:tc>
        <w:tc>
          <w:tcPr>
            <w:tcW w:w="5041" w:type="dxa"/>
            <w:tcBorders>
              <w:left w:val="single" w:sz="4" w:space="0" w:color="auto"/>
            </w:tcBorders>
          </w:tcPr>
          <w:p w14:paraId="20D3FE5F" w14:textId="0C034473" w:rsidR="009E6600" w:rsidRPr="004D3FC1" w:rsidRDefault="0092745E" w:rsidP="00950D8A">
            <w:pPr>
              <w:ind w:left="316" w:hanging="316"/>
              <w:rPr>
                <w:sz w:val="22"/>
              </w:rPr>
            </w:pPr>
            <w:r w:rsidRPr="004D3FC1">
              <w:rPr>
                <w:sz w:val="22"/>
              </w:rPr>
              <w:t>P</w:t>
            </w:r>
            <w:r w:rsidR="00402837" w:rsidRPr="004D3FC1">
              <w:rPr>
                <w:sz w:val="22"/>
              </w:rPr>
              <w:t>itched</w:t>
            </w:r>
            <w:r>
              <w:rPr>
                <w:sz w:val="22"/>
              </w:rPr>
              <w:t xml:space="preserve"> </w:t>
            </w:r>
            <w:r w:rsidR="00402837" w:rsidRPr="004D3FC1">
              <w:rPr>
                <w:sz w:val="22"/>
              </w:rPr>
              <w:t>-</w:t>
            </w:r>
            <w:r>
              <w:rPr>
                <w:sz w:val="22"/>
              </w:rPr>
              <w:t xml:space="preserve"> </w:t>
            </w:r>
            <w:r w:rsidR="00402837" w:rsidRPr="004D3FC1">
              <w:rPr>
                <w:sz w:val="22"/>
              </w:rPr>
              <w:t>natural frame</w:t>
            </w:r>
            <w:r>
              <w:rPr>
                <w:sz w:val="22"/>
              </w:rPr>
              <w:t xml:space="preserve"> </w:t>
            </w:r>
            <w:r w:rsidR="00402837" w:rsidRPr="004D3FC1">
              <w:rPr>
                <w:sz w:val="22"/>
              </w:rPr>
              <w:t>-</w:t>
            </w:r>
            <w:r>
              <w:rPr>
                <w:sz w:val="22"/>
              </w:rPr>
              <w:t xml:space="preserve"> </w:t>
            </w:r>
            <w:r w:rsidR="00402837" w:rsidRPr="004D3FC1">
              <w:rPr>
                <w:sz w:val="22"/>
              </w:rPr>
              <w:t>canvas/hemp</w:t>
            </w:r>
          </w:p>
        </w:tc>
      </w:tr>
    </w:tbl>
    <w:p w14:paraId="2849C5E8" w14:textId="5D0132A0" w:rsidR="002D2B13" w:rsidRDefault="00525422" w:rsidP="00525422">
      <w:pPr>
        <w:pStyle w:val="Heading2"/>
      </w:pPr>
      <w:r>
        <w:br/>
      </w:r>
      <w:r w:rsidR="004D180C">
        <w:t>4</w:t>
      </w:r>
      <w:r w:rsidR="002D2B13">
        <w:t>.2 Second application</w:t>
      </w:r>
      <w:r w:rsidR="005622C0">
        <w:t>: scoring solutions against sustainability criteria</w:t>
      </w:r>
    </w:p>
    <w:p w14:paraId="07EC61F1" w14:textId="127C16FE" w:rsidR="00086DBC" w:rsidRDefault="00086DBC" w:rsidP="00525422"/>
    <w:p w14:paraId="3D8AC951" w14:textId="74F69AE2" w:rsidR="00086DBC" w:rsidRDefault="007923E2" w:rsidP="00525422">
      <w:r>
        <w:t xml:space="preserve">In the second application of the Delphi method in this research, the experts were presented with a questionnaire developed from the sustainability criteria </w:t>
      </w:r>
      <w:r w:rsidR="0092745E">
        <w:t xml:space="preserve">that </w:t>
      </w:r>
      <w:r>
        <w:t>emerged from the preliminary work</w:t>
      </w:r>
      <w:r w:rsidR="007234C7">
        <w:t xml:space="preserve"> (Table 1)</w:t>
      </w:r>
      <w:r>
        <w:t>. They were asked to rate each of the allowable solutions (for both the load bearing structure and the roof) against these criteria</w:t>
      </w:r>
      <w:r w:rsidR="00CD0BE0">
        <w:t xml:space="preserve"> on a three-point Likert scale</w:t>
      </w:r>
      <w:r>
        <w:t xml:space="preserve">. The overall criteria had been clustered along the four main dimensions previously described: social suitability, economic viability, technical performance, and environmental impacts. The full questionnaire </w:t>
      </w:r>
      <w:r w:rsidR="002117AD">
        <w:t xml:space="preserve">presented to the panel, and that was operationally implemented in Survey Monkey, is given as supplementary material. In the first round the experts were asked to provide individual ratings. These </w:t>
      </w:r>
      <w:r w:rsidR="0092745E">
        <w:t>were</w:t>
      </w:r>
      <w:r w:rsidR="002117AD">
        <w:t xml:space="preserve"> collected, analysed, and combined by the research team and in the second round the panel were shown the combined results with the overall scores. At this stage</w:t>
      </w:r>
      <w:r w:rsidR="00D63ABA">
        <w:t>,</w:t>
      </w:r>
      <w:r w:rsidR="002117AD">
        <w:t xml:space="preserve"> they were asked </w:t>
      </w:r>
      <w:r w:rsidR="00D04AF6">
        <w:t>whether they</w:t>
      </w:r>
      <w:r w:rsidR="002117AD">
        <w:t xml:space="preserve"> agree</w:t>
      </w:r>
      <w:r w:rsidR="00D04AF6">
        <w:t xml:space="preserve">d on the resulting score, which they did and thus the Delphi ended after two rounds. </w:t>
      </w:r>
      <w:r w:rsidR="008E4A7B" w:rsidRPr="008E4A7B">
        <w:t>Given the 12 questions and the 14 solutions (10 for the roof and four for the load-bearing structures), the nine experts answered 168 questions each, totalling 1</w:t>
      </w:r>
      <w:r w:rsidR="0028790B">
        <w:t>,</w:t>
      </w:r>
      <w:r w:rsidR="008E4A7B" w:rsidRPr="008E4A7B">
        <w:t xml:space="preserve">512 </w:t>
      </w:r>
      <w:r w:rsidR="0028790B">
        <w:t>valid</w:t>
      </w:r>
      <w:r w:rsidR="0028790B" w:rsidRPr="008E4A7B">
        <w:t xml:space="preserve"> </w:t>
      </w:r>
      <w:r w:rsidR="008E4A7B" w:rsidRPr="008E4A7B">
        <w:t>answers.</w:t>
      </w:r>
      <w:r w:rsidR="0028790B">
        <w:t xml:space="preserve"> </w:t>
      </w:r>
      <w:r w:rsidR="00B263F3">
        <w:t>Clustered results for the load-bearing structure and the roof are shown in Figure 4 and Figure 5</w:t>
      </w:r>
      <w:r w:rsidR="0092745E">
        <w:t>,</w:t>
      </w:r>
      <w:r w:rsidR="00B263F3">
        <w:t xml:space="preserve"> respectively. Due to how the Likert scale was presented to the experts and implemented in the Delphi</w:t>
      </w:r>
      <w:r w:rsidR="0092745E">
        <w:t>,</w:t>
      </w:r>
      <w:r w:rsidR="00B263F3">
        <w:t xml:space="preserve"> lower numb</w:t>
      </w:r>
      <w:r w:rsidR="003057D0">
        <w:t>ers indicate better performance</w:t>
      </w:r>
      <w:r w:rsidR="00B263F3">
        <w:t xml:space="preserve">. </w:t>
      </w:r>
    </w:p>
    <w:p w14:paraId="27B1F7B9" w14:textId="77777777" w:rsidR="00433A3A" w:rsidRDefault="00433A3A" w:rsidP="00525422"/>
    <w:p w14:paraId="4AC242E0" w14:textId="61B7A5F9" w:rsidR="00B263F3" w:rsidRDefault="00433A3A" w:rsidP="00525422">
      <w:r>
        <w:rPr>
          <w:noProof/>
          <w:lang w:eastAsia="en-GB"/>
        </w:rPr>
        <w:lastRenderedPageBreak/>
        <w:drawing>
          <wp:inline distT="0" distB="0" distL="0" distR="0" wp14:anchorId="5D672389" wp14:editId="25C42BF5">
            <wp:extent cx="5534025" cy="3886200"/>
            <wp:effectExtent l="0" t="0" r="9525" b="0"/>
            <wp:docPr id="7" name="Chart 7">
              <a:extLst xmlns:a="http://schemas.openxmlformats.org/drawingml/2006/main">
                <a:ext uri="{FF2B5EF4-FFF2-40B4-BE49-F238E27FC236}">
                  <a16:creationId xmlns:a16="http://schemas.microsoft.com/office/drawing/2014/main" id="{8D89AFBE-8521-2F4D-89D9-343DFD81EA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4F0B418" w14:textId="107F3D87" w:rsidR="00A67885" w:rsidRDefault="00A67885" w:rsidP="00525422">
      <w:pPr>
        <w:keepNext/>
      </w:pPr>
    </w:p>
    <w:p w14:paraId="538C3545" w14:textId="1A0F4F4E" w:rsidR="00B263F3" w:rsidRDefault="00A67885" w:rsidP="00525422">
      <w:pPr>
        <w:pStyle w:val="Caption"/>
      </w:pPr>
      <w:r>
        <w:t xml:space="preserve">Figure </w:t>
      </w:r>
      <w:r w:rsidR="006C4073">
        <w:rPr>
          <w:noProof/>
        </w:rPr>
        <w:fldChar w:fldCharType="begin"/>
      </w:r>
      <w:r w:rsidR="006C4073">
        <w:rPr>
          <w:noProof/>
        </w:rPr>
        <w:instrText xml:space="preserve"> SEQ Figure \* ARABIC </w:instrText>
      </w:r>
      <w:r w:rsidR="006C4073">
        <w:rPr>
          <w:noProof/>
        </w:rPr>
        <w:fldChar w:fldCharType="separate"/>
      </w:r>
      <w:r w:rsidR="00EB1A80">
        <w:rPr>
          <w:noProof/>
        </w:rPr>
        <w:t>4</w:t>
      </w:r>
      <w:r w:rsidR="006C4073">
        <w:rPr>
          <w:noProof/>
        </w:rPr>
        <w:fldChar w:fldCharType="end"/>
      </w:r>
      <w:r>
        <w:t xml:space="preserve"> - Clustered results for the</w:t>
      </w:r>
      <w:r w:rsidR="00D63ABA">
        <w:t xml:space="preserve"> allowed solutions for the load-</w:t>
      </w:r>
      <w:r>
        <w:t>bearing structure from the second application of the Delphi</w:t>
      </w:r>
      <w:r w:rsidR="00747853">
        <w:t>. The s</w:t>
      </w:r>
      <w:r w:rsidR="004A29AF">
        <w:t>cale on the</w:t>
      </w:r>
      <w:r w:rsidR="00747853">
        <w:t xml:space="preserve"> </w:t>
      </w:r>
      <w:r w:rsidR="004A29AF">
        <w:t>x-axis refer</w:t>
      </w:r>
      <w:r w:rsidR="00747853">
        <w:t>s</w:t>
      </w:r>
      <w:r w:rsidR="004A29AF">
        <w:t xml:space="preserve"> to the summation of the results from the three-point Likert scale used by the experts. </w:t>
      </w:r>
      <w:r w:rsidR="004A29AF" w:rsidRPr="004A29AF">
        <w:t>Due to how the Likert scale was presented to the experts and implemented in the Delphi</w:t>
      </w:r>
      <w:r w:rsidR="00747853">
        <w:t>,</w:t>
      </w:r>
      <w:r w:rsidR="004A29AF" w:rsidRPr="004A29AF">
        <w:t xml:space="preserve"> lower numbers indicate better performance</w:t>
      </w:r>
    </w:p>
    <w:p w14:paraId="2E86DC95" w14:textId="46D85250" w:rsidR="00E960E6" w:rsidRPr="00E4727B" w:rsidRDefault="00E960E6" w:rsidP="00E960E6">
      <w:r>
        <w:t xml:space="preserve">Figure 4 and Figure 5 show how different solutions (for both the load bearing structure and the roof) may have very good scores in one of the clusters and very poor </w:t>
      </w:r>
      <w:r w:rsidR="00747853">
        <w:t xml:space="preserve">scores </w:t>
      </w:r>
      <w:r>
        <w:t xml:space="preserve">in another, therefore leaving the decision maker unsure on what clusters should be prioritised. To address this gap, we have used the AHP to assign weights to different clusters and </w:t>
      </w:r>
      <w:r w:rsidR="00747853">
        <w:t xml:space="preserve">the </w:t>
      </w:r>
      <w:r>
        <w:t xml:space="preserve">results are shown in the next section. It should be noted however that the results presented so far (i.e. without further weightings applied) can also be extremely useful to expert decision-makers who </w:t>
      </w:r>
      <w:r w:rsidR="00747853">
        <w:t xml:space="preserve">already </w:t>
      </w:r>
      <w:r>
        <w:t xml:space="preserve">know well what the preponderant criteria in their specific context are and would therefore benefit from “raw” results which have not been further processed. </w:t>
      </w:r>
    </w:p>
    <w:p w14:paraId="5FF11CDF" w14:textId="77777777" w:rsidR="00E960E6" w:rsidRPr="008960CE" w:rsidRDefault="00E960E6" w:rsidP="00F21A5C"/>
    <w:p w14:paraId="6E98D5E1" w14:textId="77777777" w:rsidR="008848C9" w:rsidRDefault="00433A3A" w:rsidP="00525422">
      <w:pPr>
        <w:keepNext/>
      </w:pPr>
      <w:r>
        <w:rPr>
          <w:noProof/>
          <w:lang w:eastAsia="en-GB"/>
        </w:rPr>
        <w:lastRenderedPageBreak/>
        <w:drawing>
          <wp:inline distT="0" distB="0" distL="0" distR="0" wp14:anchorId="605DB8A4" wp14:editId="0F3DF977">
            <wp:extent cx="5727700" cy="6753225"/>
            <wp:effectExtent l="0" t="0" r="6350" b="9525"/>
            <wp:docPr id="8" name="Chart 8">
              <a:extLst xmlns:a="http://schemas.openxmlformats.org/drawingml/2006/main">
                <a:ext uri="{FF2B5EF4-FFF2-40B4-BE49-F238E27FC236}">
                  <a16:creationId xmlns:a16="http://schemas.microsoft.com/office/drawing/2014/main" id="{05BDF6EE-A9E3-D84F-8EA1-C7C4030481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44D74F1" w14:textId="4AF0AB0C" w:rsidR="00173A2F" w:rsidRDefault="008848C9" w:rsidP="00F21A5C">
      <w:pPr>
        <w:pStyle w:val="Caption"/>
      </w:pPr>
      <w:r>
        <w:t xml:space="preserve">Figure </w:t>
      </w:r>
      <w:r w:rsidR="006C4073">
        <w:rPr>
          <w:noProof/>
        </w:rPr>
        <w:fldChar w:fldCharType="begin"/>
      </w:r>
      <w:r w:rsidR="006C4073">
        <w:rPr>
          <w:noProof/>
        </w:rPr>
        <w:instrText xml:space="preserve"> SEQ Figure \* ARABIC </w:instrText>
      </w:r>
      <w:r w:rsidR="006C4073">
        <w:rPr>
          <w:noProof/>
        </w:rPr>
        <w:fldChar w:fldCharType="separate"/>
      </w:r>
      <w:r w:rsidR="00EB1A80">
        <w:rPr>
          <w:noProof/>
        </w:rPr>
        <w:t>5</w:t>
      </w:r>
      <w:r w:rsidR="006C4073">
        <w:rPr>
          <w:noProof/>
        </w:rPr>
        <w:fldChar w:fldCharType="end"/>
      </w:r>
      <w:r>
        <w:t xml:space="preserve"> - </w:t>
      </w:r>
      <w:r w:rsidRPr="00401183">
        <w:t xml:space="preserve">Clustered results for the allowed solutions for the </w:t>
      </w:r>
      <w:r>
        <w:t>roof</w:t>
      </w:r>
      <w:r w:rsidRPr="00401183">
        <w:t xml:space="preserve"> from the second application of the Delphi</w:t>
      </w:r>
      <w:r w:rsidR="004A29AF">
        <w:t xml:space="preserve">.. </w:t>
      </w:r>
      <w:r w:rsidR="00747853">
        <w:t>The s</w:t>
      </w:r>
      <w:r w:rsidR="004A29AF">
        <w:t>cale on the x-axis refer</w:t>
      </w:r>
      <w:r w:rsidR="00747853">
        <w:t>s</w:t>
      </w:r>
      <w:r w:rsidR="004A29AF">
        <w:t xml:space="preserve"> to the summation of the results from the three-point Likert scale used by the experts. </w:t>
      </w:r>
      <w:r w:rsidR="004A29AF" w:rsidRPr="004A29AF">
        <w:t>Due to how the Likert scale was presented to the experts and implemented in the Delphi</w:t>
      </w:r>
      <w:r w:rsidR="00747853">
        <w:t>,</w:t>
      </w:r>
      <w:r w:rsidR="004A29AF" w:rsidRPr="004A29AF">
        <w:t xml:space="preserve"> lower numbers indicate better performance</w:t>
      </w:r>
    </w:p>
    <w:p w14:paraId="722CAB18" w14:textId="45F08C16" w:rsidR="00173A2F" w:rsidRPr="0042546E" w:rsidRDefault="004D180C" w:rsidP="00525422">
      <w:pPr>
        <w:pStyle w:val="Heading1"/>
      </w:pPr>
      <w:r>
        <w:t>5</w:t>
      </w:r>
      <w:r w:rsidR="00173A2F">
        <w:t>. Results (AHP)</w:t>
      </w:r>
    </w:p>
    <w:p w14:paraId="0718FB7E" w14:textId="37670826" w:rsidR="0042546E" w:rsidRDefault="0042546E" w:rsidP="00525422">
      <w:pPr>
        <w:rPr>
          <w:b/>
        </w:rPr>
      </w:pPr>
    </w:p>
    <w:p w14:paraId="06B06C4E" w14:textId="5731A175" w:rsidR="0042546E" w:rsidRPr="0042546E" w:rsidRDefault="0042546E" w:rsidP="00525422">
      <w:r>
        <w:t xml:space="preserve">AHP was employed in this research to determine the relative importance of the four sustainability dimensions examined. Each expert produced their own scores which were then averaged across all members of the panel. </w:t>
      </w:r>
    </w:p>
    <w:p w14:paraId="3BBAA1D9" w14:textId="3E5703E4" w:rsidR="005622C0" w:rsidRDefault="005622C0" w:rsidP="00525422">
      <w:pPr>
        <w:rPr>
          <w:b/>
        </w:rPr>
      </w:pPr>
    </w:p>
    <w:p w14:paraId="2B3D0E7B" w14:textId="77777777" w:rsidR="00E960E6" w:rsidRDefault="00E960E6" w:rsidP="00525422">
      <w:pPr>
        <w:rPr>
          <w:b/>
        </w:rPr>
      </w:pPr>
    </w:p>
    <w:p w14:paraId="2ED84794" w14:textId="383B044E" w:rsidR="005622C0" w:rsidRDefault="004D180C" w:rsidP="00525422">
      <w:pPr>
        <w:pStyle w:val="Heading2"/>
      </w:pPr>
      <w:r>
        <w:lastRenderedPageBreak/>
        <w:t>5</w:t>
      </w:r>
      <w:r w:rsidR="005622C0">
        <w:t xml:space="preserve">.1 </w:t>
      </w:r>
      <w:r w:rsidR="006E18B5">
        <w:t xml:space="preserve">The relative importance of sustainability </w:t>
      </w:r>
      <w:r w:rsidR="0042546E">
        <w:t>dimensions</w:t>
      </w:r>
    </w:p>
    <w:p w14:paraId="2CAC2AC2" w14:textId="2F08A201" w:rsidR="0042546E" w:rsidRDefault="0042546E" w:rsidP="00525422"/>
    <w:p w14:paraId="793BC286" w14:textId="0DDEBBFC" w:rsidR="0042546E" w:rsidRPr="0042546E" w:rsidRDefault="0042546E" w:rsidP="00525422">
      <w:r>
        <w:t>Figure 6 shows the re</w:t>
      </w:r>
      <w:r w:rsidR="005B7504">
        <w:t xml:space="preserve">sults from the AHP. </w:t>
      </w:r>
      <w:r w:rsidR="00747853">
        <w:t>O</w:t>
      </w:r>
      <w:r w:rsidR="005B7504">
        <w:t>n the left-</w:t>
      </w:r>
      <w:r>
        <w:t xml:space="preserve">hand side of the figure, results for the whole panel are shown. It can be </w:t>
      </w:r>
      <w:r w:rsidR="003A17C5">
        <w:t>noted</w:t>
      </w:r>
      <w:r>
        <w:t xml:space="preserve"> that social suitability is the most important </w:t>
      </w:r>
      <w:r w:rsidR="003A17C5">
        <w:t>dimension</w:t>
      </w:r>
      <w:r>
        <w:t>, making up for 39% of the total share. It is followed by environmental considerations (29%), with technical performance and economic viability deemed as the least important dimensions with relative shares of 18% and 14%</w:t>
      </w:r>
      <w:r w:rsidR="00747853">
        <w:t>,</w:t>
      </w:r>
      <w:r>
        <w:t xml:space="preserve"> respectively. </w:t>
      </w:r>
    </w:p>
    <w:p w14:paraId="677814CE" w14:textId="7F35BDC8" w:rsidR="00EB1A80" w:rsidRDefault="00EB1A80" w:rsidP="00525422"/>
    <w:tbl>
      <w:tblPr>
        <w:tblStyle w:val="TableGrid"/>
        <w:tblW w:w="0" w:type="auto"/>
        <w:tblBorders>
          <w:insideH w:val="none" w:sz="0" w:space="0" w:color="auto"/>
          <w:insideV w:val="none" w:sz="0" w:space="0" w:color="auto"/>
        </w:tblBorders>
        <w:tblLook w:val="04A0" w:firstRow="1" w:lastRow="0" w:firstColumn="1" w:lastColumn="0" w:noHBand="0" w:noVBand="1"/>
      </w:tblPr>
      <w:tblGrid>
        <w:gridCol w:w="4631"/>
        <w:gridCol w:w="4379"/>
      </w:tblGrid>
      <w:tr w:rsidR="00EB1A80" w14:paraId="04EF6468" w14:textId="77777777" w:rsidTr="0042546E">
        <w:tc>
          <w:tcPr>
            <w:tcW w:w="4505" w:type="dxa"/>
            <w:vMerge w:val="restart"/>
            <w:vAlign w:val="center"/>
          </w:tcPr>
          <w:p w14:paraId="650771E1" w14:textId="71A832C7" w:rsidR="00EB1A80" w:rsidRDefault="00EB1A80" w:rsidP="00525422">
            <w:r>
              <w:rPr>
                <w:noProof/>
                <w:lang w:eastAsia="en-GB"/>
              </w:rPr>
              <w:drawing>
                <wp:inline distT="0" distB="0" distL="0" distR="0" wp14:anchorId="5CB0FC6B" wp14:editId="23E4DF89">
                  <wp:extent cx="2809673" cy="29521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HP.PNG"/>
                          <pic:cNvPicPr/>
                        </pic:nvPicPr>
                        <pic:blipFill rotWithShape="1">
                          <a:blip r:embed="rId15">
                            <a:extLst>
                              <a:ext uri="{28A0092B-C50C-407E-A947-70E740481C1C}">
                                <a14:useLocalDpi xmlns:a14="http://schemas.microsoft.com/office/drawing/2010/main" val="0"/>
                              </a:ext>
                            </a:extLst>
                          </a:blip>
                          <a:srcRect l="8747" t="5489"/>
                          <a:stretch/>
                        </pic:blipFill>
                        <pic:spPr bwMode="auto">
                          <a:xfrm>
                            <a:off x="0" y="0"/>
                            <a:ext cx="2821966" cy="2965031"/>
                          </a:xfrm>
                          <a:prstGeom prst="rect">
                            <a:avLst/>
                          </a:prstGeom>
                          <a:ln>
                            <a:noFill/>
                          </a:ln>
                          <a:extLst>
                            <a:ext uri="{53640926-AAD7-44D8-BBD7-CCE9431645EC}">
                              <a14:shadowObscured xmlns:a14="http://schemas.microsoft.com/office/drawing/2010/main"/>
                            </a:ext>
                          </a:extLst>
                        </pic:spPr>
                      </pic:pic>
                    </a:graphicData>
                  </a:graphic>
                </wp:inline>
              </w:drawing>
            </w:r>
          </w:p>
        </w:tc>
        <w:tc>
          <w:tcPr>
            <w:tcW w:w="4505" w:type="dxa"/>
            <w:vAlign w:val="center"/>
          </w:tcPr>
          <w:p w14:paraId="69A89F2D" w14:textId="4C0FFB20" w:rsidR="00EB1A80" w:rsidRDefault="00EB1A80" w:rsidP="00525422">
            <w:r>
              <w:rPr>
                <w:noProof/>
                <w:lang w:eastAsia="en-GB"/>
              </w:rPr>
              <w:drawing>
                <wp:inline distT="0" distB="0" distL="0" distR="0" wp14:anchorId="1C21D571" wp14:editId="3B856203">
                  <wp:extent cx="2593340" cy="1537089"/>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HP_F.PNG"/>
                          <pic:cNvPicPr/>
                        </pic:nvPicPr>
                        <pic:blipFill rotWithShape="1">
                          <a:blip r:embed="rId16">
                            <a:extLst>
                              <a:ext uri="{28A0092B-C50C-407E-A947-70E740481C1C}">
                                <a14:useLocalDpi xmlns:a14="http://schemas.microsoft.com/office/drawing/2010/main" val="0"/>
                              </a:ext>
                            </a:extLst>
                          </a:blip>
                          <a:srcRect b="7465"/>
                          <a:stretch/>
                        </pic:blipFill>
                        <pic:spPr bwMode="auto">
                          <a:xfrm>
                            <a:off x="0" y="0"/>
                            <a:ext cx="2611604" cy="1547914"/>
                          </a:xfrm>
                          <a:prstGeom prst="rect">
                            <a:avLst/>
                          </a:prstGeom>
                          <a:ln>
                            <a:noFill/>
                          </a:ln>
                          <a:extLst>
                            <a:ext uri="{53640926-AAD7-44D8-BBD7-CCE9431645EC}">
                              <a14:shadowObscured xmlns:a14="http://schemas.microsoft.com/office/drawing/2010/main"/>
                            </a:ext>
                          </a:extLst>
                        </pic:spPr>
                      </pic:pic>
                    </a:graphicData>
                  </a:graphic>
                </wp:inline>
              </w:drawing>
            </w:r>
          </w:p>
        </w:tc>
      </w:tr>
      <w:tr w:rsidR="00EB1A80" w14:paraId="6C520C7A" w14:textId="77777777" w:rsidTr="0042546E">
        <w:trPr>
          <w:trHeight w:val="2781"/>
        </w:trPr>
        <w:tc>
          <w:tcPr>
            <w:tcW w:w="4505" w:type="dxa"/>
            <w:vMerge/>
          </w:tcPr>
          <w:p w14:paraId="6EEBA233" w14:textId="77777777" w:rsidR="00EB1A80" w:rsidRDefault="00EB1A80" w:rsidP="00525422"/>
        </w:tc>
        <w:tc>
          <w:tcPr>
            <w:tcW w:w="4505" w:type="dxa"/>
            <w:vAlign w:val="center"/>
          </w:tcPr>
          <w:p w14:paraId="60BA761C" w14:textId="252ED08F" w:rsidR="00EB1A80" w:rsidRDefault="00EB1A80" w:rsidP="00525422">
            <w:pPr>
              <w:keepNext/>
              <w:jc w:val="right"/>
            </w:pPr>
            <w:r>
              <w:rPr>
                <w:noProof/>
                <w:lang w:eastAsia="en-GB"/>
              </w:rPr>
              <w:drawing>
                <wp:inline distT="0" distB="0" distL="0" distR="0" wp14:anchorId="1003C702" wp14:editId="1C0FFBD1">
                  <wp:extent cx="2649183" cy="1543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HP_M.PNG"/>
                          <pic:cNvPicPr/>
                        </pic:nvPicPr>
                        <pic:blipFill rotWithShape="1">
                          <a:blip r:embed="rId17">
                            <a:extLst>
                              <a:ext uri="{28A0092B-C50C-407E-A947-70E740481C1C}">
                                <a14:useLocalDpi xmlns:a14="http://schemas.microsoft.com/office/drawing/2010/main" val="0"/>
                              </a:ext>
                            </a:extLst>
                          </a:blip>
                          <a:srcRect t="1" b="4162"/>
                          <a:stretch/>
                        </pic:blipFill>
                        <pic:spPr bwMode="auto">
                          <a:xfrm>
                            <a:off x="0" y="0"/>
                            <a:ext cx="2691085" cy="1567457"/>
                          </a:xfrm>
                          <a:prstGeom prst="rect">
                            <a:avLst/>
                          </a:prstGeom>
                          <a:ln>
                            <a:noFill/>
                          </a:ln>
                          <a:extLst>
                            <a:ext uri="{53640926-AAD7-44D8-BBD7-CCE9431645EC}">
                              <a14:shadowObscured xmlns:a14="http://schemas.microsoft.com/office/drawing/2010/main"/>
                            </a:ext>
                          </a:extLst>
                        </pic:spPr>
                      </pic:pic>
                    </a:graphicData>
                  </a:graphic>
                </wp:inline>
              </w:drawing>
            </w:r>
          </w:p>
        </w:tc>
      </w:tr>
    </w:tbl>
    <w:p w14:paraId="4BBEA767" w14:textId="3F4D2695" w:rsidR="00EB1A80" w:rsidRPr="00EB1A80" w:rsidRDefault="00EB1A80" w:rsidP="00525422">
      <w:pPr>
        <w:pStyle w:val="Caption"/>
      </w:pPr>
      <w:r>
        <w:t xml:space="preserve">Figure </w:t>
      </w:r>
      <w:r w:rsidR="006C4073">
        <w:rPr>
          <w:noProof/>
        </w:rPr>
        <w:fldChar w:fldCharType="begin"/>
      </w:r>
      <w:r w:rsidR="006C4073">
        <w:rPr>
          <w:noProof/>
        </w:rPr>
        <w:instrText xml:space="preserve"> SEQ Figure \* ARABIC </w:instrText>
      </w:r>
      <w:r w:rsidR="006C4073">
        <w:rPr>
          <w:noProof/>
        </w:rPr>
        <w:fldChar w:fldCharType="separate"/>
      </w:r>
      <w:r>
        <w:rPr>
          <w:noProof/>
        </w:rPr>
        <w:t>6</w:t>
      </w:r>
      <w:r w:rsidR="006C4073">
        <w:rPr>
          <w:noProof/>
        </w:rPr>
        <w:fldChar w:fldCharType="end"/>
      </w:r>
      <w:r>
        <w:t xml:space="preserve"> - AHP results for the four dimensions assessed (left), and the same results clustered according to a gender analysis for female (upper right) and male (lower right) experts</w:t>
      </w:r>
    </w:p>
    <w:p w14:paraId="375EB010" w14:textId="7B54674D" w:rsidR="0076532B" w:rsidRDefault="0042546E" w:rsidP="00525422">
      <w:r>
        <w:t>A</w:t>
      </w:r>
      <w:r w:rsidR="00747853">
        <w:t>n additional,</w:t>
      </w:r>
      <w:r>
        <w:t xml:space="preserve"> interesting finding that emerged from analysing the AHP results is the staggering difference in sustainability considerations when results are clustered according to the gender of our experts. Female experts felt </w:t>
      </w:r>
      <w:r w:rsidR="00B2384C">
        <w:t xml:space="preserve">strongly </w:t>
      </w:r>
      <w:r>
        <w:t>that social suitability was by far the most important dimension, making up for more than half of the total share. This is followed by technical performance that scored somewhat higher (20%) than economic viability (15%). Environmental impacts are considered as the least important dimension in PDPC sheltering by female experts, making up for just 13% of the total. This is wholly reversed when the analysis moves to male experts. For them, it is the environmental dimension which deserves the greatest attention (50%),</w:t>
      </w:r>
      <w:r w:rsidR="005215BA">
        <w:t xml:space="preserve"> followed by the social one (23%). Economic </w:t>
      </w:r>
      <w:r w:rsidR="00B2384C">
        <w:t xml:space="preserve">(16%) </w:t>
      </w:r>
      <w:r w:rsidR="005215BA">
        <w:t>and technical considerations follow, but the technical performance, which was the second most important dimension for female experts, is surprisingly barely considered by the male experts</w:t>
      </w:r>
      <w:r w:rsidR="00B2384C">
        <w:t>,</w:t>
      </w:r>
      <w:r w:rsidR="005215BA">
        <w:t xml:space="preserve"> totalling just 11%. Such significant polarisation of results was not observed when the results </w:t>
      </w:r>
      <w:r w:rsidR="00C77587">
        <w:t>were analysed against</w:t>
      </w:r>
      <w:r w:rsidR="005215BA">
        <w:t xml:space="preserve"> other commonalities related to </w:t>
      </w:r>
      <w:r w:rsidR="00AF556A">
        <w:t>the</w:t>
      </w:r>
      <w:r w:rsidR="005215BA">
        <w:t xml:space="preserve"> experts, for instance their geographical location. Explaining why results were so significantly different between male and female experts goes beyond the scope of this research, but our findings suggest that gender might well play a fundamental role in sustainability considerations and how </w:t>
      </w:r>
      <w:r w:rsidR="00C86BA1">
        <w:t>different elements</w:t>
      </w:r>
      <w:r w:rsidR="005215BA">
        <w:t xml:space="preserve"> are prioritised</w:t>
      </w:r>
      <w:r w:rsidR="00C86BA1">
        <w:t>.</w:t>
      </w:r>
      <w:r w:rsidR="005215BA">
        <w:t xml:space="preserve"> </w:t>
      </w:r>
      <w:r w:rsidR="00C86BA1">
        <w:t>A</w:t>
      </w:r>
      <w:r w:rsidR="005215BA">
        <w:t xml:space="preserve">s such, </w:t>
      </w:r>
      <w:r w:rsidR="00C86BA1" w:rsidRPr="00C86BA1">
        <w:t xml:space="preserve">gender perspectives and priorities in PDPC situations </w:t>
      </w:r>
      <w:r w:rsidR="005215BA">
        <w:t xml:space="preserve">certainly represent an interesting </w:t>
      </w:r>
      <w:r w:rsidR="00C86BA1">
        <w:t xml:space="preserve">and important </w:t>
      </w:r>
      <w:r w:rsidR="005215BA">
        <w:t xml:space="preserve">area for further research.  </w:t>
      </w:r>
    </w:p>
    <w:p w14:paraId="305A70F0" w14:textId="4B20F5C8" w:rsidR="006E18B5" w:rsidRDefault="004D180C" w:rsidP="00525422">
      <w:pPr>
        <w:pStyle w:val="Heading2"/>
      </w:pPr>
      <w:r>
        <w:t>5</w:t>
      </w:r>
      <w:r w:rsidR="006E18B5">
        <w:t xml:space="preserve">.2 </w:t>
      </w:r>
      <w:r w:rsidR="00A37589">
        <w:t>Ranked results</w:t>
      </w:r>
    </w:p>
    <w:p w14:paraId="003E556B" w14:textId="447C3A0C" w:rsidR="005215BA" w:rsidRDefault="005215BA" w:rsidP="00525422"/>
    <w:p w14:paraId="6CCBA850" w14:textId="5E144E7D" w:rsidR="005215BA" w:rsidRPr="005215BA" w:rsidRDefault="005215BA" w:rsidP="00525422">
      <w:r>
        <w:t xml:space="preserve">The ultimate scope of having AHP weights was to use them to determine </w:t>
      </w:r>
      <w:r w:rsidR="007F0656">
        <w:t xml:space="preserve">single </w:t>
      </w:r>
      <w:r>
        <w:t xml:space="preserve">overall scores for the </w:t>
      </w:r>
      <w:r w:rsidR="00171262">
        <w:t xml:space="preserve">allowable solutions identified for both the load-bearing structure and the roof. These are shown in Figure 7. As explained in the methodology section, a lower score indicates better performance due to how the Likert scale was presented to the experts.  </w:t>
      </w:r>
    </w:p>
    <w:p w14:paraId="6C4AB071" w14:textId="0659BFBA" w:rsidR="0076532B" w:rsidRDefault="0076532B" w:rsidP="00525422">
      <w:pPr>
        <w:rPr>
          <w:b/>
        </w:rPr>
      </w:pPr>
    </w:p>
    <w:tbl>
      <w:tblPr>
        <w:tblStyle w:val="TableGrid"/>
        <w:tblW w:w="949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76532B" w14:paraId="37638FB9" w14:textId="77777777" w:rsidTr="00EB1A80">
        <w:tc>
          <w:tcPr>
            <w:tcW w:w="9498" w:type="dxa"/>
          </w:tcPr>
          <w:p w14:paraId="2CA0FF01" w14:textId="700BE1FE" w:rsidR="0076532B" w:rsidRDefault="00B2384C" w:rsidP="00525422">
            <w:pPr>
              <w:rPr>
                <w:b/>
              </w:rPr>
            </w:pPr>
            <w:r w:rsidRPr="00EB1A80">
              <w:rPr>
                <w:sz w:val="20"/>
              </w:rPr>
              <w:t>(a)</w:t>
            </w:r>
            <w:r w:rsidR="0076532B">
              <w:rPr>
                <w:b/>
                <w:noProof/>
                <w:lang w:eastAsia="en-GB"/>
              </w:rPr>
              <w:drawing>
                <wp:inline distT="0" distB="0" distL="0" distR="0" wp14:anchorId="771D96F6" wp14:editId="43180202">
                  <wp:extent cx="5613396" cy="1467449"/>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ructure-weighted.PNG"/>
                          <pic:cNvPicPr/>
                        </pic:nvPicPr>
                        <pic:blipFill>
                          <a:blip r:embed="rId18">
                            <a:extLst>
                              <a:ext uri="{28A0092B-C50C-407E-A947-70E740481C1C}">
                                <a14:useLocalDpi xmlns:a14="http://schemas.microsoft.com/office/drawing/2010/main" val="0"/>
                              </a:ext>
                            </a:extLst>
                          </a:blip>
                          <a:stretch>
                            <a:fillRect/>
                          </a:stretch>
                        </pic:blipFill>
                        <pic:spPr>
                          <a:xfrm>
                            <a:off x="0" y="0"/>
                            <a:ext cx="5613396" cy="1467449"/>
                          </a:xfrm>
                          <a:prstGeom prst="rect">
                            <a:avLst/>
                          </a:prstGeom>
                        </pic:spPr>
                      </pic:pic>
                    </a:graphicData>
                  </a:graphic>
                </wp:inline>
              </w:drawing>
            </w:r>
          </w:p>
        </w:tc>
      </w:tr>
      <w:tr w:rsidR="0076532B" w14:paraId="2AD58922" w14:textId="77777777" w:rsidTr="00EB1A80">
        <w:tc>
          <w:tcPr>
            <w:tcW w:w="9498" w:type="dxa"/>
          </w:tcPr>
          <w:p w14:paraId="018D7531" w14:textId="12E9B234" w:rsidR="0076532B" w:rsidRDefault="00B2384C" w:rsidP="00525422">
            <w:pPr>
              <w:keepNext/>
              <w:rPr>
                <w:b/>
              </w:rPr>
            </w:pPr>
            <w:r w:rsidRPr="00EB1A80">
              <w:rPr>
                <w:sz w:val="20"/>
              </w:rPr>
              <w:t>(b)</w:t>
            </w:r>
            <w:r w:rsidR="0076532B">
              <w:rPr>
                <w:b/>
                <w:noProof/>
                <w:lang w:eastAsia="en-GB"/>
              </w:rPr>
              <w:drawing>
                <wp:inline distT="0" distB="0" distL="0" distR="0" wp14:anchorId="0DC1F69D" wp14:editId="46B1A5C3">
                  <wp:extent cx="5618480" cy="2854711"/>
                  <wp:effectExtent l="0" t="0" r="127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of-weighred.PNG"/>
                          <pic:cNvPicPr/>
                        </pic:nvPicPr>
                        <pic:blipFill>
                          <a:blip r:embed="rId19">
                            <a:extLst>
                              <a:ext uri="{28A0092B-C50C-407E-A947-70E740481C1C}">
                                <a14:useLocalDpi xmlns:a14="http://schemas.microsoft.com/office/drawing/2010/main" val="0"/>
                              </a:ext>
                            </a:extLst>
                          </a:blip>
                          <a:stretch>
                            <a:fillRect/>
                          </a:stretch>
                        </pic:blipFill>
                        <pic:spPr>
                          <a:xfrm>
                            <a:off x="0" y="0"/>
                            <a:ext cx="5665810" cy="2878759"/>
                          </a:xfrm>
                          <a:prstGeom prst="rect">
                            <a:avLst/>
                          </a:prstGeom>
                        </pic:spPr>
                      </pic:pic>
                    </a:graphicData>
                  </a:graphic>
                </wp:inline>
              </w:drawing>
            </w:r>
          </w:p>
        </w:tc>
      </w:tr>
    </w:tbl>
    <w:p w14:paraId="3C1CF932" w14:textId="4C4AFBF2" w:rsidR="0076532B" w:rsidRDefault="00EB1A80" w:rsidP="00525422">
      <w:pPr>
        <w:pStyle w:val="Caption"/>
        <w:rPr>
          <w:b/>
        </w:rPr>
      </w:pPr>
      <w:r>
        <w:t xml:space="preserve">Figure </w:t>
      </w:r>
      <w:r w:rsidR="006C4073">
        <w:rPr>
          <w:noProof/>
        </w:rPr>
        <w:fldChar w:fldCharType="begin"/>
      </w:r>
      <w:r w:rsidR="006C4073">
        <w:rPr>
          <w:noProof/>
        </w:rPr>
        <w:instrText xml:space="preserve"> SEQ Figure \* ARABIC </w:instrText>
      </w:r>
      <w:r w:rsidR="006C4073">
        <w:rPr>
          <w:noProof/>
        </w:rPr>
        <w:fldChar w:fldCharType="separate"/>
      </w:r>
      <w:r>
        <w:rPr>
          <w:noProof/>
        </w:rPr>
        <w:t>7</w:t>
      </w:r>
      <w:r w:rsidR="006C4073">
        <w:rPr>
          <w:noProof/>
        </w:rPr>
        <w:fldChar w:fldCharType="end"/>
      </w:r>
      <w:r>
        <w:t xml:space="preserve"> - Weighted results for the allowable solutions identified for both the structure (a) and the roof (b). Lower values indicate better performance. </w:t>
      </w:r>
    </w:p>
    <w:p w14:paraId="0D1018BF" w14:textId="30044355" w:rsidR="005D26AC" w:rsidRDefault="005D26AC" w:rsidP="00525422">
      <w:r>
        <w:t xml:space="preserve">Given the predominance of social suitability from the overall AHP results (Figure 6), which included sub-criteria such as local involvement and familiarity to people, it </w:t>
      </w:r>
      <w:r w:rsidR="00B2384C">
        <w:t>is unsurprising</w:t>
      </w:r>
      <w:r>
        <w:t xml:space="preserve"> that the solutions with better performance are those </w:t>
      </w:r>
      <w:r w:rsidR="00BF60DE">
        <w:t>that align greatly with those two sub-criteria. For instance</w:t>
      </w:r>
      <w:r w:rsidR="007F0656">
        <w:t>,</w:t>
      </w:r>
      <w:r w:rsidR="00BF60DE">
        <w:t xml:space="preserve"> sundried bricks (Figure 7a) are the best-performing option for the load bearing structure </w:t>
      </w:r>
      <w:r w:rsidR="006A2629">
        <w:t>because this solutions strongly relies</w:t>
      </w:r>
      <w:r w:rsidR="00BF60DE">
        <w:t xml:space="preserve"> on the local involvement of affected communities and, in the African context, it is also a technique likely to be known to many. Similarly, when it comes to the roof (Figure 7b), a pitched roof made of a natural frame covered by thatch or grass was the one with the be</w:t>
      </w:r>
      <w:r w:rsidR="00DE08E0">
        <w:t>st</w:t>
      </w:r>
      <w:r w:rsidR="00BF60DE">
        <w:t xml:space="preserve"> score. However, the weights obtained from the AHP have neared significantly different solutions which were further apart</w:t>
      </w:r>
      <w:r w:rsidR="00B2384C">
        <w:t xml:space="preserve"> previously</w:t>
      </w:r>
      <w:r w:rsidR="00BF60DE">
        <w:t xml:space="preserve"> (Figure 5). For instance, in the case of the roof, apart from the clear winner mentioned above and the clear losers (concrete frame and natural frame with plastic sheeting), all other solutions are within 10 points of one another. This suggests that the preferred solution can differ depending on the context, and that there are more nuances to be considered rather than aiming to find an overall best performer</w:t>
      </w:r>
      <w:r w:rsidR="006A2629">
        <w:t xml:space="preserve"> for Africa. </w:t>
      </w:r>
    </w:p>
    <w:p w14:paraId="09C23E38" w14:textId="28690B25" w:rsidR="009B5C4B" w:rsidRPr="005215BA" w:rsidRDefault="004D180C" w:rsidP="00525422">
      <w:pPr>
        <w:pStyle w:val="Heading1"/>
      </w:pPr>
      <w:r>
        <w:t>6</w:t>
      </w:r>
      <w:r w:rsidR="00173A2F">
        <w:t>. C</w:t>
      </w:r>
      <w:r w:rsidR="001243BF">
        <w:t>onclusions</w:t>
      </w:r>
    </w:p>
    <w:p w14:paraId="3482C8FC" w14:textId="25A68896" w:rsidR="00C17A22" w:rsidRDefault="00C17A22" w:rsidP="00525422">
      <w:pPr>
        <w:rPr>
          <w:b/>
        </w:rPr>
      </w:pPr>
    </w:p>
    <w:p w14:paraId="3D6B2982" w14:textId="3AE243D8" w:rsidR="006A2629" w:rsidRDefault="007800A8" w:rsidP="00525422">
      <w:r>
        <w:t xml:space="preserve">Natural disasters and </w:t>
      </w:r>
      <w:r w:rsidRPr="007800A8">
        <w:t>humanitarian crises have increased in frequency, impacting more people and for longer</w:t>
      </w:r>
      <w:r>
        <w:t xml:space="preserve">.  </w:t>
      </w:r>
      <w:r w:rsidRPr="007800A8">
        <w:t>The United Nations High Commissioner for Refugees</w:t>
      </w:r>
      <w:r>
        <w:t xml:space="preserve"> classifies those people as </w:t>
      </w:r>
      <w:r w:rsidR="00FD0126">
        <w:t>forcibly displaced</w:t>
      </w:r>
      <w:r>
        <w:t xml:space="preserve">, and Africa alone hosts about half of the global total. Post-disaster and post-conflict (PDPC) sheltering is therefore a global humanitarian concern, which </w:t>
      </w:r>
      <w:r w:rsidR="00B2384C">
        <w:t xml:space="preserve">substantially </w:t>
      </w:r>
      <w:r>
        <w:t xml:space="preserve">impacts millions of lives. PDPC is often framed in terms of urgency and emergency and this has </w:t>
      </w:r>
      <w:r w:rsidR="00B2384C">
        <w:t>resulted in</w:t>
      </w:r>
      <w:r>
        <w:t xml:space="preserve"> sustainability considerations seldom </w:t>
      </w:r>
      <w:r w:rsidR="00B2384C">
        <w:t xml:space="preserve">being </w:t>
      </w:r>
      <w:r>
        <w:t xml:space="preserve">accounted for, despite </w:t>
      </w:r>
      <w:r w:rsidR="00B2384C">
        <w:t xml:space="preserve">the fact that </w:t>
      </w:r>
      <w:r>
        <w:t xml:space="preserve">many refugee camps are as big as medium-sized cities. This article therefore intended to shed light on the sustainability of PDPC sheltering by adopting a mixed method research approach to tap into expertise on both the African context as well as refugees’ sheltering. </w:t>
      </w:r>
    </w:p>
    <w:p w14:paraId="6A7C19B5" w14:textId="77777777" w:rsidR="006A2629" w:rsidRDefault="006A2629" w:rsidP="00525422"/>
    <w:p w14:paraId="4CD8AC59" w14:textId="15518E90" w:rsidR="00756A1B" w:rsidRDefault="007800A8" w:rsidP="00525422">
      <w:r>
        <w:t>Through multiple rounds of Delphi and the use of AHP</w:t>
      </w:r>
      <w:r w:rsidR="000C10BF">
        <w:t>,</w:t>
      </w:r>
      <w:r>
        <w:t xml:space="preserve"> </w:t>
      </w:r>
      <w:r w:rsidR="0087757D">
        <w:t>the</w:t>
      </w:r>
      <w:r>
        <w:t xml:space="preserve"> aim was twofold. First, we </w:t>
      </w:r>
      <w:r w:rsidR="003132A4">
        <w:t>sought</w:t>
      </w:r>
      <w:r>
        <w:t xml:space="preserve"> to identify allowable solutions that would work for PDPC in Africa and assess their performance across four main sustainability dimensions: social suitability, environmental impacts, technical performance, and economic viability. Second, we wanted to establish the relative weights that those dimensions have when evaluated comparatively. </w:t>
      </w:r>
      <w:r w:rsidR="00DD57EE">
        <w:t>It emerged</w:t>
      </w:r>
      <w:r w:rsidR="009A244C">
        <w:t xml:space="preserve"> that social and environmental considerations are the most important sustainability dimensions for PDPC sheltering in Africa</w:t>
      </w:r>
      <w:r w:rsidR="000C10BF">
        <w:t>,</w:t>
      </w:r>
      <w:r w:rsidR="009A244C">
        <w:t xml:space="preserve"> according to our diverse panel of experts. We also found that results vary greatly if they are clustered and analysed according to the expert’s gender. Female experts ranked social sustainability the highest and environmental sustainability the lowest. Male experts conversely ranked environmental sustainability the highest, but social sustainability was second (and not last) in importance. Our results suggest that solutions which are familiar to people and involve them as much as possible, and that are made of natural and local materials would be preferred from an overall sustainability perspective. However, for many of the solutions analysed results are relatively close, suggesting that several solutions might work best depending on the context and on which specific criterion is to be prioritised in a given context. </w:t>
      </w:r>
    </w:p>
    <w:p w14:paraId="2BE77722" w14:textId="5466B94F" w:rsidR="009A244C" w:rsidRDefault="009A244C" w:rsidP="00525422"/>
    <w:p w14:paraId="31CCE18D" w14:textId="71DC41FE" w:rsidR="0080651B" w:rsidRDefault="0080651B" w:rsidP="00525422">
      <w:r>
        <w:t xml:space="preserve">This study has a number of limitations, which can also point towards future work. The </w:t>
      </w:r>
      <w:r w:rsidR="009A244C">
        <w:t xml:space="preserve">expert panel, while meeting </w:t>
      </w:r>
      <w:r>
        <w:t xml:space="preserve">existing </w:t>
      </w:r>
      <w:r w:rsidR="009A244C">
        <w:t xml:space="preserve">guidelines for Delphi studies and AHP, was </w:t>
      </w:r>
      <w:r>
        <w:t>limited to only nine people</w:t>
      </w:r>
      <w:r w:rsidR="009A244C">
        <w:t>.</w:t>
      </w:r>
      <w:r>
        <w:t xml:space="preserve"> Bro</w:t>
      </w:r>
      <w:r w:rsidR="000C10BF">
        <w:t>a</w:t>
      </w:r>
      <w:r>
        <w:t>der groups of experts could produce different results and therefore our findings could be further evaluated when the number of experts involved increases.</w:t>
      </w:r>
      <w:r w:rsidR="009A244C">
        <w:t xml:space="preserve"> </w:t>
      </w:r>
      <w:r>
        <w:t>This represents an interesting area for further research, either as a broader Delphi, or through</w:t>
      </w:r>
      <w:r w:rsidR="009A244C">
        <w:t xml:space="preserve"> other means such as surveys, questionnaires </w:t>
      </w:r>
      <w:r w:rsidR="006A2629">
        <w:t xml:space="preserve">and </w:t>
      </w:r>
      <w:r w:rsidR="009A244C">
        <w:t xml:space="preserve">interviews to gather the views of a larger number of people and even more stakeholders. </w:t>
      </w:r>
      <w:r>
        <w:t xml:space="preserve">Another limitation consisted </w:t>
      </w:r>
      <w:r w:rsidR="000C10BF">
        <w:t>of</w:t>
      </w:r>
      <w:r>
        <w:t xml:space="preserve"> using existing solutions and novel designs for post-disaster and post-conflict sheltering to identify sustainability factors and elicit the experts’ opinion. This could have limited their freedom </w:t>
      </w:r>
      <w:r w:rsidR="000C10BF">
        <w:t xml:space="preserve">somewhat </w:t>
      </w:r>
      <w:r>
        <w:t xml:space="preserve">in identifying alternative solutions which have not yet been used nor even designed. Using the findings from our work as the inputs to a design exercise with no boundaries could therefore be interesting </w:t>
      </w:r>
      <w:r w:rsidR="000C10BF">
        <w:t xml:space="preserve">for </w:t>
      </w:r>
      <w:r>
        <w:t xml:space="preserve">future work. Similarly, reviewing existing solutions in light of the comparative weights that we have identified could add a quantitative, </w:t>
      </w:r>
      <w:r w:rsidR="006A2629">
        <w:t xml:space="preserve">more </w:t>
      </w:r>
      <w:r>
        <w:t xml:space="preserve">holistic metric to the sustainability evaluations of PDPC solutions </w:t>
      </w:r>
      <w:r w:rsidR="006A2629">
        <w:t>for</w:t>
      </w:r>
      <w:r>
        <w:t xml:space="preserve"> Africa. </w:t>
      </w:r>
      <w:r w:rsidR="00761D1E">
        <w:t xml:space="preserve">In this article, we focused on the generic definition of post-disaster </w:t>
      </w:r>
      <w:r w:rsidR="000C10BF">
        <w:t xml:space="preserve">and </w:t>
      </w:r>
      <w:r w:rsidR="00761D1E">
        <w:t xml:space="preserve">post-conflict sheltering, to capture the sudden need for large numbers of people to relocate, thus triggering an unplanned increase in sheltering demand. However, the post-disaster and post-conflict contexts are very different and while technical solutions that work for one might also work for the other, the operating environment (e.g. actors involved, in-country support, etc.) is utterly different. This represents a further limitation of our work and future research could have a deeper focus to represent the peculiarities of the two contexts. </w:t>
      </w:r>
      <w:r w:rsidR="006A2629">
        <w:t xml:space="preserve">Lastly, the gender polarisation in the results that we observed is an interesting trait which deserves to be further investigated with broader numbers to support conclusive claims. </w:t>
      </w:r>
    </w:p>
    <w:p w14:paraId="04DA06A8" w14:textId="77777777" w:rsidR="0080651B" w:rsidRDefault="0080651B" w:rsidP="00525422"/>
    <w:p w14:paraId="03DFDEF1" w14:textId="79A0B353" w:rsidR="009A244C" w:rsidRDefault="009A244C" w:rsidP="00525422">
      <w:r>
        <w:t xml:space="preserve">It is hoped that by enriching and broadening our understanding of sustainability considerations in </w:t>
      </w:r>
      <w:r w:rsidR="006A2629">
        <w:t xml:space="preserve">post-disaster and post-conflict </w:t>
      </w:r>
      <w:r>
        <w:t xml:space="preserve">sheltering we </w:t>
      </w:r>
      <w:r w:rsidR="0080651B">
        <w:t xml:space="preserve">will </w:t>
      </w:r>
      <w:r>
        <w:t>be able to move away from an urgency-driven operating mode and develop effective solutions that are tailored to the context of use</w:t>
      </w:r>
      <w:r w:rsidR="0080651B">
        <w:t xml:space="preserve"> and sustainable in both the short- and long-terms</w:t>
      </w:r>
      <w:r>
        <w:t xml:space="preserve">.  </w:t>
      </w:r>
    </w:p>
    <w:p w14:paraId="71BC08AE" w14:textId="77777777" w:rsidR="007800A8" w:rsidRDefault="007800A8" w:rsidP="00525422"/>
    <w:p w14:paraId="6F62B627" w14:textId="63430C4E" w:rsidR="00034C32" w:rsidRPr="003C7069" w:rsidRDefault="003C7069" w:rsidP="00525422">
      <w:pPr>
        <w:jc w:val="both"/>
      </w:pPr>
      <w:r w:rsidRPr="005215BA">
        <w:rPr>
          <w:rFonts w:eastAsiaTheme="majorEastAsia" w:cstheme="majorBidi"/>
          <w:b/>
          <w:szCs w:val="32"/>
        </w:rPr>
        <w:t>Acknowledgements:</w:t>
      </w:r>
      <w:r w:rsidRPr="003C7069">
        <w:t xml:space="preserve"> </w:t>
      </w:r>
      <w:r w:rsidRPr="003C7069">
        <w:rPr>
          <w:rFonts w:eastAsia="Times New Roman" w:cs="Times New Roman"/>
          <w:lang w:val="en-US" w:eastAsia="en-AU"/>
        </w:rPr>
        <w:t xml:space="preserve">This work was financially supported by </w:t>
      </w:r>
      <w:r w:rsidR="00BF65AA">
        <w:rPr>
          <w:rFonts w:eastAsia="Times New Roman" w:cs="Times New Roman"/>
          <w:lang w:val="en-US" w:eastAsia="en-AU"/>
        </w:rPr>
        <w:t xml:space="preserve">the Royal Academy of Engineering under the Frontiers of Engineering for Development Scheme (Grant No. </w:t>
      </w:r>
      <w:r w:rsidR="00BF65AA" w:rsidRPr="00BF65AA">
        <w:rPr>
          <w:rFonts w:eastAsia="Times New Roman" w:cs="Times New Roman"/>
          <w:lang w:val="en-US" w:eastAsia="en-AU"/>
        </w:rPr>
        <w:t>FoESFt5\100015</w:t>
      </w:r>
      <w:r w:rsidR="00BF65AA">
        <w:rPr>
          <w:rFonts w:eastAsia="Times New Roman" w:cs="Times New Roman"/>
          <w:lang w:val="en-US" w:eastAsia="en-AU"/>
        </w:rPr>
        <w:t xml:space="preserve">). </w:t>
      </w:r>
      <w:r w:rsidR="00A37589">
        <w:rPr>
          <w:rFonts w:eastAsia="Times New Roman" w:cs="Times New Roman"/>
          <w:lang w:val="en-US" w:eastAsia="en-AU"/>
        </w:rPr>
        <w:t xml:space="preserve">The authors express their gratitude to the panel members who provided their expertise for this research. </w:t>
      </w:r>
      <w:r w:rsidR="0059012A">
        <w:rPr>
          <w:rFonts w:eastAsia="Times New Roman" w:cs="Times New Roman"/>
          <w:lang w:val="en-US" w:eastAsia="en-AU"/>
        </w:rPr>
        <w:t xml:space="preserve">Grateful thanks to Miss Ruth Saint for proofreading the article. </w:t>
      </w:r>
    </w:p>
    <w:p w14:paraId="3A1C50A2" w14:textId="70D77F00" w:rsidR="00C17A22" w:rsidRPr="005215BA" w:rsidRDefault="00C17A22" w:rsidP="00525422">
      <w:pPr>
        <w:pStyle w:val="Heading1"/>
      </w:pPr>
      <w:r>
        <w:t xml:space="preserve">References </w:t>
      </w:r>
    </w:p>
    <w:p w14:paraId="1275958D" w14:textId="6C5447B1" w:rsidR="00DF71CC" w:rsidRPr="00537A84" w:rsidRDefault="00DF71CC" w:rsidP="00525422"/>
    <w:p w14:paraId="30D8F789" w14:textId="77777777" w:rsidR="00950D8A" w:rsidRDefault="00930D5F" w:rsidP="00950D8A">
      <w:pPr>
        <w:pStyle w:val="Bibliography"/>
      </w:pPr>
      <w:r>
        <w:fldChar w:fldCharType="begin"/>
      </w:r>
      <w:r w:rsidR="00BB29FE" w:rsidRPr="00926D2B">
        <w:instrText xml:space="preserve"> ADDIN ZOTERO_BIBL {"uncited":[],"omitted":[],"custom":[]} CSL_BIBLIOGRAPHY </w:instrText>
      </w:r>
      <w:r>
        <w:fldChar w:fldCharType="separate"/>
      </w:r>
      <w:r w:rsidR="00950D8A">
        <w:t>Abrahams, D., 2014. The barriers to environmental sustainability in post-disaster settings: a case study of transitional shelter implementation in Haiti. Disasters 38, S25–S49. https://doi.org/10.1111/disa.12054</w:t>
      </w:r>
    </w:p>
    <w:p w14:paraId="0E9D1785" w14:textId="77777777" w:rsidR="00950D8A" w:rsidRDefault="00950D8A" w:rsidP="00950D8A">
      <w:pPr>
        <w:pStyle w:val="Bibliography"/>
      </w:pPr>
      <w:r>
        <w:t>Ahmed, I., Charlesworth, E.R., 2015. An evaluation framework for assessing resilience of post-disaster housing. International Journal of Disaster Resilience in the Built Environment; Bingley 6, 300–312. http://dx.doi.org.ezproxy.napier.ac.uk/10.1108/IJDRBE-11-2013-0042</w:t>
      </w:r>
    </w:p>
    <w:p w14:paraId="3B9BFE24" w14:textId="77777777" w:rsidR="00950D8A" w:rsidRDefault="00950D8A" w:rsidP="00950D8A">
      <w:pPr>
        <w:pStyle w:val="Bibliography"/>
      </w:pPr>
      <w:r w:rsidRPr="00950D8A">
        <w:rPr>
          <w:lang w:val="it-IT"/>
        </w:rPr>
        <w:t xml:space="preserve">Albadra, D., Coley, D., Hart, J., 2018. </w:t>
      </w:r>
      <w:r>
        <w:t>Toward healthy housing for the displaced. The Journal of Architecture 23, 115–136.</w:t>
      </w:r>
    </w:p>
    <w:p w14:paraId="6A718716" w14:textId="77777777" w:rsidR="00950D8A" w:rsidRDefault="00950D8A" w:rsidP="00950D8A">
      <w:pPr>
        <w:pStyle w:val="Bibliography"/>
      </w:pPr>
      <w:r>
        <w:t>Alshawawreh, L.A., Smith, R.S., Wood, J.B., 2017. Assessing the Sheltering Response in the Middle East: Studying Syrian Camps in Jordan. World Academy of Science, Engineering and Technology, International Journal of Social, Behavioral, Educational, Economic, Business and Industrial Engineering 11, 1993–1999.</w:t>
      </w:r>
    </w:p>
    <w:p w14:paraId="2058594B" w14:textId="77777777" w:rsidR="00950D8A" w:rsidRDefault="00950D8A" w:rsidP="00950D8A">
      <w:pPr>
        <w:pStyle w:val="Bibliography"/>
      </w:pPr>
      <w:r>
        <w:t>Ameyaw, E.E., Hu, Y., Shan, M., Chan, A.P., Le, Y., 2016. Application of Delphi method in construction engineering and management research: a quantitative perspective. Journal of Civil Engineering and Management 22, 991–1000.</w:t>
      </w:r>
    </w:p>
    <w:p w14:paraId="78666736" w14:textId="77777777" w:rsidR="00950D8A" w:rsidRDefault="00950D8A" w:rsidP="00950D8A">
      <w:pPr>
        <w:pStyle w:val="Bibliography"/>
      </w:pPr>
      <w:r>
        <w:t>Amin Hosseini, S.M., de la Fuente, A., Pons, O., 2016. Multi-criteria decision-making method for assessing the sustainability of post-disaster temporary housing units technologies: A case study in Bam, 2003. Sustainable Cities and Society 20, 38–51. https://doi.org/10.1016/j.scs.2015.09.012</w:t>
      </w:r>
    </w:p>
    <w:p w14:paraId="0B928213" w14:textId="77777777" w:rsidR="00950D8A" w:rsidRDefault="00950D8A" w:rsidP="00950D8A">
      <w:pPr>
        <w:pStyle w:val="Bibliography"/>
      </w:pPr>
      <w:r>
        <w:t>Arslan, H., 2007. Re-design, re-use and recycle of temporary houses. Building and Environment 42, 400–406. https://doi.org/10.1016/j.buildenv.2005.07.032</w:t>
      </w:r>
    </w:p>
    <w:p w14:paraId="0E94C555" w14:textId="77777777" w:rsidR="00950D8A" w:rsidRDefault="00950D8A" w:rsidP="00950D8A">
      <w:pPr>
        <w:pStyle w:val="Bibliography"/>
      </w:pPr>
      <w:r>
        <w:t>Arslan, H., Cosgun, N., 2008. Reuse and recycle potentials of the temporary houses after occupancy: Example of Duzce, Turkey. Building and Environment 43, 702–709. https://doi.org/10.1016/j.buildenv.2007.01.051</w:t>
      </w:r>
    </w:p>
    <w:p w14:paraId="7C630AB8" w14:textId="77777777" w:rsidR="00950D8A" w:rsidRDefault="00950D8A" w:rsidP="00950D8A">
      <w:pPr>
        <w:pStyle w:val="Bibliography"/>
      </w:pPr>
      <w:r>
        <w:t>Atmaca, A., Atmaca, N., 2016. Comparative life cycle energy and cost analysis of post-disaster temporary housings. Applied Energy 171, 429–443. https://doi.org/10.1016/j.apenergy.2016.03.058</w:t>
      </w:r>
    </w:p>
    <w:p w14:paraId="7E9F2190" w14:textId="77777777" w:rsidR="00950D8A" w:rsidRDefault="00950D8A" w:rsidP="00950D8A">
      <w:pPr>
        <w:pStyle w:val="Bibliography"/>
      </w:pPr>
      <w:r>
        <w:t>Atmaca, N., 2017. Life-cycle assessment of post-disaster temporary housing. Building Research &amp; Information 45, 524–538. https://doi.org/10.1080/09613218.2015.1127116</w:t>
      </w:r>
    </w:p>
    <w:p w14:paraId="39D780BB" w14:textId="77777777" w:rsidR="00950D8A" w:rsidRDefault="00950D8A" w:rsidP="00950D8A">
      <w:pPr>
        <w:pStyle w:val="Bibliography"/>
      </w:pPr>
      <w:r>
        <w:t>Barakat, S., 2003. Housing reconstruction after conflict and disaster. Humanitarian Policy Group, Network Papers 43, 1–40.</w:t>
      </w:r>
    </w:p>
    <w:p w14:paraId="1B7263AC" w14:textId="77777777" w:rsidR="00950D8A" w:rsidRDefault="00950D8A" w:rsidP="00950D8A">
      <w:pPr>
        <w:pStyle w:val="Bibliography"/>
      </w:pPr>
      <w:r>
        <w:t>Beck, H.E., Zimmermann, N.E., McVicar, T.R., Vergopolan, N., Berg, A., Wood, E.F., 2018. Present and future Köppen-Geiger climate classification maps at 1-km resolution. Scientific Data 5, 180214. https://doi.org/10.1038/sdata.2018.214</w:t>
      </w:r>
    </w:p>
    <w:p w14:paraId="0E6679E1" w14:textId="77777777" w:rsidR="00950D8A" w:rsidRDefault="00950D8A" w:rsidP="00950D8A">
      <w:pPr>
        <w:pStyle w:val="Bibliography"/>
      </w:pPr>
      <w:r>
        <w:t>Benson, P.G., Hill, A.V., Hoffman, T.R., 1982. Manufacturing systems of the future: A Delphi study. Production &amp; Inventory Management 20, 656–674.</w:t>
      </w:r>
    </w:p>
    <w:p w14:paraId="0C5E6FA7" w14:textId="77777777" w:rsidR="00950D8A" w:rsidRDefault="00950D8A" w:rsidP="00950D8A">
      <w:pPr>
        <w:pStyle w:val="Bibliography"/>
      </w:pPr>
      <w:r>
        <w:t>Celentano, G., Escamilla, E.Z., Göswein, V., Habert, G., 2019. A matter of speed: The impact of material choice in post-disaster reconstruction. International Journal of Disaster Risk Reduction 34, 34–44. https://doi.org/10.1016/j.ijdrr.2018.10.026</w:t>
      </w:r>
    </w:p>
    <w:p w14:paraId="1DEE1503" w14:textId="77777777" w:rsidR="00950D8A" w:rsidRDefault="00950D8A" w:rsidP="00950D8A">
      <w:pPr>
        <w:pStyle w:val="Bibliography"/>
      </w:pPr>
      <w:r>
        <w:t>Choi, J.-H., Kang, I.-J., King, S.-S., 2012. Study on the selection of the tsunami shelter using AHP and GIS analysis. Journal of the Korean Society of Surveying, Geodesy, Photogrammetry and Cartography 30, 503–509.</w:t>
      </w:r>
    </w:p>
    <w:p w14:paraId="51A8E889" w14:textId="77777777" w:rsidR="00950D8A" w:rsidRDefault="00950D8A" w:rsidP="00950D8A">
      <w:pPr>
        <w:pStyle w:val="Bibliography"/>
      </w:pPr>
      <w:r>
        <w:t>Clayton, M.J., 1997. Delphi: a technique to harness expert opinion for critical decision‐making tasks in education. Educational Psychology 17, 373–386.</w:t>
      </w:r>
    </w:p>
    <w:p w14:paraId="57ED9E71" w14:textId="77777777" w:rsidR="00950D8A" w:rsidRDefault="00950D8A" w:rsidP="00950D8A">
      <w:pPr>
        <w:pStyle w:val="Bibliography"/>
      </w:pPr>
      <w:r>
        <w:t>Denyer, S., 1978. African traditional architecture: an historical and geographical perspective. Heinemann,.</w:t>
      </w:r>
    </w:p>
    <w:p w14:paraId="51E44A9D" w14:textId="77777777" w:rsidR="00950D8A" w:rsidRDefault="00950D8A" w:rsidP="00950D8A">
      <w:pPr>
        <w:pStyle w:val="Bibliography"/>
      </w:pPr>
      <w:r>
        <w:t>Escamilla, E.Z., Habert, G., 2015. Global or local construction materials for post-disaster reconstruction? Sustainability assessment of twenty post-disaster shelter designs. Building and Environment 92, 692–702. https://doi.org/10.1016/j.buildenv.2015.05.036</w:t>
      </w:r>
    </w:p>
    <w:p w14:paraId="3E0F42A6" w14:textId="77777777" w:rsidR="00950D8A" w:rsidRPr="00950D8A" w:rsidRDefault="00950D8A" w:rsidP="00950D8A">
      <w:pPr>
        <w:pStyle w:val="Bibliography"/>
        <w:rPr>
          <w:lang w:val="it-IT"/>
        </w:rPr>
      </w:pPr>
      <w:r w:rsidRPr="00950D8A">
        <w:rPr>
          <w:lang w:val="it-IT"/>
        </w:rPr>
        <w:t xml:space="preserve">Félix, D., Branco, J.M., Feio, A., 2013. </w:t>
      </w:r>
      <w:r>
        <w:t xml:space="preserve">Temporary housing after disasters: A state of the art survey. </w:t>
      </w:r>
      <w:r w:rsidRPr="00950D8A">
        <w:rPr>
          <w:lang w:val="it-IT"/>
        </w:rPr>
        <w:t>Habitat International 40, 136–141.</w:t>
      </w:r>
    </w:p>
    <w:p w14:paraId="6A7CBD6F" w14:textId="77777777" w:rsidR="00950D8A" w:rsidRDefault="00950D8A" w:rsidP="00950D8A">
      <w:pPr>
        <w:pStyle w:val="Bibliography"/>
      </w:pPr>
      <w:r w:rsidRPr="00950D8A">
        <w:rPr>
          <w:lang w:val="it-IT"/>
        </w:rPr>
        <w:t xml:space="preserve">Fosas, D., Albadra, D., Natarajan, S., Coley, D.A., 2018. </w:t>
      </w:r>
      <w:r>
        <w:t>Refugee housing through cyclic design. Architectural Science Review 61, 327–337. https://doi.org/10.1080/00038628.2018.1502155</w:t>
      </w:r>
    </w:p>
    <w:p w14:paraId="4E7C3114" w14:textId="77777777" w:rsidR="00950D8A" w:rsidRDefault="00950D8A" w:rsidP="00950D8A">
      <w:pPr>
        <w:pStyle w:val="Bibliography"/>
      </w:pPr>
      <w:r>
        <w:t>Franklin, K.K., Hart, J.K., 2007. Idea generation and exploration: Benefits and limitations of the policy Delphi research method. Innovative Higher Education 31, 237–246.</w:t>
      </w:r>
    </w:p>
    <w:p w14:paraId="0D73995F" w14:textId="77777777" w:rsidR="00950D8A" w:rsidRDefault="00950D8A" w:rsidP="00950D8A">
      <w:pPr>
        <w:pStyle w:val="Bibliography"/>
      </w:pPr>
      <w:r>
        <w:t>Google Maps, 2019. Dadaab, Kenya and City of London, London. Available at: https://www.google.co.uk/maps/place/City+of+London,+London/@0.1133055,40.3104577,5999m/data=!3m1!1e3!4m5!3m4!1s0x487603554edf855f:0xa1185c8d19184c0!8m2!3d51.5123443!4d-0.0909852 and https://www.google.co.uk/maps/place/City+of+London,+London/@51.5131175,-0.0938188,5277m/data=!3m1!1e3!4m5!3m4!1s0x487603554edf855f:0xa1185c8d19184c0!8m2!3d51.5123443!4d-0.0909852.</w:t>
      </w:r>
    </w:p>
    <w:p w14:paraId="26CF8178" w14:textId="77777777" w:rsidR="00950D8A" w:rsidRDefault="00950D8A" w:rsidP="00950D8A">
      <w:pPr>
        <w:pStyle w:val="Bibliography"/>
      </w:pPr>
      <w:r>
        <w:t>Guardian, 2011. Dadaab refugee camps: 20 years of living in crisis | Claire Provost and Hamza Mohamed | Global development | The Guardian [WWW Document]. URL https://www.theguardian.com/global-development/2011/mar/24/dadaab-refugee-camps-living-in-crisis (accessed 2.27.19).</w:t>
      </w:r>
    </w:p>
    <w:p w14:paraId="01A695AA" w14:textId="77777777" w:rsidR="00950D8A" w:rsidRDefault="00950D8A" w:rsidP="00950D8A">
      <w:pPr>
        <w:pStyle w:val="Bibliography"/>
      </w:pPr>
      <w:r>
        <w:t>Hammond, G., Jones, C., 2011. Embodied carbon: the inventory of carbon and energy (ICE). BG 10/2011. University of Bath and BSRIA.</w:t>
      </w:r>
    </w:p>
    <w:p w14:paraId="6EC84FA8" w14:textId="77777777" w:rsidR="00950D8A" w:rsidRDefault="00950D8A" w:rsidP="00950D8A">
      <w:pPr>
        <w:pStyle w:val="Bibliography"/>
      </w:pPr>
      <w:r>
        <w:t>Harland, C.M., Lamming, R.C., Cousins, P.D., 1999. Developing the concept of supply strategy. International Journal of Operations &amp; Production Management 19, 650–674.</w:t>
      </w:r>
    </w:p>
    <w:p w14:paraId="15A4C304" w14:textId="77777777" w:rsidR="00950D8A" w:rsidRDefault="00950D8A" w:rsidP="00950D8A">
      <w:pPr>
        <w:pStyle w:val="Bibliography"/>
      </w:pPr>
      <w:r>
        <w:t>Haughton, G., Hunter, C., 2004. Sustainable cities. Routledge.</w:t>
      </w:r>
    </w:p>
    <w:p w14:paraId="6CDA2D84" w14:textId="77777777" w:rsidR="00950D8A" w:rsidRDefault="00950D8A" w:rsidP="00950D8A">
      <w:pPr>
        <w:pStyle w:val="Bibliography"/>
      </w:pPr>
      <w:r>
        <w:t>Huovila, A., Bosch, P., Airaksinen, M., 2019. Comparative analysis of standardized indicators for Smart sustainable cities: What indicators and standards to use and when? Cities 89, 141–153.</w:t>
      </w:r>
    </w:p>
    <w:p w14:paraId="09112295" w14:textId="77777777" w:rsidR="00950D8A" w:rsidRDefault="00950D8A" w:rsidP="00950D8A">
      <w:pPr>
        <w:pStyle w:val="Bibliography"/>
      </w:pPr>
      <w:r>
        <w:t>IOM, 2012. Transitional Shelter Guidelines. Available at: https://www.iom.int/files/live/sites/iom/files/What-We-Do/docs/Transitional-Shelter-Guidelines.pdf. International Organization for Migration.</w:t>
      </w:r>
    </w:p>
    <w:p w14:paraId="71686AE5" w14:textId="77777777" w:rsidR="00950D8A" w:rsidRDefault="00950D8A" w:rsidP="00950D8A">
      <w:pPr>
        <w:pStyle w:val="Bibliography"/>
      </w:pPr>
      <w:r>
        <w:t>Jacoby, J., Matell, M.S., 1971. Three-point Likert scales are good enough. SAGE Publications Sage CA: Los Angeles, CA.</w:t>
      </w:r>
    </w:p>
    <w:p w14:paraId="4DD9B8F2" w14:textId="77777777" w:rsidR="00950D8A" w:rsidRDefault="00950D8A" w:rsidP="00950D8A">
      <w:pPr>
        <w:pStyle w:val="Bibliography"/>
      </w:pPr>
      <w:r>
        <w:t>Jorm, A.F., 2015. Using the Delphi expert consensus method in mental health research. Australian &amp; New Zealand Journal of Psychiatry 49, 887–897.</w:t>
      </w:r>
    </w:p>
    <w:p w14:paraId="3498E92B" w14:textId="77777777" w:rsidR="00950D8A" w:rsidRDefault="00950D8A" w:rsidP="00950D8A">
      <w:pPr>
        <w:pStyle w:val="Bibliography"/>
      </w:pPr>
      <w:r>
        <w:t>Linstone, H.A., Turoff, M., 1975. The delphi method. Addison-Wesley Reading, MA.</w:t>
      </w:r>
    </w:p>
    <w:p w14:paraId="6935D482" w14:textId="77777777" w:rsidR="00950D8A" w:rsidRDefault="00950D8A" w:rsidP="00950D8A">
      <w:pPr>
        <w:pStyle w:val="Bibliography"/>
      </w:pPr>
      <w:r>
        <w:t>MacCarthy, B.L., Atthirawong, W., 2003. Factors affecting location decisions in international operations–a Delphi study. International Journal of Operations &amp; Production Management 23, 794–818.</w:t>
      </w:r>
    </w:p>
    <w:p w14:paraId="512680C7" w14:textId="77777777" w:rsidR="00950D8A" w:rsidRDefault="00950D8A" w:rsidP="00950D8A">
      <w:pPr>
        <w:pStyle w:val="Bibliography"/>
      </w:pPr>
      <w:r>
        <w:t>Martino, J.P., 1993. Technological forecasting for decision making. McGraw-Hill, Inc.</w:t>
      </w:r>
    </w:p>
    <w:p w14:paraId="4D272E4E" w14:textId="77777777" w:rsidR="00950D8A" w:rsidRDefault="00950D8A" w:rsidP="00950D8A">
      <w:pPr>
        <w:pStyle w:val="Bibliography"/>
      </w:pPr>
      <w:r>
        <w:t>McDermott, D.R., Stock, J.R., 1980. An application of the project Delphi forecasting method to logistics management. Journal of Business Logistics 2.</w:t>
      </w:r>
    </w:p>
    <w:p w14:paraId="73284245" w14:textId="77777777" w:rsidR="00950D8A" w:rsidRDefault="00950D8A" w:rsidP="00950D8A">
      <w:pPr>
        <w:pStyle w:val="Bibliography"/>
      </w:pPr>
      <w:r>
        <w:t>Moghayedi, A., Windapo, A., 2018. Key Performance Criteria Influencing the Selection of Construction Methods Used for the Fabrication of Building Components in the Middle East. Sustainable Construction and Building Materials. https://doi.org/10.5772/intechopen.81673</w:t>
      </w:r>
    </w:p>
    <w:p w14:paraId="6A834C65" w14:textId="77777777" w:rsidR="00950D8A" w:rsidRDefault="00950D8A" w:rsidP="00950D8A">
      <w:pPr>
        <w:pStyle w:val="Bibliography"/>
      </w:pPr>
      <w:r>
        <w:t>Ng, C.Y., 2016. An evidential reasoning-based AHP approach for the selection of environmentally-friendly designs. Environmental Impact Assessment Review 61, 1–7.</w:t>
      </w:r>
    </w:p>
    <w:p w14:paraId="4A16BE4B" w14:textId="77777777" w:rsidR="00950D8A" w:rsidRDefault="00950D8A" w:rsidP="00950D8A">
      <w:pPr>
        <w:pStyle w:val="Bibliography"/>
      </w:pPr>
      <w:r>
        <w:t>Oliver, P., 2007. Built to Meet Needs: Cultural Issues in Vernacular Architecture. Routledge. https://doi.org/10.4324/9780080476308</w:t>
      </w:r>
    </w:p>
    <w:p w14:paraId="658F29E5" w14:textId="77777777" w:rsidR="00950D8A" w:rsidRDefault="00950D8A" w:rsidP="00950D8A">
      <w:pPr>
        <w:pStyle w:val="Bibliography"/>
      </w:pPr>
      <w:r>
        <w:t>Pan, N.-F., 2008. Fuzzy AHP approach for selecting the suitable bridge construction method. Automation in construction 17, 958–965.</w:t>
      </w:r>
    </w:p>
    <w:p w14:paraId="4047308D" w14:textId="77777777" w:rsidR="00950D8A" w:rsidRDefault="00950D8A" w:rsidP="00950D8A">
      <w:pPr>
        <w:pStyle w:val="Bibliography"/>
      </w:pPr>
      <w:r>
        <w:t>Peel, M.C., Finlayson, B.L., McMahon, T.A., 2007. Updated world map of the Köppen-Geiger climate classification. Hydrology and earth system sciences discussions 4, 439–473.</w:t>
      </w:r>
    </w:p>
    <w:p w14:paraId="061E5C74" w14:textId="77777777" w:rsidR="00950D8A" w:rsidRDefault="00950D8A" w:rsidP="00950D8A">
      <w:pPr>
        <w:pStyle w:val="Bibliography"/>
      </w:pPr>
      <w:r>
        <w:t>Ramboll &amp; Save the Children, 2017. Shelter Innovations Workshop - Conclusions and Recommendations [WWW Document]. URL https://uk.ramboll.com/-/media/files/ruk/2_sectors-and-services-brochures/buildings/shelter-workshop-a5-leaflet-06-2017-final-hi-res.pdf (accessed 2.27.19).</w:t>
      </w:r>
    </w:p>
    <w:p w14:paraId="55CD8FB4" w14:textId="77777777" w:rsidR="00950D8A" w:rsidRDefault="00950D8A" w:rsidP="00950D8A">
      <w:pPr>
        <w:pStyle w:val="Bibliography"/>
      </w:pPr>
      <w:r>
        <w:t>Saaty, 1990. The analytic hierarchy process in conflict management. International Journal of Conflict Management 1, 47–68.</w:t>
      </w:r>
    </w:p>
    <w:p w14:paraId="4A0EC3C2" w14:textId="77777777" w:rsidR="00950D8A" w:rsidRDefault="00950D8A" w:rsidP="00950D8A">
      <w:pPr>
        <w:pStyle w:val="Bibliography"/>
      </w:pPr>
      <w:r>
        <w:t>Saaty, R.W., 1987. The analytic hierarchy process—what it is and how it is used. Mathematical Modelling 9, 161–176. https://doi.org/10.1016/0270-0255(87)90473-8</w:t>
      </w:r>
    </w:p>
    <w:p w14:paraId="3378BB60" w14:textId="77777777" w:rsidR="00950D8A" w:rsidRDefault="00950D8A" w:rsidP="00950D8A">
      <w:pPr>
        <w:pStyle w:val="Bibliography"/>
      </w:pPr>
      <w:r>
        <w:t>Saaty, T.L., 1996. Decision making with dependence and feedback: The analytic network process. RWS Publ.</w:t>
      </w:r>
    </w:p>
    <w:p w14:paraId="39B919CF" w14:textId="77777777" w:rsidR="00950D8A" w:rsidRDefault="00950D8A" w:rsidP="00950D8A">
      <w:pPr>
        <w:pStyle w:val="Bibliography"/>
      </w:pPr>
      <w:r>
        <w:t>Saaty, T.L., 1988. What is the analytic hierarchy process?, in: Mathematical Models for Decision Support. Springer, pp. 109–121.</w:t>
      </w:r>
    </w:p>
    <w:p w14:paraId="0D1FDC11" w14:textId="77777777" w:rsidR="00950D8A" w:rsidRDefault="00950D8A" w:rsidP="00950D8A">
      <w:pPr>
        <w:pStyle w:val="Bibliography"/>
      </w:pPr>
      <w:r>
        <w:t>Song, Y., Mithraratne, N., Zhang, H., 2016. Life-time performance of post-disaster temporary housing: A case study in Nanjing. Energy and Buildings 128, 394–404. https://doi.org/10.1016/j.enbuild.2016.07.019</w:t>
      </w:r>
    </w:p>
    <w:p w14:paraId="1A4A1EB1" w14:textId="77777777" w:rsidR="00950D8A" w:rsidRDefault="00950D8A" w:rsidP="00950D8A">
      <w:pPr>
        <w:pStyle w:val="Bibliography"/>
      </w:pPr>
      <w:r>
        <w:t>Strand, J., Carson, R.T., Navrud, S., Ortiz-Bobea, A., Vincent, J.R., 2017. Using the Delphi method to value protection of the Amazon rainforest. Ecological economics 131, 475–484.</w:t>
      </w:r>
    </w:p>
    <w:p w14:paraId="28882DB7" w14:textId="77777777" w:rsidR="00950D8A" w:rsidRDefault="00950D8A" w:rsidP="00950D8A">
      <w:pPr>
        <w:pStyle w:val="Bibliography"/>
      </w:pPr>
      <w:r>
        <w:t>Tavana, M., Kennedy, D.T., Joglekar, P., 1996. A group decision support framework for consensus ranking of technical manager candidates. Omega 24, 523–538.</w:t>
      </w:r>
    </w:p>
    <w:p w14:paraId="0B4E8EEA" w14:textId="77777777" w:rsidR="00950D8A" w:rsidRDefault="00950D8A" w:rsidP="00950D8A">
      <w:pPr>
        <w:pStyle w:val="Bibliography"/>
      </w:pPr>
      <w:r>
        <w:t>Toppinen, A., Pätäri, S., Tuppura, A., Jantunen, A., 2017. The European pulp and paper industry in transition to a bio-economy: A Delphi study. Futures 88, 1–14. https://doi.org/10.1016/j.futures.2017.02.002</w:t>
      </w:r>
    </w:p>
    <w:p w14:paraId="5FCD5AC8" w14:textId="77777777" w:rsidR="00950D8A" w:rsidRDefault="00950D8A" w:rsidP="00950D8A">
      <w:pPr>
        <w:pStyle w:val="Bibliography"/>
      </w:pPr>
      <w:r>
        <w:t>Tucker, S., Gamage, A., Wijeyesekera, C., 2014. Some design aspects of sustainable post-disaster housing. International Journal of Disaster Resilience in the Built Environment; Bingley 5, 163–181. http://dx.doi.org.ezproxy.napier.ac.uk/10.1108/IJDRBE-06-2012-0019</w:t>
      </w:r>
    </w:p>
    <w:p w14:paraId="64209833" w14:textId="77777777" w:rsidR="00950D8A" w:rsidRDefault="00950D8A" w:rsidP="00950D8A">
      <w:pPr>
        <w:pStyle w:val="Bibliography"/>
      </w:pPr>
      <w:r>
        <w:t>Tuğba Turğut, B., Taş, G., Herekoğlu, A., Tozan, H., Vayvay, O., 2011. A fuzzy AHP based decision support system for disaster center location selection and a case study for Istanbul. Disaster Prevention and Management: An International Journal 20, 499–520.</w:t>
      </w:r>
    </w:p>
    <w:p w14:paraId="517BCBCC" w14:textId="77777777" w:rsidR="00950D8A" w:rsidRDefault="00950D8A" w:rsidP="00950D8A">
      <w:pPr>
        <w:pStyle w:val="Bibliography"/>
      </w:pPr>
      <w:r>
        <w:t>UNHCR, 2018. Dadaab Refugee Complex - UNHCR Kenya. UNHCR. URL https://www.unhcr.org/ke/dadaab-refugee-complex (accessed 2.27.19).</w:t>
      </w:r>
    </w:p>
    <w:p w14:paraId="154620D6" w14:textId="77777777" w:rsidR="00950D8A" w:rsidRDefault="00950D8A" w:rsidP="00950D8A">
      <w:pPr>
        <w:pStyle w:val="Bibliography"/>
      </w:pPr>
      <w:r>
        <w:t>UNHCR, 2017a. The UN Refugee Agency. The World in Numbers [Available at: http://popstats.unhcr.org/en/overview].</w:t>
      </w:r>
    </w:p>
    <w:p w14:paraId="3E666F69" w14:textId="77777777" w:rsidR="00950D8A" w:rsidRDefault="00950D8A" w:rsidP="00950D8A">
      <w:pPr>
        <w:pStyle w:val="Bibliography"/>
      </w:pPr>
      <w:r>
        <w:t>UNHCR, 2017b. The UN Refugee Agency. Statistical Yearbooks - Figure at a Glance. [Available at: http://www.unhcr.org/uk/figures-at-a-glance.html].</w:t>
      </w:r>
    </w:p>
    <w:p w14:paraId="7ACCD56D" w14:textId="77777777" w:rsidR="00950D8A" w:rsidRDefault="00950D8A" w:rsidP="00950D8A">
      <w:pPr>
        <w:pStyle w:val="Bibliography"/>
      </w:pPr>
      <w:r>
        <w:t>UNHCR, 2017c. Mid-Year Trends 2017: Population data set, Asylum applications data set, and Refugee flow data set.</w:t>
      </w:r>
    </w:p>
    <w:p w14:paraId="1F249EFA" w14:textId="77777777" w:rsidR="00950D8A" w:rsidRDefault="00950D8A" w:rsidP="00950D8A">
      <w:pPr>
        <w:pStyle w:val="Bibliography"/>
      </w:pPr>
      <w:r>
        <w:t>UNHCR, 2012. The state of the World’s Refugees - In Search of Solidarity - A SYNTHESIS.</w:t>
      </w:r>
    </w:p>
    <w:p w14:paraId="5AF39158" w14:textId="77777777" w:rsidR="00950D8A" w:rsidRDefault="00950D8A" w:rsidP="00950D8A">
      <w:pPr>
        <w:pStyle w:val="Bibliography"/>
      </w:pPr>
      <w:r>
        <w:t>Van Lengen, J., 2008. The barefoot architect: a handbook for green building. Shelter Publications, Inc.</w:t>
      </w:r>
    </w:p>
    <w:p w14:paraId="4D1BC378" w14:textId="77777777" w:rsidR="00950D8A" w:rsidRDefault="00950D8A" w:rsidP="00950D8A">
      <w:pPr>
        <w:pStyle w:val="Bibliography"/>
      </w:pPr>
      <w:r>
        <w:t>Wisniewski, M., 2009. Quantitative Methods for Decision Makers, 5th ed. ed. Pearson Education - FT Prentice Hall, England.</w:t>
      </w:r>
    </w:p>
    <w:p w14:paraId="3D26BF04" w14:textId="77777777" w:rsidR="00950D8A" w:rsidRDefault="00950D8A" w:rsidP="00950D8A">
      <w:pPr>
        <w:pStyle w:val="Bibliography"/>
      </w:pPr>
      <w:r>
        <w:t>Yi, H., Yang, J., 2014. Research trends of post disaster reconstruction: The past and the future. Habitat International 42, 21–29. https://doi.org/10.1016/j.habitatint.2013.10.005</w:t>
      </w:r>
    </w:p>
    <w:p w14:paraId="66A8C20C" w14:textId="664DEC90" w:rsidR="000F3DBA" w:rsidRPr="00E9732D" w:rsidRDefault="00930D5F" w:rsidP="00F21A5C">
      <w:pPr>
        <w:jc w:val="both"/>
      </w:pPr>
      <w:r>
        <w:fldChar w:fldCharType="end"/>
      </w:r>
      <w:r w:rsidR="001243BF">
        <w:fldChar w:fldCharType="begin"/>
      </w:r>
      <w:r w:rsidR="001243BF">
        <w:instrText xml:space="preserve"> ADDIN EN.REFLIST </w:instrText>
      </w:r>
      <w:r w:rsidR="001243BF">
        <w:fldChar w:fldCharType="end"/>
      </w:r>
    </w:p>
    <w:sectPr w:rsidR="000F3DBA" w:rsidRPr="00E9732D" w:rsidSect="00926D2B">
      <w:footerReference w:type="even" r:id="rId20"/>
      <w:footerReference w:type="default" r:id="rId21"/>
      <w:pgSz w:w="11900" w:h="16840"/>
      <w:pgMar w:top="1440" w:right="1440" w:bottom="1440" w:left="1440" w:header="708" w:footer="708" w:gutter="0"/>
      <w:lnNumType w:countBy="1" w:restart="continuous"/>
      <w:cols w:space="708"/>
      <w:docGrid w:linePitch="40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C194C07" w16cid:durableId="20AA8B7D"/>
  <w16cid:commentId w16cid:paraId="25E3DB8F" w16cid:durableId="20AA8CC8"/>
  <w16cid:commentId w16cid:paraId="0197F7CA" w16cid:durableId="20AA8F42"/>
  <w16cid:commentId w16cid:paraId="508FA356" w16cid:durableId="20AA977C"/>
  <w16cid:commentId w16cid:paraId="61470680" w16cid:durableId="20AA98C6"/>
  <w16cid:commentId w16cid:paraId="6CE55DC5" w16cid:durableId="20AA9B4B"/>
  <w16cid:commentId w16cid:paraId="055AD316" w16cid:durableId="20AA9C08"/>
  <w16cid:commentId w16cid:paraId="6148D5DC" w16cid:durableId="20AA9E71"/>
  <w16cid:commentId w16cid:paraId="4518C13B" w16cid:durableId="20AA9F0B"/>
  <w16cid:commentId w16cid:paraId="26A08DCD" w16cid:durableId="20AA9FA2"/>
  <w16cid:commentId w16cid:paraId="323BA79D" w16cid:durableId="20AAA03B"/>
  <w16cid:commentId w16cid:paraId="77215D59" w16cid:durableId="20AAB95F"/>
  <w16cid:commentId w16cid:paraId="281EFC71" w16cid:durableId="20AAB9E9"/>
  <w16cid:commentId w16cid:paraId="38DB38E1" w16cid:durableId="20AABDE2"/>
  <w16cid:commentId w16cid:paraId="1E80AB01" w16cid:durableId="20AABF5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67CDC6" w14:textId="77777777" w:rsidR="000F5B96" w:rsidRDefault="000F5B96" w:rsidP="00631B0B">
      <w:r>
        <w:separator/>
      </w:r>
    </w:p>
  </w:endnote>
  <w:endnote w:type="continuationSeparator" w:id="0">
    <w:p w14:paraId="062B7B32" w14:textId="77777777" w:rsidR="000F5B96" w:rsidRDefault="000F5B96" w:rsidP="00631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7B032" w14:textId="77777777" w:rsidR="000F5B96" w:rsidRDefault="000F5B96" w:rsidP="001A579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E0F3859" w14:textId="77777777" w:rsidR="000F5B96" w:rsidRDefault="000F5B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F5F82" w14:textId="3F423356" w:rsidR="000F5B96" w:rsidRDefault="000F5B96" w:rsidP="001A579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D4318">
      <w:rPr>
        <w:rStyle w:val="PageNumber"/>
        <w:noProof/>
      </w:rPr>
      <w:t>21</w:t>
    </w:r>
    <w:r>
      <w:rPr>
        <w:rStyle w:val="PageNumber"/>
      </w:rPr>
      <w:fldChar w:fldCharType="end"/>
    </w:r>
  </w:p>
  <w:p w14:paraId="403FF13E" w14:textId="77777777" w:rsidR="000F5B96" w:rsidRDefault="000F5B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DEB34F" w14:textId="77777777" w:rsidR="000F5B96" w:rsidRDefault="000F5B96" w:rsidP="00631B0B">
      <w:r>
        <w:separator/>
      </w:r>
    </w:p>
  </w:footnote>
  <w:footnote w:type="continuationSeparator" w:id="0">
    <w:p w14:paraId="02762799" w14:textId="77777777" w:rsidR="000F5B96" w:rsidRDefault="000F5B96" w:rsidP="00631B0B">
      <w:r>
        <w:continuationSeparator/>
      </w:r>
    </w:p>
  </w:footnote>
  <w:footnote w:id="1">
    <w:p w14:paraId="21561FB9" w14:textId="6C6D410C" w:rsidR="000F5B96" w:rsidRDefault="000F5B96">
      <w:pPr>
        <w:pStyle w:val="FootnoteText"/>
      </w:pPr>
      <w:r>
        <w:rPr>
          <w:rStyle w:val="FootnoteReference"/>
        </w:rPr>
        <w:footnoteRef/>
      </w:r>
      <w:r>
        <w:t xml:space="preserve"> Sheltering terminology is varied, diverse, and poorly agreed upon. Our choice for post-disaster post-conflict sheltering aims to be self-explanatory and to minimise confusion. For further discussion, the reader is referred to Barakat </w:t>
      </w:r>
      <w:r>
        <w:fldChar w:fldCharType="begin"/>
      </w:r>
      <w:r>
        <w:instrText xml:space="preserve"> ADDIN ZOTERO_ITEM CSL_CITATION {"citationID":"AXB7dMeD","properties":{"formattedCitation":"(2003)","plainCitation":"(2003)","noteIndex":1},"citationItems":[{"id":6198,"uris":["http://zotero.org/users/5557903/items/QCHEB9KJ"],"uri":["http://zotero.org/users/5557903/items/QCHEB9KJ"],"itemData":{"id":6198,"type":"article-journal","title":"Housing reconstruction after conflict and disaster","container-title":"Humanitarian Policy Group, Network Papers","page":"1-40","volume":"43","author":[{"family":"Barakat","given":"Sultan"}],"issued":{"date-parts":[["2003"]]}},"suppress-author":true}],"schema":"https://github.com/citation-style-language/schema/raw/master/csl-citation.json"} </w:instrText>
      </w:r>
      <w:r>
        <w:fldChar w:fldCharType="separate"/>
      </w:r>
      <w:r w:rsidRPr="004A29AF">
        <w:t>(2003)</w:t>
      </w:r>
      <w:r>
        <w:fldChar w:fldCharType="end"/>
      </w:r>
      <w:r>
        <w:t xml:space="preserve"> and Albadra et al. </w:t>
      </w:r>
      <w:r>
        <w:fldChar w:fldCharType="begin"/>
      </w:r>
      <w:r>
        <w:instrText xml:space="preserve"> ADDIN ZOTERO_ITEM CSL_CITATION {"citationID":"EiWFX6vF","properties":{"formattedCitation":"(2018)","plainCitation":"(2018)","noteIndex":1},"citationItems":[{"id":5914,"uris":["http://zotero.org/users/5557903/items/FVM52JDZ"],"uri":["http://zotero.org/users/5557903/items/FVM52JDZ"],"itemData":{"id":5914,"type":"article-journal","title":"Toward healthy housing for the displaced","container-title":"The Journal of Architecture","page":"115-136","volume":"23","issue":"1","author":[{"family":"Albadra","given":"Dima"},{"family":"Coley","given":"David"},{"family":"Hart","given":"Jason"}],"issued":{"date-parts":[["2018"]]}},"suppress-author":true}],"schema":"https://github.com/citation-style-language/schema/raw/master/csl-citation.json"} </w:instrText>
      </w:r>
      <w:r>
        <w:fldChar w:fldCharType="separate"/>
      </w:r>
      <w:r w:rsidRPr="004A29AF">
        <w:t>(2018)</w:t>
      </w:r>
      <w:r>
        <w:fldChar w:fldCharType="end"/>
      </w:r>
      <w:r>
        <w:t xml:space="preserve">. </w:t>
      </w:r>
    </w:p>
  </w:footnote>
  <w:footnote w:id="2">
    <w:p w14:paraId="3DE68938" w14:textId="0BC41902" w:rsidR="000F5B96" w:rsidRDefault="000F5B96">
      <w:pPr>
        <w:pStyle w:val="FootnoteText"/>
      </w:pPr>
      <w:r>
        <w:rPr>
          <w:rStyle w:val="FootnoteReference"/>
        </w:rPr>
        <w:footnoteRef/>
      </w:r>
      <w:r>
        <w:t xml:space="preserve"> The Dadaab refugee complex consists of four camps: </w:t>
      </w:r>
      <w:r w:rsidRPr="003A2E09">
        <w:t>Dagahaley, Ifo, Ifo 2 and Hagadera</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64EC7"/>
    <w:multiLevelType w:val="hybridMultilevel"/>
    <w:tmpl w:val="DC9877DA"/>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 w15:restartNumberingAfterBreak="0">
    <w:nsid w:val="08B94AB3"/>
    <w:multiLevelType w:val="hybridMultilevel"/>
    <w:tmpl w:val="EB221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492957"/>
    <w:multiLevelType w:val="hybridMultilevel"/>
    <w:tmpl w:val="E6EA3618"/>
    <w:lvl w:ilvl="0" w:tplc="7C12630A">
      <w:start w:val="1"/>
      <w:numFmt w:val="bullet"/>
      <w:lvlText w:val=""/>
      <w:lvlJc w:val="left"/>
      <w:pPr>
        <w:ind w:left="720" w:hanging="360"/>
      </w:pPr>
      <w:rPr>
        <w:rFonts w:ascii="Symbol" w:eastAsiaTheme="minorEastAsia" w:hAnsi="Symbol" w:cstheme="minorBid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8073C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464587D"/>
    <w:multiLevelType w:val="hybridMultilevel"/>
    <w:tmpl w:val="D48240D4"/>
    <w:lvl w:ilvl="0" w:tplc="7C12630A">
      <w:start w:val="1"/>
      <w:numFmt w:val="bullet"/>
      <w:lvlText w:val=""/>
      <w:lvlJc w:val="left"/>
      <w:pPr>
        <w:ind w:left="720" w:hanging="360"/>
      </w:pPr>
      <w:rPr>
        <w:rFonts w:ascii="Symbol" w:eastAsiaTheme="minorEastAsia" w:hAnsi="Symbol" w:cstheme="minorBid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3E0DF5"/>
    <w:multiLevelType w:val="hybridMultilevel"/>
    <w:tmpl w:val="55D8BB16"/>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9B628E"/>
    <w:multiLevelType w:val="hybridMultilevel"/>
    <w:tmpl w:val="F88218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D20E97"/>
    <w:multiLevelType w:val="hybridMultilevel"/>
    <w:tmpl w:val="E0DAB0EC"/>
    <w:lvl w:ilvl="0" w:tplc="7C12630A">
      <w:start w:val="1"/>
      <w:numFmt w:val="bullet"/>
      <w:lvlText w:val=""/>
      <w:lvlJc w:val="left"/>
      <w:pPr>
        <w:ind w:left="720" w:hanging="360"/>
      </w:pPr>
      <w:rPr>
        <w:rFonts w:ascii="Symbol" w:eastAsiaTheme="minorEastAsia" w:hAnsi="Symbol" w:cstheme="minorBid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B77298"/>
    <w:multiLevelType w:val="hybridMultilevel"/>
    <w:tmpl w:val="F88218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620A9A"/>
    <w:multiLevelType w:val="hybridMultilevel"/>
    <w:tmpl w:val="BED0C4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C47C6C"/>
    <w:multiLevelType w:val="hybridMultilevel"/>
    <w:tmpl w:val="0AACE5BA"/>
    <w:lvl w:ilvl="0" w:tplc="7C12630A">
      <w:start w:val="1"/>
      <w:numFmt w:val="bullet"/>
      <w:lvlText w:val=""/>
      <w:lvlJc w:val="left"/>
      <w:pPr>
        <w:ind w:left="720" w:hanging="360"/>
      </w:pPr>
      <w:rPr>
        <w:rFonts w:ascii="Symbol" w:eastAsiaTheme="minorEastAsia" w:hAnsi="Symbol" w:cstheme="minorBid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36001D"/>
    <w:multiLevelType w:val="hybridMultilevel"/>
    <w:tmpl w:val="30C09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D70C6B"/>
    <w:multiLevelType w:val="multilevel"/>
    <w:tmpl w:val="F882182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15F4C91"/>
    <w:multiLevelType w:val="hybridMultilevel"/>
    <w:tmpl w:val="72F458A4"/>
    <w:lvl w:ilvl="0" w:tplc="7732145C">
      <w:start w:val="1"/>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9F5311"/>
    <w:multiLevelType w:val="hybridMultilevel"/>
    <w:tmpl w:val="6AA820FA"/>
    <w:lvl w:ilvl="0" w:tplc="7732145C">
      <w:start w:val="1"/>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D1103D"/>
    <w:multiLevelType w:val="hybridMultilevel"/>
    <w:tmpl w:val="F88218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FC948C7"/>
    <w:multiLevelType w:val="hybridMultilevel"/>
    <w:tmpl w:val="A27E6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3232E7"/>
    <w:multiLevelType w:val="hybridMultilevel"/>
    <w:tmpl w:val="165C4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F778C2"/>
    <w:multiLevelType w:val="multilevel"/>
    <w:tmpl w:val="F882182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D963AF2"/>
    <w:multiLevelType w:val="hybridMultilevel"/>
    <w:tmpl w:val="1E029E38"/>
    <w:lvl w:ilvl="0" w:tplc="7C12630A">
      <w:start w:val="1"/>
      <w:numFmt w:val="bullet"/>
      <w:lvlText w:val=""/>
      <w:lvlJc w:val="left"/>
      <w:pPr>
        <w:ind w:left="720" w:hanging="360"/>
      </w:pPr>
      <w:rPr>
        <w:rFonts w:ascii="Symbol" w:eastAsiaTheme="minorEastAsia" w:hAnsi="Symbol" w:cstheme="minorBid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B71D1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
  </w:num>
  <w:num w:numId="2">
    <w:abstractNumId w:val="13"/>
  </w:num>
  <w:num w:numId="3">
    <w:abstractNumId w:val="6"/>
  </w:num>
  <w:num w:numId="4">
    <w:abstractNumId w:val="8"/>
  </w:num>
  <w:num w:numId="5">
    <w:abstractNumId w:val="12"/>
  </w:num>
  <w:num w:numId="6">
    <w:abstractNumId w:val="18"/>
  </w:num>
  <w:num w:numId="7">
    <w:abstractNumId w:val="3"/>
  </w:num>
  <w:num w:numId="8">
    <w:abstractNumId w:val="20"/>
  </w:num>
  <w:num w:numId="9">
    <w:abstractNumId w:val="1"/>
  </w:num>
  <w:num w:numId="10">
    <w:abstractNumId w:val="11"/>
  </w:num>
  <w:num w:numId="11">
    <w:abstractNumId w:val="16"/>
  </w:num>
  <w:num w:numId="12">
    <w:abstractNumId w:val="17"/>
  </w:num>
  <w:num w:numId="13">
    <w:abstractNumId w:val="5"/>
  </w:num>
  <w:num w:numId="14">
    <w:abstractNumId w:val="2"/>
  </w:num>
  <w:num w:numId="15">
    <w:abstractNumId w:val="10"/>
  </w:num>
  <w:num w:numId="16">
    <w:abstractNumId w:val="7"/>
  </w:num>
  <w:num w:numId="17">
    <w:abstractNumId w:val="4"/>
  </w:num>
  <w:num w:numId="18">
    <w:abstractNumId w:val="19"/>
  </w:num>
  <w:num w:numId="19">
    <w:abstractNumId w:val="9"/>
  </w:num>
  <w:num w:numId="20">
    <w:abstractNumId w:val="0"/>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conomic Systems&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es2vw9069xpaveat5wxr9apz9eppzp5fzwx&quot;&gt;My EndNote Library&lt;record-ids&gt;&lt;item&gt;1990&lt;/item&gt;&lt;item&gt;2216&lt;/item&gt;&lt;item&gt;2217&lt;/item&gt;&lt;item&gt;2218&lt;/item&gt;&lt;item&gt;2219&lt;/item&gt;&lt;item&gt;2220&lt;/item&gt;&lt;item&gt;2222&lt;/item&gt;&lt;item&gt;2223&lt;/item&gt;&lt;item&gt;2224&lt;/item&gt;&lt;/record-ids&gt;&lt;/item&gt;&lt;/Libraries&gt;"/>
  </w:docVars>
  <w:rsids>
    <w:rsidRoot w:val="00631B0B"/>
    <w:rsid w:val="000003FB"/>
    <w:rsid w:val="0000453E"/>
    <w:rsid w:val="00005256"/>
    <w:rsid w:val="00007239"/>
    <w:rsid w:val="000102B6"/>
    <w:rsid w:val="000108F5"/>
    <w:rsid w:val="00011688"/>
    <w:rsid w:val="00011D82"/>
    <w:rsid w:val="00011EB8"/>
    <w:rsid w:val="000167F0"/>
    <w:rsid w:val="0002432D"/>
    <w:rsid w:val="00034C32"/>
    <w:rsid w:val="00036E37"/>
    <w:rsid w:val="000476FC"/>
    <w:rsid w:val="00055091"/>
    <w:rsid w:val="000574FC"/>
    <w:rsid w:val="00057E56"/>
    <w:rsid w:val="00060B0D"/>
    <w:rsid w:val="000728CA"/>
    <w:rsid w:val="00073094"/>
    <w:rsid w:val="00073772"/>
    <w:rsid w:val="000819D6"/>
    <w:rsid w:val="000831C8"/>
    <w:rsid w:val="00083CF0"/>
    <w:rsid w:val="00084822"/>
    <w:rsid w:val="00086DBC"/>
    <w:rsid w:val="000907C7"/>
    <w:rsid w:val="00093FEE"/>
    <w:rsid w:val="000A00A4"/>
    <w:rsid w:val="000A689F"/>
    <w:rsid w:val="000A69B9"/>
    <w:rsid w:val="000A7C1A"/>
    <w:rsid w:val="000B201B"/>
    <w:rsid w:val="000B5134"/>
    <w:rsid w:val="000C0B31"/>
    <w:rsid w:val="000C10BF"/>
    <w:rsid w:val="000C3554"/>
    <w:rsid w:val="000C46EB"/>
    <w:rsid w:val="000C5DB0"/>
    <w:rsid w:val="000D5D7B"/>
    <w:rsid w:val="000D5E1C"/>
    <w:rsid w:val="000D697D"/>
    <w:rsid w:val="000E462C"/>
    <w:rsid w:val="000E4B93"/>
    <w:rsid w:val="000E5A8C"/>
    <w:rsid w:val="000E705D"/>
    <w:rsid w:val="000F3DBA"/>
    <w:rsid w:val="000F5B96"/>
    <w:rsid w:val="000F6127"/>
    <w:rsid w:val="000F6ADC"/>
    <w:rsid w:val="0010100D"/>
    <w:rsid w:val="00103AA5"/>
    <w:rsid w:val="00107964"/>
    <w:rsid w:val="001123FE"/>
    <w:rsid w:val="001139F4"/>
    <w:rsid w:val="001157E6"/>
    <w:rsid w:val="001243BF"/>
    <w:rsid w:val="0012530F"/>
    <w:rsid w:val="0012781A"/>
    <w:rsid w:val="00130D92"/>
    <w:rsid w:val="00145B27"/>
    <w:rsid w:val="00146193"/>
    <w:rsid w:val="00155B91"/>
    <w:rsid w:val="001563E4"/>
    <w:rsid w:val="00160602"/>
    <w:rsid w:val="00161B9E"/>
    <w:rsid w:val="00167F5A"/>
    <w:rsid w:val="00171262"/>
    <w:rsid w:val="00172272"/>
    <w:rsid w:val="00173A2F"/>
    <w:rsid w:val="00174E78"/>
    <w:rsid w:val="00177BC4"/>
    <w:rsid w:val="00197102"/>
    <w:rsid w:val="0019766E"/>
    <w:rsid w:val="001A09A2"/>
    <w:rsid w:val="001A579D"/>
    <w:rsid w:val="001B0CFE"/>
    <w:rsid w:val="001B395B"/>
    <w:rsid w:val="001B4704"/>
    <w:rsid w:val="001B4F1D"/>
    <w:rsid w:val="001D71C6"/>
    <w:rsid w:val="001F0DCF"/>
    <w:rsid w:val="001F1CD4"/>
    <w:rsid w:val="001F7CFE"/>
    <w:rsid w:val="002011B3"/>
    <w:rsid w:val="00201DEE"/>
    <w:rsid w:val="002117AD"/>
    <w:rsid w:val="00211832"/>
    <w:rsid w:val="0021205A"/>
    <w:rsid w:val="00213856"/>
    <w:rsid w:val="0021462D"/>
    <w:rsid w:val="00226140"/>
    <w:rsid w:val="00227AF0"/>
    <w:rsid w:val="00227FB0"/>
    <w:rsid w:val="00245BC2"/>
    <w:rsid w:val="00250951"/>
    <w:rsid w:val="00250B7E"/>
    <w:rsid w:val="00251D8E"/>
    <w:rsid w:val="0026152B"/>
    <w:rsid w:val="002642C0"/>
    <w:rsid w:val="00267C51"/>
    <w:rsid w:val="00271D85"/>
    <w:rsid w:val="00272CDA"/>
    <w:rsid w:val="00273B23"/>
    <w:rsid w:val="002772D1"/>
    <w:rsid w:val="00282A8D"/>
    <w:rsid w:val="0028453C"/>
    <w:rsid w:val="0028790B"/>
    <w:rsid w:val="00287FAA"/>
    <w:rsid w:val="002912F9"/>
    <w:rsid w:val="00292088"/>
    <w:rsid w:val="00294574"/>
    <w:rsid w:val="002A0FA0"/>
    <w:rsid w:val="002A65E3"/>
    <w:rsid w:val="002B3CB4"/>
    <w:rsid w:val="002C2005"/>
    <w:rsid w:val="002D2B13"/>
    <w:rsid w:val="002E5374"/>
    <w:rsid w:val="002E662A"/>
    <w:rsid w:val="002F25A4"/>
    <w:rsid w:val="002F5981"/>
    <w:rsid w:val="002F6878"/>
    <w:rsid w:val="003057D0"/>
    <w:rsid w:val="0031164E"/>
    <w:rsid w:val="003132A4"/>
    <w:rsid w:val="00320F84"/>
    <w:rsid w:val="00324D11"/>
    <w:rsid w:val="003251DF"/>
    <w:rsid w:val="00325E75"/>
    <w:rsid w:val="00326B85"/>
    <w:rsid w:val="00330643"/>
    <w:rsid w:val="0033139C"/>
    <w:rsid w:val="003320BF"/>
    <w:rsid w:val="00334CA3"/>
    <w:rsid w:val="00336854"/>
    <w:rsid w:val="0033701D"/>
    <w:rsid w:val="00340DE1"/>
    <w:rsid w:val="00343D19"/>
    <w:rsid w:val="0034500C"/>
    <w:rsid w:val="00350744"/>
    <w:rsid w:val="00353E5D"/>
    <w:rsid w:val="003569E5"/>
    <w:rsid w:val="00366B66"/>
    <w:rsid w:val="00367405"/>
    <w:rsid w:val="00370C16"/>
    <w:rsid w:val="00371FCA"/>
    <w:rsid w:val="00372BB6"/>
    <w:rsid w:val="0038021E"/>
    <w:rsid w:val="00383368"/>
    <w:rsid w:val="00386B8E"/>
    <w:rsid w:val="00395587"/>
    <w:rsid w:val="00396EF4"/>
    <w:rsid w:val="003A17C5"/>
    <w:rsid w:val="003A243C"/>
    <w:rsid w:val="003A2DF1"/>
    <w:rsid w:val="003A2E09"/>
    <w:rsid w:val="003A30EE"/>
    <w:rsid w:val="003A36E0"/>
    <w:rsid w:val="003A53F5"/>
    <w:rsid w:val="003B1CC6"/>
    <w:rsid w:val="003B7819"/>
    <w:rsid w:val="003C02C2"/>
    <w:rsid w:val="003C05CC"/>
    <w:rsid w:val="003C33C6"/>
    <w:rsid w:val="003C7069"/>
    <w:rsid w:val="003D02C9"/>
    <w:rsid w:val="003D2818"/>
    <w:rsid w:val="003D421B"/>
    <w:rsid w:val="003D4318"/>
    <w:rsid w:val="003D6D24"/>
    <w:rsid w:val="003D7168"/>
    <w:rsid w:val="003E11CF"/>
    <w:rsid w:val="003E2641"/>
    <w:rsid w:val="003E3BAC"/>
    <w:rsid w:val="003E5FD5"/>
    <w:rsid w:val="003F1648"/>
    <w:rsid w:val="003F2299"/>
    <w:rsid w:val="00402837"/>
    <w:rsid w:val="00402D04"/>
    <w:rsid w:val="00404730"/>
    <w:rsid w:val="00404FF9"/>
    <w:rsid w:val="004074E3"/>
    <w:rsid w:val="00407794"/>
    <w:rsid w:val="004164FD"/>
    <w:rsid w:val="00417833"/>
    <w:rsid w:val="00417FE0"/>
    <w:rsid w:val="00424BE1"/>
    <w:rsid w:val="0042546E"/>
    <w:rsid w:val="004276A0"/>
    <w:rsid w:val="0043012C"/>
    <w:rsid w:val="004306AB"/>
    <w:rsid w:val="00431F32"/>
    <w:rsid w:val="00433A3A"/>
    <w:rsid w:val="00434FB3"/>
    <w:rsid w:val="00436F2D"/>
    <w:rsid w:val="00446515"/>
    <w:rsid w:val="0044685D"/>
    <w:rsid w:val="00471041"/>
    <w:rsid w:val="00471E2B"/>
    <w:rsid w:val="00472EFF"/>
    <w:rsid w:val="00482944"/>
    <w:rsid w:val="00486C79"/>
    <w:rsid w:val="004907E3"/>
    <w:rsid w:val="004931B8"/>
    <w:rsid w:val="004A00D4"/>
    <w:rsid w:val="004A00EE"/>
    <w:rsid w:val="004A29AF"/>
    <w:rsid w:val="004A30AA"/>
    <w:rsid w:val="004A505A"/>
    <w:rsid w:val="004A669D"/>
    <w:rsid w:val="004B1A91"/>
    <w:rsid w:val="004B7A44"/>
    <w:rsid w:val="004C5553"/>
    <w:rsid w:val="004D0BD7"/>
    <w:rsid w:val="004D16CB"/>
    <w:rsid w:val="004D180C"/>
    <w:rsid w:val="004D2C8D"/>
    <w:rsid w:val="004D378F"/>
    <w:rsid w:val="004D3FC1"/>
    <w:rsid w:val="004D5145"/>
    <w:rsid w:val="004E4B50"/>
    <w:rsid w:val="004E6698"/>
    <w:rsid w:val="004F34B1"/>
    <w:rsid w:val="004F3989"/>
    <w:rsid w:val="004F3E13"/>
    <w:rsid w:val="00504EEB"/>
    <w:rsid w:val="00507703"/>
    <w:rsid w:val="00507C7D"/>
    <w:rsid w:val="00507F8D"/>
    <w:rsid w:val="00512843"/>
    <w:rsid w:val="005215BA"/>
    <w:rsid w:val="00521D0A"/>
    <w:rsid w:val="00523A09"/>
    <w:rsid w:val="00525422"/>
    <w:rsid w:val="0052618F"/>
    <w:rsid w:val="00526D8A"/>
    <w:rsid w:val="00530F82"/>
    <w:rsid w:val="005312BB"/>
    <w:rsid w:val="0053227B"/>
    <w:rsid w:val="0053239E"/>
    <w:rsid w:val="00537A84"/>
    <w:rsid w:val="00543AE3"/>
    <w:rsid w:val="00551B3A"/>
    <w:rsid w:val="00560138"/>
    <w:rsid w:val="00560DEA"/>
    <w:rsid w:val="005622C0"/>
    <w:rsid w:val="00564787"/>
    <w:rsid w:val="0057058D"/>
    <w:rsid w:val="00571FBE"/>
    <w:rsid w:val="0057336C"/>
    <w:rsid w:val="00574ABE"/>
    <w:rsid w:val="005801D4"/>
    <w:rsid w:val="00580AA6"/>
    <w:rsid w:val="0058488E"/>
    <w:rsid w:val="0059012A"/>
    <w:rsid w:val="00596D80"/>
    <w:rsid w:val="005B0C1A"/>
    <w:rsid w:val="005B3724"/>
    <w:rsid w:val="005B4961"/>
    <w:rsid w:val="005B4FF4"/>
    <w:rsid w:val="005B7504"/>
    <w:rsid w:val="005C1B4F"/>
    <w:rsid w:val="005C3417"/>
    <w:rsid w:val="005C4008"/>
    <w:rsid w:val="005C5A88"/>
    <w:rsid w:val="005D26AC"/>
    <w:rsid w:val="005D2F29"/>
    <w:rsid w:val="005D7004"/>
    <w:rsid w:val="005E2BFC"/>
    <w:rsid w:val="005E4E98"/>
    <w:rsid w:val="005E608B"/>
    <w:rsid w:val="005F0CDA"/>
    <w:rsid w:val="005F6C3B"/>
    <w:rsid w:val="0060553E"/>
    <w:rsid w:val="00614820"/>
    <w:rsid w:val="006222C4"/>
    <w:rsid w:val="006233F2"/>
    <w:rsid w:val="00631B0B"/>
    <w:rsid w:val="00632D4D"/>
    <w:rsid w:val="00636106"/>
    <w:rsid w:val="00637FEE"/>
    <w:rsid w:val="00643247"/>
    <w:rsid w:val="00645977"/>
    <w:rsid w:val="00650884"/>
    <w:rsid w:val="00655E1B"/>
    <w:rsid w:val="00656D88"/>
    <w:rsid w:val="00665A1B"/>
    <w:rsid w:val="00667585"/>
    <w:rsid w:val="00667F53"/>
    <w:rsid w:val="0067053A"/>
    <w:rsid w:val="006718AF"/>
    <w:rsid w:val="00672849"/>
    <w:rsid w:val="00673811"/>
    <w:rsid w:val="00686171"/>
    <w:rsid w:val="006861AC"/>
    <w:rsid w:val="00687D6E"/>
    <w:rsid w:val="006908AF"/>
    <w:rsid w:val="006921FF"/>
    <w:rsid w:val="00693559"/>
    <w:rsid w:val="006961E9"/>
    <w:rsid w:val="006A2629"/>
    <w:rsid w:val="006A4EF4"/>
    <w:rsid w:val="006A6421"/>
    <w:rsid w:val="006A7BB4"/>
    <w:rsid w:val="006B4AD6"/>
    <w:rsid w:val="006C3100"/>
    <w:rsid w:val="006C4073"/>
    <w:rsid w:val="006D0617"/>
    <w:rsid w:val="006E18B5"/>
    <w:rsid w:val="006E232D"/>
    <w:rsid w:val="006E7DB5"/>
    <w:rsid w:val="006F529F"/>
    <w:rsid w:val="007013E9"/>
    <w:rsid w:val="0070301A"/>
    <w:rsid w:val="00707548"/>
    <w:rsid w:val="00715DCD"/>
    <w:rsid w:val="007162A5"/>
    <w:rsid w:val="007162D9"/>
    <w:rsid w:val="0071778A"/>
    <w:rsid w:val="007205ED"/>
    <w:rsid w:val="00720DE2"/>
    <w:rsid w:val="007234C7"/>
    <w:rsid w:val="007436AD"/>
    <w:rsid w:val="00745D23"/>
    <w:rsid w:val="007467B4"/>
    <w:rsid w:val="00747853"/>
    <w:rsid w:val="00750E47"/>
    <w:rsid w:val="00756A1B"/>
    <w:rsid w:val="00760FB5"/>
    <w:rsid w:val="00761D1E"/>
    <w:rsid w:val="00763536"/>
    <w:rsid w:val="0076532B"/>
    <w:rsid w:val="00771088"/>
    <w:rsid w:val="00772383"/>
    <w:rsid w:val="0077397C"/>
    <w:rsid w:val="007800A8"/>
    <w:rsid w:val="00791A75"/>
    <w:rsid w:val="007923E2"/>
    <w:rsid w:val="00792974"/>
    <w:rsid w:val="00792C96"/>
    <w:rsid w:val="007961A6"/>
    <w:rsid w:val="007A1556"/>
    <w:rsid w:val="007A36E3"/>
    <w:rsid w:val="007A467C"/>
    <w:rsid w:val="007A51C9"/>
    <w:rsid w:val="007A61E0"/>
    <w:rsid w:val="007A7836"/>
    <w:rsid w:val="007B2B7E"/>
    <w:rsid w:val="007C0160"/>
    <w:rsid w:val="007D129E"/>
    <w:rsid w:val="007D3AE2"/>
    <w:rsid w:val="007D7CED"/>
    <w:rsid w:val="007E288D"/>
    <w:rsid w:val="007E3559"/>
    <w:rsid w:val="007E6ADF"/>
    <w:rsid w:val="007E770E"/>
    <w:rsid w:val="007F0656"/>
    <w:rsid w:val="007F5BC6"/>
    <w:rsid w:val="007F78CF"/>
    <w:rsid w:val="0080651B"/>
    <w:rsid w:val="00815BB5"/>
    <w:rsid w:val="008261B2"/>
    <w:rsid w:val="00842EC8"/>
    <w:rsid w:val="00845B04"/>
    <w:rsid w:val="00846A51"/>
    <w:rsid w:val="00846DCD"/>
    <w:rsid w:val="00850038"/>
    <w:rsid w:val="00850F8A"/>
    <w:rsid w:val="00852D0D"/>
    <w:rsid w:val="0086636B"/>
    <w:rsid w:val="00866B1A"/>
    <w:rsid w:val="008671DA"/>
    <w:rsid w:val="00867EA5"/>
    <w:rsid w:val="0087757D"/>
    <w:rsid w:val="00881092"/>
    <w:rsid w:val="00881746"/>
    <w:rsid w:val="008827F3"/>
    <w:rsid w:val="008843F5"/>
    <w:rsid w:val="008848C9"/>
    <w:rsid w:val="00890A2A"/>
    <w:rsid w:val="008937A2"/>
    <w:rsid w:val="00895389"/>
    <w:rsid w:val="008960CE"/>
    <w:rsid w:val="008A009D"/>
    <w:rsid w:val="008A0907"/>
    <w:rsid w:val="008A4B07"/>
    <w:rsid w:val="008A71D3"/>
    <w:rsid w:val="008B23BE"/>
    <w:rsid w:val="008B60E3"/>
    <w:rsid w:val="008B6900"/>
    <w:rsid w:val="008C0D3F"/>
    <w:rsid w:val="008C2B34"/>
    <w:rsid w:val="008C4BE8"/>
    <w:rsid w:val="008C6991"/>
    <w:rsid w:val="008D6382"/>
    <w:rsid w:val="008E097F"/>
    <w:rsid w:val="008E1078"/>
    <w:rsid w:val="008E4A7B"/>
    <w:rsid w:val="008E65C9"/>
    <w:rsid w:val="008E74E6"/>
    <w:rsid w:val="008E7F61"/>
    <w:rsid w:val="008F69AD"/>
    <w:rsid w:val="009026E1"/>
    <w:rsid w:val="00903514"/>
    <w:rsid w:val="00904DF1"/>
    <w:rsid w:val="009070C4"/>
    <w:rsid w:val="009114F3"/>
    <w:rsid w:val="00912DE0"/>
    <w:rsid w:val="00916B20"/>
    <w:rsid w:val="009221F7"/>
    <w:rsid w:val="0092584E"/>
    <w:rsid w:val="00926858"/>
    <w:rsid w:val="00926D2B"/>
    <w:rsid w:val="0092745E"/>
    <w:rsid w:val="00930D5F"/>
    <w:rsid w:val="00932290"/>
    <w:rsid w:val="00932629"/>
    <w:rsid w:val="00934702"/>
    <w:rsid w:val="00941877"/>
    <w:rsid w:val="00941D28"/>
    <w:rsid w:val="00945AD9"/>
    <w:rsid w:val="00947B8D"/>
    <w:rsid w:val="00947D6A"/>
    <w:rsid w:val="00950D8A"/>
    <w:rsid w:val="0095304E"/>
    <w:rsid w:val="009604F1"/>
    <w:rsid w:val="00960A4D"/>
    <w:rsid w:val="009617BF"/>
    <w:rsid w:val="00961D61"/>
    <w:rsid w:val="00963E98"/>
    <w:rsid w:val="00964715"/>
    <w:rsid w:val="0097097D"/>
    <w:rsid w:val="00971380"/>
    <w:rsid w:val="00972AAF"/>
    <w:rsid w:val="00974C1E"/>
    <w:rsid w:val="009766B9"/>
    <w:rsid w:val="00981508"/>
    <w:rsid w:val="00992529"/>
    <w:rsid w:val="009A14AE"/>
    <w:rsid w:val="009A244C"/>
    <w:rsid w:val="009B10A8"/>
    <w:rsid w:val="009B2D46"/>
    <w:rsid w:val="009B5C4B"/>
    <w:rsid w:val="009B703E"/>
    <w:rsid w:val="009C2BE0"/>
    <w:rsid w:val="009C72C0"/>
    <w:rsid w:val="009D00CE"/>
    <w:rsid w:val="009D4D94"/>
    <w:rsid w:val="009D6C47"/>
    <w:rsid w:val="009E4E7E"/>
    <w:rsid w:val="009E5522"/>
    <w:rsid w:val="009E6600"/>
    <w:rsid w:val="009E66A2"/>
    <w:rsid w:val="009F1E3F"/>
    <w:rsid w:val="009F4A70"/>
    <w:rsid w:val="009F5AD4"/>
    <w:rsid w:val="00A00ADD"/>
    <w:rsid w:val="00A07511"/>
    <w:rsid w:val="00A11C6E"/>
    <w:rsid w:val="00A15768"/>
    <w:rsid w:val="00A23126"/>
    <w:rsid w:val="00A37589"/>
    <w:rsid w:val="00A37930"/>
    <w:rsid w:val="00A40D78"/>
    <w:rsid w:val="00A437AF"/>
    <w:rsid w:val="00A43826"/>
    <w:rsid w:val="00A448FC"/>
    <w:rsid w:val="00A46E6B"/>
    <w:rsid w:val="00A507A4"/>
    <w:rsid w:val="00A5101C"/>
    <w:rsid w:val="00A5329D"/>
    <w:rsid w:val="00A61C89"/>
    <w:rsid w:val="00A67885"/>
    <w:rsid w:val="00A73370"/>
    <w:rsid w:val="00A73797"/>
    <w:rsid w:val="00A77A39"/>
    <w:rsid w:val="00A84CE0"/>
    <w:rsid w:val="00A8506C"/>
    <w:rsid w:val="00A86AE3"/>
    <w:rsid w:val="00A9409B"/>
    <w:rsid w:val="00A941B6"/>
    <w:rsid w:val="00AA4129"/>
    <w:rsid w:val="00AA53DE"/>
    <w:rsid w:val="00AA65C2"/>
    <w:rsid w:val="00AB0393"/>
    <w:rsid w:val="00AC2ECB"/>
    <w:rsid w:val="00AC36CD"/>
    <w:rsid w:val="00AC5285"/>
    <w:rsid w:val="00AC7204"/>
    <w:rsid w:val="00AC7675"/>
    <w:rsid w:val="00AC7AB7"/>
    <w:rsid w:val="00AD2585"/>
    <w:rsid w:val="00AD25B4"/>
    <w:rsid w:val="00AD2F94"/>
    <w:rsid w:val="00AD305A"/>
    <w:rsid w:val="00AD35E7"/>
    <w:rsid w:val="00AD3A06"/>
    <w:rsid w:val="00AD41A1"/>
    <w:rsid w:val="00AD70A1"/>
    <w:rsid w:val="00AD72F2"/>
    <w:rsid w:val="00AE04C2"/>
    <w:rsid w:val="00AE06B4"/>
    <w:rsid w:val="00AE1B24"/>
    <w:rsid w:val="00AE2FDF"/>
    <w:rsid w:val="00AE4667"/>
    <w:rsid w:val="00AF4917"/>
    <w:rsid w:val="00AF556A"/>
    <w:rsid w:val="00AF5CD8"/>
    <w:rsid w:val="00AF67B8"/>
    <w:rsid w:val="00B13825"/>
    <w:rsid w:val="00B15DDD"/>
    <w:rsid w:val="00B234CE"/>
    <w:rsid w:val="00B2384C"/>
    <w:rsid w:val="00B263F3"/>
    <w:rsid w:val="00B404FC"/>
    <w:rsid w:val="00B43A55"/>
    <w:rsid w:val="00B466C1"/>
    <w:rsid w:val="00B56668"/>
    <w:rsid w:val="00B61384"/>
    <w:rsid w:val="00B656D3"/>
    <w:rsid w:val="00B715B5"/>
    <w:rsid w:val="00B729B9"/>
    <w:rsid w:val="00B7517C"/>
    <w:rsid w:val="00B76D92"/>
    <w:rsid w:val="00B8041D"/>
    <w:rsid w:val="00B81296"/>
    <w:rsid w:val="00B83EF9"/>
    <w:rsid w:val="00BA2004"/>
    <w:rsid w:val="00BA2D71"/>
    <w:rsid w:val="00BA401B"/>
    <w:rsid w:val="00BB0D87"/>
    <w:rsid w:val="00BB19CE"/>
    <w:rsid w:val="00BB29FE"/>
    <w:rsid w:val="00BB5080"/>
    <w:rsid w:val="00BB60E8"/>
    <w:rsid w:val="00BC3958"/>
    <w:rsid w:val="00BD06C3"/>
    <w:rsid w:val="00BD2EBC"/>
    <w:rsid w:val="00BD3942"/>
    <w:rsid w:val="00BE19E4"/>
    <w:rsid w:val="00BE4ABE"/>
    <w:rsid w:val="00BE6BED"/>
    <w:rsid w:val="00BF2735"/>
    <w:rsid w:val="00BF2C0F"/>
    <w:rsid w:val="00BF60DE"/>
    <w:rsid w:val="00BF65AA"/>
    <w:rsid w:val="00C000F6"/>
    <w:rsid w:val="00C01785"/>
    <w:rsid w:val="00C03BB7"/>
    <w:rsid w:val="00C10D5F"/>
    <w:rsid w:val="00C12F48"/>
    <w:rsid w:val="00C16BF0"/>
    <w:rsid w:val="00C16C55"/>
    <w:rsid w:val="00C17A22"/>
    <w:rsid w:val="00C2634F"/>
    <w:rsid w:val="00C27172"/>
    <w:rsid w:val="00C32945"/>
    <w:rsid w:val="00C32C7D"/>
    <w:rsid w:val="00C40843"/>
    <w:rsid w:val="00C42E5F"/>
    <w:rsid w:val="00C455F4"/>
    <w:rsid w:val="00C50580"/>
    <w:rsid w:val="00C77587"/>
    <w:rsid w:val="00C826FA"/>
    <w:rsid w:val="00C83488"/>
    <w:rsid w:val="00C835AB"/>
    <w:rsid w:val="00C843BB"/>
    <w:rsid w:val="00C86BA1"/>
    <w:rsid w:val="00C9315E"/>
    <w:rsid w:val="00CB1C0D"/>
    <w:rsid w:val="00CB3DF7"/>
    <w:rsid w:val="00CB5DAD"/>
    <w:rsid w:val="00CC19F8"/>
    <w:rsid w:val="00CC3239"/>
    <w:rsid w:val="00CD0BE0"/>
    <w:rsid w:val="00CE456B"/>
    <w:rsid w:val="00CF5AE3"/>
    <w:rsid w:val="00D04AF6"/>
    <w:rsid w:val="00D04B88"/>
    <w:rsid w:val="00D05F58"/>
    <w:rsid w:val="00D1299D"/>
    <w:rsid w:val="00D14B88"/>
    <w:rsid w:val="00D15BB4"/>
    <w:rsid w:val="00D15D18"/>
    <w:rsid w:val="00D1775C"/>
    <w:rsid w:val="00D23ECC"/>
    <w:rsid w:val="00D23F84"/>
    <w:rsid w:val="00D262DB"/>
    <w:rsid w:val="00D2632B"/>
    <w:rsid w:val="00D3711D"/>
    <w:rsid w:val="00D44B30"/>
    <w:rsid w:val="00D44DE7"/>
    <w:rsid w:val="00D502B2"/>
    <w:rsid w:val="00D55C5E"/>
    <w:rsid w:val="00D57894"/>
    <w:rsid w:val="00D62A0B"/>
    <w:rsid w:val="00D63ABA"/>
    <w:rsid w:val="00D664E7"/>
    <w:rsid w:val="00D7000D"/>
    <w:rsid w:val="00D707C9"/>
    <w:rsid w:val="00D721DE"/>
    <w:rsid w:val="00D74090"/>
    <w:rsid w:val="00D759C2"/>
    <w:rsid w:val="00D76195"/>
    <w:rsid w:val="00D80397"/>
    <w:rsid w:val="00D84378"/>
    <w:rsid w:val="00D865D8"/>
    <w:rsid w:val="00D8671E"/>
    <w:rsid w:val="00D86859"/>
    <w:rsid w:val="00D973C7"/>
    <w:rsid w:val="00DA2C03"/>
    <w:rsid w:val="00DB2E74"/>
    <w:rsid w:val="00DC23EF"/>
    <w:rsid w:val="00DD57EE"/>
    <w:rsid w:val="00DE08E0"/>
    <w:rsid w:val="00DE093A"/>
    <w:rsid w:val="00DE36A2"/>
    <w:rsid w:val="00DE7922"/>
    <w:rsid w:val="00DF3233"/>
    <w:rsid w:val="00DF36B7"/>
    <w:rsid w:val="00DF5FD5"/>
    <w:rsid w:val="00DF71CC"/>
    <w:rsid w:val="00DF773E"/>
    <w:rsid w:val="00E00F0E"/>
    <w:rsid w:val="00E27124"/>
    <w:rsid w:val="00E30AFB"/>
    <w:rsid w:val="00E32970"/>
    <w:rsid w:val="00E32C6C"/>
    <w:rsid w:val="00E408A1"/>
    <w:rsid w:val="00E4727B"/>
    <w:rsid w:val="00E52414"/>
    <w:rsid w:val="00E54376"/>
    <w:rsid w:val="00E60565"/>
    <w:rsid w:val="00E73213"/>
    <w:rsid w:val="00E764E4"/>
    <w:rsid w:val="00E805B6"/>
    <w:rsid w:val="00E84B16"/>
    <w:rsid w:val="00E85AAE"/>
    <w:rsid w:val="00E869E3"/>
    <w:rsid w:val="00E90EC9"/>
    <w:rsid w:val="00E946BB"/>
    <w:rsid w:val="00E960E6"/>
    <w:rsid w:val="00E968BB"/>
    <w:rsid w:val="00E9732D"/>
    <w:rsid w:val="00EA581E"/>
    <w:rsid w:val="00EA6C3C"/>
    <w:rsid w:val="00EB1A80"/>
    <w:rsid w:val="00EB5255"/>
    <w:rsid w:val="00EB6264"/>
    <w:rsid w:val="00EC00AB"/>
    <w:rsid w:val="00EC30C7"/>
    <w:rsid w:val="00ED034C"/>
    <w:rsid w:val="00ED4004"/>
    <w:rsid w:val="00ED6E00"/>
    <w:rsid w:val="00ED737A"/>
    <w:rsid w:val="00EE64CF"/>
    <w:rsid w:val="00EF05FE"/>
    <w:rsid w:val="00EF2EA5"/>
    <w:rsid w:val="00EF4F4B"/>
    <w:rsid w:val="00EF75F2"/>
    <w:rsid w:val="00EF7F7E"/>
    <w:rsid w:val="00F05923"/>
    <w:rsid w:val="00F137BF"/>
    <w:rsid w:val="00F14595"/>
    <w:rsid w:val="00F21131"/>
    <w:rsid w:val="00F21A5C"/>
    <w:rsid w:val="00F21B33"/>
    <w:rsid w:val="00F22F8D"/>
    <w:rsid w:val="00F255CA"/>
    <w:rsid w:val="00F25815"/>
    <w:rsid w:val="00F259C5"/>
    <w:rsid w:val="00F33FC7"/>
    <w:rsid w:val="00F37176"/>
    <w:rsid w:val="00F428C1"/>
    <w:rsid w:val="00F53F28"/>
    <w:rsid w:val="00F60E88"/>
    <w:rsid w:val="00F67045"/>
    <w:rsid w:val="00F70465"/>
    <w:rsid w:val="00F7664A"/>
    <w:rsid w:val="00F76912"/>
    <w:rsid w:val="00F77C78"/>
    <w:rsid w:val="00F95FB4"/>
    <w:rsid w:val="00FA0DE0"/>
    <w:rsid w:val="00FA2504"/>
    <w:rsid w:val="00FA2CC9"/>
    <w:rsid w:val="00FA7E49"/>
    <w:rsid w:val="00FB0014"/>
    <w:rsid w:val="00FB13CB"/>
    <w:rsid w:val="00FB2D74"/>
    <w:rsid w:val="00FB3B87"/>
    <w:rsid w:val="00FB4B22"/>
    <w:rsid w:val="00FD0126"/>
    <w:rsid w:val="00FD307E"/>
    <w:rsid w:val="00FD4FF6"/>
    <w:rsid w:val="00FE1217"/>
    <w:rsid w:val="00FE3E87"/>
    <w:rsid w:val="00FF7586"/>
    <w:rsid w:val="00FF7C2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2FB332"/>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1832"/>
    <w:rPr>
      <w:rFonts w:ascii="Cambria" w:hAnsi="Cambria"/>
    </w:rPr>
  </w:style>
  <w:style w:type="paragraph" w:styleId="Heading1">
    <w:name w:val="heading 1"/>
    <w:basedOn w:val="Normal"/>
    <w:next w:val="Normal"/>
    <w:link w:val="Heading1Char"/>
    <w:uiPriority w:val="9"/>
    <w:qFormat/>
    <w:rsid w:val="004074E3"/>
    <w:pPr>
      <w:keepNext/>
      <w:keepLines/>
      <w:spacing w:before="24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4074E3"/>
    <w:pPr>
      <w:keepNext/>
      <w:keepLines/>
      <w:spacing w:before="40"/>
      <w:outlineLvl w:val="1"/>
    </w:pPr>
    <w:rPr>
      <w:rFonts w:eastAsiaTheme="majorEastAsia" w:cstheme="majorBidi"/>
      <w:b/>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31B0B"/>
    <w:pPr>
      <w:tabs>
        <w:tab w:val="center" w:pos="4513"/>
        <w:tab w:val="right" w:pos="9026"/>
      </w:tabs>
    </w:pPr>
  </w:style>
  <w:style w:type="character" w:customStyle="1" w:styleId="FooterChar">
    <w:name w:val="Footer Char"/>
    <w:basedOn w:val="DefaultParagraphFont"/>
    <w:link w:val="Footer"/>
    <w:uiPriority w:val="99"/>
    <w:rsid w:val="00631B0B"/>
  </w:style>
  <w:style w:type="character" w:styleId="PageNumber">
    <w:name w:val="page number"/>
    <w:basedOn w:val="DefaultParagraphFont"/>
    <w:uiPriority w:val="99"/>
    <w:semiHidden/>
    <w:unhideWhenUsed/>
    <w:rsid w:val="00631B0B"/>
  </w:style>
  <w:style w:type="paragraph" w:styleId="ListParagraph">
    <w:name w:val="List Paragraph"/>
    <w:basedOn w:val="Normal"/>
    <w:uiPriority w:val="34"/>
    <w:qFormat/>
    <w:rsid w:val="00F21B33"/>
    <w:pPr>
      <w:ind w:left="720"/>
      <w:contextualSpacing/>
    </w:pPr>
  </w:style>
  <w:style w:type="paragraph" w:customStyle="1" w:styleId="EndNoteBibliographyTitle">
    <w:name w:val="EndNote Bibliography Title"/>
    <w:basedOn w:val="Normal"/>
    <w:rsid w:val="00DF71CC"/>
    <w:pPr>
      <w:jc w:val="center"/>
    </w:pPr>
    <w:rPr>
      <w:rFonts w:ascii="Calibri" w:hAnsi="Calibri"/>
    </w:rPr>
  </w:style>
  <w:style w:type="paragraph" w:customStyle="1" w:styleId="EndNoteBibliography">
    <w:name w:val="EndNote Bibliography"/>
    <w:basedOn w:val="Normal"/>
    <w:rsid w:val="00DF71CC"/>
    <w:rPr>
      <w:rFonts w:ascii="Calibri" w:hAnsi="Calibri"/>
    </w:rPr>
  </w:style>
  <w:style w:type="character" w:styleId="PlaceholderText">
    <w:name w:val="Placeholder Text"/>
    <w:basedOn w:val="DefaultParagraphFont"/>
    <w:uiPriority w:val="99"/>
    <w:semiHidden/>
    <w:rsid w:val="00A448FC"/>
    <w:rPr>
      <w:color w:val="808080"/>
    </w:rPr>
  </w:style>
  <w:style w:type="table" w:styleId="TableGrid">
    <w:name w:val="Table Grid"/>
    <w:basedOn w:val="TableNormal"/>
    <w:uiPriority w:val="39"/>
    <w:rsid w:val="008E09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A65E3"/>
    <w:rPr>
      <w:color w:val="0563C1" w:themeColor="hyperlink"/>
      <w:u w:val="single"/>
    </w:rPr>
  </w:style>
  <w:style w:type="paragraph" w:styleId="FootnoteText">
    <w:name w:val="footnote text"/>
    <w:basedOn w:val="Normal"/>
    <w:link w:val="FootnoteTextChar"/>
    <w:uiPriority w:val="99"/>
    <w:unhideWhenUsed/>
    <w:rsid w:val="0021205A"/>
    <w:rPr>
      <w:sz w:val="20"/>
    </w:rPr>
  </w:style>
  <w:style w:type="character" w:customStyle="1" w:styleId="FootnoteTextChar">
    <w:name w:val="Footnote Text Char"/>
    <w:basedOn w:val="DefaultParagraphFont"/>
    <w:link w:val="FootnoteText"/>
    <w:uiPriority w:val="99"/>
    <w:rsid w:val="0021205A"/>
    <w:rPr>
      <w:rFonts w:ascii="Cambria" w:hAnsi="Cambria"/>
      <w:sz w:val="20"/>
    </w:rPr>
  </w:style>
  <w:style w:type="character" w:styleId="FootnoteReference">
    <w:name w:val="footnote reference"/>
    <w:basedOn w:val="DefaultParagraphFont"/>
    <w:uiPriority w:val="99"/>
    <w:unhideWhenUsed/>
    <w:rsid w:val="00DF773E"/>
    <w:rPr>
      <w:vertAlign w:val="superscript"/>
    </w:rPr>
  </w:style>
  <w:style w:type="character" w:styleId="FollowedHyperlink">
    <w:name w:val="FollowedHyperlink"/>
    <w:basedOn w:val="DefaultParagraphFont"/>
    <w:uiPriority w:val="99"/>
    <w:semiHidden/>
    <w:unhideWhenUsed/>
    <w:rsid w:val="00172272"/>
    <w:rPr>
      <w:color w:val="954F72" w:themeColor="followedHyperlink"/>
      <w:u w:val="single"/>
    </w:rPr>
  </w:style>
  <w:style w:type="character" w:styleId="CommentReference">
    <w:name w:val="annotation reference"/>
    <w:basedOn w:val="DefaultParagraphFont"/>
    <w:uiPriority w:val="99"/>
    <w:semiHidden/>
    <w:unhideWhenUsed/>
    <w:rsid w:val="009C72C0"/>
    <w:rPr>
      <w:sz w:val="16"/>
      <w:szCs w:val="16"/>
    </w:rPr>
  </w:style>
  <w:style w:type="paragraph" w:styleId="CommentText">
    <w:name w:val="annotation text"/>
    <w:basedOn w:val="Normal"/>
    <w:link w:val="CommentTextChar"/>
    <w:uiPriority w:val="99"/>
    <w:semiHidden/>
    <w:unhideWhenUsed/>
    <w:rsid w:val="009C72C0"/>
    <w:rPr>
      <w:sz w:val="20"/>
      <w:szCs w:val="20"/>
    </w:rPr>
  </w:style>
  <w:style w:type="character" w:customStyle="1" w:styleId="CommentTextChar">
    <w:name w:val="Comment Text Char"/>
    <w:basedOn w:val="DefaultParagraphFont"/>
    <w:link w:val="CommentText"/>
    <w:uiPriority w:val="99"/>
    <w:semiHidden/>
    <w:rsid w:val="009C72C0"/>
    <w:rPr>
      <w:sz w:val="20"/>
      <w:szCs w:val="20"/>
    </w:rPr>
  </w:style>
  <w:style w:type="paragraph" w:styleId="CommentSubject">
    <w:name w:val="annotation subject"/>
    <w:basedOn w:val="CommentText"/>
    <w:next w:val="CommentText"/>
    <w:link w:val="CommentSubjectChar"/>
    <w:uiPriority w:val="99"/>
    <w:semiHidden/>
    <w:unhideWhenUsed/>
    <w:rsid w:val="009C72C0"/>
    <w:rPr>
      <w:b/>
      <w:bCs/>
    </w:rPr>
  </w:style>
  <w:style w:type="character" w:customStyle="1" w:styleId="CommentSubjectChar">
    <w:name w:val="Comment Subject Char"/>
    <w:basedOn w:val="CommentTextChar"/>
    <w:link w:val="CommentSubject"/>
    <w:uiPriority w:val="99"/>
    <w:semiHidden/>
    <w:rsid w:val="009C72C0"/>
    <w:rPr>
      <w:b/>
      <w:bCs/>
      <w:sz w:val="20"/>
      <w:szCs w:val="20"/>
    </w:rPr>
  </w:style>
  <w:style w:type="paragraph" w:styleId="BalloonText">
    <w:name w:val="Balloon Text"/>
    <w:basedOn w:val="Normal"/>
    <w:link w:val="BalloonTextChar"/>
    <w:uiPriority w:val="99"/>
    <w:semiHidden/>
    <w:unhideWhenUsed/>
    <w:rsid w:val="009C72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72C0"/>
    <w:rPr>
      <w:rFonts w:ascii="Segoe UI" w:hAnsi="Segoe UI" w:cs="Segoe UI"/>
      <w:sz w:val="18"/>
      <w:szCs w:val="18"/>
    </w:rPr>
  </w:style>
  <w:style w:type="character" w:customStyle="1" w:styleId="apple-converted-space">
    <w:name w:val="apple-converted-space"/>
    <w:basedOn w:val="DefaultParagraphFont"/>
    <w:rsid w:val="001B4F1D"/>
  </w:style>
  <w:style w:type="paragraph" w:styleId="Caption">
    <w:name w:val="caption"/>
    <w:basedOn w:val="Normal"/>
    <w:next w:val="Normal"/>
    <w:uiPriority w:val="35"/>
    <w:unhideWhenUsed/>
    <w:qFormat/>
    <w:rsid w:val="00C10D5F"/>
    <w:pPr>
      <w:spacing w:after="200"/>
    </w:pPr>
    <w:rPr>
      <w:i/>
      <w:iCs/>
      <w:color w:val="44546A" w:themeColor="text2"/>
      <w:sz w:val="18"/>
      <w:szCs w:val="18"/>
    </w:rPr>
  </w:style>
  <w:style w:type="paragraph" w:styleId="Bibliography">
    <w:name w:val="Bibliography"/>
    <w:basedOn w:val="Normal"/>
    <w:next w:val="Normal"/>
    <w:uiPriority w:val="37"/>
    <w:unhideWhenUsed/>
    <w:rsid w:val="00930D5F"/>
    <w:pPr>
      <w:ind w:left="720" w:hanging="720"/>
    </w:pPr>
  </w:style>
  <w:style w:type="paragraph" w:styleId="EndnoteText">
    <w:name w:val="endnote text"/>
    <w:basedOn w:val="Normal"/>
    <w:link w:val="EndnoteTextChar"/>
    <w:uiPriority w:val="99"/>
    <w:semiHidden/>
    <w:unhideWhenUsed/>
    <w:rsid w:val="003A2E09"/>
    <w:rPr>
      <w:sz w:val="20"/>
      <w:szCs w:val="20"/>
    </w:rPr>
  </w:style>
  <w:style w:type="character" w:customStyle="1" w:styleId="EndnoteTextChar">
    <w:name w:val="Endnote Text Char"/>
    <w:basedOn w:val="DefaultParagraphFont"/>
    <w:link w:val="EndnoteText"/>
    <w:uiPriority w:val="99"/>
    <w:semiHidden/>
    <w:rsid w:val="003A2E09"/>
    <w:rPr>
      <w:rFonts w:ascii="Cambria" w:hAnsi="Cambria"/>
      <w:sz w:val="20"/>
      <w:szCs w:val="20"/>
    </w:rPr>
  </w:style>
  <w:style w:type="character" w:styleId="EndnoteReference">
    <w:name w:val="endnote reference"/>
    <w:basedOn w:val="DefaultParagraphFont"/>
    <w:uiPriority w:val="99"/>
    <w:semiHidden/>
    <w:unhideWhenUsed/>
    <w:rsid w:val="003A2E09"/>
    <w:rPr>
      <w:vertAlign w:val="superscript"/>
    </w:rPr>
  </w:style>
  <w:style w:type="character" w:customStyle="1" w:styleId="Heading1Char">
    <w:name w:val="Heading 1 Char"/>
    <w:basedOn w:val="DefaultParagraphFont"/>
    <w:link w:val="Heading1"/>
    <w:uiPriority w:val="9"/>
    <w:rsid w:val="004074E3"/>
    <w:rPr>
      <w:rFonts w:ascii="Cambria" w:eastAsiaTheme="majorEastAsia" w:hAnsi="Cambria" w:cstheme="majorBidi"/>
      <w:b/>
      <w:szCs w:val="32"/>
    </w:rPr>
  </w:style>
  <w:style w:type="character" w:customStyle="1" w:styleId="Heading2Char">
    <w:name w:val="Heading 2 Char"/>
    <w:basedOn w:val="DefaultParagraphFont"/>
    <w:link w:val="Heading2"/>
    <w:uiPriority w:val="9"/>
    <w:rsid w:val="004074E3"/>
    <w:rPr>
      <w:rFonts w:ascii="Cambria" w:eastAsiaTheme="majorEastAsia" w:hAnsi="Cambria" w:cstheme="majorBidi"/>
      <w:b/>
      <w:szCs w:val="26"/>
    </w:rPr>
  </w:style>
  <w:style w:type="character" w:styleId="LineNumber">
    <w:name w:val="line number"/>
    <w:basedOn w:val="DefaultParagraphFont"/>
    <w:uiPriority w:val="99"/>
    <w:semiHidden/>
    <w:unhideWhenUsed/>
    <w:rsid w:val="001461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937453">
      <w:bodyDiv w:val="1"/>
      <w:marLeft w:val="0"/>
      <w:marRight w:val="0"/>
      <w:marTop w:val="0"/>
      <w:marBottom w:val="0"/>
      <w:divBdr>
        <w:top w:val="none" w:sz="0" w:space="0" w:color="auto"/>
        <w:left w:val="none" w:sz="0" w:space="0" w:color="auto"/>
        <w:bottom w:val="none" w:sz="0" w:space="0" w:color="auto"/>
        <w:right w:val="none" w:sz="0" w:space="0" w:color="auto"/>
      </w:divBdr>
    </w:div>
    <w:div w:id="1030226110">
      <w:bodyDiv w:val="1"/>
      <w:marLeft w:val="0"/>
      <w:marRight w:val="0"/>
      <w:marTop w:val="0"/>
      <w:marBottom w:val="0"/>
      <w:divBdr>
        <w:top w:val="none" w:sz="0" w:space="0" w:color="auto"/>
        <w:left w:val="none" w:sz="0" w:space="0" w:color="auto"/>
        <w:bottom w:val="none" w:sz="0" w:space="0" w:color="auto"/>
        <w:right w:val="none" w:sz="0" w:space="0" w:color="auto"/>
      </w:divBdr>
    </w:div>
    <w:div w:id="14838168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pomponi@napier.ac.uk" TargetMode="External"/><Relationship Id="rId13" Type="http://schemas.openxmlformats.org/officeDocument/2006/relationships/chart" Target="charts/chart1.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fontTable" Target="fontTable.xml"/><Relationship Id="rId27" Type="http://schemas.microsoft.com/office/2016/09/relationships/commentsIds" Target="commentsId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napier-mail.napier.ac.uk\staff\school%20of%20engineering%20and%20the%20built%20environment\user%20data\40011095\FUNDING\RAEng%20-%20FoEDev%20-%20Circular%20Economy\Emergency%20Sheltering%20Bid\Disaster%20Shelter.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invalid.uri"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mn-lt"/>
                <a:ea typeface="+mn-ea"/>
                <a:cs typeface="+mn-cs"/>
              </a:defRPr>
            </a:pPr>
            <a:r>
              <a:rPr lang="en-US" sz="1200"/>
              <a:t>Clustered delphi results (Load Bearing structure)</a:t>
            </a:r>
          </a:p>
        </c:rich>
      </c:tx>
      <c:layout/>
      <c:overlay val="0"/>
      <c:spPr>
        <a:noFill/>
        <a:ln>
          <a:noFill/>
        </a:ln>
        <a:effectLst/>
      </c:spPr>
      <c:txPr>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9152582422923632"/>
          <c:y val="0.21266841644794401"/>
          <c:w val="0.60847417577076368"/>
          <c:h val="0.75190485247315098"/>
        </c:manualLayout>
      </c:layout>
      <c:barChart>
        <c:barDir val="bar"/>
        <c:grouping val="clustered"/>
        <c:varyColors val="0"/>
        <c:ser>
          <c:idx val="0"/>
          <c:order val="0"/>
          <c:tx>
            <c:strRef>
              <c:f>Totals!$B$1</c:f>
              <c:strCache>
                <c:ptCount val="1"/>
                <c:pt idx="0">
                  <c:v>Social</c:v>
                </c:pt>
              </c:strCache>
            </c:strRef>
          </c:tx>
          <c:spPr>
            <a:solidFill>
              <a:schemeClr val="accent1"/>
            </a:solidFill>
            <a:ln>
              <a:noFill/>
            </a:ln>
            <a:effectLst/>
          </c:spPr>
          <c:invertIfNegative val="0"/>
          <c:dLbls>
            <c:delete val="1"/>
          </c:dLbls>
          <c:cat>
            <c:strRef>
              <c:f>Totals!$A$2:$A$5</c:f>
              <c:strCache>
                <c:ptCount val="4"/>
                <c:pt idx="0">
                  <c:v>Prefabricated- Frame structure</c:v>
                </c:pt>
                <c:pt idx="1">
                  <c:v>Formwork with local infill</c:v>
                </c:pt>
                <c:pt idx="2">
                  <c:v>Sandbag</c:v>
                </c:pt>
                <c:pt idx="3">
                  <c:v>Sundried bricks</c:v>
                </c:pt>
              </c:strCache>
            </c:strRef>
          </c:cat>
          <c:val>
            <c:numRef>
              <c:f>Totals!$B$2:$B$5</c:f>
              <c:numCache>
                <c:formatCode>General</c:formatCode>
                <c:ptCount val="4"/>
                <c:pt idx="0">
                  <c:v>62</c:v>
                </c:pt>
                <c:pt idx="1">
                  <c:v>49</c:v>
                </c:pt>
                <c:pt idx="2">
                  <c:v>48</c:v>
                </c:pt>
                <c:pt idx="3">
                  <c:v>36</c:v>
                </c:pt>
              </c:numCache>
            </c:numRef>
          </c:val>
          <c:extLst>
            <c:ext xmlns:c16="http://schemas.microsoft.com/office/drawing/2014/chart" uri="{C3380CC4-5D6E-409C-BE32-E72D297353CC}">
              <c16:uniqueId val="{00000000-3746-4943-A080-EF100F463F5D}"/>
            </c:ext>
          </c:extLst>
        </c:ser>
        <c:ser>
          <c:idx val="1"/>
          <c:order val="1"/>
          <c:tx>
            <c:strRef>
              <c:f>Totals!$C$1</c:f>
              <c:strCache>
                <c:ptCount val="1"/>
                <c:pt idx="0">
                  <c:v>Environmental</c:v>
                </c:pt>
              </c:strCache>
            </c:strRef>
          </c:tx>
          <c:spPr>
            <a:solidFill>
              <a:schemeClr val="accent2"/>
            </a:solidFill>
            <a:ln>
              <a:noFill/>
            </a:ln>
            <a:effectLst/>
          </c:spPr>
          <c:invertIfNegative val="0"/>
          <c:dLbls>
            <c:delete val="1"/>
          </c:dLbls>
          <c:cat>
            <c:strRef>
              <c:f>Totals!$A$2:$A$5</c:f>
              <c:strCache>
                <c:ptCount val="4"/>
                <c:pt idx="0">
                  <c:v>Prefabricated- Frame structure</c:v>
                </c:pt>
                <c:pt idx="1">
                  <c:v>Formwork with local infill</c:v>
                </c:pt>
                <c:pt idx="2">
                  <c:v>Sandbag</c:v>
                </c:pt>
                <c:pt idx="3">
                  <c:v>Sundried bricks</c:v>
                </c:pt>
              </c:strCache>
            </c:strRef>
          </c:cat>
          <c:val>
            <c:numRef>
              <c:f>Totals!$C$2:$C$5</c:f>
              <c:numCache>
                <c:formatCode>General</c:formatCode>
                <c:ptCount val="4"/>
                <c:pt idx="0">
                  <c:v>67</c:v>
                </c:pt>
                <c:pt idx="1">
                  <c:v>45</c:v>
                </c:pt>
                <c:pt idx="2">
                  <c:v>40</c:v>
                </c:pt>
                <c:pt idx="3">
                  <c:v>30</c:v>
                </c:pt>
              </c:numCache>
            </c:numRef>
          </c:val>
          <c:extLst>
            <c:ext xmlns:c16="http://schemas.microsoft.com/office/drawing/2014/chart" uri="{C3380CC4-5D6E-409C-BE32-E72D297353CC}">
              <c16:uniqueId val="{00000001-3746-4943-A080-EF100F463F5D}"/>
            </c:ext>
          </c:extLst>
        </c:ser>
        <c:ser>
          <c:idx val="2"/>
          <c:order val="2"/>
          <c:tx>
            <c:strRef>
              <c:f>Totals!$D$1</c:f>
              <c:strCache>
                <c:ptCount val="1"/>
                <c:pt idx="0">
                  <c:v>Economic</c:v>
                </c:pt>
              </c:strCache>
            </c:strRef>
          </c:tx>
          <c:spPr>
            <a:solidFill>
              <a:schemeClr val="accent3"/>
            </a:solidFill>
            <a:ln>
              <a:noFill/>
            </a:ln>
            <a:effectLst/>
          </c:spPr>
          <c:invertIfNegative val="0"/>
          <c:dLbls>
            <c:delete val="1"/>
          </c:dLbls>
          <c:cat>
            <c:strRef>
              <c:f>Totals!$A$2:$A$5</c:f>
              <c:strCache>
                <c:ptCount val="4"/>
                <c:pt idx="0">
                  <c:v>Prefabricated- Frame structure</c:v>
                </c:pt>
                <c:pt idx="1">
                  <c:v>Formwork with local infill</c:v>
                </c:pt>
                <c:pt idx="2">
                  <c:v>Sandbag</c:v>
                </c:pt>
                <c:pt idx="3">
                  <c:v>Sundried bricks</c:v>
                </c:pt>
              </c:strCache>
            </c:strRef>
          </c:cat>
          <c:val>
            <c:numRef>
              <c:f>Totals!$D$2:$D$5</c:f>
              <c:numCache>
                <c:formatCode>General</c:formatCode>
                <c:ptCount val="4"/>
                <c:pt idx="0">
                  <c:v>62</c:v>
                </c:pt>
                <c:pt idx="1">
                  <c:v>52</c:v>
                </c:pt>
                <c:pt idx="2">
                  <c:v>39</c:v>
                </c:pt>
                <c:pt idx="3">
                  <c:v>41</c:v>
                </c:pt>
              </c:numCache>
            </c:numRef>
          </c:val>
          <c:extLst>
            <c:ext xmlns:c16="http://schemas.microsoft.com/office/drawing/2014/chart" uri="{C3380CC4-5D6E-409C-BE32-E72D297353CC}">
              <c16:uniqueId val="{00000002-3746-4943-A080-EF100F463F5D}"/>
            </c:ext>
          </c:extLst>
        </c:ser>
        <c:ser>
          <c:idx val="3"/>
          <c:order val="3"/>
          <c:tx>
            <c:strRef>
              <c:f>Totals!$E$1</c:f>
              <c:strCache>
                <c:ptCount val="1"/>
                <c:pt idx="0">
                  <c:v>Technical</c:v>
                </c:pt>
              </c:strCache>
            </c:strRef>
          </c:tx>
          <c:spPr>
            <a:solidFill>
              <a:schemeClr val="accent4"/>
            </a:solidFill>
            <a:ln>
              <a:noFill/>
            </a:ln>
            <a:effectLst/>
          </c:spPr>
          <c:invertIfNegative val="0"/>
          <c:dLbls>
            <c:delete val="1"/>
          </c:dLbls>
          <c:cat>
            <c:strRef>
              <c:f>Totals!$A$2:$A$5</c:f>
              <c:strCache>
                <c:ptCount val="4"/>
                <c:pt idx="0">
                  <c:v>Prefabricated- Frame structure</c:v>
                </c:pt>
                <c:pt idx="1">
                  <c:v>Formwork with local infill</c:v>
                </c:pt>
                <c:pt idx="2">
                  <c:v>Sandbag</c:v>
                </c:pt>
                <c:pt idx="3">
                  <c:v>Sundried bricks</c:v>
                </c:pt>
              </c:strCache>
            </c:strRef>
          </c:cat>
          <c:val>
            <c:numRef>
              <c:f>Totals!$E$2:$E$5</c:f>
              <c:numCache>
                <c:formatCode>General</c:formatCode>
                <c:ptCount val="4"/>
                <c:pt idx="0">
                  <c:v>46</c:v>
                </c:pt>
                <c:pt idx="1">
                  <c:v>47</c:v>
                </c:pt>
                <c:pt idx="2">
                  <c:v>47</c:v>
                </c:pt>
                <c:pt idx="3">
                  <c:v>49</c:v>
                </c:pt>
              </c:numCache>
            </c:numRef>
          </c:val>
          <c:extLst>
            <c:ext xmlns:c16="http://schemas.microsoft.com/office/drawing/2014/chart" uri="{C3380CC4-5D6E-409C-BE32-E72D297353CC}">
              <c16:uniqueId val="{00000003-3746-4943-A080-EF100F463F5D}"/>
            </c:ext>
          </c:extLst>
        </c:ser>
        <c:dLbls>
          <c:dLblPos val="outEnd"/>
          <c:showLegendKey val="0"/>
          <c:showVal val="1"/>
          <c:showCatName val="0"/>
          <c:showSerName val="0"/>
          <c:showPercent val="0"/>
          <c:showBubbleSize val="0"/>
        </c:dLbls>
        <c:gapWidth val="444"/>
        <c:axId val="2023430927"/>
        <c:axId val="2023432623"/>
      </c:barChart>
      <c:catAx>
        <c:axId val="20234309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cap="all" spc="120" normalizeH="0" baseline="0">
                <a:solidFill>
                  <a:schemeClr val="tx1">
                    <a:lumMod val="65000"/>
                    <a:lumOff val="35000"/>
                  </a:schemeClr>
                </a:solidFill>
                <a:latin typeface="+mn-lt"/>
                <a:ea typeface="+mn-ea"/>
                <a:cs typeface="+mn-cs"/>
              </a:defRPr>
            </a:pPr>
            <a:endParaRPr lang="en-US"/>
          </a:p>
        </c:txPr>
        <c:crossAx val="2023432623"/>
        <c:crosses val="autoZero"/>
        <c:auto val="1"/>
        <c:lblAlgn val="ctr"/>
        <c:lblOffset val="100"/>
        <c:noMultiLvlLbl val="0"/>
      </c:catAx>
      <c:valAx>
        <c:axId val="2023432623"/>
        <c:scaling>
          <c:orientation val="minMax"/>
        </c:scaling>
        <c:delete val="0"/>
        <c:axPos val="b"/>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3430927"/>
        <c:crosses val="autoZero"/>
        <c:crossBetween val="between"/>
      </c:valAx>
      <c:spPr>
        <a:noFill/>
        <a:ln>
          <a:noFill/>
        </a:ln>
        <a:effectLst/>
      </c:spPr>
    </c:plotArea>
    <c:legend>
      <c:legendPos val="t"/>
      <c:layout>
        <c:manualLayout>
          <c:xMode val="edge"/>
          <c:yMode val="edge"/>
          <c:x val="0.14662395027672537"/>
          <c:y val="9.7172619047619049E-2"/>
          <c:w val="0.70453480454632744"/>
          <c:h val="7.2927212223472079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mn-lt"/>
                <a:ea typeface="+mn-ea"/>
                <a:cs typeface="+mn-cs"/>
              </a:defRPr>
            </a:pPr>
            <a:r>
              <a:rPr lang="en-US" sz="1200"/>
              <a:t>Clustered</a:t>
            </a:r>
            <a:r>
              <a:rPr lang="en-US" sz="1200" baseline="0"/>
              <a:t> results (roof)</a:t>
            </a:r>
            <a:endParaRPr lang="en-US" sz="1200"/>
          </a:p>
        </c:rich>
      </c:tx>
      <c:layout/>
      <c:overlay val="0"/>
      <c:spPr>
        <a:noFill/>
        <a:ln>
          <a:noFill/>
        </a:ln>
        <a:effectLst/>
      </c:spPr>
      <c:txPr>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Totals!$B$1</c:f>
              <c:strCache>
                <c:ptCount val="1"/>
                <c:pt idx="0">
                  <c:v>Social</c:v>
                </c:pt>
              </c:strCache>
            </c:strRef>
          </c:tx>
          <c:spPr>
            <a:solidFill>
              <a:schemeClr val="accent1"/>
            </a:solidFill>
            <a:ln>
              <a:noFill/>
            </a:ln>
            <a:effectLst/>
          </c:spPr>
          <c:invertIfNegative val="0"/>
          <c:dLbls>
            <c:delete val="1"/>
          </c:dLbls>
          <c:cat>
            <c:strRef>
              <c:f>Totals!$A$2:$A$11</c:f>
              <c:strCache>
                <c:ptCount val="10"/>
                <c:pt idx="0">
                  <c:v>pitched-frameless-sandbags</c:v>
                </c:pt>
                <c:pt idx="1">
                  <c:v>Pitched-natural frame-corrugated fiberglass/resin</c:v>
                </c:pt>
                <c:pt idx="2">
                  <c:v>pitched-natural frame-thatch/grass</c:v>
                </c:pt>
                <c:pt idx="3">
                  <c:v>pitched- natural frame-tiles</c:v>
                </c:pt>
                <c:pt idx="4">
                  <c:v>pitched-natural frame-metal</c:v>
                </c:pt>
                <c:pt idx="5">
                  <c:v>pitched-natural frame-plastic</c:v>
                </c:pt>
                <c:pt idx="6">
                  <c:v>pitched-natural frame-canvas/hemp</c:v>
                </c:pt>
                <c:pt idx="7">
                  <c:v>flat-natural frame-corrugated sheeting</c:v>
                </c:pt>
                <c:pt idx="8">
                  <c:v>Flat-natural frame-clay (on closely packed timber)</c:v>
                </c:pt>
                <c:pt idx="9">
                  <c:v>flat-precast concrete and clay pot frame with mud plaster</c:v>
                </c:pt>
              </c:strCache>
            </c:strRef>
          </c:cat>
          <c:val>
            <c:numRef>
              <c:f>Totals!$B$2:$B$11</c:f>
              <c:numCache>
                <c:formatCode>General</c:formatCode>
                <c:ptCount val="10"/>
                <c:pt idx="0">
                  <c:v>52</c:v>
                </c:pt>
                <c:pt idx="1">
                  <c:v>51</c:v>
                </c:pt>
                <c:pt idx="2">
                  <c:v>41</c:v>
                </c:pt>
                <c:pt idx="3">
                  <c:v>43</c:v>
                </c:pt>
                <c:pt idx="4">
                  <c:v>50</c:v>
                </c:pt>
                <c:pt idx="5">
                  <c:v>64</c:v>
                </c:pt>
                <c:pt idx="6">
                  <c:v>49</c:v>
                </c:pt>
                <c:pt idx="7">
                  <c:v>51</c:v>
                </c:pt>
                <c:pt idx="8">
                  <c:v>46</c:v>
                </c:pt>
                <c:pt idx="9">
                  <c:v>61</c:v>
                </c:pt>
              </c:numCache>
            </c:numRef>
          </c:val>
          <c:extLst>
            <c:ext xmlns:c16="http://schemas.microsoft.com/office/drawing/2014/chart" uri="{C3380CC4-5D6E-409C-BE32-E72D297353CC}">
              <c16:uniqueId val="{00000000-0D0E-40FE-80C3-82FB7889515A}"/>
            </c:ext>
          </c:extLst>
        </c:ser>
        <c:ser>
          <c:idx val="1"/>
          <c:order val="1"/>
          <c:tx>
            <c:strRef>
              <c:f>Totals!$C$1</c:f>
              <c:strCache>
                <c:ptCount val="1"/>
                <c:pt idx="0">
                  <c:v>Environmental</c:v>
                </c:pt>
              </c:strCache>
            </c:strRef>
          </c:tx>
          <c:spPr>
            <a:solidFill>
              <a:schemeClr val="accent2"/>
            </a:solidFill>
            <a:ln>
              <a:noFill/>
            </a:ln>
            <a:effectLst/>
          </c:spPr>
          <c:invertIfNegative val="0"/>
          <c:dLbls>
            <c:delete val="1"/>
          </c:dLbls>
          <c:cat>
            <c:strRef>
              <c:f>Totals!$A$2:$A$11</c:f>
              <c:strCache>
                <c:ptCount val="10"/>
                <c:pt idx="0">
                  <c:v>pitched-frameless-sandbags</c:v>
                </c:pt>
                <c:pt idx="1">
                  <c:v>Pitched-natural frame-corrugated fiberglass/resin</c:v>
                </c:pt>
                <c:pt idx="2">
                  <c:v>pitched-natural frame-thatch/grass</c:v>
                </c:pt>
                <c:pt idx="3">
                  <c:v>pitched- natural frame-tiles</c:v>
                </c:pt>
                <c:pt idx="4">
                  <c:v>pitched-natural frame-metal</c:v>
                </c:pt>
                <c:pt idx="5">
                  <c:v>pitched-natural frame-plastic</c:v>
                </c:pt>
                <c:pt idx="6">
                  <c:v>pitched-natural frame-canvas/hemp</c:v>
                </c:pt>
                <c:pt idx="7">
                  <c:v>flat-natural frame-corrugated sheeting</c:v>
                </c:pt>
                <c:pt idx="8">
                  <c:v>Flat-natural frame-clay (on closely packed timber)</c:v>
                </c:pt>
                <c:pt idx="9">
                  <c:v>flat-precast concrete and clay pot frame with mud plaster</c:v>
                </c:pt>
              </c:strCache>
            </c:strRef>
          </c:cat>
          <c:val>
            <c:numRef>
              <c:f>Totals!$C$2:$C$11</c:f>
              <c:numCache>
                <c:formatCode>General</c:formatCode>
                <c:ptCount val="10"/>
                <c:pt idx="0">
                  <c:v>38</c:v>
                </c:pt>
                <c:pt idx="1">
                  <c:v>69</c:v>
                </c:pt>
                <c:pt idx="2">
                  <c:v>32</c:v>
                </c:pt>
                <c:pt idx="3">
                  <c:v>50</c:v>
                </c:pt>
                <c:pt idx="4">
                  <c:v>67</c:v>
                </c:pt>
                <c:pt idx="5">
                  <c:v>70</c:v>
                </c:pt>
                <c:pt idx="6">
                  <c:v>40</c:v>
                </c:pt>
                <c:pt idx="7">
                  <c:v>65</c:v>
                </c:pt>
                <c:pt idx="8">
                  <c:v>39</c:v>
                </c:pt>
                <c:pt idx="9">
                  <c:v>65</c:v>
                </c:pt>
              </c:numCache>
            </c:numRef>
          </c:val>
          <c:extLst>
            <c:ext xmlns:c16="http://schemas.microsoft.com/office/drawing/2014/chart" uri="{C3380CC4-5D6E-409C-BE32-E72D297353CC}">
              <c16:uniqueId val="{00000001-0D0E-40FE-80C3-82FB7889515A}"/>
            </c:ext>
          </c:extLst>
        </c:ser>
        <c:ser>
          <c:idx val="2"/>
          <c:order val="2"/>
          <c:tx>
            <c:strRef>
              <c:f>Totals!$D$1</c:f>
              <c:strCache>
                <c:ptCount val="1"/>
                <c:pt idx="0">
                  <c:v>Economic</c:v>
                </c:pt>
              </c:strCache>
            </c:strRef>
          </c:tx>
          <c:spPr>
            <a:solidFill>
              <a:schemeClr val="accent3"/>
            </a:solidFill>
            <a:ln>
              <a:noFill/>
            </a:ln>
            <a:effectLst/>
          </c:spPr>
          <c:invertIfNegative val="0"/>
          <c:dLbls>
            <c:delete val="1"/>
          </c:dLbls>
          <c:cat>
            <c:strRef>
              <c:f>Totals!$A$2:$A$11</c:f>
              <c:strCache>
                <c:ptCount val="10"/>
                <c:pt idx="0">
                  <c:v>pitched-frameless-sandbags</c:v>
                </c:pt>
                <c:pt idx="1">
                  <c:v>Pitched-natural frame-corrugated fiberglass/resin</c:v>
                </c:pt>
                <c:pt idx="2">
                  <c:v>pitched-natural frame-thatch/grass</c:v>
                </c:pt>
                <c:pt idx="3">
                  <c:v>pitched- natural frame-tiles</c:v>
                </c:pt>
                <c:pt idx="4">
                  <c:v>pitched-natural frame-metal</c:v>
                </c:pt>
                <c:pt idx="5">
                  <c:v>pitched-natural frame-plastic</c:v>
                </c:pt>
                <c:pt idx="6">
                  <c:v>pitched-natural frame-canvas/hemp</c:v>
                </c:pt>
                <c:pt idx="7">
                  <c:v>flat-natural frame-corrugated sheeting</c:v>
                </c:pt>
                <c:pt idx="8">
                  <c:v>Flat-natural frame-clay (on closely packed timber)</c:v>
                </c:pt>
                <c:pt idx="9">
                  <c:v>flat-precast concrete and clay pot frame with mud plaster</c:v>
                </c:pt>
              </c:strCache>
            </c:strRef>
          </c:cat>
          <c:val>
            <c:numRef>
              <c:f>Totals!$D$2:$D$11</c:f>
              <c:numCache>
                <c:formatCode>General</c:formatCode>
                <c:ptCount val="10"/>
                <c:pt idx="0">
                  <c:v>39</c:v>
                </c:pt>
                <c:pt idx="1">
                  <c:v>57</c:v>
                </c:pt>
                <c:pt idx="2">
                  <c:v>44</c:v>
                </c:pt>
                <c:pt idx="3">
                  <c:v>52</c:v>
                </c:pt>
                <c:pt idx="4">
                  <c:v>60</c:v>
                </c:pt>
                <c:pt idx="5">
                  <c:v>57</c:v>
                </c:pt>
                <c:pt idx="6">
                  <c:v>50</c:v>
                </c:pt>
                <c:pt idx="7">
                  <c:v>61</c:v>
                </c:pt>
                <c:pt idx="8">
                  <c:v>49</c:v>
                </c:pt>
                <c:pt idx="9">
                  <c:v>63</c:v>
                </c:pt>
              </c:numCache>
            </c:numRef>
          </c:val>
          <c:extLst>
            <c:ext xmlns:c16="http://schemas.microsoft.com/office/drawing/2014/chart" uri="{C3380CC4-5D6E-409C-BE32-E72D297353CC}">
              <c16:uniqueId val="{00000002-0D0E-40FE-80C3-82FB7889515A}"/>
            </c:ext>
          </c:extLst>
        </c:ser>
        <c:ser>
          <c:idx val="3"/>
          <c:order val="3"/>
          <c:tx>
            <c:strRef>
              <c:f>Totals!$E$1</c:f>
              <c:strCache>
                <c:ptCount val="1"/>
                <c:pt idx="0">
                  <c:v>Technical</c:v>
                </c:pt>
              </c:strCache>
            </c:strRef>
          </c:tx>
          <c:spPr>
            <a:solidFill>
              <a:schemeClr val="accent4"/>
            </a:solidFill>
            <a:ln>
              <a:noFill/>
            </a:ln>
            <a:effectLst/>
          </c:spPr>
          <c:invertIfNegative val="0"/>
          <c:dLbls>
            <c:delete val="1"/>
          </c:dLbls>
          <c:cat>
            <c:strRef>
              <c:f>Totals!$A$2:$A$11</c:f>
              <c:strCache>
                <c:ptCount val="10"/>
                <c:pt idx="0">
                  <c:v>pitched-frameless-sandbags</c:v>
                </c:pt>
                <c:pt idx="1">
                  <c:v>Pitched-natural frame-corrugated fiberglass/resin</c:v>
                </c:pt>
                <c:pt idx="2">
                  <c:v>pitched-natural frame-thatch/grass</c:v>
                </c:pt>
                <c:pt idx="3">
                  <c:v>pitched- natural frame-tiles</c:v>
                </c:pt>
                <c:pt idx="4">
                  <c:v>pitched-natural frame-metal</c:v>
                </c:pt>
                <c:pt idx="5">
                  <c:v>pitched-natural frame-plastic</c:v>
                </c:pt>
                <c:pt idx="6">
                  <c:v>pitched-natural frame-canvas/hemp</c:v>
                </c:pt>
                <c:pt idx="7">
                  <c:v>flat-natural frame-corrugated sheeting</c:v>
                </c:pt>
                <c:pt idx="8">
                  <c:v>Flat-natural frame-clay (on closely packed timber)</c:v>
                </c:pt>
                <c:pt idx="9">
                  <c:v>flat-precast concrete and clay pot frame with mud plaster</c:v>
                </c:pt>
              </c:strCache>
            </c:strRef>
          </c:cat>
          <c:val>
            <c:numRef>
              <c:f>Totals!$E$2:$E$11</c:f>
              <c:numCache>
                <c:formatCode>General</c:formatCode>
                <c:ptCount val="10"/>
                <c:pt idx="0">
                  <c:v>51</c:v>
                </c:pt>
                <c:pt idx="1">
                  <c:v>45</c:v>
                </c:pt>
                <c:pt idx="2">
                  <c:v>46</c:v>
                </c:pt>
                <c:pt idx="3">
                  <c:v>48</c:v>
                </c:pt>
                <c:pt idx="4">
                  <c:v>49</c:v>
                </c:pt>
                <c:pt idx="5">
                  <c:v>49</c:v>
                </c:pt>
                <c:pt idx="6">
                  <c:v>46</c:v>
                </c:pt>
                <c:pt idx="7">
                  <c:v>51</c:v>
                </c:pt>
                <c:pt idx="8">
                  <c:v>56</c:v>
                </c:pt>
                <c:pt idx="9">
                  <c:v>63</c:v>
                </c:pt>
              </c:numCache>
            </c:numRef>
          </c:val>
          <c:extLst>
            <c:ext xmlns:c16="http://schemas.microsoft.com/office/drawing/2014/chart" uri="{C3380CC4-5D6E-409C-BE32-E72D297353CC}">
              <c16:uniqueId val="{00000003-0D0E-40FE-80C3-82FB7889515A}"/>
            </c:ext>
          </c:extLst>
        </c:ser>
        <c:dLbls>
          <c:dLblPos val="outEnd"/>
          <c:showLegendKey val="0"/>
          <c:showVal val="1"/>
          <c:showCatName val="0"/>
          <c:showSerName val="0"/>
          <c:showPercent val="0"/>
          <c:showBubbleSize val="0"/>
        </c:dLbls>
        <c:gapWidth val="444"/>
        <c:axId val="2023910559"/>
        <c:axId val="2017414527"/>
      </c:barChart>
      <c:catAx>
        <c:axId val="20239105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2017414527"/>
        <c:crosses val="autoZero"/>
        <c:auto val="1"/>
        <c:lblAlgn val="ctr"/>
        <c:lblOffset val="100"/>
        <c:noMultiLvlLbl val="0"/>
      </c:catAx>
      <c:valAx>
        <c:axId val="2017414527"/>
        <c:scaling>
          <c:orientation val="minMax"/>
        </c:scaling>
        <c:delete val="0"/>
        <c:axPos val="b"/>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3910559"/>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401DC-EBBC-47B5-91DE-FA04BD0BC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21</Pages>
  <Words>22896</Words>
  <Characters>130510</Characters>
  <Application>Microsoft Office Word</Application>
  <DocSecurity>0</DocSecurity>
  <Lines>1087</Lines>
  <Paragraphs>306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153100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Pomponi, Francesco</dc:creator>
  <cp:lastModifiedBy>Pomponi, Francesco</cp:lastModifiedBy>
  <cp:revision>9</cp:revision>
  <dcterms:created xsi:type="dcterms:W3CDTF">2019-06-12T10:47:00Z</dcterms:created>
  <dcterms:modified xsi:type="dcterms:W3CDTF">2019-06-12T12:26:00Z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zotero-version="5.0.66"&gt;&lt;session id="TV9Wxydi"/&gt;&lt;style id="http://www.zotero.org/styles/elsevier-harvard" hasBibliography="1" bibliographyStyleHasBeenSet="1"/&gt;&lt;prefs&gt;&lt;pref name="fieldType" value="Field"/&gt;&lt;/prefs&gt;&lt;/data&gt;</vt:lpwstr>
  </property>
</Properties>
</file>