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2B" w:rsidRPr="0095529C" w:rsidRDefault="00D3222B" w:rsidP="00D3222B">
      <w:pPr>
        <w:pStyle w:val="BodyText3"/>
        <w:spacing w:after="0"/>
        <w:rPr>
          <w:rFonts w:ascii="Times New Roman" w:hAnsi="Times New Roman" w:cs="Times New Roman"/>
          <w:b/>
          <w:sz w:val="24"/>
          <w:szCs w:val="22"/>
          <w:shd w:val="clear" w:color="auto" w:fill="FFFFFF"/>
        </w:rPr>
      </w:pPr>
      <w:r w:rsidRPr="0095529C">
        <w:rPr>
          <w:rFonts w:ascii="Times New Roman" w:hAnsi="Times New Roman" w:cs="Times New Roman"/>
          <w:b/>
          <w:sz w:val="24"/>
          <w:szCs w:val="22"/>
          <w:shd w:val="clear" w:color="auto" w:fill="FFFFFF"/>
        </w:rPr>
        <w:t xml:space="preserve">Table 1: Profile of </w:t>
      </w:r>
      <w:r>
        <w:rPr>
          <w:rFonts w:ascii="Times New Roman" w:hAnsi="Times New Roman" w:cs="Times New Roman"/>
          <w:b/>
          <w:sz w:val="24"/>
          <w:szCs w:val="22"/>
          <w:shd w:val="clear" w:color="auto" w:fill="FFFFFF"/>
        </w:rPr>
        <w:t>Case Firms</w:t>
      </w:r>
    </w:p>
    <w:p w:rsidR="00D3222B" w:rsidRPr="0095529C" w:rsidRDefault="00D3222B" w:rsidP="00D3222B">
      <w:pPr>
        <w:pStyle w:val="BodyText3"/>
        <w:spacing w:after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tbl>
      <w:tblPr>
        <w:tblW w:w="140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1247"/>
        <w:gridCol w:w="1163"/>
        <w:gridCol w:w="992"/>
        <w:gridCol w:w="1276"/>
        <w:gridCol w:w="992"/>
        <w:gridCol w:w="1701"/>
        <w:gridCol w:w="993"/>
        <w:gridCol w:w="1134"/>
        <w:gridCol w:w="1275"/>
        <w:gridCol w:w="2268"/>
      </w:tblGrid>
      <w:tr w:rsidR="00D3222B" w:rsidRPr="0095529C" w:rsidTr="00512AA0">
        <w:trPr>
          <w:trHeight w:val="466"/>
        </w:trPr>
        <w:tc>
          <w:tcPr>
            <w:tcW w:w="103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  <w:t>Property ID</w:t>
            </w:r>
          </w:p>
        </w:tc>
        <w:tc>
          <w:tcPr>
            <w:tcW w:w="1247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  <w:t>Ownership</w:t>
            </w:r>
          </w:p>
        </w:tc>
        <w:tc>
          <w:tcPr>
            <w:tcW w:w="1163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  <w:t>Classification</w:t>
            </w:r>
          </w:p>
        </w:tc>
        <w:tc>
          <w:tcPr>
            <w:tcW w:w="992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  <w:t>Number of Rooms</w:t>
            </w:r>
          </w:p>
        </w:tc>
        <w:tc>
          <w:tcPr>
            <w:tcW w:w="1276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  <w:t>Number of Employees*</w:t>
            </w:r>
          </w:p>
        </w:tc>
        <w:tc>
          <w:tcPr>
            <w:tcW w:w="992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  <w:t xml:space="preserve">Company Age </w:t>
            </w:r>
          </w:p>
        </w:tc>
        <w:tc>
          <w:tcPr>
            <w:tcW w:w="7371" w:type="dxa"/>
            <w:gridSpan w:val="5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  <w:t>HRD Policy / Practice Characteristics</w:t>
            </w:r>
          </w:p>
        </w:tc>
      </w:tr>
      <w:tr w:rsidR="00D3222B" w:rsidRPr="0095529C" w:rsidTr="00512AA0">
        <w:trPr>
          <w:trHeight w:val="363"/>
        </w:trPr>
        <w:tc>
          <w:tcPr>
            <w:tcW w:w="1036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247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163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992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992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  <w:t>Written HRD Policy / Plans</w:t>
            </w:r>
          </w:p>
        </w:tc>
        <w:tc>
          <w:tcPr>
            <w:tcW w:w="993" w:type="dxa"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  <w:t>Designated Budget</w:t>
            </w:r>
          </w:p>
        </w:tc>
        <w:tc>
          <w:tcPr>
            <w:tcW w:w="1134" w:type="dxa"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  <w:t>Individual Development Plans (IDPs)</w:t>
            </w:r>
          </w:p>
        </w:tc>
        <w:tc>
          <w:tcPr>
            <w:tcW w:w="1275" w:type="dxa"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  <w:t>HRD Expertise</w:t>
            </w:r>
          </w:p>
        </w:tc>
        <w:tc>
          <w:tcPr>
            <w:tcW w:w="2268" w:type="dxa"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E"/>
              </w:rPr>
              <w:t>Formal Training Programmes</w:t>
            </w:r>
          </w:p>
        </w:tc>
      </w:tr>
      <w:tr w:rsidR="00D3222B" w:rsidRPr="0095529C" w:rsidTr="00512AA0">
        <w:trPr>
          <w:trHeight w:val="480"/>
        </w:trPr>
        <w:tc>
          <w:tcPr>
            <w:tcW w:w="103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STF A</w:t>
            </w:r>
          </w:p>
        </w:tc>
        <w:tc>
          <w:tcPr>
            <w:tcW w:w="1247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Family-run, owner-managed</w:t>
            </w:r>
          </w:p>
        </w:tc>
        <w:tc>
          <w:tcPr>
            <w:tcW w:w="1163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3 star (mid-market)</w:t>
            </w:r>
          </w:p>
        </w:tc>
        <w:tc>
          <w:tcPr>
            <w:tcW w:w="992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7 years</w:t>
            </w:r>
          </w:p>
        </w:tc>
        <w:tc>
          <w:tcPr>
            <w:tcW w:w="1701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993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134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275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X</w:t>
            </w:r>
          </w:p>
        </w:tc>
        <w:tc>
          <w:tcPr>
            <w:tcW w:w="2268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</w:tr>
      <w:tr w:rsidR="00D3222B" w:rsidRPr="0095529C" w:rsidTr="00512AA0">
        <w:trPr>
          <w:trHeight w:val="480"/>
        </w:trPr>
        <w:tc>
          <w:tcPr>
            <w:tcW w:w="103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STF B </w:t>
            </w:r>
          </w:p>
        </w:tc>
        <w:tc>
          <w:tcPr>
            <w:tcW w:w="1247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Family-run, owner-managed</w:t>
            </w:r>
          </w:p>
        </w:tc>
        <w:tc>
          <w:tcPr>
            <w:tcW w:w="1163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4 star (upper-market)</w:t>
            </w:r>
          </w:p>
        </w:tc>
        <w:tc>
          <w:tcPr>
            <w:tcW w:w="992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20 years</w:t>
            </w:r>
          </w:p>
        </w:tc>
        <w:tc>
          <w:tcPr>
            <w:tcW w:w="1701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993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134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275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X</w:t>
            </w:r>
          </w:p>
        </w:tc>
        <w:tc>
          <w:tcPr>
            <w:tcW w:w="2268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</w:tr>
      <w:tr w:rsidR="00D3222B" w:rsidRPr="0095529C" w:rsidTr="00512AA0">
        <w:trPr>
          <w:trHeight w:val="480"/>
        </w:trPr>
        <w:tc>
          <w:tcPr>
            <w:tcW w:w="103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STF  C</w:t>
            </w:r>
          </w:p>
        </w:tc>
        <w:tc>
          <w:tcPr>
            <w:tcW w:w="1247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Family-run, owner-managed</w:t>
            </w:r>
          </w:p>
        </w:tc>
        <w:tc>
          <w:tcPr>
            <w:tcW w:w="1163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3 star (mid-market)</w:t>
            </w:r>
          </w:p>
        </w:tc>
        <w:tc>
          <w:tcPr>
            <w:tcW w:w="992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4 years</w:t>
            </w:r>
          </w:p>
        </w:tc>
        <w:tc>
          <w:tcPr>
            <w:tcW w:w="1701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993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134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X</w:t>
            </w:r>
          </w:p>
        </w:tc>
        <w:tc>
          <w:tcPr>
            <w:tcW w:w="1275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X</w:t>
            </w:r>
          </w:p>
        </w:tc>
        <w:tc>
          <w:tcPr>
            <w:tcW w:w="2268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</w:tr>
      <w:tr w:rsidR="00D3222B" w:rsidRPr="0095529C" w:rsidTr="00512AA0">
        <w:trPr>
          <w:trHeight w:val="480"/>
        </w:trPr>
        <w:tc>
          <w:tcPr>
            <w:tcW w:w="103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STF  D</w:t>
            </w:r>
          </w:p>
        </w:tc>
        <w:tc>
          <w:tcPr>
            <w:tcW w:w="1247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Non-family, owner-managed</w:t>
            </w:r>
          </w:p>
        </w:tc>
        <w:tc>
          <w:tcPr>
            <w:tcW w:w="1163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3 star (mid-market)</w:t>
            </w:r>
          </w:p>
        </w:tc>
        <w:tc>
          <w:tcPr>
            <w:tcW w:w="992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12 years</w:t>
            </w:r>
          </w:p>
        </w:tc>
        <w:tc>
          <w:tcPr>
            <w:tcW w:w="1701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993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X</w:t>
            </w:r>
          </w:p>
        </w:tc>
        <w:tc>
          <w:tcPr>
            <w:tcW w:w="1134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X</w:t>
            </w:r>
          </w:p>
        </w:tc>
        <w:tc>
          <w:tcPr>
            <w:tcW w:w="1275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X</w:t>
            </w:r>
          </w:p>
        </w:tc>
        <w:tc>
          <w:tcPr>
            <w:tcW w:w="2268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</w:tr>
      <w:tr w:rsidR="00D3222B" w:rsidRPr="0095529C" w:rsidTr="00512AA0">
        <w:trPr>
          <w:trHeight w:val="480"/>
        </w:trPr>
        <w:tc>
          <w:tcPr>
            <w:tcW w:w="103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STF  E</w:t>
            </w:r>
          </w:p>
        </w:tc>
        <w:tc>
          <w:tcPr>
            <w:tcW w:w="1247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Family-run, owner-managed</w:t>
            </w:r>
          </w:p>
        </w:tc>
        <w:tc>
          <w:tcPr>
            <w:tcW w:w="1163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3 star (mid-market)</w:t>
            </w:r>
          </w:p>
        </w:tc>
        <w:tc>
          <w:tcPr>
            <w:tcW w:w="992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13 years</w:t>
            </w:r>
          </w:p>
        </w:tc>
        <w:tc>
          <w:tcPr>
            <w:tcW w:w="1701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993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134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X</w:t>
            </w:r>
          </w:p>
        </w:tc>
        <w:tc>
          <w:tcPr>
            <w:tcW w:w="1275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2268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</w:tr>
      <w:tr w:rsidR="00D3222B" w:rsidRPr="0095529C" w:rsidTr="00512AA0">
        <w:trPr>
          <w:trHeight w:val="480"/>
        </w:trPr>
        <w:tc>
          <w:tcPr>
            <w:tcW w:w="103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STF  F</w:t>
            </w:r>
          </w:p>
        </w:tc>
        <w:tc>
          <w:tcPr>
            <w:tcW w:w="1247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Family-run, owner-managed</w:t>
            </w:r>
          </w:p>
        </w:tc>
        <w:tc>
          <w:tcPr>
            <w:tcW w:w="1163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2 star (economy)</w:t>
            </w:r>
          </w:p>
        </w:tc>
        <w:tc>
          <w:tcPr>
            <w:tcW w:w="992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4 years</w:t>
            </w:r>
          </w:p>
        </w:tc>
        <w:tc>
          <w:tcPr>
            <w:tcW w:w="1701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993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134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X</w:t>
            </w:r>
          </w:p>
        </w:tc>
        <w:tc>
          <w:tcPr>
            <w:tcW w:w="1275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X</w:t>
            </w:r>
          </w:p>
        </w:tc>
        <w:tc>
          <w:tcPr>
            <w:tcW w:w="2268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</w:tr>
      <w:tr w:rsidR="00D3222B" w:rsidRPr="0095529C" w:rsidTr="00512AA0">
        <w:trPr>
          <w:trHeight w:val="480"/>
        </w:trPr>
        <w:tc>
          <w:tcPr>
            <w:tcW w:w="103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STF  G</w:t>
            </w:r>
          </w:p>
        </w:tc>
        <w:tc>
          <w:tcPr>
            <w:tcW w:w="1247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Family-run, owner-managed</w:t>
            </w:r>
          </w:p>
        </w:tc>
        <w:tc>
          <w:tcPr>
            <w:tcW w:w="1163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Unclassified</w:t>
            </w:r>
          </w:p>
        </w:tc>
        <w:tc>
          <w:tcPr>
            <w:tcW w:w="992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8 years</w:t>
            </w:r>
          </w:p>
        </w:tc>
        <w:tc>
          <w:tcPr>
            <w:tcW w:w="1701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993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134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275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2268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</w:tr>
      <w:tr w:rsidR="00D3222B" w:rsidRPr="0095529C" w:rsidTr="00512AA0">
        <w:trPr>
          <w:trHeight w:val="480"/>
        </w:trPr>
        <w:tc>
          <w:tcPr>
            <w:tcW w:w="103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STF  H</w:t>
            </w:r>
          </w:p>
        </w:tc>
        <w:tc>
          <w:tcPr>
            <w:tcW w:w="1247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Non-family, owner-managed</w:t>
            </w:r>
          </w:p>
        </w:tc>
        <w:tc>
          <w:tcPr>
            <w:tcW w:w="1163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4 star (upper-market)</w:t>
            </w:r>
          </w:p>
        </w:tc>
        <w:tc>
          <w:tcPr>
            <w:tcW w:w="992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2 years</w:t>
            </w:r>
          </w:p>
        </w:tc>
        <w:tc>
          <w:tcPr>
            <w:tcW w:w="1701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993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X</w:t>
            </w:r>
          </w:p>
        </w:tc>
        <w:tc>
          <w:tcPr>
            <w:tcW w:w="1134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275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X</w:t>
            </w:r>
          </w:p>
        </w:tc>
        <w:tc>
          <w:tcPr>
            <w:tcW w:w="2268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</w:tr>
      <w:tr w:rsidR="00D3222B" w:rsidRPr="0095529C" w:rsidTr="00512AA0">
        <w:trPr>
          <w:trHeight w:val="480"/>
        </w:trPr>
        <w:tc>
          <w:tcPr>
            <w:tcW w:w="103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STF  I</w:t>
            </w:r>
          </w:p>
        </w:tc>
        <w:tc>
          <w:tcPr>
            <w:tcW w:w="1247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Family-run, owner-managed</w:t>
            </w:r>
          </w:p>
        </w:tc>
        <w:tc>
          <w:tcPr>
            <w:tcW w:w="1163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2 star (economy)</w:t>
            </w:r>
          </w:p>
        </w:tc>
        <w:tc>
          <w:tcPr>
            <w:tcW w:w="992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31 years</w:t>
            </w:r>
          </w:p>
        </w:tc>
        <w:tc>
          <w:tcPr>
            <w:tcW w:w="1701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993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134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X</w:t>
            </w:r>
          </w:p>
        </w:tc>
        <w:tc>
          <w:tcPr>
            <w:tcW w:w="1275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X</w:t>
            </w:r>
          </w:p>
        </w:tc>
        <w:tc>
          <w:tcPr>
            <w:tcW w:w="2268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</w:tr>
      <w:tr w:rsidR="00D3222B" w:rsidRPr="0095529C" w:rsidTr="00512AA0">
        <w:trPr>
          <w:trHeight w:val="480"/>
        </w:trPr>
        <w:tc>
          <w:tcPr>
            <w:tcW w:w="103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STF  J</w:t>
            </w:r>
          </w:p>
        </w:tc>
        <w:tc>
          <w:tcPr>
            <w:tcW w:w="1247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Non-family, owner-managed</w:t>
            </w:r>
          </w:p>
        </w:tc>
        <w:tc>
          <w:tcPr>
            <w:tcW w:w="1163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Unclassified</w:t>
            </w:r>
          </w:p>
        </w:tc>
        <w:tc>
          <w:tcPr>
            <w:tcW w:w="992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3 years</w:t>
            </w:r>
          </w:p>
        </w:tc>
        <w:tc>
          <w:tcPr>
            <w:tcW w:w="1701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993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134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275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X</w:t>
            </w:r>
          </w:p>
        </w:tc>
        <w:tc>
          <w:tcPr>
            <w:tcW w:w="2268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</w:tr>
      <w:tr w:rsidR="00D3222B" w:rsidRPr="0095529C" w:rsidTr="00512AA0">
        <w:trPr>
          <w:trHeight w:val="480"/>
        </w:trPr>
        <w:tc>
          <w:tcPr>
            <w:tcW w:w="103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STF  K</w:t>
            </w:r>
          </w:p>
        </w:tc>
        <w:tc>
          <w:tcPr>
            <w:tcW w:w="1247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Family-run, owner-managed</w:t>
            </w:r>
          </w:p>
        </w:tc>
        <w:tc>
          <w:tcPr>
            <w:tcW w:w="1163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4 star (upper-market)</w:t>
            </w:r>
          </w:p>
        </w:tc>
        <w:tc>
          <w:tcPr>
            <w:tcW w:w="992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3 years</w:t>
            </w:r>
          </w:p>
        </w:tc>
        <w:tc>
          <w:tcPr>
            <w:tcW w:w="1701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993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134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275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2268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</w:tr>
      <w:tr w:rsidR="00D3222B" w:rsidRPr="0095529C" w:rsidTr="00512AA0">
        <w:trPr>
          <w:trHeight w:val="480"/>
        </w:trPr>
        <w:tc>
          <w:tcPr>
            <w:tcW w:w="103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STF  L</w:t>
            </w:r>
          </w:p>
        </w:tc>
        <w:tc>
          <w:tcPr>
            <w:tcW w:w="1247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Non-family, owner-managed</w:t>
            </w:r>
          </w:p>
        </w:tc>
        <w:tc>
          <w:tcPr>
            <w:tcW w:w="1163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4 star (upper-market)</w:t>
            </w:r>
          </w:p>
        </w:tc>
        <w:tc>
          <w:tcPr>
            <w:tcW w:w="992" w:type="dxa"/>
            <w:shd w:val="clear" w:color="auto" w:fill="auto"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4 years</w:t>
            </w:r>
          </w:p>
        </w:tc>
        <w:tc>
          <w:tcPr>
            <w:tcW w:w="1701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993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1134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1275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2268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</w:tr>
      <w:tr w:rsidR="00D3222B" w:rsidRPr="0095529C" w:rsidTr="00512AA0">
        <w:trPr>
          <w:trHeight w:val="480"/>
        </w:trPr>
        <w:tc>
          <w:tcPr>
            <w:tcW w:w="1036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STF  M</w:t>
            </w:r>
          </w:p>
        </w:tc>
        <w:tc>
          <w:tcPr>
            <w:tcW w:w="1247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Family-run, owner-manager</w:t>
            </w:r>
          </w:p>
        </w:tc>
        <w:tc>
          <w:tcPr>
            <w:tcW w:w="1163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4 star (upper- market)</w:t>
            </w:r>
          </w:p>
        </w:tc>
        <w:tc>
          <w:tcPr>
            <w:tcW w:w="992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15 years</w:t>
            </w:r>
          </w:p>
        </w:tc>
        <w:tc>
          <w:tcPr>
            <w:tcW w:w="1701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993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134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275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2268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</w:tr>
      <w:tr w:rsidR="00D3222B" w:rsidRPr="0095529C" w:rsidTr="00512AA0">
        <w:trPr>
          <w:trHeight w:val="480"/>
        </w:trPr>
        <w:tc>
          <w:tcPr>
            <w:tcW w:w="1036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STF  N</w:t>
            </w:r>
          </w:p>
        </w:tc>
        <w:tc>
          <w:tcPr>
            <w:tcW w:w="1247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Non-family, owner-managed</w:t>
            </w:r>
          </w:p>
        </w:tc>
        <w:tc>
          <w:tcPr>
            <w:tcW w:w="1163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3 star (mid-market)</w:t>
            </w:r>
          </w:p>
        </w:tc>
        <w:tc>
          <w:tcPr>
            <w:tcW w:w="992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22 years</w:t>
            </w:r>
          </w:p>
        </w:tc>
        <w:tc>
          <w:tcPr>
            <w:tcW w:w="1701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993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134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1275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2268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</w:tr>
      <w:tr w:rsidR="00D3222B" w:rsidRPr="0095529C" w:rsidTr="00512AA0">
        <w:trPr>
          <w:trHeight w:val="480"/>
        </w:trPr>
        <w:tc>
          <w:tcPr>
            <w:tcW w:w="1036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STF O</w:t>
            </w:r>
          </w:p>
        </w:tc>
        <w:tc>
          <w:tcPr>
            <w:tcW w:w="1247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Family-run, owner-managed</w:t>
            </w:r>
          </w:p>
        </w:tc>
        <w:tc>
          <w:tcPr>
            <w:tcW w:w="1163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3 star (mid-market)</w:t>
            </w:r>
          </w:p>
        </w:tc>
        <w:tc>
          <w:tcPr>
            <w:tcW w:w="992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16 years</w:t>
            </w:r>
          </w:p>
        </w:tc>
        <w:tc>
          <w:tcPr>
            <w:tcW w:w="1701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993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1134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275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2268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</w:tr>
      <w:tr w:rsidR="00D3222B" w:rsidRPr="0095529C" w:rsidTr="00512AA0">
        <w:trPr>
          <w:trHeight w:val="480"/>
        </w:trPr>
        <w:tc>
          <w:tcPr>
            <w:tcW w:w="1036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lastRenderedPageBreak/>
              <w:t>STF  P</w:t>
            </w:r>
          </w:p>
        </w:tc>
        <w:tc>
          <w:tcPr>
            <w:tcW w:w="1247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Non-family run, owner-managed</w:t>
            </w:r>
          </w:p>
        </w:tc>
        <w:tc>
          <w:tcPr>
            <w:tcW w:w="1163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4 star (upper market)</w:t>
            </w:r>
          </w:p>
        </w:tc>
        <w:tc>
          <w:tcPr>
            <w:tcW w:w="992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8 years</w:t>
            </w:r>
          </w:p>
        </w:tc>
        <w:tc>
          <w:tcPr>
            <w:tcW w:w="1701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993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1134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275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2268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</w:tr>
      <w:tr w:rsidR="00D3222B" w:rsidRPr="0095529C" w:rsidTr="00512AA0">
        <w:trPr>
          <w:trHeight w:val="480"/>
        </w:trPr>
        <w:tc>
          <w:tcPr>
            <w:tcW w:w="1036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STF  Q</w:t>
            </w:r>
          </w:p>
        </w:tc>
        <w:tc>
          <w:tcPr>
            <w:tcW w:w="1247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Family run, owner-managed</w:t>
            </w:r>
          </w:p>
        </w:tc>
        <w:tc>
          <w:tcPr>
            <w:tcW w:w="1163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3 sta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r (mid-</w:t>
            </w: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market)</w:t>
            </w:r>
          </w:p>
        </w:tc>
        <w:tc>
          <w:tcPr>
            <w:tcW w:w="992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14 years</w:t>
            </w:r>
          </w:p>
        </w:tc>
        <w:tc>
          <w:tcPr>
            <w:tcW w:w="1701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993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1134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1275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2268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</w:tr>
      <w:tr w:rsidR="00D3222B" w:rsidRPr="0095529C" w:rsidTr="00512AA0">
        <w:trPr>
          <w:trHeight w:val="480"/>
        </w:trPr>
        <w:tc>
          <w:tcPr>
            <w:tcW w:w="1036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STF  R</w:t>
            </w:r>
          </w:p>
        </w:tc>
        <w:tc>
          <w:tcPr>
            <w:tcW w:w="1247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Family run, owner-managed</w:t>
            </w:r>
          </w:p>
        </w:tc>
        <w:tc>
          <w:tcPr>
            <w:tcW w:w="1163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2 star (economy)</w:t>
            </w:r>
          </w:p>
        </w:tc>
        <w:tc>
          <w:tcPr>
            <w:tcW w:w="992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16 years</w:t>
            </w:r>
          </w:p>
        </w:tc>
        <w:tc>
          <w:tcPr>
            <w:tcW w:w="1701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993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1134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1275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2268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</w:tr>
      <w:tr w:rsidR="00D3222B" w:rsidRPr="0095529C" w:rsidTr="00512AA0">
        <w:trPr>
          <w:trHeight w:val="480"/>
        </w:trPr>
        <w:tc>
          <w:tcPr>
            <w:tcW w:w="1036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STF  S</w:t>
            </w:r>
          </w:p>
        </w:tc>
        <w:tc>
          <w:tcPr>
            <w:tcW w:w="1247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Non family run, owner-managed</w:t>
            </w:r>
          </w:p>
        </w:tc>
        <w:tc>
          <w:tcPr>
            <w:tcW w:w="1163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3 star (mid-market)</w:t>
            </w:r>
          </w:p>
        </w:tc>
        <w:tc>
          <w:tcPr>
            <w:tcW w:w="992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10 years</w:t>
            </w:r>
          </w:p>
        </w:tc>
        <w:tc>
          <w:tcPr>
            <w:tcW w:w="1701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993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134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1275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2268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</w:tr>
      <w:tr w:rsidR="00D3222B" w:rsidRPr="0095529C" w:rsidTr="00512AA0">
        <w:trPr>
          <w:trHeight w:val="480"/>
        </w:trPr>
        <w:tc>
          <w:tcPr>
            <w:tcW w:w="1036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STF  T</w:t>
            </w:r>
          </w:p>
        </w:tc>
        <w:tc>
          <w:tcPr>
            <w:tcW w:w="1247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Family run, owner-managed</w:t>
            </w:r>
          </w:p>
        </w:tc>
        <w:tc>
          <w:tcPr>
            <w:tcW w:w="1163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4 star (Upper market)</w:t>
            </w:r>
          </w:p>
        </w:tc>
        <w:tc>
          <w:tcPr>
            <w:tcW w:w="992" w:type="dxa"/>
            <w:shd w:val="clear" w:color="auto" w:fill="auto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>14 years</w:t>
            </w:r>
          </w:p>
        </w:tc>
        <w:tc>
          <w:tcPr>
            <w:tcW w:w="1701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993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134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  <w:tc>
          <w:tcPr>
            <w:tcW w:w="1275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  <w:t xml:space="preserve">X </w:t>
            </w:r>
          </w:p>
        </w:tc>
        <w:tc>
          <w:tcPr>
            <w:tcW w:w="2268" w:type="dxa"/>
          </w:tcPr>
          <w:p w:rsidR="00D3222B" w:rsidRPr="0095529C" w:rsidRDefault="00D3222B" w:rsidP="005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5529C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sym w:font="Wingdings" w:char="F0FC"/>
            </w:r>
          </w:p>
        </w:tc>
      </w:tr>
    </w:tbl>
    <w:p w:rsidR="00D3222B" w:rsidRPr="0095529C" w:rsidRDefault="00D3222B" w:rsidP="00D3222B">
      <w:pPr>
        <w:pStyle w:val="BodyText3"/>
        <w:spacing w:after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5529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* Figures refer to maximum head count employed during the peak season and includes full-time, part-time and casual staff; </w:t>
      </w:r>
      <w:r w:rsidRPr="0095529C">
        <w:rPr>
          <w:rFonts w:ascii="Times New Roman" w:eastAsia="Times New Roman" w:hAnsi="Times New Roman" w:cs="Times New Roman"/>
          <w:sz w:val="20"/>
          <w:szCs w:val="20"/>
          <w:lang w:eastAsia="en-IE"/>
        </w:rPr>
        <w:sym w:font="Wingdings" w:char="F0FC"/>
      </w:r>
      <w:r w:rsidRPr="0095529C">
        <w:rPr>
          <w:rFonts w:ascii="Times New Roman" w:eastAsia="Times New Roman" w:hAnsi="Times New Roman" w:cs="Times New Roman"/>
          <w:sz w:val="20"/>
          <w:szCs w:val="20"/>
          <w:lang w:eastAsia="en-IE"/>
        </w:rPr>
        <w:t xml:space="preserve"> </w:t>
      </w:r>
      <w:r w:rsidRPr="0095529C">
        <w:rPr>
          <w:rFonts w:ascii="Times New Roman" w:eastAsia="Times New Roman" w:hAnsi="Times New Roman" w:cs="Times New Roman"/>
          <w:sz w:val="18"/>
          <w:szCs w:val="18"/>
          <w:lang w:eastAsia="en-IE"/>
        </w:rPr>
        <w:t>present; X not present</w:t>
      </w:r>
    </w:p>
    <w:p w:rsidR="00E24679" w:rsidRPr="006B6A5C" w:rsidRDefault="00E24679" w:rsidP="00E24679">
      <w:pPr>
        <w:pStyle w:val="BodyText3"/>
        <w:spacing w:after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bookmarkStart w:id="0" w:name="_GoBack"/>
      <w:bookmarkEnd w:id="0"/>
    </w:p>
    <w:p w:rsidR="00CA47F3" w:rsidRDefault="00CA47F3"/>
    <w:sectPr w:rsidR="00CA47F3" w:rsidSect="00E246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67882"/>
    <w:multiLevelType w:val="hybridMultilevel"/>
    <w:tmpl w:val="AABECD02"/>
    <w:lvl w:ilvl="0" w:tplc="8BF8259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02B47"/>
    <w:multiLevelType w:val="hybridMultilevel"/>
    <w:tmpl w:val="4E78E0B0"/>
    <w:lvl w:ilvl="0" w:tplc="0E7E700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13BB"/>
    <w:multiLevelType w:val="multilevel"/>
    <w:tmpl w:val="FFDC503E"/>
    <w:lvl w:ilvl="0">
      <w:start w:val="1"/>
      <w:numFmt w:val="decimal"/>
      <w:pStyle w:val="ChapterMainHeading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ToCsubheadings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79"/>
    <w:rsid w:val="000E1DBE"/>
    <w:rsid w:val="006F279F"/>
    <w:rsid w:val="008472ED"/>
    <w:rsid w:val="00CA47F3"/>
    <w:rsid w:val="00D3222B"/>
    <w:rsid w:val="00E2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28806-6F8A-456A-B72D-451DADAC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679"/>
    <w:pPr>
      <w:spacing w:after="200" w:line="276" w:lineRule="auto"/>
      <w:jc w:val="left"/>
    </w:pPr>
    <w:rPr>
      <w:rFonts w:asciiTheme="minorHAnsi" w:hAnsiTheme="minorHAnsi"/>
      <w:sz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chapterheading">
    <w:name w:val="Main chapter heading"/>
    <w:basedOn w:val="Normal"/>
    <w:link w:val="MainchapterheadingChar"/>
    <w:qFormat/>
    <w:rsid w:val="008472ED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b/>
      <w:sz w:val="24"/>
      <w:szCs w:val="16"/>
      <w:lang w:val="en-GB"/>
    </w:rPr>
  </w:style>
  <w:style w:type="character" w:customStyle="1" w:styleId="MainchapterheadingChar">
    <w:name w:val="Main chapter heading Char"/>
    <w:basedOn w:val="DefaultParagraphFont"/>
    <w:link w:val="Mainchapterheading"/>
    <w:rsid w:val="008472ED"/>
    <w:rPr>
      <w:rFonts w:ascii="Times New Roman" w:hAnsi="Times New Roman" w:cs="Times New Roman"/>
      <w:b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72ED"/>
    <w:pPr>
      <w:spacing w:after="100" w:line="240" w:lineRule="auto"/>
      <w:jc w:val="both"/>
    </w:pPr>
    <w:rPr>
      <w:rFonts w:ascii="Times New Roman" w:hAnsi="Times New Roman"/>
      <w:sz w:val="24"/>
      <w:lang w:val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472ED"/>
    <w:pPr>
      <w:spacing w:after="100" w:line="240" w:lineRule="auto"/>
      <w:ind w:left="240"/>
      <w:jc w:val="both"/>
    </w:pPr>
    <w:rPr>
      <w:rFonts w:ascii="Times New Roman" w:hAnsi="Times New Roman"/>
      <w:sz w:val="24"/>
      <w:lang w:val="en-GB"/>
    </w:rPr>
  </w:style>
  <w:style w:type="paragraph" w:styleId="TOC3">
    <w:name w:val="toc 3"/>
    <w:aliases w:val="TOC3"/>
    <w:basedOn w:val="Normal"/>
    <w:next w:val="Normal"/>
    <w:autoRedefine/>
    <w:uiPriority w:val="39"/>
    <w:semiHidden/>
    <w:unhideWhenUsed/>
    <w:rsid w:val="008472ED"/>
    <w:pPr>
      <w:spacing w:after="100" w:line="240" w:lineRule="auto"/>
      <w:ind w:left="480"/>
      <w:jc w:val="both"/>
    </w:pPr>
    <w:rPr>
      <w:rFonts w:ascii="Times New Roman" w:hAnsi="Times New Roman"/>
      <w:sz w:val="24"/>
      <w:lang w:val="en-GB"/>
    </w:rPr>
  </w:style>
  <w:style w:type="paragraph" w:customStyle="1" w:styleId="ChapterMainHeading">
    <w:name w:val="Chapter Main Heading"/>
    <w:basedOn w:val="Normal"/>
    <w:link w:val="ChapterMainHeadingChar"/>
    <w:qFormat/>
    <w:rsid w:val="006F279F"/>
    <w:pPr>
      <w:numPr>
        <w:numId w:val="5"/>
      </w:numPr>
      <w:spacing w:after="0" w:line="360" w:lineRule="auto"/>
      <w:ind w:left="360" w:hanging="360"/>
      <w:jc w:val="both"/>
    </w:pPr>
    <w:rPr>
      <w:rFonts w:ascii="Arial" w:hAnsi="Arial"/>
      <w:b/>
      <w:sz w:val="24"/>
      <w:szCs w:val="24"/>
      <w:lang w:val="en-GB"/>
    </w:rPr>
  </w:style>
  <w:style w:type="character" w:customStyle="1" w:styleId="ChapterMainHeadingChar">
    <w:name w:val="Chapter Main Heading Char"/>
    <w:basedOn w:val="DefaultParagraphFont"/>
    <w:link w:val="ChapterMainHeading"/>
    <w:rsid w:val="006F279F"/>
    <w:rPr>
      <w:b/>
      <w:szCs w:val="24"/>
    </w:rPr>
  </w:style>
  <w:style w:type="paragraph" w:customStyle="1" w:styleId="ToCsubheadings">
    <w:name w:val="ToC sub headings"/>
    <w:basedOn w:val="Normal"/>
    <w:link w:val="ToCsubheadingsChar"/>
    <w:qFormat/>
    <w:rsid w:val="006F279F"/>
    <w:pPr>
      <w:numPr>
        <w:ilvl w:val="1"/>
        <w:numId w:val="3"/>
      </w:numPr>
      <w:spacing w:after="0" w:line="240" w:lineRule="auto"/>
      <w:jc w:val="both"/>
    </w:pPr>
    <w:rPr>
      <w:rFonts w:ascii="Arial" w:hAnsi="Arial"/>
      <w:b/>
      <w:sz w:val="24"/>
      <w:szCs w:val="24"/>
      <w:lang w:val="en-GB"/>
    </w:rPr>
  </w:style>
  <w:style w:type="character" w:customStyle="1" w:styleId="ToCsubheadingsChar">
    <w:name w:val="ToC sub headings Char"/>
    <w:basedOn w:val="DefaultParagraphFont"/>
    <w:link w:val="ToCsubheadings"/>
    <w:rsid w:val="006F279F"/>
    <w:rPr>
      <w:b/>
      <w:szCs w:val="24"/>
    </w:rPr>
  </w:style>
  <w:style w:type="paragraph" w:customStyle="1" w:styleId="Finalchapterheadingstyle">
    <w:name w:val="Final chapter heading style"/>
    <w:basedOn w:val="Normal"/>
    <w:link w:val="FinalchapterheadingstyleChar"/>
    <w:autoRedefine/>
    <w:qFormat/>
    <w:rsid w:val="006F279F"/>
    <w:pPr>
      <w:spacing w:after="0" w:line="360" w:lineRule="auto"/>
      <w:ind w:left="709" w:hanging="709"/>
      <w:jc w:val="both"/>
    </w:pPr>
    <w:rPr>
      <w:rFonts w:ascii="Arial" w:hAnsi="Arial"/>
      <w:b/>
      <w:sz w:val="24"/>
      <w:szCs w:val="24"/>
      <w:lang w:val="en-GB"/>
    </w:rPr>
  </w:style>
  <w:style w:type="character" w:customStyle="1" w:styleId="FinalchapterheadingstyleChar">
    <w:name w:val="Final chapter heading style Char"/>
    <w:basedOn w:val="DefaultParagraphFont"/>
    <w:link w:val="Finalchapterheadingstyle"/>
    <w:rsid w:val="006F279F"/>
    <w:rPr>
      <w:b/>
      <w:szCs w:val="24"/>
    </w:rPr>
  </w:style>
  <w:style w:type="paragraph" w:customStyle="1" w:styleId="Thesismainparagraphtext">
    <w:name w:val="Thesis main paragraph text"/>
    <w:basedOn w:val="Normal"/>
    <w:link w:val="ThesismainparagraphtextChar"/>
    <w:qFormat/>
    <w:rsid w:val="006F279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hesismainparagraphtextChar">
    <w:name w:val="Thesis main paragraph text Char"/>
    <w:basedOn w:val="DefaultParagraphFont"/>
    <w:link w:val="Thesismainparagraphtext"/>
    <w:rsid w:val="006F279F"/>
    <w:rPr>
      <w:rFonts w:ascii="Times New Roman" w:eastAsia="Times New Roman" w:hAnsi="Times New Roman" w:cs="Times New Roman"/>
      <w:szCs w:val="24"/>
    </w:rPr>
  </w:style>
  <w:style w:type="paragraph" w:customStyle="1" w:styleId="Finalchaptersub-headingstyle">
    <w:name w:val="Final chapter sub-heading style"/>
    <w:basedOn w:val="Finalchapterheadingstyle"/>
    <w:link w:val="Finalchaptersub-headingstyleChar"/>
    <w:autoRedefine/>
    <w:qFormat/>
    <w:rsid w:val="006F279F"/>
    <w:pPr>
      <w:ind w:left="360" w:hanging="360"/>
    </w:pPr>
  </w:style>
  <w:style w:type="character" w:customStyle="1" w:styleId="Finalchaptersub-headingstyleChar">
    <w:name w:val="Final chapter sub-heading style Char"/>
    <w:basedOn w:val="FinalchapterheadingstyleChar"/>
    <w:link w:val="Finalchaptersub-headingstyle"/>
    <w:rsid w:val="006F279F"/>
    <w:rPr>
      <w:b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F279F"/>
    <w:pPr>
      <w:spacing w:after="0" w:line="240" w:lineRule="auto"/>
      <w:ind w:left="862" w:right="862"/>
      <w:jc w:val="both"/>
    </w:pPr>
    <w:rPr>
      <w:rFonts w:ascii="Arial" w:hAnsi="Arial"/>
      <w:i/>
      <w:iCs/>
      <w:color w:val="404040" w:themeColor="text1" w:themeTint="BF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6F279F"/>
    <w:rPr>
      <w:i/>
      <w:iCs/>
      <w:color w:val="404040" w:themeColor="text1" w:themeTint="BF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E24679"/>
    <w:pPr>
      <w:spacing w:after="120" w:line="240" w:lineRule="auto"/>
      <w:jc w:val="both"/>
    </w:pPr>
    <w:rPr>
      <w:rFonts w:ascii="Arial" w:hAnsi="Arial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E246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Redmond</dc:creator>
  <cp:keywords/>
  <dc:description/>
  <cp:lastModifiedBy>Ciara Nolan</cp:lastModifiedBy>
  <cp:revision>3</cp:revision>
  <dcterms:created xsi:type="dcterms:W3CDTF">2019-04-05T17:05:00Z</dcterms:created>
  <dcterms:modified xsi:type="dcterms:W3CDTF">2019-07-01T16:09:00Z</dcterms:modified>
</cp:coreProperties>
</file>