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theme/themeOverride33.xml" ContentType="application/vnd.openxmlformats-officedocument.themeOverride+xml"/>
  <Override PartName="/word/charts/chart36.xml" ContentType="application/vnd.openxmlformats-officedocument.drawingml.chart+xml"/>
  <Override PartName="/word/theme/themeOverride34.xml" ContentType="application/vnd.openxmlformats-officedocument.themeOverride+xml"/>
  <Override PartName="/word/charts/chart37.xml" ContentType="application/vnd.openxmlformats-officedocument.drawingml.chart+xml"/>
  <Override PartName="/word/theme/themeOverride35.xml" ContentType="application/vnd.openxmlformats-officedocument.themeOverride+xml"/>
  <Override PartName="/word/charts/chart38.xml" ContentType="application/vnd.openxmlformats-officedocument.drawingml.chart+xml"/>
  <Override PartName="/word/theme/themeOverride36.xml" ContentType="application/vnd.openxmlformats-officedocument.themeOverride+xml"/>
  <Override PartName="/word/charts/chart39.xml" ContentType="application/vnd.openxmlformats-officedocument.drawingml.chart+xml"/>
  <Override PartName="/word/theme/themeOverride37.xml" ContentType="application/vnd.openxmlformats-officedocument.themeOverride+xml"/>
  <Override PartName="/word/charts/chart40.xml" ContentType="application/vnd.openxmlformats-officedocument.drawingml.chart+xml"/>
  <Override PartName="/word/theme/themeOverride38.xml" ContentType="application/vnd.openxmlformats-officedocument.themeOverride+xml"/>
  <Override PartName="/word/charts/chart41.xml" ContentType="application/vnd.openxmlformats-officedocument.drawingml.chart+xml"/>
  <Override PartName="/word/theme/themeOverride39.xml" ContentType="application/vnd.openxmlformats-officedocument.themeOverride+xml"/>
  <Override PartName="/word/charts/chart42.xml" ContentType="application/vnd.openxmlformats-officedocument.drawingml.chart+xml"/>
  <Override PartName="/word/theme/themeOverride40.xml" ContentType="application/vnd.openxmlformats-officedocument.themeOverride+xml"/>
  <Override PartName="/word/charts/chart43.xml" ContentType="application/vnd.openxmlformats-officedocument.drawingml.chart+xml"/>
  <Override PartName="/word/theme/themeOverride41.xml" ContentType="application/vnd.openxmlformats-officedocument.themeOverride+xml"/>
  <Override PartName="/word/charts/chart44.xml" ContentType="application/vnd.openxmlformats-officedocument.drawingml.chart+xml"/>
  <Override PartName="/word/theme/themeOverride42.xml" ContentType="application/vnd.openxmlformats-officedocument.themeOverride+xml"/>
  <Override PartName="/word/charts/chart45.xml" ContentType="application/vnd.openxmlformats-officedocument.drawingml.chart+xml"/>
  <Override PartName="/word/theme/themeOverride43.xml" ContentType="application/vnd.openxmlformats-officedocument.themeOverride+xml"/>
  <Override PartName="/word/charts/chart46.xml" ContentType="application/vnd.openxmlformats-officedocument.drawingml.chart+xml"/>
  <Override PartName="/word/theme/themeOverride44.xml" ContentType="application/vnd.openxmlformats-officedocument.themeOverride+xml"/>
  <Override PartName="/word/charts/chart47.xml" ContentType="application/vnd.openxmlformats-officedocument.drawingml.chart+xml"/>
  <Override PartName="/word/theme/themeOverride45.xml" ContentType="application/vnd.openxmlformats-officedocument.themeOverride+xml"/>
  <Override PartName="/word/charts/chart48.xml" ContentType="application/vnd.openxmlformats-officedocument.drawingml.chart+xml"/>
  <Override PartName="/word/theme/themeOverride46.xml" ContentType="application/vnd.openxmlformats-officedocument.themeOverride+xml"/>
  <Override PartName="/word/charts/chart49.xml" ContentType="application/vnd.openxmlformats-officedocument.drawingml.chart+xml"/>
  <Override PartName="/word/theme/themeOverride47.xml" ContentType="application/vnd.openxmlformats-officedocument.themeOverride+xml"/>
  <Override PartName="/word/charts/chart50.xml" ContentType="application/vnd.openxmlformats-officedocument.drawingml.chart+xml"/>
  <Override PartName="/word/theme/themeOverride4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charts/chart52.xml" ContentType="application/vnd.openxmlformats-officedocument.drawingml.chart+xml"/>
  <Override PartName="/word/theme/themeOverride50.xml" ContentType="application/vnd.openxmlformats-officedocument.themeOverride+xml"/>
  <Override PartName="/word/charts/chart53.xml" ContentType="application/vnd.openxmlformats-officedocument.drawingml.chart+xml"/>
  <Override PartName="/word/theme/themeOverride51.xml" ContentType="application/vnd.openxmlformats-officedocument.themeOverride+xml"/>
  <Override PartName="/word/charts/chart54.xml" ContentType="application/vnd.openxmlformats-officedocument.drawingml.chart+xml"/>
  <Override PartName="/word/theme/themeOverride52.xml" ContentType="application/vnd.openxmlformats-officedocument.themeOverride+xml"/>
  <Override PartName="/word/charts/chart55.xml" ContentType="application/vnd.openxmlformats-officedocument.drawingml.chart+xml"/>
  <Override PartName="/word/theme/themeOverride53.xml" ContentType="application/vnd.openxmlformats-officedocument.themeOverride+xml"/>
  <Override PartName="/word/charts/chart56.xml" ContentType="application/vnd.openxmlformats-officedocument.drawingml.chart+xml"/>
  <Override PartName="/word/theme/themeOverride54.xml" ContentType="application/vnd.openxmlformats-officedocument.themeOverride+xml"/>
  <Override PartName="/word/charts/chart57.xml" ContentType="application/vnd.openxmlformats-officedocument.drawingml.chart+xml"/>
  <Override PartName="/word/theme/themeOverride55.xml" ContentType="application/vnd.openxmlformats-officedocument.themeOverride+xml"/>
  <Override PartName="/word/charts/chart58.xml" ContentType="application/vnd.openxmlformats-officedocument.drawingml.chart+xml"/>
  <Override PartName="/word/theme/themeOverride56.xml" ContentType="application/vnd.openxmlformats-officedocument.themeOverride+xml"/>
  <Override PartName="/word/charts/chart59.xml" ContentType="application/vnd.openxmlformats-officedocument.drawingml.chart+xml"/>
  <Override PartName="/word/theme/themeOverride57.xml" ContentType="application/vnd.openxmlformats-officedocument.themeOverride+xml"/>
  <Override PartName="/word/charts/chart60.xml" ContentType="application/vnd.openxmlformats-officedocument.drawingml.chart+xml"/>
  <Override PartName="/word/theme/themeOverride58.xml" ContentType="application/vnd.openxmlformats-officedocument.themeOverride+xml"/>
  <Override PartName="/word/charts/chart61.xml" ContentType="application/vnd.openxmlformats-officedocument.drawingml.chart+xml"/>
  <Override PartName="/word/theme/themeOverride59.xml" ContentType="application/vnd.openxmlformats-officedocument.themeOverride+xml"/>
  <Override PartName="/word/charts/chart62.xml" ContentType="application/vnd.openxmlformats-officedocument.drawingml.chart+xml"/>
  <Override PartName="/word/theme/themeOverride60.xml" ContentType="application/vnd.openxmlformats-officedocument.themeOverride+xml"/>
  <Override PartName="/word/charts/chart63.xml" ContentType="application/vnd.openxmlformats-officedocument.drawingml.chart+xml"/>
  <Override PartName="/word/theme/themeOverride61.xml" ContentType="application/vnd.openxmlformats-officedocument.themeOverride+xml"/>
  <Override PartName="/word/charts/chart64.xml" ContentType="application/vnd.openxmlformats-officedocument.drawingml.chart+xml"/>
  <Override PartName="/word/theme/themeOverride62.xml" ContentType="application/vnd.openxmlformats-officedocument.themeOverride+xml"/>
  <Override PartName="/word/charts/chart65.xml" ContentType="application/vnd.openxmlformats-officedocument.drawingml.chart+xml"/>
  <Override PartName="/word/theme/themeOverride63.xml" ContentType="application/vnd.openxmlformats-officedocument.themeOverride+xml"/>
  <Override PartName="/word/charts/chart66.xml" ContentType="application/vnd.openxmlformats-officedocument.drawingml.chart+xml"/>
  <Override PartName="/word/theme/themeOverride64.xml" ContentType="application/vnd.openxmlformats-officedocument.themeOverride+xml"/>
  <Override PartName="/word/charts/chart67.xml" ContentType="application/vnd.openxmlformats-officedocument.drawingml.chart+xml"/>
  <Override PartName="/word/theme/themeOverride65.xml" ContentType="application/vnd.openxmlformats-officedocument.themeOverride+xml"/>
  <Override PartName="/word/charts/chart68.xml" ContentType="application/vnd.openxmlformats-officedocument.drawingml.chart+xml"/>
  <Override PartName="/word/theme/themeOverride66.xml" ContentType="application/vnd.openxmlformats-officedocument.themeOverride+xml"/>
  <Override PartName="/word/charts/chart69.xml" ContentType="application/vnd.openxmlformats-officedocument.drawingml.chart+xml"/>
  <Override PartName="/word/theme/themeOverride67.xml" ContentType="application/vnd.openxmlformats-officedocument.themeOverride+xml"/>
  <Override PartName="/word/charts/chart70.xml" ContentType="application/vnd.openxmlformats-officedocument.drawingml.chart+xml"/>
  <Override PartName="/word/theme/themeOverride68.xml" ContentType="application/vnd.openxmlformats-officedocument.themeOverride+xml"/>
  <Override PartName="/word/charts/chart71.xml" ContentType="application/vnd.openxmlformats-officedocument.drawingml.chart+xml"/>
  <Override PartName="/word/theme/themeOverride6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B91D74" w14:textId="4A6F35B5" w:rsidR="00A755F5" w:rsidRPr="00251B2C" w:rsidRDefault="00546532" w:rsidP="00A755F5">
      <w:pPr>
        <w:shd w:val="clear" w:color="auto" w:fill="FFFFFF" w:themeFill="background1"/>
        <w:spacing w:before="120" w:after="120" w:line="360" w:lineRule="auto"/>
        <w:jc w:val="center"/>
        <w:rPr>
          <w:rFonts w:ascii="Times New Roman" w:eastAsia="Times New Roman" w:hAnsi="Times New Roman" w:cs="Times New Roman"/>
          <w:b/>
          <w:kern w:val="2"/>
          <w:sz w:val="32"/>
          <w:szCs w:val="24"/>
          <w:lang w:val="en-US" w:eastAsia="en-GB" w:bidi="hi-IN"/>
        </w:rPr>
      </w:pPr>
      <w:bookmarkStart w:id="0" w:name="OLE_LINK89"/>
      <w:bookmarkStart w:id="1" w:name="OLE_LINK69"/>
      <w:bookmarkStart w:id="2" w:name="OLE_LINK65"/>
      <w:bookmarkStart w:id="3" w:name="_Toc481617393"/>
      <w:r>
        <w:rPr>
          <w:rFonts w:ascii="Times New Roman" w:eastAsia="Times New Roman" w:hAnsi="Times New Roman" w:cs="Times New Roman"/>
          <w:b/>
          <w:kern w:val="2"/>
          <w:sz w:val="32"/>
          <w:szCs w:val="24"/>
          <w:lang w:val="en-US" w:eastAsia="en-GB" w:bidi="hi-IN"/>
        </w:rPr>
        <w:t>When It C</w:t>
      </w:r>
      <w:r w:rsidR="005764A3">
        <w:rPr>
          <w:rFonts w:ascii="Times New Roman" w:eastAsia="Times New Roman" w:hAnsi="Times New Roman" w:cs="Times New Roman"/>
          <w:b/>
          <w:kern w:val="2"/>
          <w:sz w:val="32"/>
          <w:szCs w:val="24"/>
          <w:lang w:val="en-US" w:eastAsia="en-GB" w:bidi="hi-IN"/>
        </w:rPr>
        <w:t>omes to Risk, is</w:t>
      </w:r>
      <w:r w:rsidR="00A755F5" w:rsidRPr="00251B2C">
        <w:rPr>
          <w:rFonts w:ascii="Times New Roman" w:eastAsia="Times New Roman" w:hAnsi="Times New Roman" w:cs="Times New Roman"/>
          <w:b/>
          <w:kern w:val="2"/>
          <w:sz w:val="32"/>
          <w:szCs w:val="24"/>
          <w:lang w:val="en-US" w:eastAsia="en-GB" w:bidi="hi-IN"/>
        </w:rPr>
        <w:t xml:space="preserve"> </w:t>
      </w:r>
      <w:r w:rsidR="000F4C35">
        <w:rPr>
          <w:rFonts w:ascii="Times New Roman" w:eastAsia="Times New Roman" w:hAnsi="Times New Roman" w:cs="Times New Roman"/>
          <w:b/>
          <w:kern w:val="2"/>
          <w:sz w:val="32"/>
          <w:szCs w:val="24"/>
          <w:lang w:val="en-US" w:eastAsia="en-GB" w:bidi="hi-IN"/>
        </w:rPr>
        <w:t>Sukuk</w:t>
      </w:r>
      <w:r>
        <w:rPr>
          <w:rFonts w:ascii="Times New Roman" w:eastAsia="Times New Roman" w:hAnsi="Times New Roman" w:cs="Times New Roman"/>
          <w:b/>
          <w:kern w:val="2"/>
          <w:sz w:val="32"/>
          <w:szCs w:val="24"/>
          <w:lang w:val="en-US" w:eastAsia="en-GB" w:bidi="hi-IN"/>
        </w:rPr>
        <w:t xml:space="preserve"> B</w:t>
      </w:r>
      <w:r w:rsidR="00D12C43">
        <w:rPr>
          <w:rFonts w:ascii="Times New Roman" w:eastAsia="Times New Roman" w:hAnsi="Times New Roman" w:cs="Times New Roman"/>
          <w:b/>
          <w:kern w:val="2"/>
          <w:sz w:val="32"/>
          <w:szCs w:val="24"/>
          <w:lang w:val="en-US" w:eastAsia="en-GB" w:bidi="hi-IN"/>
        </w:rPr>
        <w:t>etter t</w:t>
      </w:r>
      <w:r w:rsidR="005764A3">
        <w:rPr>
          <w:rFonts w:ascii="Times New Roman" w:eastAsia="Times New Roman" w:hAnsi="Times New Roman" w:cs="Times New Roman"/>
          <w:b/>
          <w:kern w:val="2"/>
          <w:sz w:val="32"/>
          <w:szCs w:val="24"/>
          <w:lang w:val="en-US" w:eastAsia="en-GB" w:bidi="hi-IN"/>
        </w:rPr>
        <w:t>han</w:t>
      </w:r>
      <w:r w:rsidR="00A755F5" w:rsidRPr="00251B2C">
        <w:rPr>
          <w:rFonts w:ascii="Times New Roman" w:eastAsia="Times New Roman" w:hAnsi="Times New Roman" w:cs="Times New Roman"/>
          <w:b/>
          <w:kern w:val="2"/>
          <w:sz w:val="32"/>
          <w:szCs w:val="24"/>
          <w:lang w:val="en-US" w:eastAsia="en-GB" w:bidi="hi-IN"/>
        </w:rPr>
        <w:t xml:space="preserve"> Conventional Bonds</w:t>
      </w:r>
      <w:r w:rsidR="00F031FC">
        <w:rPr>
          <w:rFonts w:ascii="Times New Roman" w:eastAsia="Times New Roman" w:hAnsi="Times New Roman" w:cs="Times New Roman"/>
          <w:b/>
          <w:kern w:val="2"/>
          <w:sz w:val="32"/>
          <w:szCs w:val="24"/>
          <w:lang w:val="en-US" w:eastAsia="en-GB" w:bidi="hi-IN"/>
        </w:rPr>
        <w:t>?</w:t>
      </w:r>
      <w:r w:rsidR="00A755F5" w:rsidRPr="00251B2C">
        <w:rPr>
          <w:rFonts w:ascii="Times New Roman" w:eastAsia="Times New Roman" w:hAnsi="Times New Roman" w:cs="Times New Roman"/>
          <w:b/>
          <w:kern w:val="2"/>
          <w:sz w:val="32"/>
          <w:szCs w:val="24"/>
          <w:lang w:val="en-US" w:eastAsia="en-GB" w:bidi="hi-IN"/>
        </w:rPr>
        <w:t xml:space="preserve"> </w:t>
      </w:r>
      <w:r w:rsidR="00BB4DFB">
        <w:rPr>
          <w:rFonts w:ascii="Times New Roman" w:eastAsia="Times New Roman" w:hAnsi="Times New Roman" w:cs="Times New Roman"/>
          <w:b/>
          <w:kern w:val="2"/>
          <w:sz w:val="32"/>
          <w:szCs w:val="24"/>
          <w:lang w:val="en-US" w:eastAsia="en-GB" w:bidi="hi-IN"/>
        </w:rPr>
        <w:t xml:space="preserve">A </w:t>
      </w:r>
      <w:r w:rsidR="005764A3">
        <w:rPr>
          <w:rFonts w:ascii="Times New Roman" w:eastAsia="Times New Roman" w:hAnsi="Times New Roman" w:cs="Times New Roman"/>
          <w:b/>
          <w:kern w:val="2"/>
          <w:sz w:val="32"/>
          <w:szCs w:val="24"/>
          <w:lang w:val="en-US" w:eastAsia="en-GB" w:bidi="hi-IN"/>
        </w:rPr>
        <w:t>Comparative</w:t>
      </w:r>
      <w:r w:rsidR="00A755F5" w:rsidRPr="00251B2C">
        <w:rPr>
          <w:rFonts w:ascii="Times New Roman" w:eastAsia="Times New Roman" w:hAnsi="Times New Roman" w:cs="Times New Roman"/>
          <w:b/>
          <w:kern w:val="2"/>
          <w:sz w:val="32"/>
          <w:szCs w:val="24"/>
          <w:lang w:val="en-US" w:eastAsia="en-GB" w:bidi="hi-IN"/>
        </w:rPr>
        <w:t xml:space="preserve"> Study of </w:t>
      </w:r>
      <w:r w:rsidR="00C06EC9" w:rsidRPr="00251B2C">
        <w:rPr>
          <w:rFonts w:ascii="Times New Roman" w:eastAsia="Times New Roman" w:hAnsi="Times New Roman" w:cs="Times New Roman"/>
          <w:b/>
          <w:kern w:val="2"/>
          <w:sz w:val="32"/>
          <w:szCs w:val="24"/>
          <w:lang w:val="en-US" w:eastAsia="en-GB" w:bidi="hi-IN"/>
        </w:rPr>
        <w:t>NASDAQ</w:t>
      </w:r>
      <w:r w:rsidR="00A755F5" w:rsidRPr="00251B2C">
        <w:rPr>
          <w:rFonts w:ascii="Times New Roman" w:eastAsia="Times New Roman" w:hAnsi="Times New Roman" w:cs="Times New Roman"/>
          <w:b/>
          <w:kern w:val="2"/>
          <w:sz w:val="32"/>
          <w:szCs w:val="24"/>
          <w:lang w:val="en-US" w:eastAsia="en-GB" w:bidi="hi-IN"/>
        </w:rPr>
        <w:t xml:space="preserve"> </w:t>
      </w:r>
      <w:r w:rsidR="001A131A">
        <w:rPr>
          <w:rFonts w:ascii="Times New Roman" w:eastAsia="Times New Roman" w:hAnsi="Times New Roman" w:cs="Times New Roman"/>
          <w:b/>
          <w:kern w:val="2"/>
          <w:sz w:val="32"/>
          <w:szCs w:val="24"/>
          <w:lang w:val="en-US" w:eastAsia="en-GB" w:bidi="hi-IN"/>
        </w:rPr>
        <w:t>Securities</w:t>
      </w:r>
      <w:r w:rsidR="005764A3">
        <w:rPr>
          <w:rFonts w:ascii="Times New Roman" w:eastAsia="Times New Roman" w:hAnsi="Times New Roman" w:cs="Times New Roman"/>
          <w:b/>
          <w:kern w:val="2"/>
          <w:sz w:val="32"/>
          <w:szCs w:val="24"/>
          <w:lang w:val="en-US" w:eastAsia="en-GB" w:bidi="hi-IN"/>
        </w:rPr>
        <w:t xml:space="preserve"> </w:t>
      </w:r>
      <w:r w:rsidR="00A755F5" w:rsidRPr="00251B2C">
        <w:rPr>
          <w:rFonts w:ascii="Times New Roman" w:eastAsia="Times New Roman" w:hAnsi="Times New Roman" w:cs="Times New Roman"/>
          <w:b/>
          <w:kern w:val="2"/>
          <w:sz w:val="32"/>
          <w:szCs w:val="24"/>
          <w:lang w:val="en-US" w:eastAsia="en-GB" w:bidi="hi-IN"/>
        </w:rPr>
        <w:t xml:space="preserve"> </w:t>
      </w:r>
      <w:bookmarkEnd w:id="0"/>
      <w:bookmarkEnd w:id="1"/>
      <w:bookmarkEnd w:id="2"/>
    </w:p>
    <w:p w14:paraId="42FB686D" w14:textId="77777777" w:rsidR="00546532" w:rsidRDefault="00546532" w:rsidP="00D5786B">
      <w:pPr>
        <w:pStyle w:val="BodyText3"/>
        <w:rPr>
          <w:rFonts w:ascii="Times New Roman" w:hAnsi="Times New Roman" w:cs="Times New Roman"/>
          <w:b/>
          <w:noProof/>
          <w:sz w:val="24"/>
          <w:szCs w:val="24"/>
        </w:rPr>
      </w:pPr>
      <w:bookmarkStart w:id="4" w:name="OLE_LINK113"/>
      <w:bookmarkStart w:id="5" w:name="OLE_LINK114"/>
      <w:bookmarkStart w:id="6" w:name="OLE_LINK58"/>
      <w:bookmarkStart w:id="7" w:name="OLE_LINK59"/>
      <w:bookmarkStart w:id="8" w:name="OLE_LINK100"/>
      <w:bookmarkEnd w:id="3"/>
    </w:p>
    <w:p w14:paraId="1A8364A1" w14:textId="77777777" w:rsidR="00104535" w:rsidRDefault="00104535" w:rsidP="00D5786B">
      <w:pPr>
        <w:pStyle w:val="BodyText3"/>
        <w:rPr>
          <w:rFonts w:ascii="Times New Roman" w:hAnsi="Times New Roman" w:cs="Times New Roman"/>
          <w:b/>
          <w:noProof/>
          <w:sz w:val="24"/>
          <w:szCs w:val="24"/>
        </w:rPr>
      </w:pPr>
    </w:p>
    <w:p w14:paraId="5F185494" w14:textId="77777777" w:rsidR="00104535" w:rsidRDefault="00104535" w:rsidP="00D5786B">
      <w:pPr>
        <w:pStyle w:val="BodyText3"/>
        <w:rPr>
          <w:rFonts w:ascii="Times New Roman" w:hAnsi="Times New Roman" w:cs="Times New Roman"/>
          <w:b/>
          <w:noProof/>
          <w:sz w:val="24"/>
          <w:szCs w:val="24"/>
        </w:rPr>
      </w:pPr>
    </w:p>
    <w:p w14:paraId="65DE72F6" w14:textId="77777777" w:rsidR="006D7640" w:rsidRDefault="00546532" w:rsidP="006D7640">
      <w:pPr>
        <w:pStyle w:val="BodyText3"/>
        <w:rPr>
          <w:rFonts w:ascii="Times New Roman" w:hAnsi="Times New Roman" w:cs="Times New Roman"/>
          <w:b/>
          <w:noProof/>
          <w:sz w:val="24"/>
          <w:szCs w:val="24"/>
        </w:rPr>
      </w:pPr>
      <w:r>
        <w:rPr>
          <w:rFonts w:ascii="Times New Roman" w:hAnsi="Times New Roman" w:cs="Times New Roman"/>
          <w:b/>
          <w:noProof/>
          <w:sz w:val="24"/>
          <w:szCs w:val="24"/>
        </w:rPr>
        <w:t>Abstract</w:t>
      </w:r>
    </w:p>
    <w:p w14:paraId="423909D1" w14:textId="77777777" w:rsidR="000B4FC2" w:rsidRDefault="000B4FC2" w:rsidP="006D7640">
      <w:pPr>
        <w:pStyle w:val="BodyText3"/>
        <w:rPr>
          <w:rFonts w:ascii="Times New Roman" w:hAnsi="Times New Roman" w:cs="Times New Roman"/>
          <w:noProof/>
          <w:sz w:val="24"/>
          <w:szCs w:val="24"/>
        </w:rPr>
      </w:pPr>
    </w:p>
    <w:p w14:paraId="5C3796A2" w14:textId="657DC6E9" w:rsidR="00D5786B" w:rsidRPr="000B4FC2" w:rsidRDefault="000B4FC2" w:rsidP="006D7640">
      <w:pPr>
        <w:pStyle w:val="BodyText3"/>
        <w:rPr>
          <w:rFonts w:asciiTheme="majorBidi" w:eastAsia="Times New Roman" w:hAnsiTheme="majorBidi" w:cstheme="majorBidi"/>
          <w:color w:val="000000" w:themeColor="text1"/>
          <w:sz w:val="24"/>
          <w:szCs w:val="24"/>
          <w:lang w:eastAsia="en-GB"/>
        </w:rPr>
      </w:pPr>
      <w:bookmarkStart w:id="9" w:name="_GoBack"/>
      <w:r>
        <w:rPr>
          <w:rFonts w:asciiTheme="majorBidi" w:hAnsiTheme="majorBidi" w:cstheme="majorBidi"/>
          <w:noProof/>
          <w:color w:val="000000" w:themeColor="text1"/>
          <w:sz w:val="24"/>
          <w:szCs w:val="24"/>
        </w:rPr>
        <w:t>We</w:t>
      </w:r>
      <w:r w:rsidRPr="009B1361">
        <w:rPr>
          <w:rFonts w:asciiTheme="majorBidi" w:eastAsia="Times New Roman" w:hAnsiTheme="majorBidi" w:cstheme="majorBidi"/>
          <w:color w:val="000000" w:themeColor="text1"/>
          <w:sz w:val="24"/>
          <w:szCs w:val="24"/>
          <w:lang w:eastAsia="en-GB"/>
        </w:rPr>
        <w:t xml:space="preserve"> analys</w:t>
      </w:r>
      <w:r>
        <w:rPr>
          <w:rFonts w:asciiTheme="majorBidi" w:eastAsia="Times New Roman" w:hAnsiTheme="majorBidi" w:cstheme="majorBidi"/>
          <w:color w:val="000000" w:themeColor="text1"/>
          <w:sz w:val="24"/>
          <w:szCs w:val="24"/>
          <w:lang w:eastAsia="en-GB"/>
        </w:rPr>
        <w:t>e</w:t>
      </w:r>
      <w:r w:rsidRPr="009B1361">
        <w:rPr>
          <w:rFonts w:asciiTheme="majorBidi" w:eastAsia="Times New Roman" w:hAnsiTheme="majorBidi" w:cstheme="majorBidi"/>
          <w:color w:val="000000" w:themeColor="text1"/>
          <w:sz w:val="24"/>
          <w:szCs w:val="24"/>
          <w:lang w:eastAsia="en-GB"/>
        </w:rPr>
        <w:t xml:space="preserve"> the risk levels of sukuk portfolio compared to conventional bonds, using a sample data that </w:t>
      </w:r>
      <w:r>
        <w:rPr>
          <w:rFonts w:asciiTheme="majorBidi" w:eastAsia="Times New Roman" w:hAnsiTheme="majorBidi" w:cstheme="majorBidi"/>
          <w:color w:val="000000" w:themeColor="text1"/>
          <w:sz w:val="24"/>
          <w:szCs w:val="24"/>
          <w:lang w:eastAsia="en-GB"/>
        </w:rPr>
        <w:t>is</w:t>
      </w:r>
      <w:r w:rsidRPr="009B1361">
        <w:rPr>
          <w:rFonts w:asciiTheme="majorBidi" w:eastAsia="Times New Roman" w:hAnsiTheme="majorBidi" w:cstheme="majorBidi"/>
          <w:color w:val="000000" w:themeColor="text1"/>
          <w:sz w:val="24"/>
          <w:szCs w:val="24"/>
          <w:lang w:eastAsia="en-GB"/>
        </w:rPr>
        <w:t xml:space="preserve"> extracted from daily closing prices of </w:t>
      </w:r>
      <w:r w:rsidRPr="00F55C8C">
        <w:rPr>
          <w:rFonts w:asciiTheme="majorBidi" w:eastAsia="Times New Roman" w:hAnsiTheme="majorBidi" w:cstheme="majorBidi"/>
          <w:i/>
          <w:iCs/>
          <w:color w:val="000000" w:themeColor="text1"/>
          <w:sz w:val="24"/>
          <w:szCs w:val="24"/>
          <w:lang w:eastAsia="en-GB"/>
        </w:rPr>
        <w:t>Sukuk</w:t>
      </w:r>
      <w:r w:rsidRPr="009B1361">
        <w:rPr>
          <w:rFonts w:asciiTheme="majorBidi" w:eastAsia="Times New Roman" w:hAnsiTheme="majorBidi" w:cstheme="majorBidi"/>
          <w:color w:val="000000" w:themeColor="text1"/>
          <w:sz w:val="24"/>
          <w:szCs w:val="24"/>
          <w:lang w:eastAsia="en-GB"/>
        </w:rPr>
        <w:t xml:space="preserve"> and bonds that are traded in Nasdaq Dubai’s security market. </w:t>
      </w:r>
      <w:r w:rsidR="00285A29">
        <w:rPr>
          <w:rFonts w:ascii="Times New Roman" w:hAnsi="Times New Roman" w:cs="Times New Roman"/>
          <w:noProof/>
          <w:sz w:val="24"/>
          <w:szCs w:val="24"/>
        </w:rPr>
        <w:t>The recent data show that</w:t>
      </w:r>
      <w:r w:rsidR="00037417">
        <w:rPr>
          <w:rFonts w:ascii="Times New Roman" w:hAnsi="Times New Roman" w:cs="Times New Roman"/>
          <w:noProof/>
          <w:sz w:val="24"/>
          <w:szCs w:val="24"/>
        </w:rPr>
        <w:t xml:space="preserve"> </w:t>
      </w:r>
      <w:r w:rsidR="0005296F">
        <w:rPr>
          <w:rFonts w:ascii="Times New Roman" w:hAnsi="Times New Roman" w:cs="Times New Roman"/>
          <w:noProof/>
          <w:sz w:val="24"/>
          <w:szCs w:val="24"/>
        </w:rPr>
        <w:t>global</w:t>
      </w:r>
      <w:r w:rsidR="009538A3">
        <w:rPr>
          <w:rFonts w:ascii="Times New Roman" w:hAnsi="Times New Roman" w:cs="Times New Roman"/>
          <w:noProof/>
          <w:sz w:val="24"/>
          <w:szCs w:val="24"/>
        </w:rPr>
        <w:t xml:space="preserve"> interest in Sukuk instruments </w:t>
      </w:r>
      <w:r w:rsidR="00D5786B" w:rsidRPr="00D5786B">
        <w:rPr>
          <w:rFonts w:ascii="Times New Roman" w:hAnsi="Times New Roman" w:cs="Times New Roman"/>
          <w:noProof/>
          <w:sz w:val="24"/>
          <w:szCs w:val="24"/>
        </w:rPr>
        <w:t xml:space="preserve">as </w:t>
      </w:r>
      <w:r w:rsidR="00EB2269">
        <w:rPr>
          <w:rFonts w:ascii="Times New Roman" w:hAnsi="Times New Roman" w:cs="Times New Roman"/>
          <w:noProof/>
          <w:sz w:val="24"/>
          <w:szCs w:val="24"/>
        </w:rPr>
        <w:t>an</w:t>
      </w:r>
      <w:r w:rsidR="00D5786B" w:rsidRPr="00D5786B">
        <w:rPr>
          <w:rFonts w:ascii="Times New Roman" w:hAnsi="Times New Roman" w:cs="Times New Roman"/>
          <w:noProof/>
          <w:sz w:val="24"/>
          <w:szCs w:val="24"/>
        </w:rPr>
        <w:t xml:space="preserve"> alternative source of financing</w:t>
      </w:r>
      <w:r w:rsidR="00EB2269">
        <w:rPr>
          <w:rFonts w:ascii="Times New Roman" w:hAnsi="Times New Roman" w:cs="Times New Roman"/>
          <w:noProof/>
          <w:sz w:val="24"/>
          <w:szCs w:val="24"/>
        </w:rPr>
        <w:t xml:space="preserve"> </w:t>
      </w:r>
      <w:r w:rsidR="009538A3">
        <w:rPr>
          <w:rFonts w:ascii="Times New Roman" w:hAnsi="Times New Roman" w:cs="Times New Roman"/>
          <w:noProof/>
          <w:sz w:val="24"/>
          <w:szCs w:val="24"/>
        </w:rPr>
        <w:t>has rise</w:t>
      </w:r>
      <w:r>
        <w:rPr>
          <w:rFonts w:ascii="Times New Roman" w:hAnsi="Times New Roman" w:cs="Times New Roman"/>
          <w:noProof/>
          <w:sz w:val="24"/>
          <w:szCs w:val="24"/>
        </w:rPr>
        <w:t>n</w:t>
      </w:r>
      <w:r w:rsidR="00285A29">
        <w:rPr>
          <w:rFonts w:ascii="Times New Roman" w:hAnsi="Times New Roman" w:cs="Times New Roman"/>
          <w:noProof/>
          <w:sz w:val="24"/>
          <w:szCs w:val="24"/>
        </w:rPr>
        <w:t>,</w:t>
      </w:r>
      <w:r>
        <w:rPr>
          <w:rFonts w:ascii="Times New Roman" w:hAnsi="Times New Roman" w:cs="Times New Roman"/>
          <w:noProof/>
          <w:sz w:val="24"/>
          <w:szCs w:val="24"/>
        </w:rPr>
        <w:t xml:space="preserve"> due to its asset back structure.</w:t>
      </w:r>
      <w:r w:rsidR="00285A29">
        <w:rPr>
          <w:rFonts w:ascii="Times New Roman" w:hAnsi="Times New Roman" w:cs="Times New Roman"/>
          <w:noProof/>
          <w:sz w:val="24"/>
          <w:szCs w:val="24"/>
        </w:rPr>
        <w:t xml:space="preserve"> </w:t>
      </w:r>
      <w:r>
        <w:rPr>
          <w:rFonts w:ascii="Times New Roman" w:hAnsi="Times New Roman" w:cs="Times New Roman"/>
          <w:noProof/>
          <w:sz w:val="24"/>
          <w:szCs w:val="24"/>
        </w:rPr>
        <w:t>W</w:t>
      </w:r>
      <w:r w:rsidR="00D03E83">
        <w:rPr>
          <w:rFonts w:ascii="Times New Roman" w:hAnsi="Times New Roman" w:cs="Times New Roman"/>
          <w:noProof/>
          <w:sz w:val="24"/>
          <w:szCs w:val="24"/>
        </w:rPr>
        <w:t>hereas, d</w:t>
      </w:r>
      <w:r w:rsidR="00FA47CA">
        <w:rPr>
          <w:rFonts w:ascii="Times New Roman" w:hAnsi="Times New Roman" w:cs="Times New Roman"/>
          <w:noProof/>
          <w:sz w:val="24"/>
          <w:szCs w:val="24"/>
        </w:rPr>
        <w:t>iscussion founded</w:t>
      </w:r>
      <w:r w:rsidR="00D5786B" w:rsidRPr="00D5786B">
        <w:rPr>
          <w:rFonts w:ascii="Times New Roman" w:hAnsi="Times New Roman" w:cs="Times New Roman"/>
          <w:noProof/>
          <w:sz w:val="24"/>
          <w:szCs w:val="24"/>
        </w:rPr>
        <w:t xml:space="preserve"> </w:t>
      </w:r>
      <w:r w:rsidR="005764A3">
        <w:rPr>
          <w:rFonts w:ascii="Times New Roman" w:hAnsi="Times New Roman" w:cs="Times New Roman"/>
          <w:noProof/>
          <w:sz w:val="24"/>
          <w:szCs w:val="24"/>
        </w:rPr>
        <w:t>on the distinct riskiness of</w:t>
      </w:r>
      <w:r w:rsidR="00D5786B" w:rsidRPr="00D5786B">
        <w:rPr>
          <w:rFonts w:ascii="Times New Roman" w:hAnsi="Times New Roman" w:cs="Times New Roman"/>
          <w:noProof/>
          <w:sz w:val="24"/>
          <w:szCs w:val="24"/>
        </w:rPr>
        <w:t xml:space="preserve"> </w:t>
      </w:r>
      <w:r w:rsidR="00D5786B" w:rsidRPr="006C01C7">
        <w:rPr>
          <w:rFonts w:ascii="Times New Roman" w:hAnsi="Times New Roman" w:cs="Times New Roman"/>
          <w:i/>
          <w:iCs/>
          <w:noProof/>
          <w:sz w:val="24"/>
          <w:szCs w:val="24"/>
        </w:rPr>
        <w:t>Sukuk</w:t>
      </w:r>
      <w:r w:rsidR="005764A3">
        <w:rPr>
          <w:rFonts w:ascii="Times New Roman" w:hAnsi="Times New Roman" w:cs="Times New Roman"/>
          <w:noProof/>
          <w:sz w:val="24"/>
          <w:szCs w:val="24"/>
        </w:rPr>
        <w:t xml:space="preserve">, </w:t>
      </w:r>
      <w:r w:rsidR="00FA47CA">
        <w:rPr>
          <w:rFonts w:ascii="Times New Roman" w:hAnsi="Times New Roman" w:cs="Times New Roman"/>
          <w:noProof/>
          <w:sz w:val="24"/>
          <w:szCs w:val="24"/>
        </w:rPr>
        <w:t>when</w:t>
      </w:r>
      <w:r w:rsidR="005764A3">
        <w:rPr>
          <w:rFonts w:ascii="Times New Roman" w:hAnsi="Times New Roman" w:cs="Times New Roman"/>
          <w:noProof/>
          <w:sz w:val="24"/>
          <w:szCs w:val="24"/>
        </w:rPr>
        <w:t xml:space="preserve"> compared to</w:t>
      </w:r>
      <w:r w:rsidR="00D5786B" w:rsidRPr="00D5786B">
        <w:rPr>
          <w:rFonts w:ascii="Times New Roman" w:hAnsi="Times New Roman" w:cs="Times New Roman"/>
          <w:noProof/>
          <w:sz w:val="24"/>
          <w:szCs w:val="24"/>
        </w:rPr>
        <w:t xml:space="preserve"> conventional bonds</w:t>
      </w:r>
      <w:r w:rsidR="005764A3">
        <w:rPr>
          <w:rFonts w:ascii="Times New Roman" w:hAnsi="Times New Roman" w:cs="Times New Roman"/>
          <w:noProof/>
          <w:sz w:val="24"/>
          <w:szCs w:val="24"/>
        </w:rPr>
        <w:t xml:space="preserve">, </w:t>
      </w:r>
      <w:r w:rsidR="004071D5">
        <w:rPr>
          <w:rFonts w:ascii="Times New Roman" w:hAnsi="Times New Roman" w:cs="Times New Roman"/>
          <w:noProof/>
          <w:sz w:val="24"/>
          <w:szCs w:val="24"/>
        </w:rPr>
        <w:t>remains a</w:t>
      </w:r>
      <w:r w:rsidR="005764A3">
        <w:rPr>
          <w:rFonts w:ascii="Times New Roman" w:hAnsi="Times New Roman" w:cs="Times New Roman"/>
          <w:noProof/>
          <w:sz w:val="24"/>
          <w:szCs w:val="24"/>
        </w:rPr>
        <w:t xml:space="preserve"> </w:t>
      </w:r>
      <w:r w:rsidR="005C366C">
        <w:rPr>
          <w:rFonts w:ascii="Times New Roman" w:hAnsi="Times New Roman" w:cs="Times New Roman"/>
          <w:noProof/>
          <w:sz w:val="24"/>
          <w:szCs w:val="24"/>
        </w:rPr>
        <w:t>contentious</w:t>
      </w:r>
      <w:r w:rsidR="005764A3">
        <w:rPr>
          <w:rFonts w:ascii="Times New Roman" w:hAnsi="Times New Roman" w:cs="Times New Roman"/>
          <w:noProof/>
          <w:sz w:val="24"/>
          <w:szCs w:val="24"/>
        </w:rPr>
        <w:t xml:space="preserve"> topic.</w:t>
      </w:r>
      <w:r w:rsidR="00D5786B" w:rsidRPr="00D5786B">
        <w:rPr>
          <w:rFonts w:ascii="Times New Roman" w:hAnsi="Times New Roman" w:cs="Times New Roman"/>
          <w:noProof/>
          <w:sz w:val="24"/>
          <w:szCs w:val="24"/>
        </w:rPr>
        <w:t xml:space="preserve"> </w:t>
      </w:r>
      <w:r w:rsidR="00C74536">
        <w:rPr>
          <w:rFonts w:ascii="Times New Roman" w:hAnsi="Times New Roman" w:cs="Times New Roman"/>
          <w:noProof/>
          <w:sz w:val="24"/>
          <w:szCs w:val="24"/>
        </w:rPr>
        <w:t>We conduct a comparative analysis on the</w:t>
      </w:r>
      <w:r w:rsidR="00D5786B" w:rsidRPr="00D5786B">
        <w:rPr>
          <w:rFonts w:ascii="Times New Roman" w:hAnsi="Times New Roman" w:cs="Times New Roman"/>
          <w:noProof/>
          <w:sz w:val="24"/>
          <w:szCs w:val="24"/>
        </w:rPr>
        <w:t xml:space="preserve"> risks associated with Sukuk and conventional</w:t>
      </w:r>
      <w:r w:rsidR="00C74536">
        <w:rPr>
          <w:rFonts w:ascii="Times New Roman" w:hAnsi="Times New Roman" w:cs="Times New Roman"/>
          <w:noProof/>
          <w:sz w:val="24"/>
          <w:szCs w:val="24"/>
        </w:rPr>
        <w:t>. We examine the r</w:t>
      </w:r>
      <w:r w:rsidR="00FE5867">
        <w:rPr>
          <w:rFonts w:ascii="Times New Roman" w:hAnsi="Times New Roman" w:cs="Times New Roman"/>
          <w:noProof/>
          <w:sz w:val="24"/>
          <w:szCs w:val="24"/>
        </w:rPr>
        <w:t xml:space="preserve">isk levels </w:t>
      </w:r>
      <w:r w:rsidR="00D5786B" w:rsidRPr="00D5786B">
        <w:rPr>
          <w:rFonts w:ascii="Times New Roman" w:hAnsi="Times New Roman" w:cs="Times New Roman"/>
          <w:noProof/>
          <w:sz w:val="24"/>
          <w:szCs w:val="24"/>
        </w:rPr>
        <w:t xml:space="preserve">by measuring  </w:t>
      </w:r>
      <w:r w:rsidR="005A4246">
        <w:rPr>
          <w:rFonts w:ascii="Times New Roman" w:hAnsi="Times New Roman" w:cs="Times New Roman"/>
          <w:noProof/>
          <w:sz w:val="24"/>
          <w:szCs w:val="24"/>
        </w:rPr>
        <w:t>and comparing</w:t>
      </w:r>
      <w:r w:rsidR="00D5786B" w:rsidRPr="00D5786B">
        <w:rPr>
          <w:rFonts w:ascii="Times New Roman" w:hAnsi="Times New Roman" w:cs="Times New Roman"/>
          <w:noProof/>
          <w:sz w:val="24"/>
          <w:szCs w:val="24"/>
        </w:rPr>
        <w:t xml:space="preserve"> VaR value</w:t>
      </w:r>
      <w:r w:rsidR="00D11DAE">
        <w:rPr>
          <w:rFonts w:ascii="Times New Roman" w:hAnsi="Times New Roman" w:cs="Times New Roman"/>
          <w:noProof/>
          <w:sz w:val="24"/>
          <w:szCs w:val="24"/>
        </w:rPr>
        <w:t>s</w:t>
      </w:r>
      <w:r w:rsidR="00D5786B" w:rsidRPr="00D5786B">
        <w:rPr>
          <w:rFonts w:ascii="Times New Roman" w:hAnsi="Times New Roman" w:cs="Times New Roman"/>
          <w:noProof/>
          <w:sz w:val="24"/>
          <w:szCs w:val="24"/>
        </w:rPr>
        <w:t xml:space="preserve"> of </w:t>
      </w:r>
      <w:r w:rsidR="00D11DAE">
        <w:rPr>
          <w:rFonts w:ascii="Times New Roman" w:hAnsi="Times New Roman" w:cs="Times New Roman"/>
          <w:noProof/>
          <w:sz w:val="24"/>
          <w:szCs w:val="24"/>
        </w:rPr>
        <w:t xml:space="preserve">both </w:t>
      </w:r>
      <w:r w:rsidR="007F030A" w:rsidRPr="006C01C7">
        <w:rPr>
          <w:rFonts w:ascii="Times New Roman" w:hAnsi="Times New Roman" w:cs="Times New Roman"/>
          <w:i/>
          <w:iCs/>
          <w:noProof/>
          <w:sz w:val="24"/>
          <w:szCs w:val="24"/>
        </w:rPr>
        <w:t>Sukuk</w:t>
      </w:r>
      <w:r w:rsidR="007F030A">
        <w:rPr>
          <w:rFonts w:ascii="Times New Roman" w:hAnsi="Times New Roman" w:cs="Times New Roman"/>
          <w:noProof/>
          <w:sz w:val="24"/>
          <w:szCs w:val="24"/>
        </w:rPr>
        <w:t xml:space="preserve"> </w:t>
      </w:r>
      <w:r w:rsidR="00D11DAE">
        <w:rPr>
          <w:rFonts w:ascii="Times New Roman" w:hAnsi="Times New Roman" w:cs="Times New Roman"/>
          <w:noProof/>
          <w:sz w:val="24"/>
          <w:szCs w:val="24"/>
        </w:rPr>
        <w:t xml:space="preserve">and </w:t>
      </w:r>
      <w:r w:rsidR="00D5786B" w:rsidRPr="00D5786B">
        <w:rPr>
          <w:rFonts w:ascii="Times New Roman" w:hAnsi="Times New Roman" w:cs="Times New Roman"/>
          <w:noProof/>
          <w:sz w:val="24"/>
          <w:szCs w:val="24"/>
        </w:rPr>
        <w:t xml:space="preserve">traditional bonds. </w:t>
      </w:r>
      <w:r w:rsidR="00C74536">
        <w:rPr>
          <w:rFonts w:ascii="Times New Roman" w:hAnsi="Times New Roman" w:cs="Times New Roman"/>
          <w:noProof/>
          <w:sz w:val="24"/>
          <w:szCs w:val="24"/>
        </w:rPr>
        <w:t>We also conduct h</w:t>
      </w:r>
      <w:r w:rsidR="00D5786B" w:rsidRPr="00D5786B">
        <w:rPr>
          <w:rFonts w:ascii="Times New Roman" w:hAnsi="Times New Roman" w:cs="Times New Roman"/>
          <w:noProof/>
          <w:sz w:val="24"/>
          <w:szCs w:val="24"/>
        </w:rPr>
        <w:t>istorical and</w:t>
      </w:r>
      <w:r w:rsidR="00285A29">
        <w:rPr>
          <w:rFonts w:ascii="Times New Roman" w:hAnsi="Times New Roman" w:cs="Times New Roman"/>
          <w:noProof/>
          <w:sz w:val="24"/>
          <w:szCs w:val="24"/>
        </w:rPr>
        <w:t xml:space="preserve"> </w:t>
      </w:r>
      <w:r w:rsidR="00D5786B" w:rsidRPr="00D5786B">
        <w:rPr>
          <w:rFonts w:ascii="Times New Roman" w:hAnsi="Times New Roman" w:cs="Times New Roman"/>
          <w:noProof/>
          <w:sz w:val="24"/>
          <w:szCs w:val="24"/>
        </w:rPr>
        <w:t>Monte Carlo simulation</w:t>
      </w:r>
      <w:r w:rsidR="005D7000">
        <w:rPr>
          <w:rFonts w:ascii="Times New Roman" w:hAnsi="Times New Roman" w:cs="Times New Roman"/>
          <w:noProof/>
          <w:sz w:val="24"/>
          <w:szCs w:val="24"/>
        </w:rPr>
        <w:t xml:space="preserve"> by </w:t>
      </w:r>
      <w:r w:rsidR="0077298C">
        <w:rPr>
          <w:rFonts w:ascii="Times New Roman" w:hAnsi="Times New Roman" w:cs="Times New Roman"/>
          <w:noProof/>
          <w:sz w:val="24"/>
          <w:szCs w:val="24"/>
        </w:rPr>
        <w:t>incorporating the</w:t>
      </w:r>
      <w:r w:rsidR="00D5786B" w:rsidRPr="00D5786B">
        <w:rPr>
          <w:rFonts w:ascii="Times New Roman" w:hAnsi="Times New Roman" w:cs="Times New Roman"/>
          <w:noProof/>
          <w:sz w:val="24"/>
          <w:szCs w:val="24"/>
        </w:rPr>
        <w:t xml:space="preserve"> daily returns of 15 </w:t>
      </w:r>
      <w:r w:rsidR="00D5786B" w:rsidRPr="006C01C7">
        <w:rPr>
          <w:rFonts w:ascii="Times New Roman" w:hAnsi="Times New Roman" w:cs="Times New Roman"/>
          <w:i/>
          <w:iCs/>
          <w:noProof/>
          <w:sz w:val="24"/>
          <w:szCs w:val="24"/>
        </w:rPr>
        <w:t>Sukuk</w:t>
      </w:r>
      <w:r w:rsidR="00D5786B" w:rsidRPr="00D5786B">
        <w:rPr>
          <w:rFonts w:ascii="Times New Roman" w:hAnsi="Times New Roman" w:cs="Times New Roman"/>
          <w:noProof/>
          <w:sz w:val="24"/>
          <w:szCs w:val="24"/>
        </w:rPr>
        <w:t xml:space="preserve"> and 15 conventional bonds sample</w:t>
      </w:r>
      <w:r w:rsidR="00C74536">
        <w:rPr>
          <w:rFonts w:ascii="Times New Roman" w:hAnsi="Times New Roman" w:cs="Times New Roman"/>
          <w:noProof/>
          <w:sz w:val="24"/>
          <w:szCs w:val="24"/>
        </w:rPr>
        <w:t>d</w:t>
      </w:r>
      <w:r w:rsidR="00D5786B" w:rsidRPr="00D5786B">
        <w:rPr>
          <w:rFonts w:ascii="Times New Roman" w:hAnsi="Times New Roman" w:cs="Times New Roman"/>
          <w:noProof/>
          <w:sz w:val="24"/>
          <w:szCs w:val="24"/>
        </w:rPr>
        <w:t xml:space="preserve"> from </w:t>
      </w:r>
      <w:r w:rsidR="00C74536">
        <w:rPr>
          <w:rFonts w:ascii="Times New Roman" w:hAnsi="Times New Roman" w:cs="Times New Roman"/>
          <w:noProof/>
          <w:sz w:val="24"/>
          <w:szCs w:val="24"/>
        </w:rPr>
        <w:t xml:space="preserve">the </w:t>
      </w:r>
      <w:r w:rsidR="00D5786B" w:rsidRPr="00D5786B">
        <w:rPr>
          <w:rFonts w:ascii="Times New Roman" w:hAnsi="Times New Roman" w:cs="Times New Roman"/>
          <w:noProof/>
          <w:sz w:val="24"/>
          <w:szCs w:val="24"/>
        </w:rPr>
        <w:t>Nasdaq Dubai's security market.</w:t>
      </w:r>
      <w:r w:rsidR="005D7000">
        <w:rPr>
          <w:rFonts w:ascii="Times New Roman" w:hAnsi="Times New Roman" w:cs="Times New Roman"/>
          <w:noProof/>
          <w:sz w:val="24"/>
          <w:szCs w:val="24"/>
        </w:rPr>
        <w:t xml:space="preserve"> </w:t>
      </w:r>
      <w:r w:rsidR="0077298C">
        <w:rPr>
          <w:rFonts w:ascii="Times New Roman" w:hAnsi="Times New Roman" w:cs="Times New Roman"/>
          <w:noProof/>
          <w:sz w:val="24"/>
          <w:szCs w:val="24"/>
        </w:rPr>
        <w:t>R</w:t>
      </w:r>
      <w:r w:rsidR="00D5786B" w:rsidRPr="00D5786B">
        <w:rPr>
          <w:rFonts w:ascii="Times New Roman" w:hAnsi="Times New Roman" w:cs="Times New Roman"/>
          <w:noProof/>
          <w:sz w:val="24"/>
          <w:szCs w:val="24"/>
        </w:rPr>
        <w:t xml:space="preserve">esults </w:t>
      </w:r>
      <w:r w:rsidR="0077298C">
        <w:rPr>
          <w:rFonts w:ascii="Times New Roman" w:hAnsi="Times New Roman" w:cs="Times New Roman"/>
          <w:noProof/>
          <w:sz w:val="24"/>
          <w:szCs w:val="24"/>
        </w:rPr>
        <w:t>highlight</w:t>
      </w:r>
      <w:r w:rsidR="00D5786B" w:rsidRPr="00D5786B">
        <w:rPr>
          <w:rFonts w:ascii="Times New Roman" w:hAnsi="Times New Roman" w:cs="Times New Roman"/>
          <w:noProof/>
          <w:sz w:val="24"/>
          <w:szCs w:val="24"/>
        </w:rPr>
        <w:t xml:space="preserve"> that the daily returns of </w:t>
      </w:r>
      <w:r w:rsidR="00D5786B" w:rsidRPr="006C01C7">
        <w:rPr>
          <w:rFonts w:ascii="Times New Roman" w:hAnsi="Times New Roman" w:cs="Times New Roman"/>
          <w:i/>
          <w:iCs/>
          <w:noProof/>
          <w:sz w:val="24"/>
          <w:szCs w:val="24"/>
        </w:rPr>
        <w:t>Sukuk</w:t>
      </w:r>
      <w:r w:rsidR="00D5786B" w:rsidRPr="00D5786B">
        <w:rPr>
          <w:rFonts w:ascii="Times New Roman" w:hAnsi="Times New Roman" w:cs="Times New Roman"/>
          <w:noProof/>
          <w:sz w:val="24"/>
          <w:szCs w:val="24"/>
        </w:rPr>
        <w:t xml:space="preserve"> and conventional bonds are significantly different</w:t>
      </w:r>
      <w:r w:rsidR="001E11F0">
        <w:rPr>
          <w:rFonts w:ascii="Times New Roman" w:hAnsi="Times New Roman" w:cs="Times New Roman"/>
          <w:noProof/>
          <w:sz w:val="24"/>
          <w:szCs w:val="24"/>
        </w:rPr>
        <w:t xml:space="preserve"> </w:t>
      </w:r>
      <w:r w:rsidR="001E11F0" w:rsidRPr="009B1361">
        <w:rPr>
          <w:rFonts w:ascii="Times New Roman" w:hAnsi="Times New Roman" w:cs="Times New Roman"/>
          <w:noProof/>
          <w:color w:val="000000" w:themeColor="text1"/>
          <w:sz w:val="24"/>
          <w:szCs w:val="24"/>
        </w:rPr>
        <w:t xml:space="preserve">as </w:t>
      </w:r>
      <w:r w:rsidR="001E11F0" w:rsidRPr="006C01C7">
        <w:rPr>
          <w:rFonts w:ascii="Times New Roman" w:hAnsi="Times New Roman" w:cs="Times New Roman"/>
          <w:i/>
          <w:iCs/>
          <w:noProof/>
          <w:color w:val="000000" w:themeColor="text1"/>
          <w:sz w:val="24"/>
          <w:szCs w:val="24"/>
        </w:rPr>
        <w:t>sukuk</w:t>
      </w:r>
      <w:r w:rsidR="001E11F0" w:rsidRPr="009B1361">
        <w:rPr>
          <w:rFonts w:ascii="Times New Roman" w:hAnsi="Times New Roman" w:cs="Times New Roman"/>
          <w:noProof/>
          <w:color w:val="000000" w:themeColor="text1"/>
          <w:sz w:val="24"/>
          <w:szCs w:val="24"/>
        </w:rPr>
        <w:t xml:space="preserve"> are exposed to daily losses compared to conventional bon</w:t>
      </w:r>
      <w:r w:rsidR="009538A3" w:rsidRPr="009B1361">
        <w:rPr>
          <w:rFonts w:ascii="Times New Roman" w:hAnsi="Times New Roman" w:cs="Times New Roman"/>
          <w:noProof/>
          <w:color w:val="000000" w:themeColor="text1"/>
          <w:sz w:val="24"/>
          <w:szCs w:val="24"/>
        </w:rPr>
        <w:t>d</w:t>
      </w:r>
      <w:r w:rsidR="001E11F0" w:rsidRPr="009B1361">
        <w:rPr>
          <w:rFonts w:ascii="Times New Roman" w:hAnsi="Times New Roman" w:cs="Times New Roman"/>
          <w:noProof/>
          <w:color w:val="000000" w:themeColor="text1"/>
          <w:sz w:val="24"/>
          <w:szCs w:val="24"/>
        </w:rPr>
        <w:t>s</w:t>
      </w:r>
      <w:r w:rsidR="009538A3" w:rsidRPr="009B1361">
        <w:rPr>
          <w:rFonts w:ascii="Times New Roman" w:hAnsi="Times New Roman" w:cs="Times New Roman"/>
          <w:noProof/>
          <w:color w:val="000000" w:themeColor="text1"/>
          <w:sz w:val="24"/>
          <w:szCs w:val="24"/>
        </w:rPr>
        <w:t xml:space="preserve"> leading to the conclusion that </w:t>
      </w:r>
      <w:r w:rsidR="00D65DBA">
        <w:rPr>
          <w:rFonts w:ascii="Times New Roman" w:hAnsi="Times New Roman" w:cs="Times New Roman"/>
          <w:noProof/>
          <w:sz w:val="24"/>
          <w:szCs w:val="24"/>
        </w:rPr>
        <w:t xml:space="preserve">a </w:t>
      </w:r>
      <w:r w:rsidR="00D5786B" w:rsidRPr="006C01C7">
        <w:rPr>
          <w:rFonts w:ascii="Times New Roman" w:hAnsi="Times New Roman" w:cs="Times New Roman"/>
          <w:i/>
          <w:iCs/>
          <w:noProof/>
          <w:sz w:val="24"/>
          <w:szCs w:val="24"/>
        </w:rPr>
        <w:t>Sukuk</w:t>
      </w:r>
      <w:r w:rsidR="00D5786B" w:rsidRPr="00D5786B">
        <w:rPr>
          <w:rFonts w:ascii="Times New Roman" w:hAnsi="Times New Roman" w:cs="Times New Roman"/>
          <w:noProof/>
          <w:sz w:val="24"/>
          <w:szCs w:val="24"/>
        </w:rPr>
        <w:t xml:space="preserve"> portfolio is riskier than conventional bonds.</w:t>
      </w:r>
    </w:p>
    <w:bookmarkEnd w:id="9"/>
    <w:p w14:paraId="5A7B27C9" w14:textId="25327997" w:rsidR="00D5786B" w:rsidRPr="001A131A" w:rsidRDefault="00D5786B" w:rsidP="00D5786B">
      <w:pPr>
        <w:pStyle w:val="BodyText3"/>
        <w:rPr>
          <w:rFonts w:ascii="Times New Roman" w:hAnsi="Times New Roman" w:cs="Times New Roman"/>
          <w:bCs/>
          <w:i/>
          <w:iCs/>
          <w:noProof/>
          <w:sz w:val="24"/>
          <w:szCs w:val="24"/>
        </w:rPr>
      </w:pPr>
      <w:r w:rsidRPr="00D5786B">
        <w:rPr>
          <w:rFonts w:ascii="Times New Roman" w:hAnsi="Times New Roman" w:cs="Times New Roman"/>
          <w:b/>
          <w:noProof/>
          <w:sz w:val="24"/>
          <w:szCs w:val="24"/>
        </w:rPr>
        <w:t xml:space="preserve">Keywords: </w:t>
      </w:r>
      <w:r w:rsidRPr="001A131A">
        <w:rPr>
          <w:rFonts w:ascii="Times New Roman" w:hAnsi="Times New Roman" w:cs="Times New Roman"/>
          <w:bCs/>
          <w:i/>
          <w:iCs/>
          <w:noProof/>
          <w:sz w:val="24"/>
          <w:szCs w:val="24"/>
        </w:rPr>
        <w:t>Sukuk</w:t>
      </w:r>
      <w:r w:rsidR="009538A3">
        <w:rPr>
          <w:rFonts w:ascii="Times New Roman" w:hAnsi="Times New Roman" w:cs="Times New Roman"/>
          <w:bCs/>
          <w:i/>
          <w:iCs/>
          <w:noProof/>
          <w:sz w:val="24"/>
          <w:szCs w:val="24"/>
        </w:rPr>
        <w:t xml:space="preserve"> market</w:t>
      </w:r>
      <w:r w:rsidRPr="001A131A">
        <w:rPr>
          <w:rFonts w:ascii="Times New Roman" w:hAnsi="Times New Roman" w:cs="Times New Roman"/>
          <w:bCs/>
          <w:i/>
          <w:iCs/>
          <w:noProof/>
          <w:sz w:val="24"/>
          <w:szCs w:val="24"/>
        </w:rPr>
        <w:t xml:space="preserve">, </w:t>
      </w:r>
      <w:r w:rsidR="009538A3">
        <w:rPr>
          <w:rFonts w:ascii="Times New Roman" w:hAnsi="Times New Roman" w:cs="Times New Roman"/>
          <w:bCs/>
          <w:i/>
          <w:iCs/>
          <w:noProof/>
          <w:sz w:val="24"/>
          <w:szCs w:val="24"/>
        </w:rPr>
        <w:t>c</w:t>
      </w:r>
      <w:r w:rsidRPr="001A131A">
        <w:rPr>
          <w:rFonts w:ascii="Times New Roman" w:hAnsi="Times New Roman" w:cs="Times New Roman"/>
          <w:bCs/>
          <w:i/>
          <w:iCs/>
          <w:noProof/>
          <w:sz w:val="24"/>
          <w:szCs w:val="24"/>
        </w:rPr>
        <w:t>onventional b</w:t>
      </w:r>
      <w:r w:rsidR="001A131A" w:rsidRPr="001A131A">
        <w:rPr>
          <w:rFonts w:ascii="Times New Roman" w:hAnsi="Times New Roman" w:cs="Times New Roman"/>
          <w:bCs/>
          <w:i/>
          <w:iCs/>
          <w:noProof/>
          <w:sz w:val="24"/>
          <w:szCs w:val="24"/>
        </w:rPr>
        <w:t>ond, Value at Risk (VaR)</w:t>
      </w:r>
    </w:p>
    <w:p w14:paraId="53B275D1" w14:textId="77777777" w:rsidR="00546532" w:rsidRDefault="00546532" w:rsidP="00D5786B">
      <w:pPr>
        <w:pStyle w:val="BodyText3"/>
        <w:rPr>
          <w:rFonts w:ascii="Times New Roman" w:hAnsi="Times New Roman" w:cs="Times New Roman"/>
          <w:b/>
          <w:noProof/>
          <w:sz w:val="24"/>
          <w:szCs w:val="24"/>
        </w:rPr>
        <w:sectPr w:rsidR="00546532" w:rsidSect="00A755F5">
          <w:footerReference w:type="default" r:id="rId7"/>
          <w:pgSz w:w="11906" w:h="16838"/>
          <w:pgMar w:top="1418" w:right="1418" w:bottom="1418" w:left="1701" w:header="709" w:footer="709" w:gutter="0"/>
          <w:pgNumType w:start="1"/>
          <w:cols w:space="708"/>
          <w:docGrid w:linePitch="360"/>
        </w:sectPr>
      </w:pPr>
    </w:p>
    <w:p w14:paraId="69F6E204" w14:textId="7021D593" w:rsidR="00D5786B" w:rsidRPr="00D5786B" w:rsidRDefault="00D5786B" w:rsidP="00D5786B">
      <w:pPr>
        <w:pStyle w:val="BodyText3"/>
        <w:numPr>
          <w:ilvl w:val="0"/>
          <w:numId w:val="19"/>
        </w:numPr>
        <w:rPr>
          <w:rFonts w:ascii="Times New Roman" w:hAnsi="Times New Roman" w:cs="Times New Roman"/>
          <w:b/>
          <w:noProof/>
          <w:sz w:val="24"/>
          <w:szCs w:val="24"/>
        </w:rPr>
      </w:pPr>
      <w:r w:rsidRPr="00D5786B">
        <w:rPr>
          <w:rFonts w:ascii="Times New Roman" w:hAnsi="Times New Roman" w:cs="Times New Roman"/>
          <w:b/>
          <w:noProof/>
          <w:sz w:val="24"/>
          <w:szCs w:val="24"/>
        </w:rPr>
        <w:lastRenderedPageBreak/>
        <w:t>INTRODUCTION</w:t>
      </w:r>
    </w:p>
    <w:p w14:paraId="7AC30707" w14:textId="6E96D8E3" w:rsidR="00D5786B" w:rsidRPr="002A214D" w:rsidRDefault="007D3295" w:rsidP="00D5786B">
      <w:pPr>
        <w:pStyle w:val="BodyText3"/>
        <w:rPr>
          <w:rFonts w:ascii="Times New Roman" w:hAnsi="Times New Roman" w:cs="Times New Roman"/>
          <w:noProof/>
          <w:sz w:val="24"/>
          <w:szCs w:val="24"/>
        </w:rPr>
      </w:pPr>
      <w:r w:rsidRPr="006C01C7">
        <w:rPr>
          <w:rFonts w:ascii="Times New Roman" w:hAnsi="Times New Roman" w:cs="Times New Roman"/>
          <w:i/>
          <w:iCs/>
          <w:noProof/>
          <w:sz w:val="24"/>
          <w:szCs w:val="24"/>
        </w:rPr>
        <w:t>Sukuk</w:t>
      </w:r>
      <w:r w:rsidR="00D5786B" w:rsidRPr="00D5786B">
        <w:rPr>
          <w:rFonts w:ascii="Times New Roman" w:hAnsi="Times New Roman" w:cs="Times New Roman"/>
          <w:noProof/>
          <w:sz w:val="24"/>
          <w:szCs w:val="24"/>
        </w:rPr>
        <w:t xml:space="preserve"> provides an alternative sou</w:t>
      </w:r>
      <w:r w:rsidR="00104535">
        <w:rPr>
          <w:rFonts w:ascii="Times New Roman" w:hAnsi="Times New Roman" w:cs="Times New Roman"/>
          <w:noProof/>
          <w:sz w:val="24"/>
          <w:szCs w:val="24"/>
        </w:rPr>
        <w:t>rce of funding, especially for</w:t>
      </w:r>
      <w:r>
        <w:rPr>
          <w:rFonts w:ascii="Times New Roman" w:hAnsi="Times New Roman" w:cs="Times New Roman"/>
          <w:noProof/>
          <w:sz w:val="24"/>
          <w:szCs w:val="24"/>
        </w:rPr>
        <w:t xml:space="preserve"> </w:t>
      </w:r>
      <w:r w:rsidR="00D5786B" w:rsidRPr="00D5786B">
        <w:rPr>
          <w:rFonts w:ascii="Times New Roman" w:hAnsi="Times New Roman" w:cs="Times New Roman"/>
          <w:noProof/>
          <w:sz w:val="24"/>
          <w:szCs w:val="24"/>
        </w:rPr>
        <w:t>large</w:t>
      </w:r>
      <w:r w:rsidR="00D65DBA">
        <w:rPr>
          <w:rFonts w:ascii="Times New Roman" w:hAnsi="Times New Roman" w:cs="Times New Roman"/>
          <w:noProof/>
          <w:sz w:val="24"/>
          <w:szCs w:val="24"/>
        </w:rPr>
        <w:t>-</w:t>
      </w:r>
      <w:r w:rsidR="00D5786B" w:rsidRPr="00D5786B">
        <w:rPr>
          <w:rFonts w:ascii="Times New Roman" w:hAnsi="Times New Roman" w:cs="Times New Roman"/>
          <w:noProof/>
          <w:sz w:val="24"/>
          <w:szCs w:val="24"/>
        </w:rPr>
        <w:t xml:space="preserve">scale projects and investments. </w:t>
      </w:r>
      <w:r w:rsidR="0042347A">
        <w:rPr>
          <w:rFonts w:ascii="Times New Roman" w:hAnsi="Times New Roman" w:cs="Times New Roman"/>
          <w:noProof/>
          <w:sz w:val="24"/>
          <w:szCs w:val="24"/>
        </w:rPr>
        <w:t>Here,</w:t>
      </w:r>
      <w:r w:rsidR="00D5786B" w:rsidRPr="00D5786B">
        <w:rPr>
          <w:rFonts w:ascii="Times New Roman" w:hAnsi="Times New Roman" w:cs="Times New Roman"/>
          <w:noProof/>
          <w:sz w:val="24"/>
          <w:szCs w:val="24"/>
        </w:rPr>
        <w:t xml:space="preserve"> differences in Sukuk financing mode</w:t>
      </w:r>
      <w:r w:rsidR="0042347A">
        <w:rPr>
          <w:rFonts w:ascii="Times New Roman" w:hAnsi="Times New Roman" w:cs="Times New Roman"/>
          <w:noProof/>
          <w:sz w:val="24"/>
          <w:szCs w:val="24"/>
        </w:rPr>
        <w:t>s</w:t>
      </w:r>
      <w:r w:rsidR="00D5786B" w:rsidRPr="00D5786B">
        <w:rPr>
          <w:rFonts w:ascii="Times New Roman" w:hAnsi="Times New Roman" w:cs="Times New Roman"/>
          <w:noProof/>
          <w:sz w:val="24"/>
          <w:szCs w:val="24"/>
        </w:rPr>
        <w:t xml:space="preserve"> </w:t>
      </w:r>
      <w:r w:rsidR="000D24D2">
        <w:rPr>
          <w:rFonts w:ascii="Times New Roman" w:hAnsi="Times New Roman" w:cs="Times New Roman"/>
          <w:noProof/>
          <w:sz w:val="24"/>
          <w:szCs w:val="24"/>
        </w:rPr>
        <w:t xml:space="preserve">in comparison to </w:t>
      </w:r>
      <w:r w:rsidR="00D5786B" w:rsidRPr="00D5786B">
        <w:rPr>
          <w:rFonts w:ascii="Times New Roman" w:hAnsi="Times New Roman" w:cs="Times New Roman"/>
          <w:noProof/>
          <w:sz w:val="24"/>
          <w:szCs w:val="24"/>
        </w:rPr>
        <w:t xml:space="preserve"> conventional </w:t>
      </w:r>
      <w:r w:rsidR="00DD2125">
        <w:rPr>
          <w:rFonts w:ascii="Times New Roman" w:hAnsi="Times New Roman" w:cs="Times New Roman"/>
          <w:noProof/>
          <w:sz w:val="24"/>
          <w:szCs w:val="24"/>
        </w:rPr>
        <w:t>instruments</w:t>
      </w:r>
      <w:r w:rsidR="00D5786B" w:rsidRPr="00D5786B">
        <w:rPr>
          <w:rFonts w:ascii="Times New Roman" w:hAnsi="Times New Roman" w:cs="Times New Roman"/>
          <w:noProof/>
          <w:sz w:val="24"/>
          <w:szCs w:val="24"/>
        </w:rPr>
        <w:t xml:space="preserve"> are </w:t>
      </w:r>
      <w:r w:rsidR="000D24D2">
        <w:rPr>
          <w:rFonts w:ascii="Times New Roman" w:hAnsi="Times New Roman" w:cs="Times New Roman"/>
          <w:noProof/>
          <w:sz w:val="24"/>
          <w:szCs w:val="24"/>
        </w:rPr>
        <w:t xml:space="preserve">considered </w:t>
      </w:r>
      <w:r w:rsidR="00DD2125">
        <w:rPr>
          <w:rFonts w:ascii="Times New Roman" w:hAnsi="Times New Roman" w:cs="Times New Roman"/>
          <w:noProof/>
          <w:sz w:val="24"/>
          <w:szCs w:val="24"/>
        </w:rPr>
        <w:t xml:space="preserve">regarding </w:t>
      </w:r>
      <w:r w:rsidR="00B415D6">
        <w:rPr>
          <w:rFonts w:ascii="Times New Roman" w:hAnsi="Times New Roman" w:cs="Times New Roman"/>
          <w:noProof/>
          <w:sz w:val="24"/>
          <w:szCs w:val="24"/>
        </w:rPr>
        <w:t xml:space="preserve">the extent to which </w:t>
      </w:r>
      <w:r w:rsidR="00D5786B" w:rsidRPr="00D5786B">
        <w:rPr>
          <w:rFonts w:ascii="Times New Roman" w:hAnsi="Times New Roman" w:cs="Times New Roman"/>
          <w:noProof/>
          <w:sz w:val="24"/>
          <w:szCs w:val="24"/>
        </w:rPr>
        <w:t>risk level</w:t>
      </w:r>
      <w:r w:rsidR="002336BC">
        <w:rPr>
          <w:rFonts w:ascii="Times New Roman" w:hAnsi="Times New Roman" w:cs="Times New Roman"/>
          <w:noProof/>
          <w:sz w:val="24"/>
          <w:szCs w:val="24"/>
        </w:rPr>
        <w:t>s</w:t>
      </w:r>
      <w:r w:rsidR="00B415D6">
        <w:rPr>
          <w:rFonts w:ascii="Times New Roman" w:hAnsi="Times New Roman" w:cs="Times New Roman"/>
          <w:noProof/>
          <w:sz w:val="24"/>
          <w:szCs w:val="24"/>
        </w:rPr>
        <w:t xml:space="preserve"> yield significant similarities</w:t>
      </w:r>
      <w:r w:rsidR="00D5786B" w:rsidRPr="00D5786B">
        <w:rPr>
          <w:rFonts w:ascii="Times New Roman" w:hAnsi="Times New Roman" w:cs="Times New Roman"/>
          <w:noProof/>
          <w:sz w:val="24"/>
          <w:szCs w:val="24"/>
        </w:rPr>
        <w:t xml:space="preserve">. </w:t>
      </w:r>
      <w:r w:rsidR="002A214D">
        <w:rPr>
          <w:rFonts w:ascii="Times New Roman" w:hAnsi="Times New Roman" w:cs="Times New Roman"/>
          <w:noProof/>
          <w:sz w:val="24"/>
          <w:szCs w:val="24"/>
        </w:rPr>
        <w:t xml:space="preserve">The investors of </w:t>
      </w:r>
      <w:r w:rsidR="00D5786B" w:rsidRPr="00A32BBE">
        <w:rPr>
          <w:rFonts w:ascii="Times New Roman" w:hAnsi="Times New Roman" w:cs="Times New Roman"/>
          <w:i/>
          <w:iCs/>
          <w:noProof/>
          <w:sz w:val="24"/>
          <w:szCs w:val="24"/>
        </w:rPr>
        <w:t>Sukuk</w:t>
      </w:r>
      <w:r w:rsidR="00D5786B" w:rsidRPr="00D5786B">
        <w:rPr>
          <w:rFonts w:ascii="Times New Roman" w:hAnsi="Times New Roman" w:cs="Times New Roman"/>
          <w:noProof/>
          <w:sz w:val="24"/>
          <w:szCs w:val="24"/>
        </w:rPr>
        <w:t xml:space="preserve"> possess undivided beneficial ownership of the underlying assets, which entitles the certificate holders to shares </w:t>
      </w:r>
      <w:r w:rsidR="002A214D">
        <w:rPr>
          <w:rFonts w:ascii="Times New Roman" w:hAnsi="Times New Roman" w:cs="Times New Roman"/>
          <w:noProof/>
          <w:sz w:val="24"/>
          <w:szCs w:val="24"/>
        </w:rPr>
        <w:t>in</w:t>
      </w:r>
      <w:r w:rsidR="00D5786B" w:rsidRPr="00D5786B">
        <w:rPr>
          <w:rFonts w:ascii="Times New Roman" w:hAnsi="Times New Roman" w:cs="Times New Roman"/>
          <w:noProof/>
          <w:sz w:val="24"/>
          <w:szCs w:val="24"/>
        </w:rPr>
        <w:t xml:space="preserve"> revenues generated from the</w:t>
      </w:r>
      <w:r w:rsidR="005A4D14">
        <w:rPr>
          <w:rFonts w:ascii="Times New Roman" w:hAnsi="Times New Roman" w:cs="Times New Roman"/>
          <w:noProof/>
          <w:sz w:val="24"/>
          <w:szCs w:val="24"/>
        </w:rPr>
        <w:t>m</w:t>
      </w:r>
      <w:r w:rsidR="00D5786B" w:rsidRPr="00D5786B">
        <w:rPr>
          <w:rFonts w:ascii="Times New Roman" w:hAnsi="Times New Roman" w:cs="Times New Roman"/>
          <w:noProof/>
          <w:sz w:val="24"/>
          <w:szCs w:val="24"/>
        </w:rPr>
        <w:t xml:space="preserve"> (Afshar,</w:t>
      </w:r>
      <w:r w:rsidR="00B002A2">
        <w:rPr>
          <w:rFonts w:ascii="Times New Roman" w:hAnsi="Times New Roman" w:cs="Times New Roman"/>
          <w:noProof/>
          <w:sz w:val="24"/>
          <w:szCs w:val="24"/>
        </w:rPr>
        <w:t xml:space="preserve"> </w:t>
      </w:r>
      <w:r w:rsidR="00D5786B" w:rsidRPr="00D5786B">
        <w:rPr>
          <w:rFonts w:ascii="Times New Roman" w:hAnsi="Times New Roman" w:cs="Times New Roman"/>
          <w:noProof/>
          <w:sz w:val="24"/>
          <w:szCs w:val="24"/>
        </w:rPr>
        <w:t xml:space="preserve">2013). Whereas, conventional bonds represent a contractual debt obligation in which the issuer is obliged to pay interest to the debt holder at an appointed date (Thomas </w:t>
      </w:r>
      <w:r w:rsidR="00D5786B" w:rsidRPr="00546532">
        <w:rPr>
          <w:rFonts w:ascii="Times New Roman" w:hAnsi="Times New Roman" w:cs="Times New Roman"/>
          <w:i/>
          <w:iCs/>
          <w:noProof/>
          <w:sz w:val="24"/>
          <w:szCs w:val="24"/>
        </w:rPr>
        <w:t>et al</w:t>
      </w:r>
      <w:r w:rsidR="00D5786B" w:rsidRPr="00D5786B">
        <w:rPr>
          <w:rFonts w:ascii="Times New Roman" w:hAnsi="Times New Roman" w:cs="Times New Roman"/>
          <w:noProof/>
          <w:sz w:val="24"/>
          <w:szCs w:val="24"/>
        </w:rPr>
        <w:t xml:space="preserve">., 2005).  </w:t>
      </w:r>
    </w:p>
    <w:p w14:paraId="68698DBD" w14:textId="46EF716F" w:rsidR="00D5786B" w:rsidRPr="00D5786B" w:rsidRDefault="00D5786B" w:rsidP="00CC0987">
      <w:pPr>
        <w:pStyle w:val="BodyText3"/>
        <w:rPr>
          <w:rFonts w:ascii="Times New Roman" w:hAnsi="Times New Roman" w:cs="Times New Roman"/>
          <w:noProof/>
          <w:sz w:val="24"/>
          <w:szCs w:val="24"/>
        </w:rPr>
      </w:pPr>
      <w:r w:rsidRPr="00D5786B">
        <w:rPr>
          <w:rFonts w:ascii="Times New Roman" w:hAnsi="Times New Roman" w:cs="Times New Roman"/>
          <w:noProof/>
          <w:sz w:val="24"/>
          <w:szCs w:val="24"/>
        </w:rPr>
        <w:t>The first convertible Sukuk was issued in Dubai in 2007</w:t>
      </w:r>
      <w:r w:rsidR="002A7976">
        <w:rPr>
          <w:rFonts w:ascii="Times New Roman" w:hAnsi="Times New Roman" w:cs="Times New Roman"/>
          <w:noProof/>
          <w:sz w:val="24"/>
          <w:szCs w:val="24"/>
        </w:rPr>
        <w:t>, in</w:t>
      </w:r>
      <w:r w:rsidRPr="00D5786B">
        <w:rPr>
          <w:rFonts w:ascii="Times New Roman" w:hAnsi="Times New Roman" w:cs="Times New Roman"/>
          <w:noProof/>
          <w:sz w:val="24"/>
          <w:szCs w:val="24"/>
        </w:rPr>
        <w:t xml:space="preserve"> the same year, Malaysia's Khazanah National issued exchangeable </w:t>
      </w:r>
      <w:r w:rsidRPr="00A32BBE">
        <w:rPr>
          <w:rFonts w:ascii="Times New Roman" w:hAnsi="Times New Roman" w:cs="Times New Roman"/>
          <w:i/>
          <w:iCs/>
          <w:noProof/>
          <w:sz w:val="24"/>
          <w:szCs w:val="24"/>
        </w:rPr>
        <w:t>Sukuk</w:t>
      </w:r>
      <w:r w:rsidRPr="00D5786B">
        <w:rPr>
          <w:rFonts w:ascii="Times New Roman" w:hAnsi="Times New Roman" w:cs="Times New Roman"/>
          <w:noProof/>
          <w:sz w:val="24"/>
          <w:szCs w:val="24"/>
        </w:rPr>
        <w:t xml:space="preserve"> with an option to exchange them for the existing shares of the originator's subsidiaries. These issues attracted high interest both from investors as well as potential issuers of </w:t>
      </w:r>
      <w:r w:rsidRPr="00A32BBE">
        <w:rPr>
          <w:rFonts w:ascii="Times New Roman" w:hAnsi="Times New Roman" w:cs="Times New Roman"/>
          <w:i/>
          <w:iCs/>
          <w:noProof/>
          <w:sz w:val="24"/>
          <w:szCs w:val="24"/>
        </w:rPr>
        <w:t>Sukuk</w:t>
      </w:r>
      <w:r w:rsidRPr="00D5786B">
        <w:rPr>
          <w:rFonts w:ascii="Times New Roman" w:hAnsi="Times New Roman" w:cs="Times New Roman"/>
          <w:noProof/>
          <w:sz w:val="24"/>
          <w:szCs w:val="24"/>
        </w:rPr>
        <w:t xml:space="preserve">, </w:t>
      </w:r>
      <w:r w:rsidR="002A7976">
        <w:rPr>
          <w:rFonts w:ascii="Times New Roman" w:hAnsi="Times New Roman" w:cs="Times New Roman"/>
          <w:noProof/>
          <w:sz w:val="24"/>
          <w:szCs w:val="24"/>
        </w:rPr>
        <w:t xml:space="preserve">due to a narrative </w:t>
      </w:r>
      <w:r w:rsidRPr="00D5786B">
        <w:rPr>
          <w:rFonts w:ascii="Times New Roman" w:hAnsi="Times New Roman" w:cs="Times New Roman"/>
          <w:noProof/>
          <w:sz w:val="24"/>
          <w:szCs w:val="24"/>
        </w:rPr>
        <w:t xml:space="preserve">of risk reduction alternatives. Financial experts discussed the possibility of further innovation in </w:t>
      </w:r>
      <w:r w:rsidRPr="00A32BBE">
        <w:rPr>
          <w:rFonts w:ascii="Times New Roman" w:hAnsi="Times New Roman" w:cs="Times New Roman"/>
          <w:i/>
          <w:iCs/>
          <w:noProof/>
          <w:sz w:val="24"/>
          <w:szCs w:val="24"/>
        </w:rPr>
        <w:t>Sukuk</w:t>
      </w:r>
      <w:r w:rsidRPr="00D5786B">
        <w:rPr>
          <w:rFonts w:ascii="Times New Roman" w:hAnsi="Times New Roman" w:cs="Times New Roman"/>
          <w:noProof/>
          <w:sz w:val="24"/>
          <w:szCs w:val="24"/>
        </w:rPr>
        <w:t xml:space="preserve">, such as contingent convertible </w:t>
      </w:r>
      <w:r w:rsidRPr="00A32BBE">
        <w:rPr>
          <w:rFonts w:ascii="Times New Roman" w:hAnsi="Times New Roman" w:cs="Times New Roman"/>
          <w:i/>
          <w:iCs/>
          <w:noProof/>
          <w:sz w:val="24"/>
          <w:szCs w:val="24"/>
        </w:rPr>
        <w:t>Sukuk</w:t>
      </w:r>
      <w:r w:rsidRPr="00D5786B">
        <w:rPr>
          <w:rFonts w:ascii="Times New Roman" w:hAnsi="Times New Roman" w:cs="Times New Roman"/>
          <w:noProof/>
          <w:sz w:val="24"/>
          <w:szCs w:val="24"/>
        </w:rPr>
        <w:t xml:space="preserve"> and reserve convertible </w:t>
      </w:r>
      <w:r w:rsidRPr="00A32BBE">
        <w:rPr>
          <w:rFonts w:ascii="Times New Roman" w:hAnsi="Times New Roman" w:cs="Times New Roman"/>
          <w:i/>
          <w:iCs/>
          <w:noProof/>
          <w:sz w:val="24"/>
          <w:szCs w:val="24"/>
        </w:rPr>
        <w:t>Sukuk</w:t>
      </w:r>
      <w:r w:rsidRPr="00D5786B">
        <w:rPr>
          <w:rFonts w:ascii="Times New Roman" w:hAnsi="Times New Roman" w:cs="Times New Roman"/>
          <w:noProof/>
          <w:sz w:val="24"/>
          <w:szCs w:val="24"/>
        </w:rPr>
        <w:t>. Nevertheless, most of Shari</w:t>
      </w:r>
      <w:r w:rsidR="006D7640">
        <w:rPr>
          <w:rFonts w:ascii="Times New Roman" w:hAnsi="Times New Roman" w:cs="Times New Roman"/>
          <w:noProof/>
          <w:sz w:val="24"/>
          <w:szCs w:val="24"/>
        </w:rPr>
        <w:t>’</w:t>
      </w:r>
      <w:r w:rsidRPr="00D5786B">
        <w:rPr>
          <w:rFonts w:ascii="Times New Roman" w:hAnsi="Times New Roman" w:cs="Times New Roman"/>
          <w:noProof/>
          <w:sz w:val="24"/>
          <w:szCs w:val="24"/>
        </w:rPr>
        <w:t xml:space="preserve">ah scholars have </w:t>
      </w:r>
      <w:r w:rsidR="002A7976">
        <w:rPr>
          <w:rFonts w:ascii="Times New Roman" w:hAnsi="Times New Roman" w:cs="Times New Roman"/>
          <w:noProof/>
          <w:sz w:val="24"/>
          <w:szCs w:val="24"/>
        </w:rPr>
        <w:t>restricted</w:t>
      </w:r>
      <w:r w:rsidRPr="00D5786B">
        <w:rPr>
          <w:rFonts w:ascii="Times New Roman" w:hAnsi="Times New Roman" w:cs="Times New Roman"/>
          <w:noProof/>
          <w:sz w:val="24"/>
          <w:szCs w:val="24"/>
        </w:rPr>
        <w:t xml:space="preserve"> these kinds of innovations due to their similarity with derivatives and excessive uncertainty</w:t>
      </w:r>
      <w:r w:rsidR="006D7640">
        <w:rPr>
          <w:rFonts w:ascii="Times New Roman" w:hAnsi="Times New Roman" w:cs="Times New Roman"/>
          <w:noProof/>
          <w:sz w:val="24"/>
          <w:szCs w:val="24"/>
        </w:rPr>
        <w:t xml:space="preserve"> (Al-Sayed, 2013</w:t>
      </w:r>
      <w:r w:rsidRPr="00D5786B">
        <w:rPr>
          <w:rFonts w:ascii="Times New Roman" w:hAnsi="Times New Roman" w:cs="Times New Roman"/>
          <w:noProof/>
          <w:sz w:val="24"/>
          <w:szCs w:val="24"/>
        </w:rPr>
        <w:t>).</w:t>
      </w:r>
    </w:p>
    <w:p w14:paraId="43C7BD1D" w14:textId="0F094C09" w:rsidR="00A858A8" w:rsidRDefault="00D5786B" w:rsidP="00104535">
      <w:pPr>
        <w:pStyle w:val="BodyText3"/>
        <w:rPr>
          <w:rFonts w:ascii="Times New Roman" w:hAnsi="Times New Roman" w:cs="Times New Roman"/>
          <w:noProof/>
          <w:sz w:val="24"/>
          <w:szCs w:val="24"/>
        </w:rPr>
      </w:pPr>
      <w:r w:rsidRPr="00D5786B">
        <w:rPr>
          <w:rFonts w:ascii="Times New Roman" w:hAnsi="Times New Roman" w:cs="Times New Roman"/>
          <w:noProof/>
          <w:sz w:val="24"/>
          <w:szCs w:val="24"/>
        </w:rPr>
        <w:t xml:space="preserve">Since the zero-coupon </w:t>
      </w:r>
      <w:r w:rsidRPr="00A32BBE">
        <w:rPr>
          <w:rFonts w:ascii="Times New Roman" w:hAnsi="Times New Roman" w:cs="Times New Roman"/>
          <w:i/>
          <w:iCs/>
          <w:noProof/>
          <w:sz w:val="24"/>
          <w:szCs w:val="24"/>
        </w:rPr>
        <w:t>Sukuk</w:t>
      </w:r>
      <w:r w:rsidRPr="00D5786B">
        <w:rPr>
          <w:rFonts w:ascii="Times New Roman" w:hAnsi="Times New Roman" w:cs="Times New Roman"/>
          <w:noProof/>
          <w:sz w:val="24"/>
          <w:szCs w:val="24"/>
        </w:rPr>
        <w:t xml:space="preserve"> is not tradeable in </w:t>
      </w:r>
      <w:r w:rsidR="002A2CF5">
        <w:rPr>
          <w:rFonts w:ascii="Times New Roman" w:hAnsi="Times New Roman" w:cs="Times New Roman"/>
          <w:noProof/>
          <w:sz w:val="24"/>
          <w:szCs w:val="24"/>
        </w:rPr>
        <w:t xml:space="preserve">an </w:t>
      </w:r>
      <w:r w:rsidRPr="00D5786B">
        <w:rPr>
          <w:rFonts w:ascii="Times New Roman" w:hAnsi="Times New Roman" w:cs="Times New Roman"/>
          <w:noProof/>
          <w:sz w:val="24"/>
          <w:szCs w:val="24"/>
        </w:rPr>
        <w:t xml:space="preserve">Islamic secondary market, </w:t>
      </w:r>
      <w:r w:rsidRPr="00A32BBE">
        <w:rPr>
          <w:rFonts w:ascii="Times New Roman" w:hAnsi="Times New Roman" w:cs="Times New Roman"/>
          <w:i/>
          <w:iCs/>
          <w:noProof/>
          <w:sz w:val="24"/>
          <w:szCs w:val="24"/>
        </w:rPr>
        <w:t>Sukuk</w:t>
      </w:r>
      <w:r w:rsidRPr="00D5786B">
        <w:rPr>
          <w:rFonts w:ascii="Times New Roman" w:hAnsi="Times New Roman" w:cs="Times New Roman"/>
          <w:noProof/>
          <w:sz w:val="24"/>
          <w:szCs w:val="24"/>
        </w:rPr>
        <w:t xml:space="preserve"> investors  hedge  risk exposures </w:t>
      </w:r>
      <w:r w:rsidR="00D12D30">
        <w:rPr>
          <w:rFonts w:ascii="Times New Roman" w:hAnsi="Times New Roman" w:cs="Times New Roman"/>
          <w:noProof/>
          <w:sz w:val="24"/>
          <w:szCs w:val="24"/>
        </w:rPr>
        <w:t>applying</w:t>
      </w:r>
      <w:r w:rsidRPr="00D5786B">
        <w:rPr>
          <w:rFonts w:ascii="Times New Roman" w:hAnsi="Times New Roman" w:cs="Times New Roman"/>
          <w:noProof/>
          <w:sz w:val="24"/>
          <w:szCs w:val="24"/>
        </w:rPr>
        <w:t xml:space="preserve"> embedded options by converting the </w:t>
      </w:r>
      <w:r w:rsidRPr="00A32BBE">
        <w:rPr>
          <w:rFonts w:ascii="Times New Roman" w:hAnsi="Times New Roman" w:cs="Times New Roman"/>
          <w:i/>
          <w:iCs/>
          <w:noProof/>
          <w:sz w:val="24"/>
          <w:szCs w:val="24"/>
        </w:rPr>
        <w:t>Istisna</w:t>
      </w:r>
      <w:r w:rsidRPr="00D5786B">
        <w:rPr>
          <w:rFonts w:ascii="Times New Roman" w:hAnsi="Times New Roman" w:cs="Times New Roman"/>
          <w:noProof/>
          <w:sz w:val="24"/>
          <w:szCs w:val="24"/>
        </w:rPr>
        <w:t xml:space="preserve"> </w:t>
      </w:r>
      <w:r w:rsidRPr="00A32BBE">
        <w:rPr>
          <w:rFonts w:ascii="Times New Roman" w:hAnsi="Times New Roman" w:cs="Times New Roman"/>
          <w:i/>
          <w:iCs/>
          <w:noProof/>
          <w:sz w:val="24"/>
          <w:szCs w:val="24"/>
        </w:rPr>
        <w:t>Sukuk</w:t>
      </w:r>
      <w:r w:rsidRPr="00D5786B">
        <w:rPr>
          <w:rFonts w:ascii="Times New Roman" w:hAnsi="Times New Roman" w:cs="Times New Roman"/>
          <w:noProof/>
          <w:sz w:val="24"/>
          <w:szCs w:val="24"/>
        </w:rPr>
        <w:t xml:space="preserve"> into real assets or usufructs. </w:t>
      </w:r>
      <w:r w:rsidR="00814D2B">
        <w:rPr>
          <w:rFonts w:ascii="Times New Roman" w:hAnsi="Times New Roman" w:cs="Times New Roman"/>
          <w:noProof/>
          <w:sz w:val="24"/>
          <w:szCs w:val="24"/>
        </w:rPr>
        <w:t>I</w:t>
      </w:r>
      <w:r w:rsidRPr="00D5786B">
        <w:rPr>
          <w:rFonts w:ascii="Times New Roman" w:hAnsi="Times New Roman" w:cs="Times New Roman"/>
          <w:noProof/>
          <w:sz w:val="24"/>
          <w:szCs w:val="24"/>
        </w:rPr>
        <w:t xml:space="preserve">nvestors </w:t>
      </w:r>
      <w:r w:rsidR="00814D2B">
        <w:rPr>
          <w:rFonts w:ascii="Times New Roman" w:hAnsi="Times New Roman" w:cs="Times New Roman"/>
          <w:noProof/>
          <w:sz w:val="24"/>
          <w:szCs w:val="24"/>
        </w:rPr>
        <w:t>are not forced</w:t>
      </w:r>
      <w:r w:rsidRPr="00D5786B">
        <w:rPr>
          <w:rFonts w:ascii="Times New Roman" w:hAnsi="Times New Roman" w:cs="Times New Roman"/>
          <w:noProof/>
          <w:sz w:val="24"/>
          <w:szCs w:val="24"/>
        </w:rPr>
        <w:t xml:space="preserve"> to wait for the </w:t>
      </w:r>
      <w:r w:rsidRPr="00A32BBE">
        <w:rPr>
          <w:rFonts w:ascii="Times New Roman" w:hAnsi="Times New Roman" w:cs="Times New Roman"/>
          <w:i/>
          <w:iCs/>
          <w:noProof/>
          <w:sz w:val="24"/>
          <w:szCs w:val="24"/>
        </w:rPr>
        <w:t>Sukuk's</w:t>
      </w:r>
      <w:r w:rsidRPr="00D5786B">
        <w:rPr>
          <w:rFonts w:ascii="Times New Roman" w:hAnsi="Times New Roman" w:cs="Times New Roman"/>
          <w:noProof/>
          <w:sz w:val="24"/>
          <w:szCs w:val="24"/>
        </w:rPr>
        <w:t xml:space="preserve"> maturity before  convert</w:t>
      </w:r>
      <w:r w:rsidR="00814D2B">
        <w:rPr>
          <w:rFonts w:ascii="Times New Roman" w:hAnsi="Times New Roman" w:cs="Times New Roman"/>
          <w:noProof/>
          <w:sz w:val="24"/>
          <w:szCs w:val="24"/>
        </w:rPr>
        <w:t>ing</w:t>
      </w:r>
      <w:r w:rsidRPr="00D5786B">
        <w:rPr>
          <w:rFonts w:ascii="Times New Roman" w:hAnsi="Times New Roman" w:cs="Times New Roman"/>
          <w:noProof/>
          <w:sz w:val="24"/>
          <w:szCs w:val="24"/>
        </w:rPr>
        <w:t xml:space="preserve"> the </w:t>
      </w:r>
      <w:r w:rsidRPr="00A32BBE">
        <w:rPr>
          <w:rFonts w:ascii="Times New Roman" w:hAnsi="Times New Roman" w:cs="Times New Roman"/>
          <w:i/>
          <w:iCs/>
          <w:noProof/>
          <w:sz w:val="24"/>
          <w:szCs w:val="24"/>
        </w:rPr>
        <w:t>Sukuk</w:t>
      </w:r>
      <w:r w:rsidRPr="00D5786B">
        <w:rPr>
          <w:rFonts w:ascii="Times New Roman" w:hAnsi="Times New Roman" w:cs="Times New Roman"/>
          <w:noProof/>
          <w:sz w:val="24"/>
          <w:szCs w:val="24"/>
        </w:rPr>
        <w:t xml:space="preserve"> into cash. Whereas</w:t>
      </w:r>
      <w:r w:rsidR="005C777F">
        <w:rPr>
          <w:rFonts w:ascii="Times New Roman" w:hAnsi="Times New Roman" w:cs="Times New Roman"/>
          <w:noProof/>
          <w:sz w:val="24"/>
          <w:szCs w:val="24"/>
        </w:rPr>
        <w:t>,</w:t>
      </w:r>
      <w:r w:rsidRPr="00D5786B">
        <w:rPr>
          <w:rFonts w:ascii="Times New Roman" w:hAnsi="Times New Roman" w:cs="Times New Roman"/>
          <w:noProof/>
          <w:sz w:val="24"/>
          <w:szCs w:val="24"/>
        </w:rPr>
        <w:t xml:space="preserve">  investors avoid exposing the following market risks</w:t>
      </w:r>
      <w:r w:rsidR="00B462B8">
        <w:rPr>
          <w:rFonts w:ascii="Times New Roman" w:hAnsi="Times New Roman" w:cs="Times New Roman"/>
          <w:noProof/>
          <w:sz w:val="24"/>
          <w:szCs w:val="24"/>
        </w:rPr>
        <w:t>,</w:t>
      </w:r>
      <w:r w:rsidRPr="00D5786B">
        <w:rPr>
          <w:rFonts w:ascii="Times New Roman" w:hAnsi="Times New Roman" w:cs="Times New Roman"/>
          <w:noProof/>
          <w:sz w:val="24"/>
          <w:szCs w:val="24"/>
        </w:rPr>
        <w:t xml:space="preserve"> such as</w:t>
      </w:r>
      <w:r w:rsidR="00B462B8">
        <w:rPr>
          <w:rFonts w:ascii="Times New Roman" w:hAnsi="Times New Roman" w:cs="Times New Roman"/>
          <w:noProof/>
          <w:sz w:val="24"/>
          <w:szCs w:val="24"/>
        </w:rPr>
        <w:t>,</w:t>
      </w:r>
      <w:r w:rsidR="006D7640">
        <w:rPr>
          <w:rFonts w:ascii="Times New Roman" w:hAnsi="Times New Roman" w:cs="Times New Roman"/>
          <w:noProof/>
          <w:sz w:val="24"/>
          <w:szCs w:val="24"/>
        </w:rPr>
        <w:t xml:space="preserve"> re-investment</w:t>
      </w:r>
      <w:r w:rsidRPr="00D5786B">
        <w:rPr>
          <w:rFonts w:ascii="Times New Roman" w:hAnsi="Times New Roman" w:cs="Times New Roman"/>
          <w:noProof/>
          <w:sz w:val="24"/>
          <w:szCs w:val="24"/>
        </w:rPr>
        <w:t xml:space="preserve">, credit, </w:t>
      </w:r>
      <w:r w:rsidR="00B462B8">
        <w:rPr>
          <w:rFonts w:ascii="Times New Roman" w:hAnsi="Times New Roman" w:cs="Times New Roman"/>
          <w:noProof/>
          <w:sz w:val="24"/>
          <w:szCs w:val="24"/>
        </w:rPr>
        <w:t xml:space="preserve">and </w:t>
      </w:r>
      <w:r w:rsidRPr="00D5786B">
        <w:rPr>
          <w:rFonts w:ascii="Times New Roman" w:hAnsi="Times New Roman" w:cs="Times New Roman"/>
          <w:noProof/>
          <w:sz w:val="24"/>
          <w:szCs w:val="24"/>
        </w:rPr>
        <w:t>interest</w:t>
      </w:r>
      <w:r w:rsidR="00B462B8">
        <w:rPr>
          <w:rFonts w:ascii="Times New Roman" w:hAnsi="Times New Roman" w:cs="Times New Roman"/>
          <w:noProof/>
          <w:sz w:val="24"/>
          <w:szCs w:val="24"/>
        </w:rPr>
        <w:t>-</w:t>
      </w:r>
      <w:r w:rsidRPr="00D5786B">
        <w:rPr>
          <w:rFonts w:ascii="Times New Roman" w:hAnsi="Times New Roman" w:cs="Times New Roman"/>
          <w:noProof/>
          <w:sz w:val="24"/>
          <w:szCs w:val="24"/>
        </w:rPr>
        <w:t>rate risk</w:t>
      </w:r>
      <w:r w:rsidR="00B462B8">
        <w:rPr>
          <w:rFonts w:ascii="Times New Roman" w:hAnsi="Times New Roman" w:cs="Times New Roman"/>
          <w:noProof/>
          <w:sz w:val="24"/>
          <w:szCs w:val="24"/>
        </w:rPr>
        <w:t>s</w:t>
      </w:r>
      <w:r w:rsidRPr="00D5786B">
        <w:rPr>
          <w:rFonts w:ascii="Times New Roman" w:hAnsi="Times New Roman" w:cs="Times New Roman"/>
          <w:noProof/>
          <w:sz w:val="24"/>
          <w:szCs w:val="24"/>
        </w:rPr>
        <w:t>, particularly</w:t>
      </w:r>
      <w:r w:rsidR="00B462B8">
        <w:rPr>
          <w:rFonts w:ascii="Times New Roman" w:hAnsi="Times New Roman" w:cs="Times New Roman"/>
          <w:noProof/>
          <w:sz w:val="24"/>
          <w:szCs w:val="24"/>
        </w:rPr>
        <w:t>,</w:t>
      </w:r>
      <w:r w:rsidRPr="00D5786B">
        <w:rPr>
          <w:rFonts w:ascii="Times New Roman" w:hAnsi="Times New Roman" w:cs="Times New Roman"/>
          <w:noProof/>
          <w:sz w:val="24"/>
          <w:szCs w:val="24"/>
        </w:rPr>
        <w:t xml:space="preserve"> </w:t>
      </w:r>
      <w:r w:rsidR="00B462B8">
        <w:rPr>
          <w:rFonts w:ascii="Times New Roman" w:hAnsi="Times New Roman" w:cs="Times New Roman"/>
          <w:noProof/>
          <w:sz w:val="24"/>
          <w:szCs w:val="24"/>
        </w:rPr>
        <w:t>where marke</w:t>
      </w:r>
      <w:r w:rsidR="00712C79">
        <w:rPr>
          <w:rFonts w:ascii="Times New Roman" w:hAnsi="Times New Roman" w:cs="Times New Roman"/>
          <w:noProof/>
          <w:sz w:val="24"/>
          <w:szCs w:val="24"/>
        </w:rPr>
        <w:t>t volatility exists.</w:t>
      </w:r>
    </w:p>
    <w:p w14:paraId="015917D6" w14:textId="75BEEE07" w:rsidR="00CC0987" w:rsidRPr="009B1361" w:rsidRDefault="009538A3" w:rsidP="00CC0987">
      <w:pPr>
        <w:pStyle w:val="BodyText3"/>
        <w:rPr>
          <w:rFonts w:asciiTheme="majorBidi" w:eastAsia="Times New Roman" w:hAnsiTheme="majorBidi" w:cstheme="majorBidi"/>
          <w:color w:val="000000" w:themeColor="text1"/>
          <w:sz w:val="24"/>
          <w:szCs w:val="24"/>
          <w:lang w:eastAsia="en-GB"/>
        </w:rPr>
      </w:pPr>
      <w:r w:rsidRPr="009B1361">
        <w:rPr>
          <w:rFonts w:asciiTheme="majorBidi" w:hAnsiTheme="majorBidi" w:cstheme="majorBidi"/>
          <w:noProof/>
          <w:color w:val="000000" w:themeColor="text1"/>
          <w:sz w:val="24"/>
          <w:szCs w:val="24"/>
        </w:rPr>
        <w:t xml:space="preserve">This </w:t>
      </w:r>
      <w:r w:rsidR="00CC0987" w:rsidRPr="009B1361">
        <w:rPr>
          <w:rFonts w:asciiTheme="majorBidi" w:eastAsia="Times New Roman" w:hAnsiTheme="majorBidi" w:cstheme="majorBidi"/>
          <w:color w:val="000000" w:themeColor="text1"/>
          <w:sz w:val="24"/>
          <w:szCs w:val="24"/>
          <w:lang w:eastAsia="en-GB"/>
        </w:rPr>
        <w:t xml:space="preserve">study aims </w:t>
      </w:r>
      <w:r w:rsidRPr="009B1361">
        <w:rPr>
          <w:rFonts w:asciiTheme="majorBidi" w:eastAsia="Times New Roman" w:hAnsiTheme="majorBidi" w:cstheme="majorBidi"/>
          <w:color w:val="000000" w:themeColor="text1"/>
          <w:sz w:val="24"/>
          <w:szCs w:val="24"/>
          <w:lang w:eastAsia="en-GB"/>
        </w:rPr>
        <w:t xml:space="preserve">at empirically </w:t>
      </w:r>
      <w:r w:rsidR="00CC0987" w:rsidRPr="009B1361">
        <w:rPr>
          <w:rFonts w:asciiTheme="majorBidi" w:eastAsia="Times New Roman" w:hAnsiTheme="majorBidi" w:cstheme="majorBidi"/>
          <w:color w:val="000000" w:themeColor="text1"/>
          <w:sz w:val="24"/>
          <w:szCs w:val="24"/>
          <w:lang w:eastAsia="en-GB"/>
        </w:rPr>
        <w:t>analysi</w:t>
      </w:r>
      <w:r w:rsidRPr="009B1361">
        <w:rPr>
          <w:rFonts w:asciiTheme="majorBidi" w:eastAsia="Times New Roman" w:hAnsiTheme="majorBidi" w:cstheme="majorBidi"/>
          <w:color w:val="000000" w:themeColor="text1"/>
          <w:sz w:val="24"/>
          <w:szCs w:val="24"/>
          <w:lang w:eastAsia="en-GB"/>
        </w:rPr>
        <w:t>ng</w:t>
      </w:r>
      <w:r w:rsidR="00CC0987" w:rsidRPr="009B1361">
        <w:rPr>
          <w:rFonts w:asciiTheme="majorBidi" w:eastAsia="Times New Roman" w:hAnsiTheme="majorBidi" w:cstheme="majorBidi"/>
          <w:color w:val="000000" w:themeColor="text1"/>
          <w:sz w:val="24"/>
          <w:szCs w:val="24"/>
          <w:lang w:eastAsia="en-GB"/>
        </w:rPr>
        <w:t xml:space="preserve"> the risk levels of sukuk portfolio compared to conventional bonds, using a sample data that </w:t>
      </w:r>
      <w:r w:rsidR="000B4FC2">
        <w:rPr>
          <w:rFonts w:asciiTheme="majorBidi" w:eastAsia="Times New Roman" w:hAnsiTheme="majorBidi" w:cstheme="majorBidi"/>
          <w:color w:val="000000" w:themeColor="text1"/>
          <w:sz w:val="24"/>
          <w:szCs w:val="24"/>
          <w:lang w:eastAsia="en-GB"/>
        </w:rPr>
        <w:t>is</w:t>
      </w:r>
      <w:r w:rsidR="00CC0987" w:rsidRPr="009B1361">
        <w:rPr>
          <w:rFonts w:asciiTheme="majorBidi" w:eastAsia="Times New Roman" w:hAnsiTheme="majorBidi" w:cstheme="majorBidi"/>
          <w:color w:val="000000" w:themeColor="text1"/>
          <w:sz w:val="24"/>
          <w:szCs w:val="24"/>
          <w:lang w:eastAsia="en-GB"/>
        </w:rPr>
        <w:t xml:space="preserve"> extracted from daily closing prices of </w:t>
      </w:r>
      <w:r w:rsidR="00F55C8C" w:rsidRPr="00F55C8C">
        <w:rPr>
          <w:rFonts w:asciiTheme="majorBidi" w:eastAsia="Times New Roman" w:hAnsiTheme="majorBidi" w:cstheme="majorBidi"/>
          <w:i/>
          <w:iCs/>
          <w:color w:val="000000" w:themeColor="text1"/>
          <w:sz w:val="24"/>
          <w:szCs w:val="24"/>
          <w:lang w:eastAsia="en-GB"/>
        </w:rPr>
        <w:t>S</w:t>
      </w:r>
      <w:r w:rsidR="00CC0987" w:rsidRPr="00F55C8C">
        <w:rPr>
          <w:rFonts w:asciiTheme="majorBidi" w:eastAsia="Times New Roman" w:hAnsiTheme="majorBidi" w:cstheme="majorBidi"/>
          <w:i/>
          <w:iCs/>
          <w:color w:val="000000" w:themeColor="text1"/>
          <w:sz w:val="24"/>
          <w:szCs w:val="24"/>
          <w:lang w:eastAsia="en-GB"/>
        </w:rPr>
        <w:t>ukuk</w:t>
      </w:r>
      <w:r w:rsidR="00CC0987" w:rsidRPr="009B1361">
        <w:rPr>
          <w:rFonts w:asciiTheme="majorBidi" w:eastAsia="Times New Roman" w:hAnsiTheme="majorBidi" w:cstheme="majorBidi"/>
          <w:color w:val="000000" w:themeColor="text1"/>
          <w:sz w:val="24"/>
          <w:szCs w:val="24"/>
          <w:lang w:eastAsia="en-GB"/>
        </w:rPr>
        <w:t xml:space="preserve"> and bonds that are traded in Nasdaq Dubai’s security market. </w:t>
      </w:r>
      <w:r w:rsidRPr="009B1361">
        <w:rPr>
          <w:rFonts w:asciiTheme="majorBidi" w:eastAsia="Times New Roman" w:hAnsiTheme="majorBidi" w:cstheme="majorBidi"/>
          <w:color w:val="000000" w:themeColor="text1"/>
          <w:sz w:val="24"/>
          <w:szCs w:val="24"/>
          <w:lang w:eastAsia="en-GB"/>
        </w:rPr>
        <w:t>In doing so, this</w:t>
      </w:r>
      <w:r w:rsidR="00CC0987" w:rsidRPr="009B1361">
        <w:rPr>
          <w:rFonts w:asciiTheme="majorBidi" w:eastAsia="Times New Roman" w:hAnsiTheme="majorBidi" w:cstheme="majorBidi"/>
          <w:color w:val="000000" w:themeColor="text1"/>
          <w:sz w:val="24"/>
          <w:szCs w:val="24"/>
          <w:lang w:eastAsia="en-GB"/>
        </w:rPr>
        <w:t xml:space="preserve"> study employs Value at Risk (VaR) method to analyse and compare the risk level of </w:t>
      </w:r>
      <w:r w:rsidR="00F55C8C" w:rsidRPr="00F55C8C">
        <w:rPr>
          <w:rFonts w:asciiTheme="majorBidi" w:eastAsia="Times New Roman" w:hAnsiTheme="majorBidi" w:cstheme="majorBidi"/>
          <w:i/>
          <w:iCs/>
          <w:color w:val="000000" w:themeColor="text1"/>
          <w:sz w:val="24"/>
          <w:szCs w:val="24"/>
          <w:lang w:eastAsia="en-GB"/>
        </w:rPr>
        <w:t>S</w:t>
      </w:r>
      <w:r w:rsidR="00CC0987" w:rsidRPr="00F55C8C">
        <w:rPr>
          <w:rFonts w:asciiTheme="majorBidi" w:eastAsia="Times New Roman" w:hAnsiTheme="majorBidi" w:cstheme="majorBidi"/>
          <w:i/>
          <w:iCs/>
          <w:color w:val="000000" w:themeColor="text1"/>
          <w:sz w:val="24"/>
          <w:szCs w:val="24"/>
          <w:lang w:eastAsia="en-GB"/>
        </w:rPr>
        <w:t>ukuk</w:t>
      </w:r>
      <w:r w:rsidR="00CC0987" w:rsidRPr="009B1361">
        <w:rPr>
          <w:rFonts w:asciiTheme="majorBidi" w:eastAsia="Times New Roman" w:hAnsiTheme="majorBidi" w:cstheme="majorBidi"/>
          <w:color w:val="000000" w:themeColor="text1"/>
          <w:sz w:val="24"/>
          <w:szCs w:val="24"/>
          <w:lang w:eastAsia="en-GB"/>
        </w:rPr>
        <w:t xml:space="preserve"> and conventional bonds portfolio</w:t>
      </w:r>
      <w:r w:rsidR="00F55C8C">
        <w:rPr>
          <w:rFonts w:asciiTheme="majorBidi" w:eastAsia="Times New Roman" w:hAnsiTheme="majorBidi" w:cstheme="majorBidi"/>
          <w:color w:val="000000" w:themeColor="text1"/>
          <w:sz w:val="24"/>
          <w:szCs w:val="24"/>
          <w:lang w:eastAsia="en-GB"/>
        </w:rPr>
        <w:t>.</w:t>
      </w:r>
    </w:p>
    <w:p w14:paraId="15965CE1" w14:textId="578855F2" w:rsidR="009538A3" w:rsidRPr="00F30BB7" w:rsidRDefault="00F30BB7" w:rsidP="009B1A49">
      <w:pPr>
        <w:shd w:val="clear" w:color="auto" w:fill="FFFFFF" w:themeFill="background1"/>
        <w:spacing w:before="120" w:after="120" w:line="360" w:lineRule="auto"/>
        <w:jc w:val="both"/>
        <w:rPr>
          <w:rFonts w:asciiTheme="majorBidi" w:eastAsia="Times New Roman" w:hAnsiTheme="majorBidi" w:cstheme="majorBidi"/>
          <w:color w:val="000000" w:themeColor="text1"/>
          <w:sz w:val="24"/>
          <w:szCs w:val="24"/>
          <w:lang w:eastAsia="en-GB"/>
        </w:rPr>
      </w:pPr>
      <w:r w:rsidRPr="00F30BB7">
        <w:rPr>
          <w:rFonts w:asciiTheme="majorBidi" w:eastAsia="Times New Roman" w:hAnsiTheme="majorBidi" w:cstheme="majorBidi"/>
          <w:color w:val="000000" w:themeColor="text1"/>
          <w:sz w:val="24"/>
          <w:szCs w:val="24"/>
          <w:lang w:eastAsia="en-GB"/>
        </w:rPr>
        <w:t>T</w:t>
      </w:r>
      <w:r w:rsidR="00C51F88" w:rsidRPr="00F30BB7">
        <w:rPr>
          <w:rFonts w:asciiTheme="majorBidi" w:eastAsia="Times New Roman" w:hAnsiTheme="majorBidi" w:cstheme="majorBidi"/>
          <w:color w:val="000000" w:themeColor="text1"/>
          <w:sz w:val="24"/>
          <w:szCs w:val="24"/>
          <w:lang w:eastAsia="en-GB"/>
        </w:rPr>
        <w:t>h</w:t>
      </w:r>
      <w:r w:rsidRPr="00F30BB7">
        <w:rPr>
          <w:rFonts w:asciiTheme="majorBidi" w:eastAsia="Times New Roman" w:hAnsiTheme="majorBidi" w:cstheme="majorBidi"/>
          <w:color w:val="000000" w:themeColor="text1"/>
          <w:sz w:val="24"/>
          <w:szCs w:val="24"/>
          <w:lang w:eastAsia="en-GB"/>
        </w:rPr>
        <w:t>is</w:t>
      </w:r>
      <w:r w:rsidR="00C51F88" w:rsidRPr="00F30BB7">
        <w:rPr>
          <w:rFonts w:asciiTheme="majorBidi" w:eastAsia="Times New Roman" w:hAnsiTheme="majorBidi" w:cstheme="majorBidi"/>
          <w:color w:val="000000" w:themeColor="text1"/>
          <w:sz w:val="24"/>
          <w:szCs w:val="24"/>
          <w:lang w:eastAsia="en-GB"/>
        </w:rPr>
        <w:t xml:space="preserve"> </w:t>
      </w:r>
      <w:r w:rsidRPr="00F30BB7">
        <w:rPr>
          <w:rFonts w:asciiTheme="majorBidi" w:eastAsia="Times New Roman" w:hAnsiTheme="majorBidi" w:cstheme="majorBidi"/>
          <w:color w:val="000000" w:themeColor="text1"/>
          <w:sz w:val="24"/>
          <w:szCs w:val="24"/>
          <w:lang w:eastAsia="en-GB"/>
        </w:rPr>
        <w:t>paper</w:t>
      </w:r>
      <w:r w:rsidR="00C51F88" w:rsidRPr="00F30BB7">
        <w:rPr>
          <w:rFonts w:asciiTheme="majorBidi" w:eastAsia="Times New Roman" w:hAnsiTheme="majorBidi" w:cstheme="majorBidi"/>
          <w:color w:val="000000" w:themeColor="text1"/>
          <w:sz w:val="24"/>
          <w:szCs w:val="24"/>
          <w:lang w:eastAsia="en-GB"/>
        </w:rPr>
        <w:t xml:space="preserve"> contributes to </w:t>
      </w:r>
      <w:r w:rsidRPr="00F30BB7">
        <w:rPr>
          <w:rFonts w:asciiTheme="majorBidi" w:eastAsia="Times New Roman" w:hAnsiTheme="majorBidi" w:cstheme="majorBidi"/>
          <w:color w:val="000000" w:themeColor="text1"/>
          <w:sz w:val="24"/>
          <w:szCs w:val="24"/>
          <w:lang w:eastAsia="en-GB"/>
        </w:rPr>
        <w:t xml:space="preserve">the literature on </w:t>
      </w:r>
      <w:r w:rsidR="00C51F88" w:rsidRPr="00F30BB7">
        <w:rPr>
          <w:rFonts w:asciiTheme="majorBidi" w:eastAsia="Times New Roman" w:hAnsiTheme="majorBidi" w:cstheme="majorBidi"/>
          <w:color w:val="000000" w:themeColor="text1"/>
          <w:sz w:val="24"/>
          <w:szCs w:val="24"/>
          <w:lang w:eastAsia="en-GB"/>
        </w:rPr>
        <w:t>comparative analysis of</w:t>
      </w:r>
      <w:r w:rsidR="009B1A49" w:rsidRPr="00F30BB7">
        <w:rPr>
          <w:rFonts w:asciiTheme="majorBidi" w:hAnsiTheme="majorBidi" w:cstheme="majorBidi"/>
          <w:color w:val="000000" w:themeColor="text1"/>
          <w:sz w:val="24"/>
          <w:szCs w:val="24"/>
        </w:rPr>
        <w:t xml:space="preserve"> </w:t>
      </w:r>
      <w:r w:rsidR="00F55C8C" w:rsidRPr="00F55C8C">
        <w:rPr>
          <w:rFonts w:asciiTheme="majorBidi" w:hAnsiTheme="majorBidi" w:cstheme="majorBidi"/>
          <w:i/>
          <w:iCs/>
          <w:color w:val="000000" w:themeColor="text1"/>
          <w:sz w:val="24"/>
          <w:szCs w:val="24"/>
        </w:rPr>
        <w:t>S</w:t>
      </w:r>
      <w:r w:rsidR="009B1A49" w:rsidRPr="00F55C8C">
        <w:rPr>
          <w:rFonts w:asciiTheme="majorBidi" w:hAnsiTheme="majorBidi" w:cstheme="majorBidi"/>
          <w:i/>
          <w:iCs/>
          <w:color w:val="000000" w:themeColor="text1"/>
          <w:sz w:val="24"/>
          <w:szCs w:val="24"/>
        </w:rPr>
        <w:t>ukuk</w:t>
      </w:r>
      <w:r w:rsidR="009B1A49" w:rsidRPr="00F30BB7">
        <w:rPr>
          <w:rFonts w:asciiTheme="majorBidi" w:hAnsiTheme="majorBidi" w:cstheme="majorBidi"/>
          <w:color w:val="000000" w:themeColor="text1"/>
          <w:sz w:val="24"/>
          <w:szCs w:val="24"/>
        </w:rPr>
        <w:t xml:space="preserve"> and conventional bonds by elaborating on their risk elements and challenges of </w:t>
      </w:r>
      <w:r w:rsidR="00F55C8C" w:rsidRPr="00F55C8C">
        <w:rPr>
          <w:rFonts w:asciiTheme="majorBidi" w:hAnsiTheme="majorBidi" w:cstheme="majorBidi"/>
          <w:i/>
          <w:iCs/>
          <w:color w:val="000000" w:themeColor="text1"/>
          <w:sz w:val="24"/>
          <w:szCs w:val="24"/>
        </w:rPr>
        <w:t>S</w:t>
      </w:r>
      <w:r w:rsidR="009B1A49" w:rsidRPr="00F55C8C">
        <w:rPr>
          <w:rFonts w:asciiTheme="majorBidi" w:hAnsiTheme="majorBidi" w:cstheme="majorBidi"/>
          <w:i/>
          <w:iCs/>
          <w:color w:val="000000" w:themeColor="text1"/>
          <w:sz w:val="24"/>
          <w:szCs w:val="24"/>
        </w:rPr>
        <w:t>ukuk</w:t>
      </w:r>
      <w:r w:rsidR="009B1A49" w:rsidRPr="00F30BB7">
        <w:rPr>
          <w:rFonts w:asciiTheme="majorBidi" w:hAnsiTheme="majorBidi" w:cstheme="majorBidi"/>
          <w:color w:val="000000" w:themeColor="text1"/>
          <w:sz w:val="24"/>
          <w:szCs w:val="24"/>
        </w:rPr>
        <w:t xml:space="preserve"> and bonds </w:t>
      </w:r>
      <w:r w:rsidRPr="00F30BB7">
        <w:rPr>
          <w:rFonts w:asciiTheme="majorBidi" w:hAnsiTheme="majorBidi" w:cstheme="majorBidi"/>
          <w:color w:val="000000" w:themeColor="text1"/>
          <w:sz w:val="24"/>
          <w:szCs w:val="24"/>
        </w:rPr>
        <w:t>in the light of risk management</w:t>
      </w:r>
      <w:r w:rsidR="009B1A49" w:rsidRPr="00F30BB7">
        <w:rPr>
          <w:rFonts w:asciiTheme="majorBidi" w:hAnsiTheme="majorBidi" w:cstheme="majorBidi"/>
          <w:color w:val="000000" w:themeColor="text1"/>
          <w:sz w:val="24"/>
          <w:szCs w:val="24"/>
        </w:rPr>
        <w:t xml:space="preserve">. </w:t>
      </w:r>
      <w:r w:rsidRPr="00F30BB7">
        <w:rPr>
          <w:rFonts w:asciiTheme="majorBidi" w:hAnsiTheme="majorBidi" w:cstheme="majorBidi"/>
          <w:color w:val="000000" w:themeColor="text1"/>
          <w:sz w:val="24"/>
          <w:szCs w:val="24"/>
        </w:rPr>
        <w:t>In the light of available large literature, this</w:t>
      </w:r>
      <w:r w:rsidR="009B1A49" w:rsidRPr="00F30BB7">
        <w:rPr>
          <w:rFonts w:asciiTheme="majorBidi" w:hAnsiTheme="majorBidi" w:cstheme="majorBidi"/>
          <w:color w:val="000000" w:themeColor="text1"/>
          <w:sz w:val="24"/>
          <w:szCs w:val="24"/>
        </w:rPr>
        <w:t xml:space="preserve"> paper provides the insight to riskiness of</w:t>
      </w:r>
      <w:r w:rsidRPr="00F30BB7">
        <w:rPr>
          <w:rFonts w:asciiTheme="majorBidi" w:hAnsiTheme="majorBidi" w:cstheme="majorBidi"/>
          <w:color w:val="000000" w:themeColor="text1"/>
          <w:sz w:val="24"/>
          <w:szCs w:val="24"/>
        </w:rPr>
        <w:t xml:space="preserve"> </w:t>
      </w:r>
      <w:r w:rsidR="002377AA" w:rsidRPr="002377AA">
        <w:rPr>
          <w:rFonts w:asciiTheme="majorBidi" w:hAnsiTheme="majorBidi" w:cstheme="majorBidi"/>
          <w:i/>
          <w:iCs/>
          <w:color w:val="000000" w:themeColor="text1"/>
          <w:sz w:val="24"/>
          <w:szCs w:val="24"/>
        </w:rPr>
        <w:t>S</w:t>
      </w:r>
      <w:r w:rsidRPr="002377AA">
        <w:rPr>
          <w:rFonts w:asciiTheme="majorBidi" w:hAnsiTheme="majorBidi" w:cstheme="majorBidi"/>
          <w:i/>
          <w:iCs/>
          <w:color w:val="000000" w:themeColor="text1"/>
          <w:sz w:val="24"/>
          <w:szCs w:val="24"/>
        </w:rPr>
        <w:t>ukuk</w:t>
      </w:r>
      <w:r w:rsidRPr="00F30BB7">
        <w:rPr>
          <w:rFonts w:asciiTheme="majorBidi" w:hAnsiTheme="majorBidi" w:cstheme="majorBidi"/>
          <w:color w:val="000000" w:themeColor="text1"/>
          <w:sz w:val="24"/>
          <w:szCs w:val="24"/>
        </w:rPr>
        <w:t xml:space="preserve"> for potential investors as an</w:t>
      </w:r>
      <w:r w:rsidR="009B1A49" w:rsidRPr="00F30BB7">
        <w:rPr>
          <w:rFonts w:asciiTheme="majorBidi" w:hAnsiTheme="majorBidi" w:cstheme="majorBidi"/>
          <w:color w:val="000000" w:themeColor="text1"/>
          <w:sz w:val="24"/>
          <w:szCs w:val="24"/>
        </w:rPr>
        <w:t xml:space="preserve"> alternative financial to</w:t>
      </w:r>
      <w:r w:rsidRPr="00F30BB7">
        <w:rPr>
          <w:rFonts w:asciiTheme="majorBidi" w:hAnsiTheme="majorBidi" w:cstheme="majorBidi"/>
          <w:color w:val="000000" w:themeColor="text1"/>
          <w:sz w:val="24"/>
          <w:szCs w:val="24"/>
        </w:rPr>
        <w:t>ol</w:t>
      </w:r>
      <w:r w:rsidR="009B1A49" w:rsidRPr="00F30BB7">
        <w:rPr>
          <w:rFonts w:asciiTheme="majorBidi" w:hAnsiTheme="majorBidi" w:cstheme="majorBidi"/>
          <w:color w:val="000000" w:themeColor="text1"/>
          <w:sz w:val="24"/>
          <w:szCs w:val="24"/>
        </w:rPr>
        <w:t xml:space="preserve">.  </w:t>
      </w:r>
    </w:p>
    <w:p w14:paraId="718DB7E9" w14:textId="11ED05DC" w:rsidR="00CC0987" w:rsidRPr="009B1361" w:rsidRDefault="00285A29" w:rsidP="006D7640">
      <w:pPr>
        <w:shd w:val="clear" w:color="auto" w:fill="FFFFFF" w:themeFill="background1"/>
        <w:spacing w:before="120" w:after="120" w:line="360" w:lineRule="auto"/>
        <w:jc w:val="both"/>
        <w:rPr>
          <w:rFonts w:asciiTheme="majorBidi" w:hAnsiTheme="majorBidi" w:cstheme="majorBidi"/>
          <w:color w:val="000000" w:themeColor="text1"/>
          <w:sz w:val="24"/>
          <w:szCs w:val="24"/>
        </w:rPr>
      </w:pPr>
      <w:r w:rsidRPr="009B1361">
        <w:rPr>
          <w:rFonts w:asciiTheme="majorBidi" w:hAnsiTheme="majorBidi" w:cstheme="majorBidi"/>
          <w:noProof/>
          <w:color w:val="000000" w:themeColor="text1"/>
          <w:sz w:val="24"/>
          <w:szCs w:val="24"/>
        </w:rPr>
        <w:lastRenderedPageBreak/>
        <w:t>The rest of the paper is</w:t>
      </w:r>
      <w:r w:rsidR="00CC0987" w:rsidRPr="009B1361">
        <w:rPr>
          <w:rFonts w:asciiTheme="majorBidi" w:hAnsiTheme="majorBidi" w:cstheme="majorBidi"/>
          <w:noProof/>
          <w:color w:val="000000" w:themeColor="text1"/>
          <w:sz w:val="24"/>
          <w:szCs w:val="24"/>
        </w:rPr>
        <w:t xml:space="preserve"> organised as follows: </w:t>
      </w:r>
      <w:r w:rsidR="006D7640" w:rsidRPr="009B1361">
        <w:rPr>
          <w:rFonts w:asciiTheme="majorBidi" w:hAnsiTheme="majorBidi" w:cstheme="majorBidi"/>
          <w:noProof/>
          <w:color w:val="000000" w:themeColor="text1"/>
          <w:sz w:val="24"/>
          <w:szCs w:val="24"/>
        </w:rPr>
        <w:t xml:space="preserve"> the section</w:t>
      </w:r>
      <w:r w:rsidR="009538A3" w:rsidRPr="009B1361">
        <w:rPr>
          <w:rFonts w:asciiTheme="majorBidi" w:hAnsiTheme="majorBidi" w:cstheme="majorBidi"/>
          <w:noProof/>
          <w:color w:val="000000" w:themeColor="text1"/>
          <w:sz w:val="24"/>
          <w:szCs w:val="24"/>
        </w:rPr>
        <w:t xml:space="preserve"> 2</w:t>
      </w:r>
      <w:r w:rsidR="006D7640" w:rsidRPr="009B1361">
        <w:rPr>
          <w:rFonts w:asciiTheme="majorBidi" w:hAnsiTheme="majorBidi" w:cstheme="majorBidi"/>
          <w:noProof/>
          <w:color w:val="000000" w:themeColor="text1"/>
          <w:sz w:val="24"/>
          <w:szCs w:val="24"/>
        </w:rPr>
        <w:t xml:space="preserve"> </w:t>
      </w:r>
      <w:r w:rsidRPr="009B1361">
        <w:rPr>
          <w:rFonts w:asciiTheme="majorBidi" w:hAnsiTheme="majorBidi" w:cstheme="majorBidi"/>
          <w:noProof/>
          <w:color w:val="000000" w:themeColor="text1"/>
          <w:sz w:val="24"/>
          <w:szCs w:val="24"/>
        </w:rPr>
        <w:t>present</w:t>
      </w:r>
      <w:r w:rsidR="006D7640" w:rsidRPr="009B1361">
        <w:rPr>
          <w:rFonts w:asciiTheme="majorBidi" w:hAnsiTheme="majorBidi" w:cstheme="majorBidi"/>
          <w:noProof/>
          <w:color w:val="000000" w:themeColor="text1"/>
          <w:sz w:val="24"/>
          <w:szCs w:val="24"/>
        </w:rPr>
        <w:t>s</w:t>
      </w:r>
      <w:r w:rsidRPr="009B1361">
        <w:rPr>
          <w:rFonts w:asciiTheme="majorBidi" w:hAnsiTheme="majorBidi" w:cstheme="majorBidi"/>
          <w:noProof/>
          <w:color w:val="000000" w:themeColor="text1"/>
          <w:sz w:val="24"/>
          <w:szCs w:val="24"/>
        </w:rPr>
        <w:t xml:space="preserve"> a literature review to contextualise the subject matter,</w:t>
      </w:r>
      <w:r w:rsidR="00CC0987" w:rsidRPr="009B1361">
        <w:rPr>
          <w:rFonts w:asciiTheme="majorBidi" w:hAnsiTheme="majorBidi" w:cstheme="majorBidi"/>
          <w:color w:val="000000" w:themeColor="text1"/>
          <w:sz w:val="24"/>
          <w:szCs w:val="24"/>
        </w:rPr>
        <w:t xml:space="preserve"> </w:t>
      </w:r>
      <w:r w:rsidR="00662260" w:rsidRPr="009B1361">
        <w:rPr>
          <w:rFonts w:asciiTheme="majorBidi" w:hAnsiTheme="majorBidi" w:cstheme="majorBidi"/>
          <w:color w:val="000000" w:themeColor="text1"/>
          <w:sz w:val="24"/>
          <w:szCs w:val="24"/>
        </w:rPr>
        <w:t xml:space="preserve">followed by </w:t>
      </w:r>
      <w:r w:rsidR="00CC0987" w:rsidRPr="009B1361">
        <w:rPr>
          <w:rFonts w:asciiTheme="majorBidi" w:hAnsiTheme="majorBidi" w:cstheme="majorBidi"/>
          <w:color w:val="000000" w:themeColor="text1"/>
          <w:sz w:val="24"/>
          <w:szCs w:val="24"/>
        </w:rPr>
        <w:t xml:space="preserve">the previous studies about the implementation of VaR models in portfolio risk measurements. </w:t>
      </w:r>
      <w:r w:rsidR="006D7640" w:rsidRPr="009B1361">
        <w:rPr>
          <w:rFonts w:asciiTheme="majorBidi" w:hAnsiTheme="majorBidi" w:cstheme="majorBidi"/>
          <w:color w:val="000000" w:themeColor="text1"/>
          <w:sz w:val="24"/>
          <w:szCs w:val="24"/>
        </w:rPr>
        <w:t xml:space="preserve">The </w:t>
      </w:r>
      <w:r w:rsidR="009538A3" w:rsidRPr="009B1361">
        <w:rPr>
          <w:rFonts w:asciiTheme="majorBidi" w:hAnsiTheme="majorBidi" w:cstheme="majorBidi"/>
          <w:color w:val="000000" w:themeColor="text1"/>
          <w:sz w:val="24"/>
          <w:szCs w:val="24"/>
        </w:rPr>
        <w:t xml:space="preserve">following </w:t>
      </w:r>
      <w:r w:rsidR="006D7640" w:rsidRPr="009B1361">
        <w:rPr>
          <w:rFonts w:asciiTheme="majorBidi" w:hAnsiTheme="majorBidi" w:cstheme="majorBidi"/>
          <w:color w:val="000000" w:themeColor="text1"/>
          <w:sz w:val="24"/>
          <w:szCs w:val="24"/>
        </w:rPr>
        <w:t>s</w:t>
      </w:r>
      <w:r w:rsidR="00662260" w:rsidRPr="009B1361">
        <w:rPr>
          <w:rFonts w:asciiTheme="majorBidi" w:hAnsiTheme="majorBidi" w:cstheme="majorBidi"/>
          <w:color w:val="000000" w:themeColor="text1"/>
          <w:sz w:val="24"/>
          <w:szCs w:val="24"/>
        </w:rPr>
        <w:t>ection</w:t>
      </w:r>
      <w:r w:rsidR="009538A3" w:rsidRPr="009B1361">
        <w:rPr>
          <w:rFonts w:asciiTheme="majorBidi" w:hAnsiTheme="majorBidi" w:cstheme="majorBidi"/>
          <w:color w:val="000000" w:themeColor="text1"/>
          <w:sz w:val="24"/>
          <w:szCs w:val="24"/>
        </w:rPr>
        <w:t xml:space="preserve"> </w:t>
      </w:r>
      <w:r w:rsidR="00CC0987" w:rsidRPr="009B1361">
        <w:rPr>
          <w:rFonts w:asciiTheme="majorBidi" w:hAnsiTheme="majorBidi" w:cstheme="majorBidi"/>
          <w:color w:val="000000" w:themeColor="text1"/>
          <w:sz w:val="24"/>
          <w:szCs w:val="24"/>
        </w:rPr>
        <w:t xml:space="preserve">highlights the method of the research </w:t>
      </w:r>
      <w:r w:rsidR="006D7640" w:rsidRPr="009B1361">
        <w:rPr>
          <w:rFonts w:asciiTheme="majorBidi" w:hAnsiTheme="majorBidi" w:cstheme="majorBidi"/>
          <w:color w:val="000000" w:themeColor="text1"/>
          <w:sz w:val="24"/>
          <w:szCs w:val="24"/>
        </w:rPr>
        <w:t>and</w:t>
      </w:r>
      <w:r w:rsidR="00CC0987" w:rsidRPr="009B1361">
        <w:rPr>
          <w:rFonts w:asciiTheme="majorBidi" w:hAnsiTheme="majorBidi" w:cstheme="majorBidi"/>
          <w:color w:val="000000" w:themeColor="text1"/>
          <w:sz w:val="24"/>
          <w:szCs w:val="24"/>
        </w:rPr>
        <w:t xml:space="preserve"> data analysis</w:t>
      </w:r>
      <w:r w:rsidR="00662260" w:rsidRPr="009B1361">
        <w:rPr>
          <w:rFonts w:asciiTheme="majorBidi" w:hAnsiTheme="majorBidi" w:cstheme="majorBidi"/>
          <w:color w:val="000000" w:themeColor="text1"/>
          <w:sz w:val="24"/>
          <w:szCs w:val="24"/>
        </w:rPr>
        <w:t xml:space="preserve">, followed by </w:t>
      </w:r>
      <w:r w:rsidR="00CC0987" w:rsidRPr="009B1361">
        <w:rPr>
          <w:rFonts w:asciiTheme="majorBidi" w:hAnsiTheme="majorBidi" w:cstheme="majorBidi"/>
          <w:color w:val="000000" w:themeColor="text1"/>
          <w:sz w:val="24"/>
          <w:szCs w:val="24"/>
        </w:rPr>
        <w:t xml:space="preserve">VaR model application to </w:t>
      </w:r>
      <w:r w:rsidR="002377AA" w:rsidRPr="002377AA">
        <w:rPr>
          <w:rFonts w:asciiTheme="majorBidi" w:hAnsiTheme="majorBidi" w:cstheme="majorBidi"/>
          <w:i/>
          <w:iCs/>
          <w:color w:val="000000" w:themeColor="text1"/>
          <w:sz w:val="24"/>
          <w:szCs w:val="24"/>
        </w:rPr>
        <w:t>S</w:t>
      </w:r>
      <w:r w:rsidR="00CC0987" w:rsidRPr="002377AA">
        <w:rPr>
          <w:rFonts w:asciiTheme="majorBidi" w:hAnsiTheme="majorBidi" w:cstheme="majorBidi"/>
          <w:i/>
          <w:iCs/>
          <w:color w:val="000000" w:themeColor="text1"/>
          <w:sz w:val="24"/>
          <w:szCs w:val="24"/>
        </w:rPr>
        <w:t>ukuk</w:t>
      </w:r>
      <w:r w:rsidR="00CC0987" w:rsidRPr="009B1361">
        <w:rPr>
          <w:rFonts w:asciiTheme="majorBidi" w:hAnsiTheme="majorBidi" w:cstheme="majorBidi"/>
          <w:color w:val="000000" w:themeColor="text1"/>
          <w:sz w:val="24"/>
          <w:szCs w:val="24"/>
        </w:rPr>
        <w:t xml:space="preserve"> and conventional bonds and </w:t>
      </w:r>
      <w:r w:rsidR="006D7640" w:rsidRPr="009B1361">
        <w:rPr>
          <w:rFonts w:asciiTheme="majorBidi" w:hAnsiTheme="majorBidi" w:cstheme="majorBidi"/>
          <w:color w:val="000000" w:themeColor="text1"/>
          <w:sz w:val="24"/>
          <w:szCs w:val="24"/>
        </w:rPr>
        <w:t>discussion on</w:t>
      </w:r>
      <w:r w:rsidR="00CC0987" w:rsidRPr="009B1361">
        <w:rPr>
          <w:rFonts w:asciiTheme="majorBidi" w:hAnsiTheme="majorBidi" w:cstheme="majorBidi"/>
          <w:color w:val="000000" w:themeColor="text1"/>
          <w:sz w:val="24"/>
          <w:szCs w:val="24"/>
        </w:rPr>
        <w:t xml:space="preserve"> the empirical results</w:t>
      </w:r>
      <w:r w:rsidR="00662260" w:rsidRPr="009B1361">
        <w:rPr>
          <w:rFonts w:asciiTheme="majorBidi" w:hAnsiTheme="majorBidi" w:cstheme="majorBidi"/>
          <w:color w:val="000000" w:themeColor="text1"/>
          <w:sz w:val="24"/>
          <w:szCs w:val="24"/>
        </w:rPr>
        <w:t>. Finally</w:t>
      </w:r>
      <w:r w:rsidR="009538A3" w:rsidRPr="009B1361">
        <w:rPr>
          <w:rFonts w:asciiTheme="majorBidi" w:hAnsiTheme="majorBidi" w:cstheme="majorBidi"/>
          <w:color w:val="000000" w:themeColor="text1"/>
          <w:sz w:val="24"/>
          <w:szCs w:val="24"/>
        </w:rPr>
        <w:t>,</w:t>
      </w:r>
      <w:r w:rsidR="00662260" w:rsidRPr="009B1361">
        <w:rPr>
          <w:rFonts w:asciiTheme="majorBidi" w:hAnsiTheme="majorBidi" w:cstheme="majorBidi"/>
          <w:color w:val="000000" w:themeColor="text1"/>
          <w:sz w:val="24"/>
          <w:szCs w:val="24"/>
        </w:rPr>
        <w:t xml:space="preserve"> conclusion </w:t>
      </w:r>
      <w:r w:rsidR="009538A3" w:rsidRPr="009B1361">
        <w:rPr>
          <w:rFonts w:asciiTheme="majorBidi" w:hAnsiTheme="majorBidi" w:cstheme="majorBidi"/>
          <w:color w:val="000000" w:themeColor="text1"/>
          <w:sz w:val="24"/>
          <w:szCs w:val="24"/>
        </w:rPr>
        <w:t xml:space="preserve">presents </w:t>
      </w:r>
      <w:r w:rsidR="00662260" w:rsidRPr="009B1361">
        <w:rPr>
          <w:rFonts w:asciiTheme="majorBidi" w:hAnsiTheme="majorBidi" w:cstheme="majorBidi"/>
          <w:color w:val="000000" w:themeColor="text1"/>
          <w:sz w:val="24"/>
          <w:szCs w:val="24"/>
        </w:rPr>
        <w:t>the summary of the</w:t>
      </w:r>
      <w:r w:rsidR="00CC0987" w:rsidRPr="009B1361">
        <w:rPr>
          <w:rFonts w:asciiTheme="majorBidi" w:hAnsiTheme="majorBidi" w:cstheme="majorBidi"/>
          <w:color w:val="000000" w:themeColor="text1"/>
          <w:sz w:val="24"/>
          <w:szCs w:val="24"/>
        </w:rPr>
        <w:t xml:space="preserve"> finding</w:t>
      </w:r>
      <w:r w:rsidR="00662260" w:rsidRPr="009B1361">
        <w:rPr>
          <w:rFonts w:asciiTheme="majorBidi" w:hAnsiTheme="majorBidi" w:cstheme="majorBidi"/>
          <w:color w:val="000000" w:themeColor="text1"/>
          <w:sz w:val="24"/>
          <w:szCs w:val="24"/>
        </w:rPr>
        <w:t>s</w:t>
      </w:r>
      <w:r w:rsidR="00CC0987" w:rsidRPr="009B1361">
        <w:rPr>
          <w:rFonts w:asciiTheme="majorBidi" w:hAnsiTheme="majorBidi" w:cstheme="majorBidi"/>
          <w:color w:val="000000" w:themeColor="text1"/>
          <w:sz w:val="24"/>
          <w:szCs w:val="24"/>
        </w:rPr>
        <w:t xml:space="preserve"> and emphasizes recommendations for future research on the same characteristic studies.</w:t>
      </w:r>
    </w:p>
    <w:p w14:paraId="2C7C6212" w14:textId="51729987" w:rsidR="00A858A8" w:rsidRDefault="00A858A8" w:rsidP="006D7640">
      <w:pPr>
        <w:pStyle w:val="BodyText3"/>
        <w:numPr>
          <w:ilvl w:val="0"/>
          <w:numId w:val="19"/>
        </w:numPr>
        <w:rPr>
          <w:rFonts w:ascii="Times New Roman" w:hAnsi="Times New Roman" w:cs="Times New Roman"/>
          <w:b/>
          <w:noProof/>
          <w:sz w:val="24"/>
          <w:szCs w:val="24"/>
        </w:rPr>
      </w:pPr>
      <w:r>
        <w:rPr>
          <w:rFonts w:ascii="Times New Roman" w:hAnsi="Times New Roman" w:cs="Times New Roman"/>
          <w:b/>
          <w:noProof/>
          <w:sz w:val="24"/>
          <w:szCs w:val="24"/>
        </w:rPr>
        <w:t xml:space="preserve">LITERATURE REVIEW </w:t>
      </w:r>
    </w:p>
    <w:p w14:paraId="69127CFD" w14:textId="29E0EC93" w:rsidR="00A858A8" w:rsidRPr="00546532" w:rsidRDefault="00A858A8" w:rsidP="00A858A8">
      <w:pPr>
        <w:shd w:val="clear" w:color="auto" w:fill="FFFFFF" w:themeFill="background1"/>
        <w:spacing w:before="120" w:after="120" w:line="360" w:lineRule="auto"/>
        <w:jc w:val="both"/>
        <w:rPr>
          <w:rFonts w:asciiTheme="majorBidi" w:hAnsiTheme="majorBidi" w:cstheme="majorBidi"/>
          <w:sz w:val="24"/>
          <w:szCs w:val="24"/>
        </w:rPr>
      </w:pPr>
      <w:r w:rsidRPr="00546532">
        <w:rPr>
          <w:rFonts w:asciiTheme="majorBidi" w:hAnsiTheme="majorBidi" w:cstheme="majorBidi"/>
          <w:color w:val="2E2E2E"/>
          <w:sz w:val="24"/>
          <w:szCs w:val="24"/>
        </w:rPr>
        <w:t xml:space="preserve">Sukuk </w:t>
      </w:r>
      <w:r w:rsidR="005446CA">
        <w:rPr>
          <w:rFonts w:asciiTheme="majorBidi" w:hAnsiTheme="majorBidi" w:cstheme="majorBidi"/>
          <w:color w:val="2E2E2E"/>
          <w:sz w:val="24"/>
          <w:szCs w:val="24"/>
        </w:rPr>
        <w:t>a</w:t>
      </w:r>
      <w:r w:rsidR="00064D75">
        <w:rPr>
          <w:rFonts w:asciiTheme="majorBidi" w:hAnsiTheme="majorBidi" w:cstheme="majorBidi"/>
          <w:color w:val="2E2E2E"/>
          <w:sz w:val="24"/>
          <w:szCs w:val="24"/>
        </w:rPr>
        <w:t>cts</w:t>
      </w:r>
      <w:r w:rsidRPr="00546532">
        <w:rPr>
          <w:rFonts w:asciiTheme="majorBidi" w:hAnsiTheme="majorBidi" w:cstheme="majorBidi"/>
          <w:color w:val="2E2E2E"/>
          <w:sz w:val="24"/>
          <w:szCs w:val="24"/>
        </w:rPr>
        <w:t xml:space="preserve"> as a vital tool for resource mobilization and a key instrument </w:t>
      </w:r>
      <w:r w:rsidR="002A7976">
        <w:rPr>
          <w:rFonts w:asciiTheme="majorBidi" w:hAnsiTheme="majorBidi" w:cstheme="majorBidi"/>
          <w:color w:val="2E2E2E"/>
          <w:sz w:val="24"/>
          <w:szCs w:val="24"/>
        </w:rPr>
        <w:t>within the</w:t>
      </w:r>
      <w:r w:rsidRPr="00546532">
        <w:rPr>
          <w:rFonts w:asciiTheme="majorBidi" w:hAnsiTheme="majorBidi" w:cstheme="majorBidi"/>
          <w:color w:val="2E2E2E"/>
          <w:sz w:val="24"/>
          <w:szCs w:val="24"/>
        </w:rPr>
        <w:t xml:space="preserve">  develop</w:t>
      </w:r>
      <w:r w:rsidR="00064D75">
        <w:rPr>
          <w:rFonts w:asciiTheme="majorBidi" w:hAnsiTheme="majorBidi" w:cstheme="majorBidi"/>
          <w:color w:val="2E2E2E"/>
          <w:sz w:val="24"/>
          <w:szCs w:val="24"/>
        </w:rPr>
        <w:t xml:space="preserve">ing </w:t>
      </w:r>
      <w:r w:rsidRPr="00546532">
        <w:rPr>
          <w:rFonts w:asciiTheme="majorBidi" w:hAnsiTheme="majorBidi" w:cstheme="majorBidi"/>
          <w:color w:val="2E2E2E"/>
          <w:sz w:val="24"/>
          <w:szCs w:val="24"/>
        </w:rPr>
        <w:t>Islamic financial industry</w:t>
      </w:r>
      <w:r w:rsidR="002A7976">
        <w:rPr>
          <w:rFonts w:asciiTheme="majorBidi" w:hAnsiTheme="majorBidi" w:cstheme="majorBidi"/>
          <w:color w:val="2E2E2E"/>
          <w:sz w:val="24"/>
          <w:szCs w:val="24"/>
        </w:rPr>
        <w:t>.</w:t>
      </w:r>
      <w:r w:rsidR="00064D75">
        <w:rPr>
          <w:rFonts w:asciiTheme="majorBidi" w:hAnsiTheme="majorBidi" w:cstheme="majorBidi"/>
          <w:color w:val="2E2E2E"/>
          <w:sz w:val="24"/>
          <w:szCs w:val="24"/>
        </w:rPr>
        <w:t xml:space="preserve"> </w:t>
      </w:r>
      <w:r w:rsidR="002A7976">
        <w:rPr>
          <w:rFonts w:asciiTheme="majorBidi" w:hAnsiTheme="majorBidi" w:cstheme="majorBidi"/>
          <w:color w:val="2E2E2E"/>
          <w:sz w:val="24"/>
          <w:szCs w:val="24"/>
        </w:rPr>
        <w:t>F</w:t>
      </w:r>
      <w:r w:rsidRPr="00546532">
        <w:rPr>
          <w:rFonts w:asciiTheme="majorBidi" w:hAnsiTheme="majorBidi" w:cstheme="majorBidi"/>
          <w:color w:val="2E2E2E"/>
          <w:sz w:val="24"/>
          <w:szCs w:val="24"/>
        </w:rPr>
        <w:t xml:space="preserve">ew studies </w:t>
      </w:r>
      <w:r w:rsidR="002A7976">
        <w:rPr>
          <w:rFonts w:asciiTheme="majorBidi" w:hAnsiTheme="majorBidi" w:cstheme="majorBidi"/>
          <w:color w:val="2E2E2E"/>
          <w:sz w:val="24"/>
          <w:szCs w:val="24"/>
        </w:rPr>
        <w:t xml:space="preserve">have </w:t>
      </w:r>
      <w:r w:rsidRPr="00546532">
        <w:rPr>
          <w:rFonts w:asciiTheme="majorBidi" w:hAnsiTheme="majorBidi" w:cstheme="majorBidi"/>
          <w:color w:val="2E2E2E"/>
          <w:sz w:val="24"/>
          <w:szCs w:val="24"/>
        </w:rPr>
        <w:t>empirically focu</w:t>
      </w:r>
      <w:r w:rsidR="002A7976">
        <w:rPr>
          <w:rFonts w:asciiTheme="majorBidi" w:hAnsiTheme="majorBidi" w:cstheme="majorBidi"/>
          <w:color w:val="2E2E2E"/>
          <w:sz w:val="24"/>
          <w:szCs w:val="24"/>
        </w:rPr>
        <w:t>sed</w:t>
      </w:r>
      <w:r w:rsidRPr="00546532">
        <w:rPr>
          <w:rFonts w:asciiTheme="majorBidi" w:hAnsiTheme="majorBidi" w:cstheme="majorBidi"/>
          <w:color w:val="2E2E2E"/>
          <w:sz w:val="24"/>
          <w:szCs w:val="24"/>
        </w:rPr>
        <w:t xml:space="preserve"> on </w:t>
      </w:r>
      <w:r w:rsidR="002A7976">
        <w:rPr>
          <w:rFonts w:asciiTheme="majorBidi" w:hAnsiTheme="majorBidi" w:cstheme="majorBidi"/>
          <w:color w:val="2E2E2E"/>
          <w:sz w:val="24"/>
          <w:szCs w:val="24"/>
        </w:rPr>
        <w:t>the</w:t>
      </w:r>
      <w:r w:rsidRPr="00546532">
        <w:rPr>
          <w:rFonts w:asciiTheme="majorBidi" w:hAnsiTheme="majorBidi" w:cstheme="majorBidi"/>
          <w:color w:val="2E2E2E"/>
          <w:sz w:val="24"/>
          <w:szCs w:val="24"/>
        </w:rPr>
        <w:t xml:space="preserve"> specific characteristics or stock market reactions to their issuance</w:t>
      </w:r>
      <w:r w:rsidR="002A7976">
        <w:rPr>
          <w:rFonts w:asciiTheme="majorBidi" w:hAnsiTheme="majorBidi" w:cstheme="majorBidi"/>
          <w:color w:val="2E2E2E"/>
          <w:sz w:val="24"/>
          <w:szCs w:val="24"/>
        </w:rPr>
        <w:t xml:space="preserve"> </w:t>
      </w:r>
      <w:r w:rsidRPr="00546532">
        <w:rPr>
          <w:rFonts w:asciiTheme="majorBidi" w:hAnsiTheme="majorBidi" w:cstheme="majorBidi"/>
          <w:color w:val="2E2E2E"/>
          <w:sz w:val="24"/>
          <w:szCs w:val="24"/>
        </w:rPr>
        <w:t xml:space="preserve">(Alam, Hassan and Haque, 2013). However, </w:t>
      </w:r>
      <w:hyperlink r:id="rId8" w:anchor="bib22" w:history="1">
        <w:r w:rsidRPr="00546532">
          <w:rPr>
            <w:rFonts w:asciiTheme="majorBidi" w:hAnsiTheme="majorBidi" w:cstheme="majorBidi"/>
            <w:sz w:val="24"/>
            <w:szCs w:val="24"/>
            <w:bdr w:val="none" w:sz="0" w:space="0" w:color="auto" w:frame="1"/>
          </w:rPr>
          <w:t xml:space="preserve">Jobst </w:t>
        </w:r>
        <w:r w:rsidRPr="00546532">
          <w:rPr>
            <w:rFonts w:asciiTheme="majorBidi" w:hAnsiTheme="majorBidi" w:cstheme="majorBidi"/>
            <w:i/>
            <w:iCs/>
            <w:sz w:val="24"/>
            <w:szCs w:val="24"/>
            <w:bdr w:val="none" w:sz="0" w:space="0" w:color="auto" w:frame="1"/>
          </w:rPr>
          <w:t>et</w:t>
        </w:r>
        <w:r w:rsidRPr="00546532">
          <w:rPr>
            <w:rFonts w:asciiTheme="majorBidi" w:hAnsiTheme="majorBidi" w:cstheme="majorBidi"/>
            <w:sz w:val="24"/>
            <w:szCs w:val="24"/>
            <w:bdr w:val="none" w:sz="0" w:space="0" w:color="auto" w:frame="1"/>
          </w:rPr>
          <w:t> </w:t>
        </w:r>
        <w:r w:rsidRPr="00546532">
          <w:rPr>
            <w:rFonts w:asciiTheme="majorBidi" w:hAnsiTheme="majorBidi" w:cstheme="majorBidi"/>
            <w:i/>
            <w:iCs/>
            <w:sz w:val="24"/>
            <w:szCs w:val="24"/>
            <w:bdr w:val="none" w:sz="0" w:space="0" w:color="auto" w:frame="1"/>
          </w:rPr>
          <w:t>al</w:t>
        </w:r>
        <w:r w:rsidRPr="00546532">
          <w:rPr>
            <w:rFonts w:asciiTheme="majorBidi" w:hAnsiTheme="majorBidi" w:cstheme="majorBidi"/>
            <w:sz w:val="24"/>
            <w:szCs w:val="24"/>
            <w:bdr w:val="none" w:sz="0" w:space="0" w:color="auto" w:frame="1"/>
          </w:rPr>
          <w:t>. (2008)</w:t>
        </w:r>
      </w:hyperlink>
      <w:r w:rsidRPr="00546532">
        <w:rPr>
          <w:rFonts w:asciiTheme="majorBidi" w:hAnsiTheme="majorBidi" w:cstheme="majorBidi"/>
          <w:color w:val="2E2E2E"/>
          <w:sz w:val="24"/>
          <w:szCs w:val="24"/>
        </w:rPr>
        <w:t xml:space="preserve"> in their seminal paper summarised  </w:t>
      </w:r>
      <w:r w:rsidR="00AC2338">
        <w:rPr>
          <w:rFonts w:asciiTheme="majorBidi" w:hAnsiTheme="majorBidi" w:cstheme="majorBidi"/>
          <w:color w:val="2E2E2E"/>
          <w:sz w:val="24"/>
          <w:szCs w:val="24"/>
        </w:rPr>
        <w:t>key</w:t>
      </w:r>
      <w:r w:rsidRPr="00546532">
        <w:rPr>
          <w:rFonts w:asciiTheme="majorBidi" w:hAnsiTheme="majorBidi" w:cstheme="majorBidi"/>
          <w:color w:val="2E2E2E"/>
          <w:sz w:val="24"/>
          <w:szCs w:val="24"/>
        </w:rPr>
        <w:t xml:space="preserve"> issues encompassing the </w:t>
      </w:r>
      <w:r w:rsidR="00A35B63" w:rsidRPr="002377AA">
        <w:rPr>
          <w:rFonts w:asciiTheme="majorBidi" w:hAnsiTheme="majorBidi" w:cstheme="majorBidi"/>
          <w:i/>
          <w:iCs/>
          <w:color w:val="2E2E2E"/>
          <w:sz w:val="24"/>
          <w:szCs w:val="24"/>
        </w:rPr>
        <w:t>S</w:t>
      </w:r>
      <w:r w:rsidRPr="002377AA">
        <w:rPr>
          <w:rFonts w:asciiTheme="majorBidi" w:hAnsiTheme="majorBidi" w:cstheme="majorBidi"/>
          <w:i/>
          <w:iCs/>
          <w:color w:val="2E2E2E"/>
          <w:sz w:val="24"/>
          <w:szCs w:val="24"/>
        </w:rPr>
        <w:t>ukuk</w:t>
      </w:r>
      <w:r w:rsidRPr="00546532">
        <w:rPr>
          <w:rFonts w:asciiTheme="majorBidi" w:hAnsiTheme="majorBidi" w:cstheme="majorBidi"/>
          <w:color w:val="2E2E2E"/>
          <w:sz w:val="24"/>
          <w:szCs w:val="24"/>
        </w:rPr>
        <w:t xml:space="preserve"> market. </w:t>
      </w:r>
      <w:r w:rsidR="00FB7AC9">
        <w:rPr>
          <w:rFonts w:asciiTheme="majorBidi" w:hAnsiTheme="majorBidi" w:cstheme="majorBidi"/>
          <w:color w:val="2E2E2E"/>
          <w:sz w:val="24"/>
          <w:szCs w:val="24"/>
        </w:rPr>
        <w:t>Mentioning,</w:t>
      </w:r>
      <w:r w:rsidRPr="00546532">
        <w:rPr>
          <w:rFonts w:asciiTheme="majorBidi" w:hAnsiTheme="majorBidi" w:cstheme="majorBidi"/>
          <w:color w:val="2E2E2E"/>
          <w:sz w:val="24"/>
          <w:szCs w:val="24"/>
        </w:rPr>
        <w:t xml:space="preserve"> de</w:t>
      </w:r>
      <w:r w:rsidR="006D7640">
        <w:rPr>
          <w:rFonts w:asciiTheme="majorBidi" w:hAnsiTheme="majorBidi" w:cstheme="majorBidi"/>
          <w:color w:val="2E2E2E"/>
          <w:sz w:val="24"/>
          <w:szCs w:val="24"/>
        </w:rPr>
        <w:t>spite the global fiscal crisis,</w:t>
      </w:r>
      <w:r w:rsidRPr="00546532">
        <w:rPr>
          <w:rFonts w:asciiTheme="majorBidi" w:hAnsiTheme="majorBidi" w:cstheme="majorBidi"/>
          <w:color w:val="2E2E2E"/>
          <w:sz w:val="24"/>
          <w:szCs w:val="24"/>
        </w:rPr>
        <w:t xml:space="preserve"> a strong demand </w:t>
      </w:r>
      <w:r w:rsidR="00E95BEE">
        <w:rPr>
          <w:rFonts w:asciiTheme="majorBidi" w:hAnsiTheme="majorBidi" w:cstheme="majorBidi"/>
          <w:color w:val="2E2E2E"/>
          <w:sz w:val="24"/>
          <w:szCs w:val="24"/>
        </w:rPr>
        <w:t xml:space="preserve">prevails </w:t>
      </w:r>
      <w:r w:rsidRPr="00546532">
        <w:rPr>
          <w:rFonts w:asciiTheme="majorBidi" w:hAnsiTheme="majorBidi" w:cstheme="majorBidi"/>
          <w:color w:val="2E2E2E"/>
          <w:sz w:val="24"/>
          <w:szCs w:val="24"/>
        </w:rPr>
        <w:t>from both Islamic countries and conventional financial institutions for Shari</w:t>
      </w:r>
      <w:r w:rsidR="002377AA">
        <w:rPr>
          <w:rFonts w:asciiTheme="majorBidi" w:hAnsiTheme="majorBidi" w:cstheme="majorBidi"/>
          <w:color w:val="2E2E2E"/>
          <w:sz w:val="24"/>
          <w:szCs w:val="24"/>
        </w:rPr>
        <w:t>’</w:t>
      </w:r>
      <w:r w:rsidRPr="00546532">
        <w:rPr>
          <w:rFonts w:asciiTheme="majorBidi" w:hAnsiTheme="majorBidi" w:cstheme="majorBidi"/>
          <w:color w:val="2E2E2E"/>
          <w:sz w:val="24"/>
          <w:szCs w:val="24"/>
        </w:rPr>
        <w:t>ah compliant securities</w:t>
      </w:r>
      <w:r w:rsidR="007B29F4">
        <w:rPr>
          <w:rFonts w:asciiTheme="majorBidi" w:hAnsiTheme="majorBidi" w:cstheme="majorBidi"/>
          <w:color w:val="2E2E2E"/>
          <w:sz w:val="24"/>
          <w:szCs w:val="24"/>
        </w:rPr>
        <w:t>,</w:t>
      </w:r>
      <w:r w:rsidRPr="00546532">
        <w:rPr>
          <w:rFonts w:asciiTheme="majorBidi" w:hAnsiTheme="majorBidi" w:cstheme="majorBidi"/>
          <w:color w:val="2E2E2E"/>
          <w:sz w:val="24"/>
          <w:szCs w:val="24"/>
        </w:rPr>
        <w:t xml:space="preserve"> like </w:t>
      </w:r>
      <w:r w:rsidR="00C30397" w:rsidRPr="002377AA">
        <w:rPr>
          <w:rFonts w:asciiTheme="majorBidi" w:hAnsiTheme="majorBidi" w:cstheme="majorBidi"/>
          <w:i/>
          <w:iCs/>
          <w:color w:val="2E2E2E"/>
          <w:sz w:val="24"/>
          <w:szCs w:val="24"/>
        </w:rPr>
        <w:t>S</w:t>
      </w:r>
      <w:r w:rsidRPr="002377AA">
        <w:rPr>
          <w:rFonts w:asciiTheme="majorBidi" w:hAnsiTheme="majorBidi" w:cstheme="majorBidi"/>
          <w:i/>
          <w:iCs/>
          <w:color w:val="2E2E2E"/>
          <w:sz w:val="24"/>
          <w:szCs w:val="24"/>
        </w:rPr>
        <w:t>ukuk</w:t>
      </w:r>
      <w:r w:rsidRPr="00546532">
        <w:rPr>
          <w:rFonts w:asciiTheme="majorBidi" w:hAnsiTheme="majorBidi" w:cstheme="majorBidi"/>
          <w:color w:val="2E2E2E"/>
          <w:sz w:val="24"/>
          <w:szCs w:val="24"/>
        </w:rPr>
        <w:t xml:space="preserve"> instruments.</w:t>
      </w:r>
      <w:r w:rsidR="002A7976">
        <w:rPr>
          <w:rFonts w:asciiTheme="majorBidi" w:hAnsiTheme="majorBidi" w:cstheme="majorBidi"/>
          <w:sz w:val="24"/>
          <w:szCs w:val="24"/>
        </w:rPr>
        <w:t xml:space="preserve"> </w:t>
      </w:r>
      <w:r w:rsidR="00C30397" w:rsidRPr="002377AA">
        <w:rPr>
          <w:rFonts w:asciiTheme="majorBidi" w:hAnsiTheme="majorBidi" w:cstheme="majorBidi"/>
          <w:i/>
          <w:iCs/>
          <w:sz w:val="24"/>
          <w:szCs w:val="24"/>
        </w:rPr>
        <w:t>S</w:t>
      </w:r>
      <w:r w:rsidRPr="002377AA">
        <w:rPr>
          <w:rFonts w:asciiTheme="majorBidi" w:hAnsiTheme="majorBidi" w:cstheme="majorBidi"/>
          <w:i/>
          <w:iCs/>
          <w:sz w:val="24"/>
          <w:szCs w:val="24"/>
        </w:rPr>
        <w:t>ukuk</w:t>
      </w:r>
      <w:r w:rsidRPr="00546532">
        <w:rPr>
          <w:rFonts w:asciiTheme="majorBidi" w:hAnsiTheme="majorBidi" w:cstheme="majorBidi"/>
          <w:sz w:val="24"/>
          <w:szCs w:val="24"/>
        </w:rPr>
        <w:t xml:space="preserve"> </w:t>
      </w:r>
      <w:r w:rsidR="00986370">
        <w:rPr>
          <w:rFonts w:asciiTheme="majorBidi" w:hAnsiTheme="majorBidi" w:cstheme="majorBidi"/>
          <w:sz w:val="24"/>
          <w:szCs w:val="24"/>
        </w:rPr>
        <w:t>remain</w:t>
      </w:r>
      <w:r w:rsidRPr="00546532">
        <w:rPr>
          <w:rFonts w:asciiTheme="majorBidi" w:hAnsiTheme="majorBidi" w:cstheme="majorBidi"/>
          <w:sz w:val="24"/>
          <w:szCs w:val="24"/>
        </w:rPr>
        <w:t xml:space="preserve"> criticized on the precepts that they are commonly structured along similar lines of asset securitization as </w:t>
      </w:r>
      <w:r w:rsidR="00986370">
        <w:rPr>
          <w:rFonts w:asciiTheme="majorBidi" w:hAnsiTheme="majorBidi" w:cstheme="majorBidi"/>
          <w:sz w:val="24"/>
          <w:szCs w:val="24"/>
        </w:rPr>
        <w:t>arising</w:t>
      </w:r>
      <w:r w:rsidRPr="00546532">
        <w:rPr>
          <w:rFonts w:asciiTheme="majorBidi" w:hAnsiTheme="majorBidi" w:cstheme="majorBidi"/>
          <w:sz w:val="24"/>
          <w:szCs w:val="24"/>
        </w:rPr>
        <w:t xml:space="preserve"> in conventional finance, thus</w:t>
      </w:r>
      <w:r w:rsidR="00F83147">
        <w:rPr>
          <w:rFonts w:asciiTheme="majorBidi" w:hAnsiTheme="majorBidi" w:cstheme="majorBidi"/>
          <w:sz w:val="24"/>
          <w:szCs w:val="24"/>
        </w:rPr>
        <w:t>,</w:t>
      </w:r>
      <w:r w:rsidRPr="00546532">
        <w:rPr>
          <w:rFonts w:asciiTheme="majorBidi" w:hAnsiTheme="majorBidi" w:cstheme="majorBidi"/>
          <w:sz w:val="24"/>
          <w:szCs w:val="24"/>
        </w:rPr>
        <w:t xml:space="preserve"> r</w:t>
      </w:r>
      <w:r w:rsidR="00662260">
        <w:rPr>
          <w:rFonts w:asciiTheme="majorBidi" w:hAnsiTheme="majorBidi" w:cstheme="majorBidi"/>
          <w:sz w:val="24"/>
          <w:szCs w:val="24"/>
        </w:rPr>
        <w:t>aising</w:t>
      </w:r>
      <w:r w:rsidRPr="00546532">
        <w:rPr>
          <w:rFonts w:asciiTheme="majorBidi" w:hAnsiTheme="majorBidi" w:cstheme="majorBidi"/>
          <w:sz w:val="24"/>
          <w:szCs w:val="24"/>
        </w:rPr>
        <w:t xml:space="preserve"> doubt</w:t>
      </w:r>
      <w:r w:rsidR="00F83147">
        <w:rPr>
          <w:rFonts w:asciiTheme="majorBidi" w:hAnsiTheme="majorBidi" w:cstheme="majorBidi"/>
          <w:sz w:val="24"/>
          <w:szCs w:val="24"/>
        </w:rPr>
        <w:t>s</w:t>
      </w:r>
      <w:r w:rsidRPr="00546532">
        <w:rPr>
          <w:rFonts w:asciiTheme="majorBidi" w:hAnsiTheme="majorBidi" w:cstheme="majorBidi"/>
          <w:sz w:val="24"/>
          <w:szCs w:val="24"/>
        </w:rPr>
        <w:t xml:space="preserve"> over the uniqueness of </w:t>
      </w:r>
      <w:r w:rsidR="0031799F" w:rsidRPr="002377AA">
        <w:rPr>
          <w:rFonts w:asciiTheme="majorBidi" w:hAnsiTheme="majorBidi" w:cstheme="majorBidi"/>
          <w:i/>
          <w:iCs/>
          <w:sz w:val="24"/>
          <w:szCs w:val="24"/>
        </w:rPr>
        <w:t>S</w:t>
      </w:r>
      <w:r w:rsidRPr="002377AA">
        <w:rPr>
          <w:rFonts w:asciiTheme="majorBidi" w:hAnsiTheme="majorBidi" w:cstheme="majorBidi"/>
          <w:i/>
          <w:iCs/>
          <w:sz w:val="24"/>
          <w:szCs w:val="24"/>
        </w:rPr>
        <w:t>ukuk</w:t>
      </w:r>
      <w:r w:rsidRPr="00546532">
        <w:rPr>
          <w:rFonts w:asciiTheme="majorBidi" w:hAnsiTheme="majorBidi" w:cstheme="majorBidi"/>
          <w:sz w:val="24"/>
          <w:szCs w:val="24"/>
        </w:rPr>
        <w:t xml:space="preserve"> as innovative financial instruments. </w:t>
      </w:r>
      <w:r w:rsidR="00546110">
        <w:rPr>
          <w:rFonts w:asciiTheme="majorBidi" w:hAnsiTheme="majorBidi" w:cstheme="majorBidi"/>
          <w:sz w:val="24"/>
          <w:szCs w:val="24"/>
        </w:rPr>
        <w:t>Such a contention,</w:t>
      </w:r>
      <w:r w:rsidRPr="00546532">
        <w:rPr>
          <w:rFonts w:asciiTheme="majorBidi" w:hAnsiTheme="majorBidi" w:cstheme="majorBidi"/>
          <w:sz w:val="24"/>
          <w:szCs w:val="24"/>
        </w:rPr>
        <w:t xml:space="preserve"> is further supported by Miller, Challoner, and Atta (2007) and Wilson (2008) who argue that issuers apply special attention to issue those </w:t>
      </w:r>
      <w:r w:rsidR="0031799F" w:rsidRPr="002377AA">
        <w:rPr>
          <w:rFonts w:asciiTheme="majorBidi" w:hAnsiTheme="majorBidi" w:cstheme="majorBidi"/>
          <w:i/>
          <w:iCs/>
          <w:sz w:val="24"/>
          <w:szCs w:val="24"/>
        </w:rPr>
        <w:t>S</w:t>
      </w:r>
      <w:r w:rsidR="006D7640" w:rsidRPr="002377AA">
        <w:rPr>
          <w:rFonts w:asciiTheme="majorBidi" w:hAnsiTheme="majorBidi" w:cstheme="majorBidi"/>
          <w:i/>
          <w:iCs/>
          <w:sz w:val="24"/>
          <w:szCs w:val="24"/>
        </w:rPr>
        <w:t>ukuk</w:t>
      </w:r>
      <w:r w:rsidR="006D7640">
        <w:rPr>
          <w:rFonts w:asciiTheme="majorBidi" w:hAnsiTheme="majorBidi" w:cstheme="majorBidi"/>
          <w:sz w:val="24"/>
          <w:szCs w:val="24"/>
        </w:rPr>
        <w:t>, which are identical to</w:t>
      </w:r>
      <w:r w:rsidRPr="00546532">
        <w:rPr>
          <w:rFonts w:asciiTheme="majorBidi" w:hAnsiTheme="majorBidi" w:cstheme="majorBidi"/>
          <w:sz w:val="24"/>
          <w:szCs w:val="24"/>
        </w:rPr>
        <w:t xml:space="preserve"> conventional bonds to simplify investors</w:t>
      </w:r>
      <w:r w:rsidR="002377AA">
        <w:rPr>
          <w:rFonts w:asciiTheme="majorBidi" w:hAnsiTheme="majorBidi" w:cstheme="majorBidi"/>
          <w:sz w:val="24"/>
          <w:szCs w:val="24"/>
        </w:rPr>
        <w:t>’</w:t>
      </w:r>
      <w:r w:rsidRPr="00546532">
        <w:rPr>
          <w:rFonts w:asciiTheme="majorBidi" w:hAnsiTheme="majorBidi" w:cstheme="majorBidi"/>
          <w:sz w:val="24"/>
          <w:szCs w:val="24"/>
        </w:rPr>
        <w:t xml:space="preserve"> risk assessment of </w:t>
      </w:r>
      <w:r w:rsidR="0031799F" w:rsidRPr="002377AA">
        <w:rPr>
          <w:rFonts w:asciiTheme="majorBidi" w:hAnsiTheme="majorBidi" w:cstheme="majorBidi"/>
          <w:i/>
          <w:iCs/>
          <w:sz w:val="24"/>
          <w:szCs w:val="24"/>
        </w:rPr>
        <w:t>S</w:t>
      </w:r>
      <w:r w:rsidRPr="002377AA">
        <w:rPr>
          <w:rFonts w:asciiTheme="majorBidi" w:hAnsiTheme="majorBidi" w:cstheme="majorBidi"/>
          <w:i/>
          <w:iCs/>
          <w:sz w:val="24"/>
          <w:szCs w:val="24"/>
        </w:rPr>
        <w:t>ukuk</w:t>
      </w:r>
      <w:r w:rsidRPr="00546532">
        <w:rPr>
          <w:rFonts w:asciiTheme="majorBidi" w:hAnsiTheme="majorBidi" w:cstheme="majorBidi"/>
          <w:sz w:val="24"/>
          <w:szCs w:val="24"/>
        </w:rPr>
        <w:t xml:space="preserve"> and its returns, therefore</w:t>
      </w:r>
      <w:r w:rsidR="00546110">
        <w:rPr>
          <w:rFonts w:asciiTheme="majorBidi" w:hAnsiTheme="majorBidi" w:cstheme="majorBidi"/>
          <w:sz w:val="24"/>
          <w:szCs w:val="24"/>
        </w:rPr>
        <w:t>,</w:t>
      </w:r>
      <w:r w:rsidRPr="00546532">
        <w:rPr>
          <w:rFonts w:asciiTheme="majorBidi" w:hAnsiTheme="majorBidi" w:cstheme="majorBidi"/>
          <w:sz w:val="24"/>
          <w:szCs w:val="24"/>
        </w:rPr>
        <w:t xml:space="preserve"> </w:t>
      </w:r>
      <w:r w:rsidR="0031799F" w:rsidRPr="002377AA">
        <w:rPr>
          <w:rFonts w:asciiTheme="majorBidi" w:hAnsiTheme="majorBidi" w:cstheme="majorBidi"/>
          <w:i/>
          <w:iCs/>
          <w:sz w:val="24"/>
          <w:szCs w:val="24"/>
        </w:rPr>
        <w:t>S</w:t>
      </w:r>
      <w:r w:rsidRPr="002377AA">
        <w:rPr>
          <w:rFonts w:asciiTheme="majorBidi" w:hAnsiTheme="majorBidi" w:cstheme="majorBidi"/>
          <w:i/>
          <w:iCs/>
          <w:sz w:val="24"/>
          <w:szCs w:val="24"/>
        </w:rPr>
        <w:t>ukuk</w:t>
      </w:r>
      <w:r w:rsidRPr="00546532">
        <w:rPr>
          <w:rFonts w:asciiTheme="majorBidi" w:hAnsiTheme="majorBidi" w:cstheme="majorBidi"/>
          <w:sz w:val="24"/>
          <w:szCs w:val="24"/>
        </w:rPr>
        <w:t xml:space="preserve"> return structure replicates convent</w:t>
      </w:r>
      <w:r w:rsidR="006D7640">
        <w:rPr>
          <w:rFonts w:asciiTheme="majorBidi" w:hAnsiTheme="majorBidi" w:cstheme="majorBidi"/>
          <w:sz w:val="24"/>
          <w:szCs w:val="24"/>
        </w:rPr>
        <w:t>ional bonds and falls behind in</w:t>
      </w:r>
      <w:r w:rsidRPr="00546532">
        <w:rPr>
          <w:rFonts w:asciiTheme="majorBidi" w:hAnsiTheme="majorBidi" w:cstheme="majorBidi"/>
          <w:sz w:val="24"/>
          <w:szCs w:val="24"/>
        </w:rPr>
        <w:t xml:space="preserve"> areas of product innovation and pricing risk characteristics (Zulkhibri, 2015).</w:t>
      </w:r>
    </w:p>
    <w:p w14:paraId="0551DEF7" w14:textId="6E274BF4" w:rsidR="00A858A8" w:rsidRPr="00546532" w:rsidRDefault="00A858A8" w:rsidP="00A858A8">
      <w:pPr>
        <w:shd w:val="clear" w:color="auto" w:fill="FFFFFF" w:themeFill="background1"/>
        <w:spacing w:before="120" w:after="120" w:line="360" w:lineRule="auto"/>
        <w:jc w:val="both"/>
        <w:rPr>
          <w:rFonts w:asciiTheme="majorBidi" w:hAnsiTheme="majorBidi" w:cstheme="majorBidi"/>
          <w:sz w:val="24"/>
          <w:szCs w:val="24"/>
        </w:rPr>
      </w:pPr>
      <w:r w:rsidRPr="00546532">
        <w:rPr>
          <w:rFonts w:asciiTheme="majorBidi" w:hAnsiTheme="majorBidi" w:cstheme="majorBidi"/>
          <w:sz w:val="24"/>
          <w:szCs w:val="24"/>
        </w:rPr>
        <w:t xml:space="preserve">Tariq and Dar (2007) and Zaidi (2009) </w:t>
      </w:r>
      <w:r w:rsidR="00285A29" w:rsidRPr="00546532">
        <w:rPr>
          <w:rFonts w:asciiTheme="majorBidi" w:hAnsiTheme="majorBidi" w:cstheme="majorBidi"/>
          <w:sz w:val="24"/>
          <w:szCs w:val="24"/>
        </w:rPr>
        <w:t>discussed Sukuk</w:t>
      </w:r>
      <w:r w:rsidRPr="00546532">
        <w:rPr>
          <w:rFonts w:asciiTheme="majorBidi" w:hAnsiTheme="majorBidi" w:cstheme="majorBidi"/>
          <w:sz w:val="24"/>
          <w:szCs w:val="24"/>
        </w:rPr>
        <w:t xml:space="preserve"> structure</w:t>
      </w:r>
      <w:r w:rsidR="00AC1857">
        <w:rPr>
          <w:rFonts w:asciiTheme="majorBidi" w:hAnsiTheme="majorBidi" w:cstheme="majorBidi"/>
          <w:sz w:val="24"/>
          <w:szCs w:val="24"/>
        </w:rPr>
        <w:t>s</w:t>
      </w:r>
      <w:r w:rsidRPr="00546532">
        <w:rPr>
          <w:rFonts w:asciiTheme="majorBidi" w:hAnsiTheme="majorBidi" w:cstheme="majorBidi"/>
          <w:sz w:val="24"/>
          <w:szCs w:val="24"/>
        </w:rPr>
        <w:t xml:space="preserve"> </w:t>
      </w:r>
      <w:r w:rsidR="00285A29" w:rsidRPr="00546532">
        <w:rPr>
          <w:rFonts w:asciiTheme="majorBidi" w:hAnsiTheme="majorBidi" w:cstheme="majorBidi"/>
          <w:sz w:val="24"/>
          <w:szCs w:val="24"/>
        </w:rPr>
        <w:t xml:space="preserve">and </w:t>
      </w:r>
      <w:r w:rsidR="002E7E6E" w:rsidRPr="00546532">
        <w:rPr>
          <w:rFonts w:asciiTheme="majorBidi" w:hAnsiTheme="majorBidi" w:cstheme="majorBidi"/>
          <w:sz w:val="24"/>
          <w:szCs w:val="24"/>
        </w:rPr>
        <w:t>investigated risks</w:t>
      </w:r>
      <w:r w:rsidRPr="00546532">
        <w:rPr>
          <w:rFonts w:asciiTheme="majorBidi" w:hAnsiTheme="majorBidi" w:cstheme="majorBidi"/>
          <w:sz w:val="24"/>
          <w:szCs w:val="24"/>
        </w:rPr>
        <w:t xml:space="preserve"> associated with</w:t>
      </w:r>
      <w:r w:rsidR="00F86D7F">
        <w:rPr>
          <w:rFonts w:asciiTheme="majorBidi" w:hAnsiTheme="majorBidi" w:cstheme="majorBidi"/>
          <w:sz w:val="24"/>
          <w:szCs w:val="24"/>
        </w:rPr>
        <w:t xml:space="preserve"> it</w:t>
      </w:r>
      <w:r w:rsidRPr="00546532">
        <w:rPr>
          <w:rFonts w:asciiTheme="majorBidi" w:hAnsiTheme="majorBidi" w:cstheme="majorBidi"/>
          <w:sz w:val="24"/>
          <w:szCs w:val="24"/>
        </w:rPr>
        <w:t xml:space="preserve">. </w:t>
      </w:r>
      <w:bookmarkStart w:id="10" w:name="OLE_LINK234"/>
      <w:bookmarkStart w:id="11" w:name="OLE_LINK235"/>
      <w:r w:rsidRPr="00546532">
        <w:rPr>
          <w:rFonts w:asciiTheme="majorBidi" w:hAnsiTheme="majorBidi" w:cstheme="majorBidi"/>
          <w:sz w:val="24"/>
          <w:szCs w:val="24"/>
        </w:rPr>
        <w:t xml:space="preserve"> Zaidi (2009) concluded that the risk of </w:t>
      </w:r>
      <w:r w:rsidR="00E676FF" w:rsidRPr="002377AA">
        <w:rPr>
          <w:rFonts w:asciiTheme="majorBidi" w:hAnsiTheme="majorBidi" w:cstheme="majorBidi"/>
          <w:i/>
          <w:iCs/>
          <w:sz w:val="24"/>
          <w:szCs w:val="24"/>
        </w:rPr>
        <w:t>S</w:t>
      </w:r>
      <w:r w:rsidRPr="002377AA">
        <w:rPr>
          <w:rFonts w:asciiTheme="majorBidi" w:hAnsiTheme="majorBidi" w:cstheme="majorBidi"/>
          <w:i/>
          <w:iCs/>
          <w:sz w:val="24"/>
          <w:szCs w:val="24"/>
        </w:rPr>
        <w:t>ukuk</w:t>
      </w:r>
      <w:r w:rsidRPr="00546532">
        <w:rPr>
          <w:rFonts w:asciiTheme="majorBidi" w:hAnsiTheme="majorBidi" w:cstheme="majorBidi"/>
          <w:sz w:val="24"/>
          <w:szCs w:val="24"/>
        </w:rPr>
        <w:t xml:space="preserve"> are broader th</w:t>
      </w:r>
      <w:r w:rsidR="007B6048">
        <w:rPr>
          <w:rFonts w:asciiTheme="majorBidi" w:hAnsiTheme="majorBidi" w:cstheme="majorBidi"/>
          <w:sz w:val="24"/>
          <w:szCs w:val="24"/>
        </w:rPr>
        <w:t>an th</w:t>
      </w:r>
      <w:r w:rsidR="002A6495">
        <w:rPr>
          <w:rFonts w:asciiTheme="majorBidi" w:hAnsiTheme="majorBidi" w:cstheme="majorBidi"/>
          <w:sz w:val="24"/>
          <w:szCs w:val="24"/>
        </w:rPr>
        <w:t>ose</w:t>
      </w:r>
      <w:r w:rsidRPr="00546532">
        <w:rPr>
          <w:rFonts w:asciiTheme="majorBidi" w:hAnsiTheme="majorBidi" w:cstheme="majorBidi"/>
          <w:sz w:val="24"/>
          <w:szCs w:val="24"/>
        </w:rPr>
        <w:t xml:space="preserve"> of its conventional counterpar</w:t>
      </w:r>
      <w:bookmarkEnd w:id="10"/>
      <w:bookmarkEnd w:id="11"/>
      <w:r w:rsidRPr="00546532">
        <w:rPr>
          <w:rFonts w:asciiTheme="majorBidi" w:hAnsiTheme="majorBidi" w:cstheme="majorBidi"/>
          <w:sz w:val="24"/>
          <w:szCs w:val="24"/>
        </w:rPr>
        <w:t xml:space="preserve">t because </w:t>
      </w:r>
      <w:r w:rsidR="00285A29" w:rsidRPr="00546532">
        <w:rPr>
          <w:rFonts w:asciiTheme="majorBidi" w:hAnsiTheme="majorBidi" w:cstheme="majorBidi"/>
          <w:sz w:val="24"/>
          <w:szCs w:val="24"/>
        </w:rPr>
        <w:t>it inherited other</w:t>
      </w:r>
      <w:r w:rsidRPr="00546532">
        <w:rPr>
          <w:rFonts w:asciiTheme="majorBidi" w:hAnsiTheme="majorBidi" w:cstheme="majorBidi"/>
          <w:sz w:val="24"/>
          <w:szCs w:val="24"/>
        </w:rPr>
        <w:t xml:space="preserve"> risk factors </w:t>
      </w:r>
      <w:r w:rsidR="007B6048">
        <w:rPr>
          <w:rFonts w:asciiTheme="majorBidi" w:hAnsiTheme="majorBidi" w:cstheme="majorBidi"/>
          <w:sz w:val="24"/>
          <w:szCs w:val="24"/>
        </w:rPr>
        <w:t>aside from</w:t>
      </w:r>
      <w:r w:rsidRPr="00546532">
        <w:rPr>
          <w:rFonts w:asciiTheme="majorBidi" w:hAnsiTheme="majorBidi" w:cstheme="majorBidi"/>
          <w:sz w:val="24"/>
          <w:szCs w:val="24"/>
        </w:rPr>
        <w:t xml:space="preserve"> credit risk</w:t>
      </w:r>
      <w:r w:rsidR="007B6048">
        <w:rPr>
          <w:rFonts w:asciiTheme="majorBidi" w:hAnsiTheme="majorBidi" w:cstheme="majorBidi"/>
          <w:sz w:val="24"/>
          <w:szCs w:val="24"/>
        </w:rPr>
        <w:t>,</w:t>
      </w:r>
      <w:r w:rsidRPr="00546532">
        <w:rPr>
          <w:rFonts w:asciiTheme="majorBidi" w:hAnsiTheme="majorBidi" w:cstheme="majorBidi"/>
          <w:sz w:val="24"/>
          <w:szCs w:val="24"/>
        </w:rPr>
        <w:t xml:space="preserve"> </w:t>
      </w:r>
      <w:r w:rsidR="00953866">
        <w:rPr>
          <w:rFonts w:asciiTheme="majorBidi" w:hAnsiTheme="majorBidi" w:cstheme="majorBidi"/>
          <w:sz w:val="24"/>
          <w:szCs w:val="24"/>
        </w:rPr>
        <w:t>namely,</w:t>
      </w:r>
      <w:r w:rsidRPr="00546532">
        <w:rPr>
          <w:rFonts w:asciiTheme="majorBidi" w:hAnsiTheme="majorBidi" w:cstheme="majorBidi"/>
          <w:sz w:val="24"/>
          <w:szCs w:val="24"/>
        </w:rPr>
        <w:t xml:space="preserve"> market </w:t>
      </w:r>
      <w:r w:rsidR="00C31C8C" w:rsidRPr="00546532">
        <w:rPr>
          <w:rFonts w:asciiTheme="majorBidi" w:hAnsiTheme="majorBidi" w:cstheme="majorBidi"/>
          <w:sz w:val="24"/>
          <w:szCs w:val="24"/>
        </w:rPr>
        <w:t>risk, underlying</w:t>
      </w:r>
      <w:r w:rsidR="00E114EB">
        <w:rPr>
          <w:rFonts w:asciiTheme="majorBidi" w:hAnsiTheme="majorBidi" w:cstheme="majorBidi"/>
          <w:sz w:val="24"/>
          <w:szCs w:val="24"/>
        </w:rPr>
        <w:t xml:space="preserve"> asset </w:t>
      </w:r>
      <w:r w:rsidR="00C31C8C">
        <w:rPr>
          <w:rFonts w:asciiTheme="majorBidi" w:hAnsiTheme="majorBidi" w:cstheme="majorBidi"/>
          <w:sz w:val="24"/>
          <w:szCs w:val="24"/>
        </w:rPr>
        <w:t>risk,</w:t>
      </w:r>
      <w:r w:rsidR="00C31C8C" w:rsidRPr="00546532">
        <w:rPr>
          <w:rFonts w:asciiTheme="majorBidi" w:hAnsiTheme="majorBidi" w:cstheme="majorBidi"/>
          <w:sz w:val="24"/>
          <w:szCs w:val="24"/>
        </w:rPr>
        <w:t xml:space="preserve"> </w:t>
      </w:r>
      <w:r w:rsidR="002E7E6E" w:rsidRPr="00546532">
        <w:rPr>
          <w:rFonts w:asciiTheme="majorBidi" w:hAnsiTheme="majorBidi" w:cstheme="majorBidi"/>
          <w:sz w:val="24"/>
          <w:szCs w:val="24"/>
        </w:rPr>
        <w:t>and regulatory</w:t>
      </w:r>
      <w:r w:rsidRPr="00546532">
        <w:rPr>
          <w:rFonts w:asciiTheme="majorBidi" w:hAnsiTheme="majorBidi" w:cstheme="majorBidi"/>
          <w:sz w:val="24"/>
          <w:szCs w:val="24"/>
        </w:rPr>
        <w:t xml:space="preserve"> risk. However, Tariq </w:t>
      </w:r>
      <w:r w:rsidRPr="00401058">
        <w:rPr>
          <w:rFonts w:asciiTheme="majorBidi" w:hAnsiTheme="majorBidi" w:cstheme="majorBidi"/>
          <w:i/>
          <w:iCs/>
          <w:sz w:val="24"/>
          <w:szCs w:val="24"/>
        </w:rPr>
        <w:t>et al</w:t>
      </w:r>
      <w:r w:rsidRPr="00546532">
        <w:rPr>
          <w:rFonts w:asciiTheme="majorBidi" w:hAnsiTheme="majorBidi" w:cstheme="majorBidi"/>
          <w:sz w:val="24"/>
          <w:szCs w:val="24"/>
        </w:rPr>
        <w:t>. (2007</w:t>
      </w:r>
      <w:r w:rsidR="00285A29" w:rsidRPr="00546532">
        <w:rPr>
          <w:rFonts w:asciiTheme="majorBidi" w:hAnsiTheme="majorBidi" w:cstheme="majorBidi"/>
          <w:sz w:val="24"/>
          <w:szCs w:val="24"/>
        </w:rPr>
        <w:t>) introduced unique</w:t>
      </w:r>
      <w:r w:rsidRPr="00546532">
        <w:rPr>
          <w:rFonts w:asciiTheme="majorBidi" w:hAnsiTheme="majorBidi" w:cstheme="majorBidi"/>
          <w:sz w:val="24"/>
          <w:szCs w:val="24"/>
        </w:rPr>
        <w:t xml:space="preserve"> type</w:t>
      </w:r>
      <w:r w:rsidR="007B156A">
        <w:rPr>
          <w:rFonts w:asciiTheme="majorBidi" w:hAnsiTheme="majorBidi" w:cstheme="majorBidi"/>
          <w:sz w:val="24"/>
          <w:szCs w:val="24"/>
        </w:rPr>
        <w:t>s</w:t>
      </w:r>
      <w:r w:rsidRPr="00546532">
        <w:rPr>
          <w:rFonts w:asciiTheme="majorBidi" w:hAnsiTheme="majorBidi" w:cstheme="majorBidi"/>
          <w:sz w:val="24"/>
          <w:szCs w:val="24"/>
        </w:rPr>
        <w:t xml:space="preserve"> of derivatives </w:t>
      </w:r>
      <w:r w:rsidR="00C31C8C">
        <w:rPr>
          <w:rFonts w:asciiTheme="majorBidi" w:hAnsiTheme="majorBidi" w:cstheme="majorBidi"/>
          <w:sz w:val="24"/>
          <w:szCs w:val="24"/>
        </w:rPr>
        <w:t xml:space="preserve">mitigating </w:t>
      </w:r>
      <w:r w:rsidR="00C31C8C" w:rsidRPr="002377AA">
        <w:rPr>
          <w:rFonts w:asciiTheme="majorBidi" w:hAnsiTheme="majorBidi" w:cstheme="majorBidi"/>
          <w:i/>
          <w:iCs/>
          <w:sz w:val="24"/>
          <w:szCs w:val="24"/>
        </w:rPr>
        <w:t>Sukuk</w:t>
      </w:r>
      <w:r w:rsidRPr="00546532">
        <w:rPr>
          <w:rFonts w:asciiTheme="majorBidi" w:hAnsiTheme="majorBidi" w:cstheme="majorBidi"/>
          <w:sz w:val="24"/>
          <w:szCs w:val="24"/>
        </w:rPr>
        <w:t xml:space="preserve"> risk management and comp</w:t>
      </w:r>
      <w:r w:rsidR="00401058">
        <w:rPr>
          <w:rFonts w:asciiTheme="majorBidi" w:hAnsiTheme="majorBidi" w:cstheme="majorBidi"/>
          <w:sz w:val="24"/>
          <w:szCs w:val="24"/>
        </w:rPr>
        <w:t>liance with Shari</w:t>
      </w:r>
      <w:r w:rsidR="002377AA">
        <w:rPr>
          <w:rFonts w:asciiTheme="majorBidi" w:hAnsiTheme="majorBidi" w:cstheme="majorBidi"/>
          <w:sz w:val="24"/>
          <w:szCs w:val="24"/>
        </w:rPr>
        <w:t>’</w:t>
      </w:r>
      <w:r w:rsidR="00401058">
        <w:rPr>
          <w:rFonts w:asciiTheme="majorBidi" w:hAnsiTheme="majorBidi" w:cstheme="majorBidi"/>
          <w:sz w:val="24"/>
          <w:szCs w:val="24"/>
        </w:rPr>
        <w:t>ah principles.</w:t>
      </w:r>
      <w:r w:rsidRPr="00546532">
        <w:rPr>
          <w:rFonts w:asciiTheme="majorBidi" w:hAnsiTheme="majorBidi" w:cstheme="majorBidi"/>
          <w:sz w:val="24"/>
          <w:szCs w:val="24"/>
        </w:rPr>
        <w:t xml:space="preserve"> </w:t>
      </w:r>
      <w:r w:rsidR="005D30FE">
        <w:rPr>
          <w:rFonts w:asciiTheme="majorBidi" w:hAnsiTheme="majorBidi" w:cstheme="majorBidi"/>
          <w:sz w:val="24"/>
          <w:szCs w:val="24"/>
        </w:rPr>
        <w:t>A</w:t>
      </w:r>
      <w:r w:rsidRPr="00546532">
        <w:rPr>
          <w:rFonts w:asciiTheme="majorBidi" w:hAnsiTheme="majorBidi" w:cstheme="majorBidi"/>
          <w:sz w:val="24"/>
          <w:szCs w:val="24"/>
        </w:rPr>
        <w:t>rgu</w:t>
      </w:r>
      <w:r w:rsidR="005D30FE">
        <w:rPr>
          <w:rFonts w:asciiTheme="majorBidi" w:hAnsiTheme="majorBidi" w:cstheme="majorBidi"/>
          <w:sz w:val="24"/>
          <w:szCs w:val="24"/>
        </w:rPr>
        <w:t>ing</w:t>
      </w:r>
      <w:r w:rsidRPr="00546532">
        <w:rPr>
          <w:rFonts w:asciiTheme="majorBidi" w:hAnsiTheme="majorBidi" w:cstheme="majorBidi"/>
          <w:sz w:val="24"/>
          <w:szCs w:val="24"/>
        </w:rPr>
        <w:t xml:space="preserve"> that introducing embedded options can</w:t>
      </w:r>
      <w:r w:rsidR="00FF02E9">
        <w:rPr>
          <w:rFonts w:asciiTheme="majorBidi" w:hAnsiTheme="majorBidi" w:cstheme="majorBidi"/>
          <w:sz w:val="24"/>
          <w:szCs w:val="24"/>
        </w:rPr>
        <w:t xml:space="preserve"> </w:t>
      </w:r>
      <w:r w:rsidR="00662260">
        <w:rPr>
          <w:rFonts w:asciiTheme="majorBidi" w:hAnsiTheme="majorBidi" w:cstheme="majorBidi"/>
          <w:sz w:val="24"/>
          <w:szCs w:val="24"/>
        </w:rPr>
        <w:t>form</w:t>
      </w:r>
      <w:r w:rsidRPr="00546532">
        <w:rPr>
          <w:rFonts w:asciiTheme="majorBidi" w:hAnsiTheme="majorBidi" w:cstheme="majorBidi"/>
          <w:sz w:val="24"/>
          <w:szCs w:val="24"/>
        </w:rPr>
        <w:t xml:space="preserve"> part of Islamic financ</w:t>
      </w:r>
      <w:r w:rsidR="00FF02E9">
        <w:rPr>
          <w:rFonts w:asciiTheme="majorBidi" w:hAnsiTheme="majorBidi" w:cstheme="majorBidi"/>
          <w:sz w:val="24"/>
          <w:szCs w:val="24"/>
        </w:rPr>
        <w:t>ial</w:t>
      </w:r>
      <w:r w:rsidRPr="00546532">
        <w:rPr>
          <w:rFonts w:asciiTheme="majorBidi" w:hAnsiTheme="majorBidi" w:cstheme="majorBidi"/>
          <w:sz w:val="24"/>
          <w:szCs w:val="24"/>
        </w:rPr>
        <w:t xml:space="preserve"> contracts</w:t>
      </w:r>
      <w:r w:rsidR="00FF02E9">
        <w:rPr>
          <w:rFonts w:asciiTheme="majorBidi" w:hAnsiTheme="majorBidi" w:cstheme="majorBidi"/>
          <w:sz w:val="24"/>
          <w:szCs w:val="24"/>
        </w:rPr>
        <w:t>,</w:t>
      </w:r>
      <w:r w:rsidRPr="00546532">
        <w:rPr>
          <w:rFonts w:asciiTheme="majorBidi" w:hAnsiTheme="majorBidi" w:cstheme="majorBidi"/>
          <w:sz w:val="24"/>
          <w:szCs w:val="24"/>
        </w:rPr>
        <w:t xml:space="preserve"> like leasing, instalments sale and </w:t>
      </w:r>
      <w:r w:rsidRPr="002377AA">
        <w:rPr>
          <w:rFonts w:asciiTheme="majorBidi" w:hAnsiTheme="majorBidi" w:cstheme="majorBidi"/>
          <w:i/>
          <w:iCs/>
          <w:sz w:val="24"/>
          <w:szCs w:val="24"/>
        </w:rPr>
        <w:t>Salam</w:t>
      </w:r>
      <w:r w:rsidRPr="00546532">
        <w:rPr>
          <w:rFonts w:asciiTheme="majorBidi" w:hAnsiTheme="majorBidi" w:cstheme="majorBidi"/>
          <w:sz w:val="24"/>
          <w:szCs w:val="24"/>
        </w:rPr>
        <w:t xml:space="preserve"> contracts. </w:t>
      </w:r>
      <w:r w:rsidR="00FF02E9">
        <w:rPr>
          <w:rFonts w:asciiTheme="majorBidi" w:hAnsiTheme="majorBidi" w:cstheme="majorBidi"/>
          <w:sz w:val="24"/>
          <w:szCs w:val="24"/>
        </w:rPr>
        <w:t>Notin</w:t>
      </w:r>
      <w:r w:rsidR="00044385">
        <w:rPr>
          <w:rFonts w:asciiTheme="majorBidi" w:hAnsiTheme="majorBidi" w:cstheme="majorBidi"/>
          <w:sz w:val="24"/>
          <w:szCs w:val="24"/>
        </w:rPr>
        <w:t>g, such</w:t>
      </w:r>
      <w:r w:rsidR="00401058">
        <w:rPr>
          <w:rFonts w:asciiTheme="majorBidi" w:hAnsiTheme="majorBidi" w:cstheme="majorBidi"/>
          <w:sz w:val="24"/>
          <w:szCs w:val="24"/>
        </w:rPr>
        <w:t xml:space="preserve"> options are not</w:t>
      </w:r>
      <w:r w:rsidRPr="00546532">
        <w:rPr>
          <w:rFonts w:asciiTheme="majorBidi" w:hAnsiTheme="majorBidi" w:cstheme="majorBidi"/>
          <w:sz w:val="24"/>
          <w:szCs w:val="24"/>
        </w:rPr>
        <w:t xml:space="preserve"> derivative</w:t>
      </w:r>
      <w:r w:rsidR="00FF02E9">
        <w:rPr>
          <w:rFonts w:asciiTheme="majorBidi" w:hAnsiTheme="majorBidi" w:cstheme="majorBidi"/>
          <w:sz w:val="24"/>
          <w:szCs w:val="24"/>
        </w:rPr>
        <w:t>s</w:t>
      </w:r>
      <w:r w:rsidRPr="00546532">
        <w:rPr>
          <w:rFonts w:asciiTheme="majorBidi" w:hAnsiTheme="majorBidi" w:cstheme="majorBidi"/>
          <w:sz w:val="24"/>
          <w:szCs w:val="24"/>
        </w:rPr>
        <w:t xml:space="preserve"> since they cannot be separated and sold independently as instruments. In addition, </w:t>
      </w:r>
      <w:r w:rsidR="00044385">
        <w:rPr>
          <w:rFonts w:asciiTheme="majorBidi" w:hAnsiTheme="majorBidi" w:cstheme="majorBidi"/>
          <w:sz w:val="24"/>
          <w:szCs w:val="24"/>
        </w:rPr>
        <w:t>observing</w:t>
      </w:r>
      <w:r w:rsidRPr="00546532">
        <w:rPr>
          <w:rFonts w:asciiTheme="majorBidi" w:hAnsiTheme="majorBidi" w:cstheme="majorBidi"/>
          <w:sz w:val="24"/>
          <w:szCs w:val="24"/>
        </w:rPr>
        <w:t xml:space="preserve"> </w:t>
      </w:r>
      <w:r w:rsidR="00285A29" w:rsidRPr="00546532">
        <w:rPr>
          <w:rFonts w:asciiTheme="majorBidi" w:hAnsiTheme="majorBidi" w:cstheme="majorBidi"/>
          <w:sz w:val="24"/>
          <w:szCs w:val="24"/>
        </w:rPr>
        <w:t>that swapping</w:t>
      </w:r>
      <w:r w:rsidRPr="00546532">
        <w:rPr>
          <w:rFonts w:asciiTheme="majorBidi" w:hAnsiTheme="majorBidi" w:cstheme="majorBidi"/>
          <w:sz w:val="24"/>
          <w:szCs w:val="24"/>
        </w:rPr>
        <w:t xml:space="preserve"> between </w:t>
      </w:r>
      <w:r w:rsidR="00445B96">
        <w:rPr>
          <w:rFonts w:asciiTheme="majorBidi" w:hAnsiTheme="majorBidi" w:cstheme="majorBidi"/>
          <w:sz w:val="24"/>
          <w:szCs w:val="24"/>
        </w:rPr>
        <w:t xml:space="preserve">a </w:t>
      </w:r>
      <w:r w:rsidRPr="00546532">
        <w:rPr>
          <w:rFonts w:asciiTheme="majorBidi" w:hAnsiTheme="majorBidi" w:cstheme="majorBidi"/>
          <w:sz w:val="24"/>
          <w:szCs w:val="24"/>
        </w:rPr>
        <w:t xml:space="preserve">floating rate </w:t>
      </w:r>
      <w:r w:rsidR="007C1740" w:rsidRPr="002377AA">
        <w:rPr>
          <w:rFonts w:asciiTheme="majorBidi" w:hAnsiTheme="majorBidi" w:cstheme="majorBidi"/>
          <w:i/>
          <w:iCs/>
          <w:sz w:val="24"/>
          <w:szCs w:val="24"/>
        </w:rPr>
        <w:t>S</w:t>
      </w:r>
      <w:r w:rsidRPr="002377AA">
        <w:rPr>
          <w:rFonts w:asciiTheme="majorBidi" w:hAnsiTheme="majorBidi" w:cstheme="majorBidi"/>
          <w:i/>
          <w:iCs/>
          <w:sz w:val="24"/>
          <w:szCs w:val="24"/>
        </w:rPr>
        <w:t>ukuk</w:t>
      </w:r>
      <w:r w:rsidRPr="00546532">
        <w:rPr>
          <w:rFonts w:asciiTheme="majorBidi" w:hAnsiTheme="majorBidi" w:cstheme="majorBidi"/>
          <w:sz w:val="24"/>
          <w:szCs w:val="24"/>
        </w:rPr>
        <w:t xml:space="preserve"> and </w:t>
      </w:r>
      <w:r w:rsidR="007C1740">
        <w:rPr>
          <w:rFonts w:asciiTheme="majorBidi" w:hAnsiTheme="majorBidi" w:cstheme="majorBidi"/>
          <w:sz w:val="24"/>
          <w:szCs w:val="24"/>
        </w:rPr>
        <w:t xml:space="preserve">a </w:t>
      </w:r>
      <w:r w:rsidRPr="00546532">
        <w:rPr>
          <w:rFonts w:asciiTheme="majorBidi" w:hAnsiTheme="majorBidi" w:cstheme="majorBidi"/>
          <w:sz w:val="24"/>
          <w:szCs w:val="24"/>
        </w:rPr>
        <w:t xml:space="preserve">fixed rate zero-coupon embedded </w:t>
      </w:r>
      <w:r w:rsidR="007C1740" w:rsidRPr="002377AA">
        <w:rPr>
          <w:rFonts w:asciiTheme="majorBidi" w:hAnsiTheme="majorBidi" w:cstheme="majorBidi"/>
          <w:i/>
          <w:iCs/>
          <w:sz w:val="24"/>
          <w:szCs w:val="24"/>
        </w:rPr>
        <w:t>S</w:t>
      </w:r>
      <w:r w:rsidRPr="002377AA">
        <w:rPr>
          <w:rFonts w:asciiTheme="majorBidi" w:hAnsiTheme="majorBidi" w:cstheme="majorBidi"/>
          <w:i/>
          <w:iCs/>
          <w:sz w:val="24"/>
          <w:szCs w:val="24"/>
        </w:rPr>
        <w:t>ukuk</w:t>
      </w:r>
      <w:r w:rsidRPr="00546532">
        <w:rPr>
          <w:rFonts w:asciiTheme="majorBidi" w:hAnsiTheme="majorBidi" w:cstheme="majorBidi"/>
          <w:sz w:val="24"/>
          <w:szCs w:val="24"/>
        </w:rPr>
        <w:t xml:space="preserve"> </w:t>
      </w:r>
      <w:r w:rsidR="00B0195E">
        <w:rPr>
          <w:rFonts w:asciiTheme="majorBidi" w:hAnsiTheme="majorBidi" w:cstheme="majorBidi"/>
          <w:sz w:val="24"/>
          <w:szCs w:val="24"/>
        </w:rPr>
        <w:t>allows for</w:t>
      </w:r>
      <w:r w:rsidRPr="00546532">
        <w:rPr>
          <w:rFonts w:asciiTheme="majorBidi" w:hAnsiTheme="majorBidi" w:cstheme="majorBidi"/>
          <w:sz w:val="24"/>
          <w:szCs w:val="24"/>
        </w:rPr>
        <w:t xml:space="preserve"> creative Shari</w:t>
      </w:r>
      <w:r w:rsidR="00401058">
        <w:rPr>
          <w:rFonts w:asciiTheme="majorBidi" w:hAnsiTheme="majorBidi" w:cstheme="majorBidi"/>
          <w:sz w:val="24"/>
          <w:szCs w:val="24"/>
        </w:rPr>
        <w:t>’</w:t>
      </w:r>
      <w:r w:rsidRPr="00546532">
        <w:rPr>
          <w:rFonts w:asciiTheme="majorBidi" w:hAnsiTheme="majorBidi" w:cstheme="majorBidi"/>
          <w:sz w:val="24"/>
          <w:szCs w:val="24"/>
        </w:rPr>
        <w:t xml:space="preserve">ah compatible financial </w:t>
      </w:r>
      <w:r w:rsidRPr="00546532">
        <w:rPr>
          <w:rFonts w:asciiTheme="majorBidi" w:hAnsiTheme="majorBidi" w:cstheme="majorBidi"/>
          <w:sz w:val="24"/>
          <w:szCs w:val="24"/>
        </w:rPr>
        <w:lastRenderedPageBreak/>
        <w:t xml:space="preserve">engineering, </w:t>
      </w:r>
      <w:r w:rsidR="00B0195E">
        <w:rPr>
          <w:rFonts w:asciiTheme="majorBidi" w:hAnsiTheme="majorBidi" w:cstheme="majorBidi"/>
          <w:sz w:val="24"/>
          <w:szCs w:val="24"/>
        </w:rPr>
        <w:t>thereby,</w:t>
      </w:r>
      <w:r w:rsidRPr="00546532">
        <w:rPr>
          <w:rFonts w:asciiTheme="majorBidi" w:hAnsiTheme="majorBidi" w:cstheme="majorBidi"/>
          <w:sz w:val="24"/>
          <w:szCs w:val="24"/>
        </w:rPr>
        <w:t xml:space="preserve"> </w:t>
      </w:r>
      <w:r w:rsidR="00B0195E" w:rsidRPr="002377AA">
        <w:rPr>
          <w:rFonts w:asciiTheme="majorBidi" w:hAnsiTheme="majorBidi" w:cstheme="majorBidi"/>
          <w:i/>
          <w:iCs/>
          <w:sz w:val="24"/>
          <w:szCs w:val="24"/>
        </w:rPr>
        <w:t>S</w:t>
      </w:r>
      <w:r w:rsidRPr="002377AA">
        <w:rPr>
          <w:rFonts w:asciiTheme="majorBidi" w:hAnsiTheme="majorBidi" w:cstheme="majorBidi"/>
          <w:i/>
          <w:iCs/>
          <w:sz w:val="24"/>
          <w:szCs w:val="24"/>
        </w:rPr>
        <w:t>ukuk</w:t>
      </w:r>
      <w:r w:rsidRPr="00546532">
        <w:rPr>
          <w:rFonts w:asciiTheme="majorBidi" w:hAnsiTheme="majorBidi" w:cstheme="majorBidi"/>
          <w:sz w:val="24"/>
          <w:szCs w:val="24"/>
        </w:rPr>
        <w:t xml:space="preserve"> can become highly competitive in the market and more accessible to investors. </w:t>
      </w:r>
    </w:p>
    <w:p w14:paraId="30E3502C" w14:textId="14555B1B" w:rsidR="00A858A8" w:rsidRPr="00546532" w:rsidRDefault="00A858A8" w:rsidP="00A858A8">
      <w:pPr>
        <w:shd w:val="clear" w:color="auto" w:fill="FFFFFF" w:themeFill="background1"/>
        <w:spacing w:before="120" w:after="120" w:line="360" w:lineRule="auto"/>
        <w:jc w:val="both"/>
        <w:rPr>
          <w:rFonts w:asciiTheme="majorBidi" w:hAnsiTheme="majorBidi" w:cstheme="majorBidi"/>
          <w:sz w:val="24"/>
          <w:szCs w:val="24"/>
        </w:rPr>
      </w:pPr>
      <w:r w:rsidRPr="00546532">
        <w:rPr>
          <w:rFonts w:asciiTheme="majorBidi" w:hAnsiTheme="majorBidi" w:cstheme="majorBidi"/>
          <w:sz w:val="24"/>
          <w:szCs w:val="24"/>
        </w:rPr>
        <w:t xml:space="preserve">Godlewski, </w:t>
      </w:r>
      <w:r w:rsidR="006D7640" w:rsidRPr="00546532">
        <w:rPr>
          <w:rFonts w:asciiTheme="majorBidi" w:hAnsiTheme="majorBidi" w:cstheme="majorBidi"/>
          <w:i/>
          <w:iCs/>
          <w:sz w:val="24"/>
          <w:szCs w:val="24"/>
        </w:rPr>
        <w:t>et al.</w:t>
      </w:r>
      <w:r w:rsidR="006D7640" w:rsidRPr="00546532">
        <w:rPr>
          <w:rFonts w:asciiTheme="majorBidi" w:hAnsiTheme="majorBidi" w:cstheme="majorBidi"/>
          <w:sz w:val="24"/>
          <w:szCs w:val="24"/>
        </w:rPr>
        <w:t xml:space="preserve"> </w:t>
      </w:r>
      <w:r w:rsidRPr="00546532">
        <w:rPr>
          <w:rFonts w:asciiTheme="majorBidi" w:hAnsiTheme="majorBidi" w:cstheme="majorBidi"/>
          <w:sz w:val="24"/>
          <w:szCs w:val="24"/>
        </w:rPr>
        <w:t xml:space="preserve">(2013) </w:t>
      </w:r>
      <w:r w:rsidR="00285A29" w:rsidRPr="00546532">
        <w:rPr>
          <w:rFonts w:asciiTheme="majorBidi" w:hAnsiTheme="majorBidi" w:cstheme="majorBidi"/>
          <w:sz w:val="24"/>
          <w:szCs w:val="24"/>
        </w:rPr>
        <w:t>examined reactions</w:t>
      </w:r>
      <w:r w:rsidRPr="00546532">
        <w:rPr>
          <w:rFonts w:asciiTheme="majorBidi" w:hAnsiTheme="majorBidi" w:cstheme="majorBidi"/>
          <w:sz w:val="24"/>
          <w:szCs w:val="24"/>
        </w:rPr>
        <w:t xml:space="preserve"> of Malaysian market investors </w:t>
      </w:r>
      <w:r w:rsidR="00285A29" w:rsidRPr="00546532">
        <w:rPr>
          <w:rFonts w:asciiTheme="majorBidi" w:hAnsiTheme="majorBidi" w:cstheme="majorBidi"/>
          <w:sz w:val="24"/>
          <w:szCs w:val="24"/>
        </w:rPr>
        <w:t xml:space="preserve">to </w:t>
      </w:r>
      <w:r w:rsidR="00285A29" w:rsidRPr="00C74AEF">
        <w:rPr>
          <w:rFonts w:asciiTheme="majorBidi" w:hAnsiTheme="majorBidi" w:cstheme="majorBidi"/>
          <w:i/>
          <w:iCs/>
          <w:sz w:val="24"/>
          <w:szCs w:val="24"/>
        </w:rPr>
        <w:t>Sukuk</w:t>
      </w:r>
      <w:r w:rsidR="00805FFC">
        <w:rPr>
          <w:rFonts w:asciiTheme="majorBidi" w:hAnsiTheme="majorBidi" w:cstheme="majorBidi"/>
          <w:sz w:val="24"/>
          <w:szCs w:val="24"/>
        </w:rPr>
        <w:t xml:space="preserve"> </w:t>
      </w:r>
      <w:r w:rsidRPr="00546532">
        <w:rPr>
          <w:rFonts w:asciiTheme="majorBidi" w:hAnsiTheme="majorBidi" w:cstheme="majorBidi"/>
          <w:sz w:val="24"/>
          <w:szCs w:val="24"/>
        </w:rPr>
        <w:t xml:space="preserve">announcements </w:t>
      </w:r>
      <w:r w:rsidR="00805FFC">
        <w:rPr>
          <w:rFonts w:asciiTheme="majorBidi" w:hAnsiTheme="majorBidi" w:cstheme="majorBidi"/>
          <w:sz w:val="24"/>
          <w:szCs w:val="24"/>
        </w:rPr>
        <w:t>when</w:t>
      </w:r>
      <w:r w:rsidRPr="00546532">
        <w:rPr>
          <w:rFonts w:asciiTheme="majorBidi" w:hAnsiTheme="majorBidi" w:cstheme="majorBidi"/>
          <w:sz w:val="24"/>
          <w:szCs w:val="24"/>
        </w:rPr>
        <w:t xml:space="preserve"> compared to conventional bonds issues, using an event study methodology </w:t>
      </w:r>
      <w:r w:rsidR="00805FFC">
        <w:rPr>
          <w:rFonts w:asciiTheme="majorBidi" w:hAnsiTheme="majorBidi" w:cstheme="majorBidi"/>
          <w:sz w:val="24"/>
          <w:szCs w:val="24"/>
        </w:rPr>
        <w:t xml:space="preserve">based </w:t>
      </w:r>
      <w:r w:rsidRPr="00546532">
        <w:rPr>
          <w:rFonts w:asciiTheme="majorBidi" w:hAnsiTheme="majorBidi" w:cstheme="majorBidi"/>
          <w:sz w:val="24"/>
          <w:szCs w:val="24"/>
        </w:rPr>
        <w:t xml:space="preserve">on a sample of Malaysian listed companies.  </w:t>
      </w:r>
      <w:r w:rsidR="00805FFC">
        <w:rPr>
          <w:rFonts w:asciiTheme="majorBidi" w:hAnsiTheme="majorBidi" w:cstheme="majorBidi"/>
          <w:sz w:val="24"/>
          <w:szCs w:val="24"/>
        </w:rPr>
        <w:t>R</w:t>
      </w:r>
      <w:r w:rsidRPr="00546532">
        <w:rPr>
          <w:rFonts w:asciiTheme="majorBidi" w:hAnsiTheme="majorBidi" w:cstheme="majorBidi"/>
          <w:sz w:val="24"/>
          <w:szCs w:val="24"/>
        </w:rPr>
        <w:t xml:space="preserve">esults show that the stock market </w:t>
      </w:r>
      <w:r w:rsidR="00F3249B">
        <w:rPr>
          <w:rFonts w:asciiTheme="majorBidi" w:hAnsiTheme="majorBidi" w:cstheme="majorBidi"/>
          <w:sz w:val="24"/>
          <w:szCs w:val="24"/>
        </w:rPr>
        <w:t>remains</w:t>
      </w:r>
      <w:r w:rsidRPr="00546532">
        <w:rPr>
          <w:rFonts w:asciiTheme="majorBidi" w:hAnsiTheme="majorBidi" w:cstheme="majorBidi"/>
          <w:sz w:val="24"/>
          <w:szCs w:val="24"/>
        </w:rPr>
        <w:t xml:space="preserve"> neutral to announcements of conventional bond </w:t>
      </w:r>
      <w:r w:rsidR="00C74AEF" w:rsidRPr="00546532">
        <w:rPr>
          <w:rFonts w:asciiTheme="majorBidi" w:hAnsiTheme="majorBidi" w:cstheme="majorBidi"/>
          <w:sz w:val="24"/>
          <w:szCs w:val="24"/>
        </w:rPr>
        <w:t>issues but</w:t>
      </w:r>
      <w:r w:rsidR="00285A29" w:rsidRPr="00546532">
        <w:rPr>
          <w:rFonts w:asciiTheme="majorBidi" w:hAnsiTheme="majorBidi" w:cstheme="majorBidi"/>
          <w:sz w:val="24"/>
          <w:szCs w:val="24"/>
        </w:rPr>
        <w:t xml:space="preserve"> reacts</w:t>
      </w:r>
      <w:r w:rsidRPr="00546532">
        <w:rPr>
          <w:rFonts w:asciiTheme="majorBidi" w:hAnsiTheme="majorBidi" w:cstheme="majorBidi"/>
          <w:sz w:val="24"/>
          <w:szCs w:val="24"/>
        </w:rPr>
        <w:t xml:space="preserve"> negatively to </w:t>
      </w:r>
      <w:r w:rsidR="00805FFC">
        <w:rPr>
          <w:rFonts w:asciiTheme="majorBidi" w:hAnsiTheme="majorBidi" w:cstheme="majorBidi"/>
          <w:sz w:val="24"/>
          <w:szCs w:val="24"/>
        </w:rPr>
        <w:t>broadcast</w:t>
      </w:r>
      <w:r w:rsidR="0047468B">
        <w:rPr>
          <w:rFonts w:asciiTheme="majorBidi" w:hAnsiTheme="majorBidi" w:cstheme="majorBidi"/>
          <w:sz w:val="24"/>
          <w:szCs w:val="24"/>
        </w:rPr>
        <w:t>ing</w:t>
      </w:r>
      <w:r w:rsidRPr="00546532">
        <w:rPr>
          <w:rFonts w:asciiTheme="majorBidi" w:hAnsiTheme="majorBidi" w:cstheme="majorBidi"/>
          <w:sz w:val="24"/>
          <w:szCs w:val="24"/>
        </w:rPr>
        <w:t xml:space="preserve"> </w:t>
      </w:r>
      <w:r w:rsidR="00C74AEF" w:rsidRPr="00C74AEF">
        <w:rPr>
          <w:rFonts w:asciiTheme="majorBidi" w:hAnsiTheme="majorBidi" w:cstheme="majorBidi"/>
          <w:i/>
          <w:iCs/>
          <w:sz w:val="24"/>
          <w:szCs w:val="24"/>
        </w:rPr>
        <w:t>S</w:t>
      </w:r>
      <w:r w:rsidRPr="00C74AEF">
        <w:rPr>
          <w:rFonts w:asciiTheme="majorBidi" w:hAnsiTheme="majorBidi" w:cstheme="majorBidi"/>
          <w:i/>
          <w:iCs/>
          <w:sz w:val="24"/>
          <w:szCs w:val="24"/>
        </w:rPr>
        <w:t>ukuk</w:t>
      </w:r>
      <w:r w:rsidRPr="00546532">
        <w:rPr>
          <w:rFonts w:asciiTheme="majorBidi" w:hAnsiTheme="majorBidi" w:cstheme="majorBidi"/>
          <w:sz w:val="24"/>
          <w:szCs w:val="24"/>
        </w:rPr>
        <w:t xml:space="preserve"> issues. </w:t>
      </w:r>
      <w:r w:rsidR="00F3249B">
        <w:rPr>
          <w:rFonts w:asciiTheme="majorBidi" w:hAnsiTheme="majorBidi" w:cstheme="majorBidi"/>
          <w:sz w:val="24"/>
          <w:szCs w:val="24"/>
        </w:rPr>
        <w:t>Such varian</w:t>
      </w:r>
      <w:r w:rsidR="00643456">
        <w:rPr>
          <w:rFonts w:asciiTheme="majorBidi" w:hAnsiTheme="majorBidi" w:cstheme="majorBidi"/>
          <w:sz w:val="24"/>
          <w:szCs w:val="24"/>
        </w:rPr>
        <w:t>t</w:t>
      </w:r>
      <w:r w:rsidR="00F3249B">
        <w:rPr>
          <w:rFonts w:asciiTheme="majorBidi" w:hAnsiTheme="majorBidi" w:cstheme="majorBidi"/>
          <w:sz w:val="24"/>
          <w:szCs w:val="24"/>
        </w:rPr>
        <w:t xml:space="preserve"> responses are attributed </w:t>
      </w:r>
      <w:r w:rsidR="00285A29">
        <w:rPr>
          <w:rFonts w:asciiTheme="majorBidi" w:hAnsiTheme="majorBidi" w:cstheme="majorBidi"/>
          <w:sz w:val="24"/>
          <w:szCs w:val="24"/>
        </w:rPr>
        <w:t>to</w:t>
      </w:r>
      <w:r w:rsidR="00285A29" w:rsidRPr="00546532">
        <w:rPr>
          <w:rFonts w:asciiTheme="majorBidi" w:hAnsiTheme="majorBidi" w:cstheme="majorBidi"/>
          <w:sz w:val="24"/>
          <w:szCs w:val="24"/>
        </w:rPr>
        <w:t xml:space="preserve"> high</w:t>
      </w:r>
      <w:r w:rsidRPr="00546532">
        <w:rPr>
          <w:rFonts w:asciiTheme="majorBidi" w:hAnsiTheme="majorBidi" w:cstheme="majorBidi"/>
          <w:sz w:val="24"/>
          <w:szCs w:val="24"/>
        </w:rPr>
        <w:t xml:space="preserve"> demand</w:t>
      </w:r>
      <w:r w:rsidR="00A30734">
        <w:rPr>
          <w:rFonts w:asciiTheme="majorBidi" w:hAnsiTheme="majorBidi" w:cstheme="majorBidi"/>
          <w:sz w:val="24"/>
          <w:szCs w:val="24"/>
        </w:rPr>
        <w:t>s</w:t>
      </w:r>
      <w:r w:rsidRPr="00546532">
        <w:rPr>
          <w:rFonts w:asciiTheme="majorBidi" w:hAnsiTheme="majorBidi" w:cstheme="majorBidi"/>
          <w:sz w:val="24"/>
          <w:szCs w:val="24"/>
        </w:rPr>
        <w:t xml:space="preserve"> for Islamic investment certificates and adverse selection endorsing </w:t>
      </w:r>
      <w:r w:rsidR="00C74AEF" w:rsidRPr="00C74AEF">
        <w:rPr>
          <w:rFonts w:asciiTheme="majorBidi" w:hAnsiTheme="majorBidi" w:cstheme="majorBidi"/>
          <w:i/>
          <w:iCs/>
          <w:sz w:val="24"/>
          <w:szCs w:val="24"/>
        </w:rPr>
        <w:t>S</w:t>
      </w:r>
      <w:r w:rsidRPr="00C74AEF">
        <w:rPr>
          <w:rFonts w:asciiTheme="majorBidi" w:hAnsiTheme="majorBidi" w:cstheme="majorBidi"/>
          <w:i/>
          <w:iCs/>
          <w:sz w:val="24"/>
          <w:szCs w:val="24"/>
        </w:rPr>
        <w:t>ukuk</w:t>
      </w:r>
      <w:r w:rsidRPr="00546532">
        <w:rPr>
          <w:rFonts w:asciiTheme="majorBidi" w:hAnsiTheme="majorBidi" w:cstheme="majorBidi"/>
          <w:sz w:val="24"/>
          <w:szCs w:val="24"/>
        </w:rPr>
        <w:t xml:space="preserve"> issuance by lower-quality debtor companies.  </w:t>
      </w:r>
    </w:p>
    <w:p w14:paraId="1B87626E" w14:textId="2994E151" w:rsidR="00A858A8" w:rsidRPr="00546532" w:rsidRDefault="00A858A8" w:rsidP="00A858A8">
      <w:pPr>
        <w:shd w:val="clear" w:color="auto" w:fill="FFFFFF" w:themeFill="background1"/>
        <w:spacing w:before="120" w:after="120" w:line="360" w:lineRule="auto"/>
        <w:jc w:val="both"/>
        <w:rPr>
          <w:rFonts w:asciiTheme="majorBidi" w:hAnsiTheme="majorBidi" w:cstheme="majorBidi"/>
          <w:sz w:val="24"/>
          <w:szCs w:val="24"/>
        </w:rPr>
      </w:pPr>
      <w:r w:rsidRPr="00546532">
        <w:rPr>
          <w:rFonts w:asciiTheme="majorBidi" w:hAnsiTheme="majorBidi" w:cstheme="majorBidi"/>
          <w:sz w:val="24"/>
          <w:szCs w:val="24"/>
        </w:rPr>
        <w:t xml:space="preserve">Similarly, Alam </w:t>
      </w:r>
      <w:r w:rsidRPr="00546532">
        <w:rPr>
          <w:rFonts w:asciiTheme="majorBidi" w:hAnsiTheme="majorBidi" w:cstheme="majorBidi"/>
          <w:i/>
          <w:iCs/>
          <w:sz w:val="24"/>
          <w:szCs w:val="24"/>
        </w:rPr>
        <w:t>et al.</w:t>
      </w:r>
      <w:r w:rsidRPr="00546532">
        <w:rPr>
          <w:rFonts w:asciiTheme="majorBidi" w:hAnsiTheme="majorBidi" w:cstheme="majorBidi"/>
          <w:sz w:val="24"/>
          <w:szCs w:val="24"/>
        </w:rPr>
        <w:t xml:space="preserve"> (2013) studied the impact of </w:t>
      </w:r>
      <w:r w:rsidR="00EF19CB">
        <w:rPr>
          <w:rFonts w:asciiTheme="majorBidi" w:hAnsiTheme="majorBidi" w:cstheme="majorBidi"/>
          <w:sz w:val="24"/>
          <w:szCs w:val="24"/>
        </w:rPr>
        <w:t>S</w:t>
      </w:r>
      <w:r w:rsidRPr="00546532">
        <w:rPr>
          <w:rFonts w:asciiTheme="majorBidi" w:hAnsiTheme="majorBidi" w:cstheme="majorBidi"/>
          <w:sz w:val="24"/>
          <w:szCs w:val="24"/>
        </w:rPr>
        <w:t>ukuk and conventional bonds announcement</w:t>
      </w:r>
      <w:r w:rsidR="00EF19CB">
        <w:rPr>
          <w:rFonts w:asciiTheme="majorBidi" w:hAnsiTheme="majorBidi" w:cstheme="majorBidi"/>
          <w:sz w:val="24"/>
          <w:szCs w:val="24"/>
        </w:rPr>
        <w:t>s</w:t>
      </w:r>
      <w:r w:rsidRPr="00546532">
        <w:rPr>
          <w:rFonts w:asciiTheme="majorBidi" w:hAnsiTheme="majorBidi" w:cstheme="majorBidi"/>
          <w:sz w:val="24"/>
          <w:szCs w:val="24"/>
        </w:rPr>
        <w:t xml:space="preserve"> on shareholder wealth and their determinants </w:t>
      </w:r>
      <w:r w:rsidR="00FA4F71">
        <w:rPr>
          <w:rFonts w:asciiTheme="majorBidi" w:hAnsiTheme="majorBidi" w:cstheme="majorBidi"/>
          <w:sz w:val="24"/>
          <w:szCs w:val="24"/>
        </w:rPr>
        <w:t>analysing</w:t>
      </w:r>
      <w:r w:rsidRPr="00546532">
        <w:rPr>
          <w:rFonts w:asciiTheme="majorBidi" w:hAnsiTheme="majorBidi" w:cstheme="majorBidi"/>
          <w:sz w:val="24"/>
          <w:szCs w:val="24"/>
        </w:rPr>
        <w:t xml:space="preserve"> 79 </w:t>
      </w:r>
      <w:r w:rsidR="00EF19CB">
        <w:rPr>
          <w:rFonts w:asciiTheme="majorBidi" w:hAnsiTheme="majorBidi" w:cstheme="majorBidi"/>
          <w:sz w:val="24"/>
          <w:szCs w:val="24"/>
        </w:rPr>
        <w:t>S</w:t>
      </w:r>
      <w:r w:rsidRPr="00546532">
        <w:rPr>
          <w:rFonts w:asciiTheme="majorBidi" w:hAnsiTheme="majorBidi" w:cstheme="majorBidi"/>
          <w:sz w:val="24"/>
          <w:szCs w:val="24"/>
        </w:rPr>
        <w:t>ukuk and 87 conventional bonds between 2004 to 2012 in six developed Islamic financial market</w:t>
      </w:r>
      <w:r w:rsidR="00FA4F71">
        <w:rPr>
          <w:rFonts w:asciiTheme="majorBidi" w:hAnsiTheme="majorBidi" w:cstheme="majorBidi"/>
          <w:sz w:val="24"/>
          <w:szCs w:val="24"/>
        </w:rPr>
        <w:t>s</w:t>
      </w:r>
      <w:r w:rsidRPr="00546532">
        <w:rPr>
          <w:rFonts w:asciiTheme="majorBidi" w:hAnsiTheme="majorBidi" w:cstheme="majorBidi"/>
          <w:sz w:val="24"/>
          <w:szCs w:val="24"/>
        </w:rPr>
        <w:t>. The overall time frame is divided into three parts</w:t>
      </w:r>
      <w:r w:rsidR="00453598">
        <w:rPr>
          <w:rFonts w:asciiTheme="majorBidi" w:hAnsiTheme="majorBidi" w:cstheme="majorBidi"/>
          <w:sz w:val="24"/>
          <w:szCs w:val="24"/>
        </w:rPr>
        <w:t>:</w:t>
      </w:r>
      <w:r w:rsidRPr="00546532">
        <w:rPr>
          <w:rFonts w:asciiTheme="majorBidi" w:hAnsiTheme="majorBidi" w:cstheme="majorBidi"/>
          <w:sz w:val="24"/>
          <w:szCs w:val="24"/>
        </w:rPr>
        <w:t xml:space="preserve"> 2004</w:t>
      </w:r>
      <w:r w:rsidR="00C74AEF">
        <w:rPr>
          <w:rFonts w:asciiTheme="majorBidi" w:hAnsiTheme="majorBidi" w:cstheme="majorBidi"/>
          <w:sz w:val="24"/>
          <w:szCs w:val="24"/>
        </w:rPr>
        <w:t xml:space="preserve"> </w:t>
      </w:r>
      <w:r w:rsidRPr="00546532">
        <w:rPr>
          <w:rFonts w:asciiTheme="majorBidi" w:hAnsiTheme="majorBidi" w:cstheme="majorBidi"/>
          <w:sz w:val="24"/>
          <w:szCs w:val="24"/>
        </w:rPr>
        <w:t>-2006 (before</w:t>
      </w:r>
      <w:r w:rsidR="00FA4F71">
        <w:rPr>
          <w:rFonts w:asciiTheme="majorBidi" w:hAnsiTheme="majorBidi" w:cstheme="majorBidi"/>
          <w:sz w:val="24"/>
          <w:szCs w:val="24"/>
        </w:rPr>
        <w:t xml:space="preserve"> the</w:t>
      </w:r>
      <w:r w:rsidRPr="00546532">
        <w:rPr>
          <w:rFonts w:asciiTheme="majorBidi" w:hAnsiTheme="majorBidi" w:cstheme="majorBidi"/>
          <w:sz w:val="24"/>
          <w:szCs w:val="24"/>
        </w:rPr>
        <w:t xml:space="preserve"> crisis); 2007-2009 (during</w:t>
      </w:r>
      <w:r w:rsidR="00FA4F71">
        <w:rPr>
          <w:rFonts w:asciiTheme="majorBidi" w:hAnsiTheme="majorBidi" w:cstheme="majorBidi"/>
          <w:sz w:val="24"/>
          <w:szCs w:val="24"/>
        </w:rPr>
        <w:t xml:space="preserve"> the</w:t>
      </w:r>
      <w:r w:rsidRPr="00546532">
        <w:rPr>
          <w:rFonts w:asciiTheme="majorBidi" w:hAnsiTheme="majorBidi" w:cstheme="majorBidi"/>
          <w:sz w:val="24"/>
          <w:szCs w:val="24"/>
        </w:rPr>
        <w:t xml:space="preserve"> crisis)</w:t>
      </w:r>
      <w:r w:rsidR="00453598">
        <w:rPr>
          <w:rFonts w:asciiTheme="majorBidi" w:hAnsiTheme="majorBidi" w:cstheme="majorBidi"/>
          <w:sz w:val="24"/>
          <w:szCs w:val="24"/>
        </w:rPr>
        <w:t>;</w:t>
      </w:r>
      <w:r w:rsidRPr="00546532">
        <w:rPr>
          <w:rFonts w:asciiTheme="majorBidi" w:hAnsiTheme="majorBidi" w:cstheme="majorBidi"/>
          <w:sz w:val="24"/>
          <w:szCs w:val="24"/>
        </w:rPr>
        <w:t xml:space="preserve"> and 2010-2012 (after </w:t>
      </w:r>
      <w:r w:rsidR="00FA4F71">
        <w:rPr>
          <w:rFonts w:asciiTheme="majorBidi" w:hAnsiTheme="majorBidi" w:cstheme="majorBidi"/>
          <w:sz w:val="24"/>
          <w:szCs w:val="24"/>
        </w:rPr>
        <w:t xml:space="preserve">the </w:t>
      </w:r>
      <w:r w:rsidRPr="00546532">
        <w:rPr>
          <w:rFonts w:asciiTheme="majorBidi" w:hAnsiTheme="majorBidi" w:cstheme="majorBidi"/>
          <w:sz w:val="24"/>
          <w:szCs w:val="24"/>
        </w:rPr>
        <w:t xml:space="preserve">crisis). The study shows that the market reaction is negative </w:t>
      </w:r>
      <w:r w:rsidR="00C31C8C" w:rsidRPr="00546532">
        <w:rPr>
          <w:rFonts w:asciiTheme="majorBidi" w:hAnsiTheme="majorBidi" w:cstheme="majorBidi"/>
          <w:sz w:val="24"/>
          <w:szCs w:val="24"/>
        </w:rPr>
        <w:t xml:space="preserve">for </w:t>
      </w:r>
      <w:r w:rsidR="00C31C8C" w:rsidRPr="00C74AEF">
        <w:rPr>
          <w:rFonts w:asciiTheme="majorBidi" w:hAnsiTheme="majorBidi" w:cstheme="majorBidi"/>
          <w:i/>
          <w:iCs/>
          <w:sz w:val="24"/>
          <w:szCs w:val="24"/>
        </w:rPr>
        <w:t>Sukuk</w:t>
      </w:r>
      <w:r w:rsidR="00CF301A">
        <w:rPr>
          <w:rFonts w:asciiTheme="majorBidi" w:hAnsiTheme="majorBidi" w:cstheme="majorBidi"/>
          <w:sz w:val="24"/>
          <w:szCs w:val="24"/>
        </w:rPr>
        <w:t xml:space="preserve"> announcements</w:t>
      </w:r>
      <w:r w:rsidRPr="00546532">
        <w:rPr>
          <w:rFonts w:asciiTheme="majorBidi" w:hAnsiTheme="majorBidi" w:cstheme="majorBidi"/>
          <w:sz w:val="24"/>
          <w:szCs w:val="24"/>
        </w:rPr>
        <w:t xml:space="preserve"> before and during </w:t>
      </w:r>
      <w:r w:rsidR="007A3B01">
        <w:rPr>
          <w:rFonts w:asciiTheme="majorBidi" w:hAnsiTheme="majorBidi" w:cstheme="majorBidi"/>
          <w:sz w:val="24"/>
          <w:szCs w:val="24"/>
        </w:rPr>
        <w:t xml:space="preserve">the </w:t>
      </w:r>
      <w:r w:rsidRPr="00546532">
        <w:rPr>
          <w:rFonts w:asciiTheme="majorBidi" w:hAnsiTheme="majorBidi" w:cstheme="majorBidi"/>
          <w:sz w:val="24"/>
          <w:szCs w:val="24"/>
        </w:rPr>
        <w:t xml:space="preserve">2007 global fiscal crisis.  </w:t>
      </w:r>
      <w:r w:rsidR="007A3B01">
        <w:rPr>
          <w:rFonts w:asciiTheme="majorBidi" w:hAnsiTheme="majorBidi" w:cstheme="majorBidi"/>
          <w:sz w:val="24"/>
          <w:szCs w:val="24"/>
        </w:rPr>
        <w:t>M</w:t>
      </w:r>
      <w:r w:rsidRPr="00546532">
        <w:rPr>
          <w:rFonts w:asciiTheme="majorBidi" w:hAnsiTheme="majorBidi" w:cstheme="majorBidi"/>
          <w:sz w:val="24"/>
          <w:szCs w:val="24"/>
        </w:rPr>
        <w:t xml:space="preserve">arket reaction </w:t>
      </w:r>
      <w:r w:rsidR="007A3B01">
        <w:rPr>
          <w:rFonts w:asciiTheme="majorBidi" w:hAnsiTheme="majorBidi" w:cstheme="majorBidi"/>
          <w:sz w:val="24"/>
          <w:szCs w:val="24"/>
        </w:rPr>
        <w:t>remains</w:t>
      </w:r>
      <w:r w:rsidRPr="00546532">
        <w:rPr>
          <w:rFonts w:asciiTheme="majorBidi" w:hAnsiTheme="majorBidi" w:cstheme="majorBidi"/>
          <w:sz w:val="24"/>
          <w:szCs w:val="24"/>
        </w:rPr>
        <w:t xml:space="preserve"> positive </w:t>
      </w:r>
      <w:r w:rsidR="00C31C8C" w:rsidRPr="00546532">
        <w:rPr>
          <w:rFonts w:asciiTheme="majorBidi" w:hAnsiTheme="majorBidi" w:cstheme="majorBidi"/>
          <w:sz w:val="24"/>
          <w:szCs w:val="24"/>
        </w:rPr>
        <w:t>for conventional</w:t>
      </w:r>
      <w:r w:rsidRPr="00546532">
        <w:rPr>
          <w:rFonts w:asciiTheme="majorBidi" w:hAnsiTheme="majorBidi" w:cstheme="majorBidi"/>
          <w:sz w:val="24"/>
          <w:szCs w:val="24"/>
        </w:rPr>
        <w:t xml:space="preserve"> bond</w:t>
      </w:r>
      <w:r w:rsidR="007A3B01">
        <w:rPr>
          <w:rFonts w:asciiTheme="majorBidi" w:hAnsiTheme="majorBidi" w:cstheme="majorBidi"/>
          <w:sz w:val="24"/>
          <w:szCs w:val="24"/>
        </w:rPr>
        <w:t xml:space="preserve"> pronouncements</w:t>
      </w:r>
      <w:r w:rsidRPr="00546532">
        <w:rPr>
          <w:rFonts w:asciiTheme="majorBidi" w:hAnsiTheme="majorBidi" w:cstheme="majorBidi"/>
          <w:sz w:val="24"/>
          <w:szCs w:val="24"/>
        </w:rPr>
        <w:t xml:space="preserve"> before the crisis period and negative during and after crisis periods. The size of bond</w:t>
      </w:r>
      <w:r w:rsidR="007A3B01">
        <w:rPr>
          <w:rFonts w:asciiTheme="majorBidi" w:hAnsiTheme="majorBidi" w:cstheme="majorBidi"/>
          <w:sz w:val="24"/>
          <w:szCs w:val="24"/>
        </w:rPr>
        <w:t>s</w:t>
      </w:r>
      <w:r w:rsidRPr="00546532">
        <w:rPr>
          <w:rFonts w:asciiTheme="majorBidi" w:hAnsiTheme="majorBidi" w:cstheme="majorBidi"/>
          <w:sz w:val="24"/>
          <w:szCs w:val="24"/>
        </w:rPr>
        <w:t xml:space="preserve"> offer</w:t>
      </w:r>
      <w:r w:rsidR="007A3B01">
        <w:rPr>
          <w:rFonts w:asciiTheme="majorBidi" w:hAnsiTheme="majorBidi" w:cstheme="majorBidi"/>
          <w:sz w:val="24"/>
          <w:szCs w:val="24"/>
        </w:rPr>
        <w:t>ed</w:t>
      </w:r>
      <w:r w:rsidRPr="00546532">
        <w:rPr>
          <w:rFonts w:asciiTheme="majorBidi" w:hAnsiTheme="majorBidi" w:cstheme="majorBidi"/>
          <w:sz w:val="24"/>
          <w:szCs w:val="24"/>
        </w:rPr>
        <w:t xml:space="preserve"> seems to have a negative impact on the cumulative abnormal return for </w:t>
      </w:r>
      <w:r w:rsidR="007A3B01" w:rsidRPr="00C74AEF">
        <w:rPr>
          <w:rFonts w:asciiTheme="majorBidi" w:hAnsiTheme="majorBidi" w:cstheme="majorBidi"/>
          <w:i/>
          <w:iCs/>
          <w:sz w:val="24"/>
          <w:szCs w:val="24"/>
        </w:rPr>
        <w:t>S</w:t>
      </w:r>
      <w:r w:rsidRPr="00C74AEF">
        <w:rPr>
          <w:rFonts w:asciiTheme="majorBidi" w:hAnsiTheme="majorBidi" w:cstheme="majorBidi"/>
          <w:i/>
          <w:iCs/>
          <w:sz w:val="24"/>
          <w:szCs w:val="24"/>
        </w:rPr>
        <w:t>ukuk</w:t>
      </w:r>
      <w:r w:rsidR="007A3B01">
        <w:rPr>
          <w:rFonts w:asciiTheme="majorBidi" w:hAnsiTheme="majorBidi" w:cstheme="majorBidi"/>
          <w:sz w:val="24"/>
          <w:szCs w:val="24"/>
        </w:rPr>
        <w:t xml:space="preserve">, whereas, it </w:t>
      </w:r>
      <w:r w:rsidR="003768A4">
        <w:rPr>
          <w:rFonts w:asciiTheme="majorBidi" w:hAnsiTheme="majorBidi" w:cstheme="majorBidi"/>
          <w:sz w:val="24"/>
          <w:szCs w:val="24"/>
        </w:rPr>
        <w:t>is</w:t>
      </w:r>
      <w:r w:rsidRPr="00546532">
        <w:rPr>
          <w:rFonts w:asciiTheme="majorBidi" w:hAnsiTheme="majorBidi" w:cstheme="majorBidi"/>
          <w:sz w:val="24"/>
          <w:szCs w:val="24"/>
        </w:rPr>
        <w:t xml:space="preserve"> positive for conventional bond</w:t>
      </w:r>
      <w:r w:rsidR="003768A4">
        <w:rPr>
          <w:rFonts w:asciiTheme="majorBidi" w:hAnsiTheme="majorBidi" w:cstheme="majorBidi"/>
          <w:sz w:val="24"/>
          <w:szCs w:val="24"/>
        </w:rPr>
        <w:t>s</w:t>
      </w:r>
      <w:r w:rsidRPr="00546532">
        <w:rPr>
          <w:rFonts w:asciiTheme="majorBidi" w:hAnsiTheme="majorBidi" w:cstheme="majorBidi"/>
          <w:sz w:val="24"/>
          <w:szCs w:val="24"/>
        </w:rPr>
        <w:t xml:space="preserve">. </w:t>
      </w:r>
    </w:p>
    <w:p w14:paraId="33D7E383" w14:textId="3C16235E" w:rsidR="00A858A8" w:rsidRPr="00546532" w:rsidRDefault="00A858A8" w:rsidP="00A858A8">
      <w:pPr>
        <w:shd w:val="clear" w:color="auto" w:fill="FFFFFF" w:themeFill="background1"/>
        <w:spacing w:before="120" w:after="120" w:line="360" w:lineRule="auto"/>
        <w:jc w:val="both"/>
        <w:rPr>
          <w:rFonts w:asciiTheme="majorBidi" w:hAnsiTheme="majorBidi" w:cstheme="majorBidi"/>
          <w:sz w:val="24"/>
          <w:szCs w:val="24"/>
        </w:rPr>
      </w:pPr>
      <w:r w:rsidRPr="00546532">
        <w:rPr>
          <w:rFonts w:asciiTheme="majorBidi" w:hAnsiTheme="majorBidi" w:cstheme="majorBidi"/>
          <w:sz w:val="24"/>
          <w:szCs w:val="24"/>
        </w:rPr>
        <w:t>On the other hand</w:t>
      </w:r>
      <w:r w:rsidRPr="00546532">
        <w:rPr>
          <w:rFonts w:asciiTheme="majorBidi" w:hAnsiTheme="majorBidi" w:cstheme="majorBidi"/>
          <w:color w:val="000000" w:themeColor="text1"/>
          <w:sz w:val="24"/>
          <w:szCs w:val="24"/>
        </w:rPr>
        <w:t xml:space="preserve">, </w:t>
      </w:r>
      <w:hyperlink r:id="rId9" w:history="1">
        <w:r w:rsidRPr="00546532">
          <w:rPr>
            <w:rStyle w:val="Hyperlink"/>
            <w:rFonts w:asciiTheme="majorBidi" w:hAnsiTheme="majorBidi" w:cstheme="majorBidi"/>
            <w:color w:val="000000" w:themeColor="text1"/>
            <w:sz w:val="24"/>
            <w:szCs w:val="24"/>
            <w:u w:val="none"/>
          </w:rPr>
          <w:t>Ariff and Safari (2012)</w:t>
        </w:r>
      </w:hyperlink>
      <w:r w:rsidRPr="00546532">
        <w:rPr>
          <w:rFonts w:asciiTheme="majorBidi" w:hAnsiTheme="majorBidi" w:cstheme="majorBidi"/>
          <w:color w:val="000000" w:themeColor="text1"/>
          <w:sz w:val="24"/>
          <w:szCs w:val="24"/>
        </w:rPr>
        <w:t xml:space="preserve"> studied </w:t>
      </w:r>
      <w:r w:rsidR="003768A4" w:rsidRPr="00C74AEF">
        <w:rPr>
          <w:rFonts w:asciiTheme="majorBidi" w:hAnsiTheme="majorBidi" w:cstheme="majorBidi"/>
          <w:i/>
          <w:iCs/>
          <w:sz w:val="24"/>
          <w:szCs w:val="24"/>
        </w:rPr>
        <w:t>S</w:t>
      </w:r>
      <w:r w:rsidRPr="00C74AEF">
        <w:rPr>
          <w:rFonts w:asciiTheme="majorBidi" w:hAnsiTheme="majorBidi" w:cstheme="majorBidi"/>
          <w:i/>
          <w:iCs/>
          <w:sz w:val="24"/>
          <w:szCs w:val="24"/>
        </w:rPr>
        <w:t>ukuk</w:t>
      </w:r>
      <w:r w:rsidRPr="00546532">
        <w:rPr>
          <w:rFonts w:asciiTheme="majorBidi" w:hAnsiTheme="majorBidi" w:cstheme="majorBidi"/>
          <w:sz w:val="24"/>
          <w:szCs w:val="24"/>
        </w:rPr>
        <w:t xml:space="preserve"> performance by examining the causal link between the performance of </w:t>
      </w:r>
      <w:r w:rsidR="00047DB2" w:rsidRPr="00C74AEF">
        <w:rPr>
          <w:rFonts w:asciiTheme="majorBidi" w:hAnsiTheme="majorBidi" w:cstheme="majorBidi"/>
          <w:i/>
          <w:iCs/>
          <w:sz w:val="24"/>
          <w:szCs w:val="24"/>
        </w:rPr>
        <w:t>S</w:t>
      </w:r>
      <w:r w:rsidRPr="00C74AEF">
        <w:rPr>
          <w:rFonts w:asciiTheme="majorBidi" w:hAnsiTheme="majorBidi" w:cstheme="majorBidi"/>
          <w:i/>
          <w:iCs/>
          <w:sz w:val="24"/>
          <w:szCs w:val="24"/>
        </w:rPr>
        <w:t>ukuk</w:t>
      </w:r>
      <w:r w:rsidRPr="00546532">
        <w:rPr>
          <w:rFonts w:asciiTheme="majorBidi" w:hAnsiTheme="majorBidi" w:cstheme="majorBidi"/>
          <w:sz w:val="24"/>
          <w:szCs w:val="24"/>
        </w:rPr>
        <w:t xml:space="preserve"> and conventional bonds with the same performance and rating. Their results found no causal link between </w:t>
      </w:r>
      <w:r w:rsidR="00047DB2" w:rsidRPr="00C74AEF">
        <w:rPr>
          <w:rFonts w:asciiTheme="majorBidi" w:hAnsiTheme="majorBidi" w:cstheme="majorBidi"/>
          <w:i/>
          <w:iCs/>
          <w:sz w:val="24"/>
          <w:szCs w:val="24"/>
        </w:rPr>
        <w:t>S</w:t>
      </w:r>
      <w:r w:rsidRPr="00C74AEF">
        <w:rPr>
          <w:rFonts w:asciiTheme="majorBidi" w:hAnsiTheme="majorBidi" w:cstheme="majorBidi"/>
          <w:i/>
          <w:iCs/>
          <w:sz w:val="24"/>
          <w:szCs w:val="24"/>
        </w:rPr>
        <w:t>ukuk</w:t>
      </w:r>
      <w:r w:rsidRPr="00546532">
        <w:rPr>
          <w:rFonts w:asciiTheme="majorBidi" w:hAnsiTheme="majorBidi" w:cstheme="majorBidi"/>
          <w:sz w:val="24"/>
          <w:szCs w:val="24"/>
        </w:rPr>
        <w:t xml:space="preserve"> performance and conventional bonds. </w:t>
      </w:r>
    </w:p>
    <w:p w14:paraId="7C3FF25A" w14:textId="3237B604" w:rsidR="00A858A8" w:rsidRPr="00546532" w:rsidRDefault="00A858A8" w:rsidP="00A858A8">
      <w:pPr>
        <w:shd w:val="clear" w:color="auto" w:fill="FFFFFF" w:themeFill="background1"/>
        <w:spacing w:before="120" w:after="120" w:line="360" w:lineRule="auto"/>
        <w:jc w:val="both"/>
        <w:rPr>
          <w:rFonts w:asciiTheme="majorBidi" w:hAnsiTheme="majorBidi" w:cstheme="majorBidi"/>
          <w:sz w:val="24"/>
          <w:szCs w:val="24"/>
        </w:rPr>
      </w:pPr>
      <w:r w:rsidRPr="00546532">
        <w:rPr>
          <w:rFonts w:asciiTheme="majorBidi" w:hAnsiTheme="majorBidi" w:cstheme="majorBidi"/>
          <w:sz w:val="24"/>
          <w:szCs w:val="24"/>
        </w:rPr>
        <w:t>More recently</w:t>
      </w:r>
      <w:r w:rsidR="00047DB2">
        <w:rPr>
          <w:rFonts w:asciiTheme="majorBidi" w:hAnsiTheme="majorBidi" w:cstheme="majorBidi"/>
          <w:sz w:val="24"/>
          <w:szCs w:val="24"/>
        </w:rPr>
        <w:t>,</w:t>
      </w:r>
      <w:r w:rsidRPr="00546532">
        <w:rPr>
          <w:rFonts w:asciiTheme="majorBidi" w:hAnsiTheme="majorBidi" w:cstheme="majorBidi"/>
          <w:sz w:val="24"/>
          <w:szCs w:val="24"/>
        </w:rPr>
        <w:t xml:space="preserve"> a study conducted by </w:t>
      </w:r>
      <w:bookmarkStart w:id="12" w:name="OLE_LINK25"/>
      <w:bookmarkStart w:id="13" w:name="OLE_LINK78"/>
      <w:proofErr w:type="spellStart"/>
      <w:r w:rsidRPr="00546532">
        <w:rPr>
          <w:rFonts w:asciiTheme="majorBidi" w:hAnsiTheme="majorBidi" w:cstheme="majorBidi"/>
          <w:sz w:val="24"/>
          <w:szCs w:val="24"/>
        </w:rPr>
        <w:t>Boutti</w:t>
      </w:r>
      <w:proofErr w:type="spellEnd"/>
      <w:r w:rsidRPr="00546532">
        <w:rPr>
          <w:rFonts w:asciiTheme="majorBidi" w:hAnsiTheme="majorBidi" w:cstheme="majorBidi"/>
          <w:sz w:val="24"/>
          <w:szCs w:val="24"/>
        </w:rPr>
        <w:t xml:space="preserve"> and </w:t>
      </w:r>
      <w:proofErr w:type="spellStart"/>
      <w:r w:rsidRPr="00546532">
        <w:rPr>
          <w:rFonts w:asciiTheme="majorBidi" w:hAnsiTheme="majorBidi" w:cstheme="majorBidi"/>
          <w:sz w:val="24"/>
          <w:szCs w:val="24"/>
        </w:rPr>
        <w:t>Mosaid</w:t>
      </w:r>
      <w:proofErr w:type="spellEnd"/>
      <w:r w:rsidRPr="00546532">
        <w:rPr>
          <w:rFonts w:asciiTheme="majorBidi" w:hAnsiTheme="majorBidi" w:cstheme="majorBidi"/>
          <w:sz w:val="24"/>
          <w:szCs w:val="24"/>
        </w:rPr>
        <w:t xml:space="preserve"> (2014) </w:t>
      </w:r>
      <w:bookmarkEnd w:id="12"/>
      <w:bookmarkEnd w:id="13"/>
      <w:r w:rsidRPr="00546532">
        <w:rPr>
          <w:rFonts w:asciiTheme="majorBidi" w:hAnsiTheme="majorBidi" w:cstheme="majorBidi"/>
          <w:sz w:val="24"/>
          <w:szCs w:val="24"/>
        </w:rPr>
        <w:t xml:space="preserve">considered </w:t>
      </w:r>
      <w:r w:rsidR="0053719F" w:rsidRPr="00C74AEF">
        <w:rPr>
          <w:rFonts w:asciiTheme="majorBidi" w:hAnsiTheme="majorBidi" w:cstheme="majorBidi"/>
          <w:i/>
          <w:iCs/>
          <w:sz w:val="24"/>
          <w:szCs w:val="24"/>
        </w:rPr>
        <w:t>S</w:t>
      </w:r>
      <w:r w:rsidRPr="00C74AEF">
        <w:rPr>
          <w:rFonts w:asciiTheme="majorBidi" w:hAnsiTheme="majorBidi" w:cstheme="majorBidi"/>
          <w:i/>
          <w:iCs/>
          <w:sz w:val="24"/>
          <w:szCs w:val="24"/>
        </w:rPr>
        <w:t>ukuk</w:t>
      </w:r>
      <w:r w:rsidRPr="00546532">
        <w:rPr>
          <w:rFonts w:asciiTheme="majorBidi" w:hAnsiTheme="majorBidi" w:cstheme="majorBidi"/>
          <w:sz w:val="24"/>
          <w:szCs w:val="24"/>
        </w:rPr>
        <w:t xml:space="preserve"> and conventional bonds</w:t>
      </w:r>
      <w:r w:rsidR="0053719F">
        <w:rPr>
          <w:rFonts w:asciiTheme="majorBidi" w:hAnsiTheme="majorBidi" w:cstheme="majorBidi"/>
          <w:sz w:val="24"/>
          <w:szCs w:val="24"/>
        </w:rPr>
        <w:t>’</w:t>
      </w:r>
      <w:r w:rsidRPr="00546532">
        <w:rPr>
          <w:rFonts w:asciiTheme="majorBidi" w:hAnsiTheme="majorBidi" w:cstheme="majorBidi"/>
          <w:sz w:val="24"/>
          <w:szCs w:val="24"/>
        </w:rPr>
        <w:t xml:space="preserve"> performance in Malaysia, comparing portfolios</w:t>
      </w:r>
      <w:r w:rsidR="0053719F">
        <w:rPr>
          <w:rFonts w:asciiTheme="majorBidi" w:hAnsiTheme="majorBidi" w:cstheme="majorBidi"/>
          <w:sz w:val="24"/>
          <w:szCs w:val="24"/>
        </w:rPr>
        <w:t>’</w:t>
      </w:r>
      <w:r w:rsidRPr="00546532">
        <w:rPr>
          <w:rFonts w:asciiTheme="majorBidi" w:hAnsiTheme="majorBidi" w:cstheme="majorBidi"/>
          <w:sz w:val="24"/>
          <w:szCs w:val="24"/>
        </w:rPr>
        <w:t xml:space="preserve"> return by employing t-test</w:t>
      </w:r>
      <w:r w:rsidR="0053719F">
        <w:rPr>
          <w:rFonts w:asciiTheme="majorBidi" w:hAnsiTheme="majorBidi" w:cstheme="majorBidi"/>
          <w:sz w:val="24"/>
          <w:szCs w:val="24"/>
        </w:rPr>
        <w:t>s</w:t>
      </w:r>
      <w:r w:rsidRPr="00546532">
        <w:rPr>
          <w:rFonts w:asciiTheme="majorBidi" w:hAnsiTheme="majorBidi" w:cstheme="majorBidi"/>
          <w:sz w:val="24"/>
          <w:szCs w:val="24"/>
        </w:rPr>
        <w:t xml:space="preserve"> for paired samples, </w:t>
      </w:r>
      <w:r w:rsidR="007F24CD">
        <w:rPr>
          <w:rFonts w:asciiTheme="majorBidi" w:hAnsiTheme="majorBidi" w:cstheme="majorBidi"/>
          <w:sz w:val="24"/>
          <w:szCs w:val="24"/>
        </w:rPr>
        <w:t>subsequently,</w:t>
      </w:r>
      <w:r w:rsidRPr="00546532">
        <w:rPr>
          <w:rFonts w:asciiTheme="majorBidi" w:hAnsiTheme="majorBidi" w:cstheme="majorBidi"/>
          <w:sz w:val="24"/>
          <w:szCs w:val="24"/>
        </w:rPr>
        <w:t xml:space="preserve"> test</w:t>
      </w:r>
      <w:r w:rsidR="007F24CD">
        <w:rPr>
          <w:rFonts w:asciiTheme="majorBidi" w:hAnsiTheme="majorBidi" w:cstheme="majorBidi"/>
          <w:sz w:val="24"/>
          <w:szCs w:val="24"/>
        </w:rPr>
        <w:t>ing</w:t>
      </w:r>
      <w:r w:rsidRPr="00546532">
        <w:rPr>
          <w:rFonts w:asciiTheme="majorBidi" w:hAnsiTheme="majorBidi" w:cstheme="majorBidi"/>
          <w:sz w:val="24"/>
          <w:szCs w:val="24"/>
        </w:rPr>
        <w:t xml:space="preserve"> the correlation between those returns. The results of the t-test for paired samples of </w:t>
      </w:r>
      <w:r w:rsidR="007F24CD" w:rsidRPr="00C74AEF">
        <w:rPr>
          <w:rFonts w:asciiTheme="majorBidi" w:hAnsiTheme="majorBidi" w:cstheme="majorBidi"/>
          <w:i/>
          <w:iCs/>
          <w:sz w:val="24"/>
          <w:szCs w:val="24"/>
        </w:rPr>
        <w:t>S</w:t>
      </w:r>
      <w:r w:rsidRPr="00C74AEF">
        <w:rPr>
          <w:rFonts w:asciiTheme="majorBidi" w:hAnsiTheme="majorBidi" w:cstheme="majorBidi"/>
          <w:i/>
          <w:iCs/>
          <w:sz w:val="24"/>
          <w:szCs w:val="24"/>
        </w:rPr>
        <w:t>ukuk</w:t>
      </w:r>
      <w:r w:rsidRPr="00546532">
        <w:rPr>
          <w:rFonts w:asciiTheme="majorBidi" w:hAnsiTheme="majorBidi" w:cstheme="majorBidi"/>
          <w:sz w:val="24"/>
          <w:szCs w:val="24"/>
        </w:rPr>
        <w:t xml:space="preserve"> portfolios show that only one of the 10 portfolios are significant where the portfolio of bonds was not significant. On the other hand, both portfolios </w:t>
      </w:r>
      <w:r w:rsidR="008F04C3" w:rsidRPr="00546532">
        <w:rPr>
          <w:rFonts w:asciiTheme="majorBidi" w:hAnsiTheme="majorBidi" w:cstheme="majorBidi"/>
          <w:sz w:val="24"/>
          <w:szCs w:val="24"/>
        </w:rPr>
        <w:t>return</w:t>
      </w:r>
      <w:r w:rsidRPr="00546532">
        <w:rPr>
          <w:rFonts w:asciiTheme="majorBidi" w:hAnsiTheme="majorBidi" w:cstheme="majorBidi"/>
          <w:sz w:val="24"/>
          <w:szCs w:val="24"/>
        </w:rPr>
        <w:t xml:space="preserve"> show a positive correlation between th</w:t>
      </w:r>
      <w:r w:rsidR="008F04C3">
        <w:rPr>
          <w:rFonts w:asciiTheme="majorBidi" w:hAnsiTheme="majorBidi" w:cstheme="majorBidi"/>
          <w:sz w:val="24"/>
          <w:szCs w:val="24"/>
        </w:rPr>
        <w:t>at of</w:t>
      </w:r>
      <w:r w:rsidR="00401058">
        <w:rPr>
          <w:rFonts w:asciiTheme="majorBidi" w:hAnsiTheme="majorBidi" w:cstheme="majorBidi"/>
          <w:sz w:val="24"/>
          <w:szCs w:val="24"/>
        </w:rPr>
        <w:t xml:space="preserve"> </w:t>
      </w:r>
      <w:r w:rsidR="00DE7140">
        <w:rPr>
          <w:rFonts w:asciiTheme="majorBidi" w:hAnsiTheme="majorBidi" w:cstheme="majorBidi"/>
          <w:sz w:val="24"/>
          <w:szCs w:val="24"/>
        </w:rPr>
        <w:t>S</w:t>
      </w:r>
      <w:r w:rsidRPr="00546532">
        <w:rPr>
          <w:rFonts w:asciiTheme="majorBidi" w:hAnsiTheme="majorBidi" w:cstheme="majorBidi"/>
          <w:sz w:val="24"/>
          <w:szCs w:val="24"/>
        </w:rPr>
        <w:t>ukuk and bonds.</w:t>
      </w:r>
    </w:p>
    <w:p w14:paraId="3C4157C3" w14:textId="1F20DE88" w:rsidR="00A858A8" w:rsidRPr="00546532" w:rsidRDefault="00A858A8" w:rsidP="00A858A8">
      <w:pPr>
        <w:shd w:val="clear" w:color="auto" w:fill="FFFFFF" w:themeFill="background1"/>
        <w:spacing w:before="120" w:after="120" w:line="360" w:lineRule="auto"/>
        <w:jc w:val="both"/>
        <w:rPr>
          <w:rFonts w:asciiTheme="majorBidi" w:hAnsiTheme="majorBidi" w:cstheme="majorBidi"/>
          <w:sz w:val="24"/>
          <w:szCs w:val="24"/>
        </w:rPr>
      </w:pPr>
      <w:r w:rsidRPr="00546532">
        <w:rPr>
          <w:rFonts w:asciiTheme="majorBidi" w:eastAsia="Calibri" w:hAnsiTheme="majorBidi" w:cstheme="majorBidi"/>
          <w:sz w:val="24"/>
          <w:szCs w:val="24"/>
        </w:rPr>
        <w:t xml:space="preserve">It is worth mentioning that </w:t>
      </w:r>
      <w:r w:rsidR="001E11F0">
        <w:rPr>
          <w:rFonts w:asciiTheme="majorBidi" w:eastAsia="Calibri" w:hAnsiTheme="majorBidi" w:cstheme="majorBidi"/>
          <w:sz w:val="24"/>
          <w:szCs w:val="24"/>
        </w:rPr>
        <w:t>the most relevant research in</w:t>
      </w:r>
      <w:r w:rsidRPr="00546532">
        <w:rPr>
          <w:rFonts w:asciiTheme="majorBidi" w:eastAsia="Calibri" w:hAnsiTheme="majorBidi" w:cstheme="majorBidi"/>
          <w:sz w:val="24"/>
          <w:szCs w:val="24"/>
        </w:rPr>
        <w:t xml:space="preserve"> </w:t>
      </w:r>
      <w:r w:rsidR="00C31C8C" w:rsidRPr="00546532">
        <w:rPr>
          <w:rFonts w:asciiTheme="majorBidi" w:eastAsia="Calibri" w:hAnsiTheme="majorBidi" w:cstheme="majorBidi"/>
          <w:sz w:val="24"/>
          <w:szCs w:val="24"/>
        </w:rPr>
        <w:t>literature investigating</w:t>
      </w:r>
      <w:r w:rsidRPr="00546532">
        <w:rPr>
          <w:rFonts w:asciiTheme="majorBidi" w:eastAsia="Calibri" w:hAnsiTheme="majorBidi" w:cstheme="majorBidi"/>
          <w:sz w:val="24"/>
          <w:szCs w:val="24"/>
        </w:rPr>
        <w:t xml:space="preserve"> the risk level of sukuk and conventional bonds was presented by </w:t>
      </w:r>
      <w:proofErr w:type="spellStart"/>
      <w:r w:rsidRPr="00546532">
        <w:rPr>
          <w:rFonts w:asciiTheme="majorBidi" w:eastAsia="Calibri" w:hAnsiTheme="majorBidi" w:cstheme="majorBidi"/>
          <w:sz w:val="24"/>
          <w:szCs w:val="24"/>
        </w:rPr>
        <w:t>Cakir</w:t>
      </w:r>
      <w:proofErr w:type="spellEnd"/>
      <w:r w:rsidRPr="00546532">
        <w:rPr>
          <w:rFonts w:asciiTheme="majorBidi" w:eastAsia="Calibri" w:hAnsiTheme="majorBidi" w:cstheme="majorBidi"/>
          <w:sz w:val="24"/>
          <w:szCs w:val="24"/>
        </w:rPr>
        <w:t xml:space="preserve"> and </w:t>
      </w:r>
      <w:proofErr w:type="spellStart"/>
      <w:r w:rsidRPr="00546532">
        <w:rPr>
          <w:rFonts w:asciiTheme="majorBidi" w:eastAsia="Calibri" w:hAnsiTheme="majorBidi" w:cstheme="majorBidi"/>
          <w:sz w:val="24"/>
          <w:szCs w:val="24"/>
        </w:rPr>
        <w:t>Raei</w:t>
      </w:r>
      <w:proofErr w:type="spellEnd"/>
      <w:r w:rsidRPr="00546532">
        <w:rPr>
          <w:rFonts w:asciiTheme="majorBidi" w:eastAsia="Calibri" w:hAnsiTheme="majorBidi" w:cstheme="majorBidi"/>
          <w:sz w:val="24"/>
          <w:szCs w:val="24"/>
        </w:rPr>
        <w:t xml:space="preserve"> (2007). The authors purposed that sukuk are truly different from conventional bonds when it comes to the risk </w:t>
      </w:r>
      <w:r w:rsidRPr="00546532">
        <w:rPr>
          <w:rFonts w:asciiTheme="majorBidi" w:eastAsia="Calibri" w:hAnsiTheme="majorBidi" w:cstheme="majorBidi"/>
          <w:sz w:val="24"/>
          <w:szCs w:val="24"/>
        </w:rPr>
        <w:lastRenderedPageBreak/>
        <w:t xml:space="preserve">reduction </w:t>
      </w:r>
      <w:r w:rsidR="00662260">
        <w:rPr>
          <w:rFonts w:asciiTheme="majorBidi" w:eastAsia="Calibri" w:hAnsiTheme="majorBidi" w:cstheme="majorBidi"/>
          <w:sz w:val="24"/>
          <w:szCs w:val="24"/>
        </w:rPr>
        <w:t>benefits.</w:t>
      </w:r>
      <w:r w:rsidRPr="00546532">
        <w:rPr>
          <w:rFonts w:asciiTheme="majorBidi" w:eastAsia="Calibri" w:hAnsiTheme="majorBidi" w:cstheme="majorBidi"/>
          <w:sz w:val="24"/>
          <w:szCs w:val="24"/>
        </w:rPr>
        <w:t xml:space="preserve"> </w:t>
      </w:r>
      <w:r w:rsidR="009F08A4">
        <w:rPr>
          <w:rFonts w:asciiTheme="majorBidi" w:eastAsia="Calibri" w:hAnsiTheme="majorBidi" w:cstheme="majorBidi"/>
          <w:sz w:val="24"/>
          <w:szCs w:val="24"/>
        </w:rPr>
        <w:t>W</w:t>
      </w:r>
      <w:r w:rsidR="00401058">
        <w:rPr>
          <w:rFonts w:asciiTheme="majorBidi" w:eastAsia="Calibri" w:hAnsiTheme="majorBidi" w:cstheme="majorBidi"/>
          <w:sz w:val="24"/>
          <w:szCs w:val="24"/>
        </w:rPr>
        <w:t>ork on VaR</w:t>
      </w:r>
      <w:r w:rsidRPr="00546532">
        <w:rPr>
          <w:rFonts w:asciiTheme="majorBidi" w:eastAsia="Calibri" w:hAnsiTheme="majorBidi" w:cstheme="majorBidi"/>
          <w:sz w:val="24"/>
          <w:szCs w:val="24"/>
        </w:rPr>
        <w:t xml:space="preserve"> portfolios </w:t>
      </w:r>
      <w:r w:rsidR="00637AAE">
        <w:rPr>
          <w:rFonts w:asciiTheme="majorBidi" w:eastAsia="Calibri" w:hAnsiTheme="majorBidi" w:cstheme="majorBidi"/>
          <w:sz w:val="24"/>
          <w:szCs w:val="24"/>
        </w:rPr>
        <w:t>using</w:t>
      </w:r>
      <w:r w:rsidRPr="00546532">
        <w:rPr>
          <w:rFonts w:asciiTheme="majorBidi" w:eastAsia="Calibri" w:hAnsiTheme="majorBidi" w:cstheme="majorBidi"/>
          <w:sz w:val="24"/>
          <w:szCs w:val="24"/>
        </w:rPr>
        <w:t xml:space="preserve"> sample</w:t>
      </w:r>
      <w:r w:rsidR="00A47DF4">
        <w:rPr>
          <w:rFonts w:asciiTheme="majorBidi" w:eastAsia="Calibri" w:hAnsiTheme="majorBidi" w:cstheme="majorBidi"/>
          <w:sz w:val="24"/>
          <w:szCs w:val="24"/>
        </w:rPr>
        <w:t>s</w:t>
      </w:r>
      <w:r w:rsidRPr="00546532">
        <w:rPr>
          <w:rFonts w:asciiTheme="majorBidi" w:eastAsia="Calibri" w:hAnsiTheme="majorBidi" w:cstheme="majorBidi"/>
          <w:sz w:val="24"/>
          <w:szCs w:val="24"/>
        </w:rPr>
        <w:t xml:space="preserve"> of sovereign </w:t>
      </w:r>
      <w:r w:rsidR="00A47DF4" w:rsidRPr="00C74AEF">
        <w:rPr>
          <w:rFonts w:asciiTheme="majorBidi" w:eastAsia="Calibri" w:hAnsiTheme="majorBidi" w:cstheme="majorBidi"/>
          <w:i/>
          <w:iCs/>
          <w:sz w:val="24"/>
          <w:szCs w:val="24"/>
        </w:rPr>
        <w:t>S</w:t>
      </w:r>
      <w:r w:rsidRPr="00C74AEF">
        <w:rPr>
          <w:rFonts w:asciiTheme="majorBidi" w:eastAsia="Calibri" w:hAnsiTheme="majorBidi" w:cstheme="majorBidi"/>
          <w:i/>
          <w:iCs/>
          <w:sz w:val="24"/>
          <w:szCs w:val="24"/>
        </w:rPr>
        <w:t>ukuk</w:t>
      </w:r>
      <w:r w:rsidRPr="00546532">
        <w:rPr>
          <w:rFonts w:asciiTheme="majorBidi" w:eastAsia="Calibri" w:hAnsiTheme="majorBidi" w:cstheme="majorBidi"/>
          <w:sz w:val="24"/>
          <w:szCs w:val="24"/>
        </w:rPr>
        <w:t xml:space="preserve"> and Eurobonds by the same issuer</w:t>
      </w:r>
      <w:r w:rsidR="009F08A4">
        <w:rPr>
          <w:rFonts w:asciiTheme="majorBidi" w:eastAsia="Calibri" w:hAnsiTheme="majorBidi" w:cstheme="majorBidi"/>
          <w:sz w:val="24"/>
          <w:szCs w:val="24"/>
        </w:rPr>
        <w:t xml:space="preserve"> was conducted</w:t>
      </w:r>
      <w:r w:rsidRPr="00546532">
        <w:rPr>
          <w:rFonts w:asciiTheme="majorBidi" w:eastAsia="Calibri" w:hAnsiTheme="majorBidi" w:cstheme="majorBidi"/>
          <w:sz w:val="24"/>
          <w:szCs w:val="24"/>
        </w:rPr>
        <w:t xml:space="preserve">. In the study, </w:t>
      </w:r>
      <w:r w:rsidRPr="00546532">
        <w:rPr>
          <w:rFonts w:asciiTheme="majorBidi" w:hAnsiTheme="majorBidi" w:cstheme="majorBidi"/>
          <w:sz w:val="24"/>
          <w:szCs w:val="24"/>
        </w:rPr>
        <w:t xml:space="preserve">they constructed two hypothetical portfolios. </w:t>
      </w:r>
      <w:r w:rsidR="003E22FA">
        <w:rPr>
          <w:rFonts w:asciiTheme="majorBidi" w:hAnsiTheme="majorBidi" w:cstheme="majorBidi"/>
          <w:sz w:val="24"/>
          <w:szCs w:val="24"/>
        </w:rPr>
        <w:t>The f</w:t>
      </w:r>
      <w:r w:rsidRPr="00546532">
        <w:rPr>
          <w:rFonts w:asciiTheme="majorBidi" w:hAnsiTheme="majorBidi" w:cstheme="majorBidi"/>
          <w:sz w:val="24"/>
          <w:szCs w:val="24"/>
        </w:rPr>
        <w:t xml:space="preserve">irst portfolio consists only </w:t>
      </w:r>
      <w:r w:rsidR="003E22FA">
        <w:rPr>
          <w:rFonts w:asciiTheme="majorBidi" w:hAnsiTheme="majorBidi" w:cstheme="majorBidi"/>
          <w:sz w:val="24"/>
          <w:szCs w:val="24"/>
        </w:rPr>
        <w:t xml:space="preserve">of </w:t>
      </w:r>
      <w:r w:rsidRPr="00546532">
        <w:rPr>
          <w:rFonts w:asciiTheme="majorBidi" w:hAnsiTheme="majorBidi" w:cstheme="majorBidi"/>
          <w:sz w:val="24"/>
          <w:szCs w:val="24"/>
        </w:rPr>
        <w:t>Eurobonds</w:t>
      </w:r>
      <w:r w:rsidR="003E22FA">
        <w:rPr>
          <w:rFonts w:asciiTheme="majorBidi" w:hAnsiTheme="majorBidi" w:cstheme="majorBidi"/>
          <w:sz w:val="24"/>
          <w:szCs w:val="24"/>
        </w:rPr>
        <w:t xml:space="preserve">, while </w:t>
      </w:r>
      <w:r w:rsidR="00C74AEF">
        <w:rPr>
          <w:rFonts w:asciiTheme="majorBidi" w:hAnsiTheme="majorBidi" w:cstheme="majorBidi"/>
          <w:sz w:val="24"/>
          <w:szCs w:val="24"/>
        </w:rPr>
        <w:t>the</w:t>
      </w:r>
      <w:r w:rsidR="00C74AEF" w:rsidRPr="00546532">
        <w:rPr>
          <w:rFonts w:asciiTheme="majorBidi" w:hAnsiTheme="majorBidi" w:cstheme="majorBidi"/>
          <w:sz w:val="24"/>
          <w:szCs w:val="24"/>
        </w:rPr>
        <w:t xml:space="preserve"> other</w:t>
      </w:r>
      <w:r w:rsidRPr="00546532">
        <w:rPr>
          <w:rFonts w:asciiTheme="majorBidi" w:hAnsiTheme="majorBidi" w:cstheme="majorBidi"/>
          <w:sz w:val="24"/>
          <w:szCs w:val="24"/>
        </w:rPr>
        <w:t xml:space="preserve"> con</w:t>
      </w:r>
      <w:r w:rsidR="003E22FA">
        <w:rPr>
          <w:rFonts w:asciiTheme="majorBidi" w:hAnsiTheme="majorBidi" w:cstheme="majorBidi"/>
          <w:sz w:val="24"/>
          <w:szCs w:val="24"/>
        </w:rPr>
        <w:t>tains</w:t>
      </w:r>
      <w:r w:rsidRPr="00546532">
        <w:rPr>
          <w:rFonts w:asciiTheme="majorBidi" w:hAnsiTheme="majorBidi" w:cstheme="majorBidi"/>
          <w:sz w:val="24"/>
          <w:szCs w:val="24"/>
        </w:rPr>
        <w:t xml:space="preserve"> </w:t>
      </w:r>
      <w:r w:rsidR="003E22FA" w:rsidRPr="00C74AEF">
        <w:rPr>
          <w:rFonts w:asciiTheme="majorBidi" w:hAnsiTheme="majorBidi" w:cstheme="majorBidi"/>
          <w:i/>
          <w:iCs/>
          <w:sz w:val="24"/>
          <w:szCs w:val="24"/>
        </w:rPr>
        <w:t>S</w:t>
      </w:r>
      <w:r w:rsidRPr="00C74AEF">
        <w:rPr>
          <w:rFonts w:asciiTheme="majorBidi" w:hAnsiTheme="majorBidi" w:cstheme="majorBidi"/>
          <w:i/>
          <w:iCs/>
          <w:sz w:val="24"/>
          <w:szCs w:val="24"/>
        </w:rPr>
        <w:t>ukuk</w:t>
      </w:r>
      <w:r w:rsidRPr="00546532">
        <w:rPr>
          <w:rFonts w:asciiTheme="majorBidi" w:hAnsiTheme="majorBidi" w:cstheme="majorBidi"/>
          <w:sz w:val="24"/>
          <w:szCs w:val="24"/>
        </w:rPr>
        <w:t xml:space="preserve"> and Eurobonds applying VaR methods of Delta-normal and Monte Carlo simulation. </w:t>
      </w:r>
      <w:r w:rsidR="000B2A07">
        <w:rPr>
          <w:rFonts w:asciiTheme="majorBidi" w:hAnsiTheme="majorBidi" w:cstheme="majorBidi"/>
          <w:sz w:val="24"/>
          <w:szCs w:val="24"/>
        </w:rPr>
        <w:t>R</w:t>
      </w:r>
      <w:r w:rsidRPr="00546532">
        <w:rPr>
          <w:rFonts w:asciiTheme="majorBidi" w:hAnsiTheme="majorBidi" w:cstheme="majorBidi"/>
          <w:sz w:val="24"/>
          <w:szCs w:val="24"/>
        </w:rPr>
        <w:t xml:space="preserve">esults </w:t>
      </w:r>
      <w:r w:rsidR="00A22459">
        <w:rPr>
          <w:rFonts w:asciiTheme="majorBidi" w:hAnsiTheme="majorBidi" w:cstheme="majorBidi"/>
          <w:sz w:val="24"/>
          <w:szCs w:val="24"/>
        </w:rPr>
        <w:t>indicated</w:t>
      </w:r>
      <w:r w:rsidRPr="00546532">
        <w:rPr>
          <w:rFonts w:asciiTheme="majorBidi" w:hAnsiTheme="majorBidi" w:cstheme="majorBidi"/>
          <w:sz w:val="24"/>
          <w:szCs w:val="24"/>
        </w:rPr>
        <w:t xml:space="preserve"> that VaR is reduced for the portfolio containing </w:t>
      </w:r>
      <w:r w:rsidR="005007CB" w:rsidRPr="00C74AEF">
        <w:rPr>
          <w:rFonts w:asciiTheme="majorBidi" w:hAnsiTheme="majorBidi" w:cstheme="majorBidi"/>
          <w:i/>
          <w:iCs/>
          <w:sz w:val="24"/>
          <w:szCs w:val="24"/>
        </w:rPr>
        <w:t>S</w:t>
      </w:r>
      <w:r w:rsidRPr="00C74AEF">
        <w:rPr>
          <w:rFonts w:asciiTheme="majorBidi" w:hAnsiTheme="majorBidi" w:cstheme="majorBidi"/>
          <w:i/>
          <w:iCs/>
          <w:sz w:val="24"/>
          <w:szCs w:val="24"/>
        </w:rPr>
        <w:t>ukuk</w:t>
      </w:r>
      <w:r w:rsidRPr="00546532">
        <w:rPr>
          <w:rFonts w:asciiTheme="majorBidi" w:hAnsiTheme="majorBidi" w:cstheme="majorBidi"/>
          <w:sz w:val="24"/>
          <w:szCs w:val="24"/>
        </w:rPr>
        <w:t xml:space="preserve"> and Eurobonds compared to only Eurobonds</w:t>
      </w:r>
      <w:r w:rsidR="00ED6EA1">
        <w:rPr>
          <w:rFonts w:asciiTheme="majorBidi" w:hAnsiTheme="majorBidi" w:cstheme="majorBidi"/>
          <w:sz w:val="24"/>
          <w:szCs w:val="24"/>
        </w:rPr>
        <w:t>, leading</w:t>
      </w:r>
      <w:r w:rsidRPr="00546532">
        <w:rPr>
          <w:rFonts w:asciiTheme="majorBidi" w:hAnsiTheme="majorBidi" w:cstheme="majorBidi"/>
          <w:sz w:val="24"/>
          <w:szCs w:val="24"/>
        </w:rPr>
        <w:t xml:space="preserve"> the authors </w:t>
      </w:r>
      <w:r w:rsidR="00ED6EA1">
        <w:rPr>
          <w:rFonts w:asciiTheme="majorBidi" w:hAnsiTheme="majorBidi" w:cstheme="majorBidi"/>
          <w:sz w:val="24"/>
          <w:szCs w:val="24"/>
        </w:rPr>
        <w:t xml:space="preserve">to </w:t>
      </w:r>
      <w:r w:rsidRPr="00546532">
        <w:rPr>
          <w:rFonts w:asciiTheme="majorBidi" w:hAnsiTheme="majorBidi" w:cstheme="majorBidi"/>
          <w:sz w:val="24"/>
          <w:szCs w:val="24"/>
        </w:rPr>
        <w:t xml:space="preserve">conclude that </w:t>
      </w:r>
      <w:r w:rsidR="00ED6EA1" w:rsidRPr="00C74AEF">
        <w:rPr>
          <w:rFonts w:asciiTheme="majorBidi" w:hAnsiTheme="majorBidi" w:cstheme="majorBidi"/>
          <w:i/>
          <w:iCs/>
          <w:sz w:val="24"/>
          <w:szCs w:val="24"/>
        </w:rPr>
        <w:t>S</w:t>
      </w:r>
      <w:r w:rsidRPr="00C74AEF">
        <w:rPr>
          <w:rFonts w:asciiTheme="majorBidi" w:hAnsiTheme="majorBidi" w:cstheme="majorBidi"/>
          <w:i/>
          <w:iCs/>
          <w:sz w:val="24"/>
          <w:szCs w:val="24"/>
        </w:rPr>
        <w:t>ukuk</w:t>
      </w:r>
      <w:r w:rsidRPr="00546532">
        <w:rPr>
          <w:rFonts w:asciiTheme="majorBidi" w:hAnsiTheme="majorBidi" w:cstheme="majorBidi"/>
          <w:sz w:val="24"/>
          <w:szCs w:val="24"/>
        </w:rPr>
        <w:t xml:space="preserve"> does have some diversification advantages </w:t>
      </w:r>
      <w:r w:rsidR="00C31C8C" w:rsidRPr="00546532">
        <w:rPr>
          <w:rFonts w:asciiTheme="majorBidi" w:hAnsiTheme="majorBidi" w:cstheme="majorBidi"/>
          <w:sz w:val="24"/>
          <w:szCs w:val="24"/>
        </w:rPr>
        <w:t>for investors</w:t>
      </w:r>
      <w:r w:rsidRPr="00546532">
        <w:rPr>
          <w:rFonts w:asciiTheme="majorBidi" w:hAnsiTheme="majorBidi" w:cstheme="majorBidi"/>
          <w:sz w:val="24"/>
          <w:szCs w:val="24"/>
        </w:rPr>
        <w:t>, compar</w:t>
      </w:r>
      <w:r w:rsidR="000B2A07">
        <w:rPr>
          <w:rFonts w:asciiTheme="majorBidi" w:hAnsiTheme="majorBidi" w:cstheme="majorBidi"/>
          <w:sz w:val="24"/>
          <w:szCs w:val="24"/>
        </w:rPr>
        <w:t>ed</w:t>
      </w:r>
      <w:r w:rsidRPr="00546532">
        <w:rPr>
          <w:rFonts w:asciiTheme="majorBidi" w:hAnsiTheme="majorBidi" w:cstheme="majorBidi"/>
          <w:sz w:val="24"/>
          <w:szCs w:val="24"/>
        </w:rPr>
        <w:t xml:space="preserve"> to conventional bonds. </w:t>
      </w:r>
    </w:p>
    <w:p w14:paraId="31D0B16D" w14:textId="6E8E607A" w:rsidR="00A858A8" w:rsidRPr="00546532" w:rsidRDefault="00A858A8" w:rsidP="00A858A8">
      <w:pPr>
        <w:pStyle w:val="BodyText3"/>
        <w:rPr>
          <w:rFonts w:asciiTheme="majorBidi" w:hAnsiTheme="majorBidi" w:cstheme="majorBidi"/>
          <w:sz w:val="24"/>
          <w:szCs w:val="24"/>
        </w:rPr>
      </w:pPr>
      <w:r w:rsidRPr="00546532">
        <w:rPr>
          <w:rFonts w:asciiTheme="majorBidi" w:hAnsiTheme="majorBidi" w:cstheme="majorBidi"/>
          <w:sz w:val="24"/>
          <w:szCs w:val="24"/>
        </w:rPr>
        <w:t>Secondly, Hassan (2012</w:t>
      </w:r>
      <w:r w:rsidR="00C31C8C" w:rsidRPr="00546532">
        <w:rPr>
          <w:rFonts w:asciiTheme="majorBidi" w:hAnsiTheme="majorBidi" w:cstheme="majorBidi"/>
          <w:sz w:val="24"/>
          <w:szCs w:val="24"/>
        </w:rPr>
        <w:t xml:space="preserve">) </w:t>
      </w:r>
      <w:r w:rsidR="002E7E6E" w:rsidRPr="00546532">
        <w:rPr>
          <w:rFonts w:asciiTheme="majorBidi" w:hAnsiTheme="majorBidi" w:cstheme="majorBidi"/>
          <w:sz w:val="24"/>
          <w:szCs w:val="24"/>
        </w:rPr>
        <w:t>assessed potential</w:t>
      </w:r>
      <w:r w:rsidRPr="00546532">
        <w:rPr>
          <w:rFonts w:asciiTheme="majorBidi" w:hAnsiTheme="majorBidi" w:cstheme="majorBidi"/>
          <w:sz w:val="24"/>
          <w:szCs w:val="24"/>
        </w:rPr>
        <w:t xml:space="preserve"> difference</w:t>
      </w:r>
      <w:r w:rsidR="00135B87">
        <w:rPr>
          <w:rFonts w:asciiTheme="majorBidi" w:hAnsiTheme="majorBidi" w:cstheme="majorBidi"/>
          <w:sz w:val="24"/>
          <w:szCs w:val="24"/>
        </w:rPr>
        <w:t>s</w:t>
      </w:r>
      <w:r w:rsidRPr="00546532">
        <w:rPr>
          <w:rFonts w:asciiTheme="majorBidi" w:hAnsiTheme="majorBidi" w:cstheme="majorBidi"/>
          <w:sz w:val="24"/>
          <w:szCs w:val="24"/>
        </w:rPr>
        <w:t xml:space="preserve"> between Sukuk and </w:t>
      </w:r>
      <w:r w:rsidR="005E1BF6">
        <w:rPr>
          <w:rFonts w:asciiTheme="majorBidi" w:hAnsiTheme="majorBidi" w:cstheme="majorBidi"/>
          <w:sz w:val="24"/>
          <w:szCs w:val="24"/>
        </w:rPr>
        <w:t>conventional bonds by capturing</w:t>
      </w:r>
      <w:r w:rsidRPr="00546532">
        <w:rPr>
          <w:rFonts w:asciiTheme="majorBidi" w:hAnsiTheme="majorBidi" w:cstheme="majorBidi"/>
          <w:sz w:val="24"/>
          <w:szCs w:val="24"/>
        </w:rPr>
        <w:t xml:space="preserve"> </w:t>
      </w:r>
      <w:r w:rsidR="00135B87">
        <w:rPr>
          <w:rFonts w:asciiTheme="majorBidi" w:hAnsiTheme="majorBidi" w:cstheme="majorBidi"/>
          <w:sz w:val="24"/>
          <w:szCs w:val="24"/>
        </w:rPr>
        <w:t>varian</w:t>
      </w:r>
      <w:r w:rsidRPr="00546532">
        <w:rPr>
          <w:rFonts w:asciiTheme="majorBidi" w:hAnsiTheme="majorBidi" w:cstheme="majorBidi"/>
          <w:sz w:val="24"/>
          <w:szCs w:val="24"/>
        </w:rPr>
        <w:t xml:space="preserve">ces related to the diversification benefit that can be gained by adding </w:t>
      </w:r>
      <w:r w:rsidR="00671CC4" w:rsidRPr="00C74AEF">
        <w:rPr>
          <w:rFonts w:asciiTheme="majorBidi" w:hAnsiTheme="majorBidi" w:cstheme="majorBidi"/>
          <w:i/>
          <w:iCs/>
          <w:sz w:val="24"/>
          <w:szCs w:val="24"/>
        </w:rPr>
        <w:t>S</w:t>
      </w:r>
      <w:r w:rsidRPr="00C74AEF">
        <w:rPr>
          <w:rFonts w:asciiTheme="majorBidi" w:hAnsiTheme="majorBidi" w:cstheme="majorBidi"/>
          <w:i/>
          <w:iCs/>
          <w:sz w:val="24"/>
          <w:szCs w:val="24"/>
        </w:rPr>
        <w:t>ukuk</w:t>
      </w:r>
      <w:r w:rsidRPr="00546532">
        <w:rPr>
          <w:rFonts w:asciiTheme="majorBidi" w:hAnsiTheme="majorBidi" w:cstheme="majorBidi"/>
          <w:sz w:val="24"/>
          <w:szCs w:val="24"/>
        </w:rPr>
        <w:t xml:space="preserve"> into conventional fixed income portfolio</w:t>
      </w:r>
      <w:r w:rsidR="006C3B31">
        <w:rPr>
          <w:rFonts w:asciiTheme="majorBidi" w:hAnsiTheme="majorBidi" w:cstheme="majorBidi"/>
          <w:sz w:val="24"/>
          <w:szCs w:val="24"/>
        </w:rPr>
        <w:t>s</w:t>
      </w:r>
      <w:r w:rsidR="001E11F0">
        <w:rPr>
          <w:rFonts w:asciiTheme="majorBidi" w:hAnsiTheme="majorBidi" w:cstheme="majorBidi"/>
          <w:sz w:val="24"/>
          <w:szCs w:val="24"/>
        </w:rPr>
        <w:t>. Further,</w:t>
      </w:r>
      <w:r w:rsidRPr="00546532">
        <w:rPr>
          <w:rFonts w:asciiTheme="majorBidi" w:hAnsiTheme="majorBidi" w:cstheme="majorBidi"/>
          <w:sz w:val="24"/>
          <w:szCs w:val="24"/>
        </w:rPr>
        <w:t xml:space="preserve"> evaluat</w:t>
      </w:r>
      <w:r w:rsidR="006C3B31">
        <w:rPr>
          <w:rFonts w:asciiTheme="majorBidi" w:hAnsiTheme="majorBidi" w:cstheme="majorBidi"/>
          <w:sz w:val="24"/>
          <w:szCs w:val="24"/>
        </w:rPr>
        <w:t xml:space="preserve">ion </w:t>
      </w:r>
      <w:r w:rsidR="003B2824">
        <w:rPr>
          <w:rFonts w:asciiTheme="majorBidi" w:hAnsiTheme="majorBidi" w:cstheme="majorBidi"/>
          <w:sz w:val="24"/>
          <w:szCs w:val="24"/>
        </w:rPr>
        <w:t xml:space="preserve">is offered </w:t>
      </w:r>
      <w:r w:rsidR="00C31C8C">
        <w:rPr>
          <w:rFonts w:asciiTheme="majorBidi" w:hAnsiTheme="majorBidi" w:cstheme="majorBidi"/>
          <w:sz w:val="24"/>
          <w:szCs w:val="24"/>
        </w:rPr>
        <w:t>concerning</w:t>
      </w:r>
      <w:r w:rsidR="00C31C8C" w:rsidRPr="00546532">
        <w:rPr>
          <w:rFonts w:asciiTheme="majorBidi" w:hAnsiTheme="majorBidi" w:cstheme="majorBidi"/>
          <w:sz w:val="24"/>
          <w:szCs w:val="24"/>
        </w:rPr>
        <w:t xml:space="preserve"> value</w:t>
      </w:r>
      <w:r w:rsidRPr="00546532">
        <w:rPr>
          <w:rFonts w:asciiTheme="majorBidi" w:hAnsiTheme="majorBidi" w:cstheme="majorBidi"/>
          <w:sz w:val="24"/>
          <w:szCs w:val="24"/>
        </w:rPr>
        <w:t xml:space="preserve"> at risk (VaR) of </w:t>
      </w:r>
      <w:r w:rsidR="006C3B31" w:rsidRPr="00C74AEF">
        <w:rPr>
          <w:rFonts w:asciiTheme="majorBidi" w:hAnsiTheme="majorBidi" w:cstheme="majorBidi"/>
          <w:i/>
          <w:iCs/>
          <w:sz w:val="24"/>
          <w:szCs w:val="24"/>
        </w:rPr>
        <w:t>S</w:t>
      </w:r>
      <w:r w:rsidRPr="00C74AEF">
        <w:rPr>
          <w:rFonts w:asciiTheme="majorBidi" w:hAnsiTheme="majorBidi" w:cstheme="majorBidi"/>
          <w:i/>
          <w:iCs/>
          <w:sz w:val="24"/>
          <w:szCs w:val="24"/>
        </w:rPr>
        <w:t>ukuk</w:t>
      </w:r>
      <w:r w:rsidRPr="00546532">
        <w:rPr>
          <w:rFonts w:asciiTheme="majorBidi" w:hAnsiTheme="majorBidi" w:cstheme="majorBidi"/>
          <w:sz w:val="24"/>
          <w:szCs w:val="24"/>
        </w:rPr>
        <w:t xml:space="preserve"> compared with VaR of conventional bonds of the same issuer in two separate portfolios </w:t>
      </w:r>
      <w:r w:rsidR="002E7E6E" w:rsidRPr="00546532">
        <w:rPr>
          <w:rFonts w:asciiTheme="majorBidi" w:hAnsiTheme="majorBidi" w:cstheme="majorBidi"/>
          <w:sz w:val="24"/>
          <w:szCs w:val="24"/>
        </w:rPr>
        <w:t>where the</w:t>
      </w:r>
      <w:r w:rsidRPr="00546532">
        <w:rPr>
          <w:rFonts w:asciiTheme="majorBidi" w:hAnsiTheme="majorBidi" w:cstheme="majorBidi"/>
          <w:sz w:val="24"/>
          <w:szCs w:val="24"/>
        </w:rPr>
        <w:t xml:space="preserve"> Delta-Normal Value at Risk approach to the sample</w:t>
      </w:r>
      <w:r w:rsidR="00F52957">
        <w:rPr>
          <w:rFonts w:asciiTheme="majorBidi" w:hAnsiTheme="majorBidi" w:cstheme="majorBidi"/>
          <w:sz w:val="24"/>
          <w:szCs w:val="24"/>
        </w:rPr>
        <w:t xml:space="preserve"> is applied</w:t>
      </w:r>
      <w:r w:rsidRPr="00546532">
        <w:rPr>
          <w:rFonts w:asciiTheme="majorBidi" w:hAnsiTheme="majorBidi" w:cstheme="majorBidi"/>
          <w:sz w:val="24"/>
          <w:szCs w:val="24"/>
        </w:rPr>
        <w:t xml:space="preserve">. </w:t>
      </w:r>
      <w:r w:rsidR="00024F67">
        <w:rPr>
          <w:rFonts w:asciiTheme="majorBidi" w:hAnsiTheme="majorBidi" w:cstheme="majorBidi"/>
          <w:sz w:val="24"/>
          <w:szCs w:val="24"/>
        </w:rPr>
        <w:t>Findings</w:t>
      </w:r>
      <w:r w:rsidRPr="00546532">
        <w:rPr>
          <w:rFonts w:asciiTheme="majorBidi" w:hAnsiTheme="majorBidi" w:cstheme="majorBidi"/>
          <w:sz w:val="24"/>
          <w:szCs w:val="24"/>
        </w:rPr>
        <w:t xml:space="preserve"> imply that </w:t>
      </w:r>
      <w:r w:rsidR="00024F67" w:rsidRPr="00C74AEF">
        <w:rPr>
          <w:rFonts w:asciiTheme="majorBidi" w:hAnsiTheme="majorBidi" w:cstheme="majorBidi"/>
          <w:i/>
          <w:iCs/>
          <w:sz w:val="24"/>
          <w:szCs w:val="24"/>
        </w:rPr>
        <w:t>S</w:t>
      </w:r>
      <w:r w:rsidRPr="00C74AEF">
        <w:rPr>
          <w:rFonts w:asciiTheme="majorBidi" w:hAnsiTheme="majorBidi" w:cstheme="majorBidi"/>
          <w:i/>
          <w:iCs/>
          <w:sz w:val="24"/>
          <w:szCs w:val="24"/>
        </w:rPr>
        <w:t>ukuk</w:t>
      </w:r>
      <w:r w:rsidRPr="00546532">
        <w:rPr>
          <w:rFonts w:asciiTheme="majorBidi" w:hAnsiTheme="majorBidi" w:cstheme="majorBidi"/>
          <w:sz w:val="24"/>
          <w:szCs w:val="24"/>
        </w:rPr>
        <w:t xml:space="preserve"> and conventional bonds prices have different behaviour in </w:t>
      </w:r>
      <w:r w:rsidR="00CB0F5B">
        <w:rPr>
          <w:rFonts w:asciiTheme="majorBidi" w:hAnsiTheme="majorBidi" w:cstheme="majorBidi"/>
          <w:sz w:val="24"/>
          <w:szCs w:val="24"/>
        </w:rPr>
        <w:t>a</w:t>
      </w:r>
      <w:r w:rsidRPr="00546532">
        <w:rPr>
          <w:rFonts w:asciiTheme="majorBidi" w:hAnsiTheme="majorBidi" w:cstheme="majorBidi"/>
          <w:sz w:val="24"/>
          <w:szCs w:val="24"/>
        </w:rPr>
        <w:t xml:space="preserve"> secondary market. </w:t>
      </w:r>
      <w:r w:rsidR="00CB0F5B">
        <w:rPr>
          <w:rFonts w:asciiTheme="majorBidi" w:hAnsiTheme="majorBidi" w:cstheme="majorBidi"/>
          <w:sz w:val="24"/>
          <w:szCs w:val="24"/>
        </w:rPr>
        <w:t xml:space="preserve">Further conclusions </w:t>
      </w:r>
      <w:r w:rsidR="00E14B6A">
        <w:rPr>
          <w:rFonts w:asciiTheme="majorBidi" w:hAnsiTheme="majorBidi" w:cstheme="majorBidi"/>
          <w:sz w:val="24"/>
          <w:szCs w:val="24"/>
        </w:rPr>
        <w:t>note,</w:t>
      </w:r>
      <w:r w:rsidRPr="00546532">
        <w:rPr>
          <w:rFonts w:asciiTheme="majorBidi" w:hAnsiTheme="majorBidi" w:cstheme="majorBidi"/>
          <w:sz w:val="24"/>
          <w:szCs w:val="24"/>
        </w:rPr>
        <w:t xml:space="preserve"> a presence of diversification gains </w:t>
      </w:r>
      <w:r w:rsidR="00C31C8C" w:rsidRPr="00546532">
        <w:rPr>
          <w:rFonts w:asciiTheme="majorBidi" w:hAnsiTheme="majorBidi" w:cstheme="majorBidi"/>
          <w:sz w:val="24"/>
          <w:szCs w:val="24"/>
        </w:rPr>
        <w:t xml:space="preserve">when </w:t>
      </w:r>
      <w:r w:rsidR="00C31C8C" w:rsidRPr="00C74AEF">
        <w:rPr>
          <w:rFonts w:asciiTheme="majorBidi" w:hAnsiTheme="majorBidi" w:cstheme="majorBidi"/>
          <w:i/>
          <w:iCs/>
          <w:sz w:val="24"/>
          <w:szCs w:val="24"/>
        </w:rPr>
        <w:t>Sukuk</w:t>
      </w:r>
      <w:r w:rsidRPr="00546532">
        <w:rPr>
          <w:rFonts w:asciiTheme="majorBidi" w:hAnsiTheme="majorBidi" w:cstheme="majorBidi"/>
          <w:sz w:val="24"/>
          <w:szCs w:val="24"/>
        </w:rPr>
        <w:t xml:space="preserve"> </w:t>
      </w:r>
      <w:r w:rsidR="00A4152A">
        <w:rPr>
          <w:rFonts w:asciiTheme="majorBidi" w:hAnsiTheme="majorBidi" w:cstheme="majorBidi"/>
          <w:sz w:val="24"/>
          <w:szCs w:val="24"/>
        </w:rPr>
        <w:t xml:space="preserve">is added </w:t>
      </w:r>
      <w:r w:rsidRPr="00546532">
        <w:rPr>
          <w:rFonts w:asciiTheme="majorBidi" w:hAnsiTheme="majorBidi" w:cstheme="majorBidi"/>
          <w:sz w:val="24"/>
          <w:szCs w:val="24"/>
        </w:rPr>
        <w:t>to bond portfolio</w:t>
      </w:r>
      <w:r w:rsidR="00A4152A">
        <w:rPr>
          <w:rFonts w:asciiTheme="majorBidi" w:hAnsiTheme="majorBidi" w:cstheme="majorBidi"/>
          <w:sz w:val="24"/>
          <w:szCs w:val="24"/>
        </w:rPr>
        <w:t>s</w:t>
      </w:r>
      <w:r w:rsidR="00F359D4">
        <w:rPr>
          <w:rFonts w:asciiTheme="majorBidi" w:hAnsiTheme="majorBidi" w:cstheme="majorBidi"/>
          <w:sz w:val="24"/>
          <w:szCs w:val="24"/>
        </w:rPr>
        <w:t>,</w:t>
      </w:r>
      <w:r w:rsidRPr="00546532">
        <w:rPr>
          <w:rFonts w:asciiTheme="majorBidi" w:hAnsiTheme="majorBidi" w:cstheme="majorBidi"/>
          <w:sz w:val="24"/>
          <w:szCs w:val="24"/>
        </w:rPr>
        <w:t xml:space="preserve"> in line </w:t>
      </w:r>
      <w:r w:rsidR="002E7E6E">
        <w:rPr>
          <w:rFonts w:asciiTheme="majorBidi" w:hAnsiTheme="majorBidi" w:cstheme="majorBidi"/>
          <w:sz w:val="24"/>
          <w:szCs w:val="24"/>
        </w:rPr>
        <w:t xml:space="preserve">with </w:t>
      </w:r>
      <w:r w:rsidR="002E7E6E" w:rsidRPr="00546532">
        <w:rPr>
          <w:rFonts w:asciiTheme="majorBidi" w:hAnsiTheme="majorBidi" w:cstheme="majorBidi"/>
          <w:sz w:val="24"/>
          <w:szCs w:val="24"/>
        </w:rPr>
        <w:t>previous</w:t>
      </w:r>
      <w:r w:rsidRPr="00546532">
        <w:rPr>
          <w:rFonts w:asciiTheme="majorBidi" w:hAnsiTheme="majorBidi" w:cstheme="majorBidi"/>
          <w:sz w:val="24"/>
          <w:szCs w:val="24"/>
        </w:rPr>
        <w:t xml:space="preserve"> literature </w:t>
      </w:r>
      <w:r w:rsidR="00A4152A">
        <w:rPr>
          <w:rFonts w:asciiTheme="majorBidi" w:hAnsiTheme="majorBidi" w:cstheme="majorBidi"/>
          <w:sz w:val="24"/>
          <w:szCs w:val="24"/>
        </w:rPr>
        <w:t>by</w:t>
      </w:r>
      <w:r w:rsidRPr="00546532">
        <w:rPr>
          <w:rFonts w:asciiTheme="majorBidi" w:hAnsiTheme="majorBidi" w:cstheme="majorBidi"/>
          <w:sz w:val="24"/>
          <w:szCs w:val="24"/>
        </w:rPr>
        <w:t xml:space="preserve"> </w:t>
      </w:r>
      <w:proofErr w:type="spellStart"/>
      <w:r w:rsidRPr="00546532">
        <w:rPr>
          <w:rFonts w:asciiTheme="majorBidi" w:hAnsiTheme="majorBidi" w:cstheme="majorBidi"/>
          <w:sz w:val="24"/>
          <w:szCs w:val="24"/>
        </w:rPr>
        <w:t>Cakir</w:t>
      </w:r>
      <w:proofErr w:type="spellEnd"/>
      <w:r w:rsidRPr="00546532">
        <w:rPr>
          <w:rFonts w:asciiTheme="majorBidi" w:hAnsiTheme="majorBidi" w:cstheme="majorBidi"/>
          <w:sz w:val="24"/>
          <w:szCs w:val="24"/>
        </w:rPr>
        <w:t xml:space="preserve"> and </w:t>
      </w:r>
      <w:proofErr w:type="spellStart"/>
      <w:r w:rsidRPr="00546532">
        <w:rPr>
          <w:rFonts w:asciiTheme="majorBidi" w:hAnsiTheme="majorBidi" w:cstheme="majorBidi"/>
          <w:sz w:val="24"/>
          <w:szCs w:val="24"/>
        </w:rPr>
        <w:t>Raei</w:t>
      </w:r>
      <w:proofErr w:type="spellEnd"/>
      <w:r w:rsidRPr="00546532">
        <w:rPr>
          <w:rFonts w:asciiTheme="majorBidi" w:hAnsiTheme="majorBidi" w:cstheme="majorBidi"/>
          <w:sz w:val="24"/>
          <w:szCs w:val="24"/>
        </w:rPr>
        <w:t xml:space="preserve"> (2007). In addition, the results show that </w:t>
      </w:r>
      <w:bookmarkStart w:id="14" w:name="OLE_LINK86"/>
      <w:bookmarkStart w:id="15" w:name="OLE_LINK88"/>
      <w:r w:rsidR="00F359D4">
        <w:rPr>
          <w:rFonts w:asciiTheme="majorBidi" w:hAnsiTheme="majorBidi" w:cstheme="majorBidi"/>
          <w:sz w:val="24"/>
          <w:szCs w:val="24"/>
        </w:rPr>
        <w:t xml:space="preserve">a </w:t>
      </w:r>
      <w:r w:rsidRPr="00546532">
        <w:rPr>
          <w:rFonts w:asciiTheme="majorBidi" w:hAnsiTheme="majorBidi" w:cstheme="majorBidi"/>
          <w:sz w:val="24"/>
          <w:szCs w:val="24"/>
        </w:rPr>
        <w:t xml:space="preserve">pure </w:t>
      </w:r>
      <w:r w:rsidR="00F359D4" w:rsidRPr="00C74AEF">
        <w:rPr>
          <w:rFonts w:asciiTheme="majorBidi" w:hAnsiTheme="majorBidi" w:cstheme="majorBidi"/>
          <w:i/>
          <w:iCs/>
          <w:sz w:val="24"/>
          <w:szCs w:val="24"/>
        </w:rPr>
        <w:t>S</w:t>
      </w:r>
      <w:r w:rsidRPr="00C74AEF">
        <w:rPr>
          <w:rFonts w:asciiTheme="majorBidi" w:hAnsiTheme="majorBidi" w:cstheme="majorBidi"/>
          <w:i/>
          <w:iCs/>
          <w:sz w:val="24"/>
          <w:szCs w:val="24"/>
        </w:rPr>
        <w:t>ukuk</w:t>
      </w:r>
      <w:r w:rsidRPr="00546532">
        <w:rPr>
          <w:rFonts w:asciiTheme="majorBidi" w:hAnsiTheme="majorBidi" w:cstheme="majorBidi"/>
          <w:sz w:val="24"/>
          <w:szCs w:val="24"/>
        </w:rPr>
        <w:t xml:space="preserve"> portfolio is significantly riskier than a pure bond</w:t>
      </w:r>
      <w:r w:rsidR="004920D9">
        <w:rPr>
          <w:rFonts w:asciiTheme="majorBidi" w:hAnsiTheme="majorBidi" w:cstheme="majorBidi"/>
          <w:sz w:val="24"/>
          <w:szCs w:val="24"/>
        </w:rPr>
        <w:t>.</w:t>
      </w:r>
      <w:bookmarkStart w:id="16" w:name="OLE_LINK102"/>
      <w:bookmarkEnd w:id="14"/>
      <w:bookmarkEnd w:id="15"/>
      <w:r w:rsidRPr="00546532">
        <w:rPr>
          <w:rFonts w:asciiTheme="majorBidi" w:hAnsiTheme="majorBidi" w:cstheme="majorBidi"/>
          <w:sz w:val="24"/>
          <w:szCs w:val="24"/>
        </w:rPr>
        <w:t xml:space="preserve"> These finding</w:t>
      </w:r>
      <w:r w:rsidR="00D74630">
        <w:rPr>
          <w:rFonts w:asciiTheme="majorBidi" w:hAnsiTheme="majorBidi" w:cstheme="majorBidi"/>
          <w:sz w:val="24"/>
          <w:szCs w:val="24"/>
        </w:rPr>
        <w:t>s reflect</w:t>
      </w:r>
      <w:r w:rsidRPr="00546532">
        <w:rPr>
          <w:rFonts w:asciiTheme="majorBidi" w:hAnsiTheme="majorBidi" w:cstheme="majorBidi"/>
          <w:sz w:val="24"/>
          <w:szCs w:val="24"/>
        </w:rPr>
        <w:t xml:space="preserve"> those of </w:t>
      </w:r>
      <w:proofErr w:type="spellStart"/>
      <w:r w:rsidRPr="00546532">
        <w:rPr>
          <w:rFonts w:asciiTheme="majorBidi" w:hAnsiTheme="majorBidi" w:cstheme="majorBidi"/>
          <w:sz w:val="24"/>
          <w:szCs w:val="24"/>
        </w:rPr>
        <w:t>Cakir</w:t>
      </w:r>
      <w:proofErr w:type="spellEnd"/>
      <w:r w:rsidRPr="00546532">
        <w:rPr>
          <w:rFonts w:asciiTheme="majorBidi" w:hAnsiTheme="majorBidi" w:cstheme="majorBidi"/>
          <w:sz w:val="24"/>
          <w:szCs w:val="24"/>
        </w:rPr>
        <w:t xml:space="preserve"> and </w:t>
      </w:r>
      <w:proofErr w:type="spellStart"/>
      <w:r w:rsidRPr="00546532">
        <w:rPr>
          <w:rFonts w:asciiTheme="majorBidi" w:hAnsiTheme="majorBidi" w:cstheme="majorBidi"/>
          <w:sz w:val="24"/>
          <w:szCs w:val="24"/>
        </w:rPr>
        <w:t>Raei</w:t>
      </w:r>
      <w:proofErr w:type="spellEnd"/>
      <w:r w:rsidRPr="00546532">
        <w:rPr>
          <w:rFonts w:asciiTheme="majorBidi" w:hAnsiTheme="majorBidi" w:cstheme="majorBidi"/>
          <w:sz w:val="24"/>
          <w:szCs w:val="24"/>
        </w:rPr>
        <w:t xml:space="preserve"> (2007). However, he has </w:t>
      </w:r>
      <w:r w:rsidR="00C31C8C" w:rsidRPr="00546532">
        <w:rPr>
          <w:rFonts w:asciiTheme="majorBidi" w:hAnsiTheme="majorBidi" w:cstheme="majorBidi"/>
          <w:sz w:val="24"/>
          <w:szCs w:val="24"/>
        </w:rPr>
        <w:t>incorporated bonds</w:t>
      </w:r>
      <w:r w:rsidRPr="00546532">
        <w:rPr>
          <w:rFonts w:asciiTheme="majorBidi" w:hAnsiTheme="majorBidi" w:cstheme="majorBidi"/>
          <w:sz w:val="24"/>
          <w:szCs w:val="24"/>
        </w:rPr>
        <w:t xml:space="preserve"> undertaken, </w:t>
      </w:r>
      <w:r w:rsidR="003E3BBE">
        <w:rPr>
          <w:rFonts w:asciiTheme="majorBidi" w:hAnsiTheme="majorBidi" w:cstheme="majorBidi"/>
          <w:sz w:val="24"/>
          <w:szCs w:val="24"/>
        </w:rPr>
        <w:t>and</w:t>
      </w:r>
      <w:r w:rsidRPr="00546532">
        <w:rPr>
          <w:rFonts w:asciiTheme="majorBidi" w:hAnsiTheme="majorBidi" w:cstheme="majorBidi"/>
          <w:sz w:val="24"/>
          <w:szCs w:val="24"/>
        </w:rPr>
        <w:t xml:space="preserve"> compared the risk level of </w:t>
      </w:r>
      <w:r w:rsidR="00073CA3" w:rsidRPr="00C74AEF">
        <w:rPr>
          <w:rFonts w:asciiTheme="majorBidi" w:hAnsiTheme="majorBidi" w:cstheme="majorBidi"/>
          <w:i/>
          <w:iCs/>
          <w:sz w:val="24"/>
          <w:szCs w:val="24"/>
        </w:rPr>
        <w:t>S</w:t>
      </w:r>
      <w:r w:rsidRPr="00C74AEF">
        <w:rPr>
          <w:rFonts w:asciiTheme="majorBidi" w:hAnsiTheme="majorBidi" w:cstheme="majorBidi"/>
          <w:i/>
          <w:iCs/>
          <w:sz w:val="24"/>
          <w:szCs w:val="24"/>
        </w:rPr>
        <w:t>ukuk</w:t>
      </w:r>
      <w:r w:rsidRPr="00546532">
        <w:rPr>
          <w:rFonts w:asciiTheme="majorBidi" w:hAnsiTheme="majorBidi" w:cstheme="majorBidi"/>
          <w:sz w:val="24"/>
          <w:szCs w:val="24"/>
        </w:rPr>
        <w:t xml:space="preserve"> portfolio</w:t>
      </w:r>
      <w:r w:rsidR="003E3BBE">
        <w:rPr>
          <w:rFonts w:asciiTheme="majorBidi" w:hAnsiTheme="majorBidi" w:cstheme="majorBidi"/>
          <w:sz w:val="24"/>
          <w:szCs w:val="24"/>
        </w:rPr>
        <w:t>s</w:t>
      </w:r>
      <w:r w:rsidRPr="00546532">
        <w:rPr>
          <w:rFonts w:asciiTheme="majorBidi" w:hAnsiTheme="majorBidi" w:cstheme="majorBidi"/>
          <w:sz w:val="24"/>
          <w:szCs w:val="24"/>
        </w:rPr>
        <w:t xml:space="preserve"> to conventional bonds</w:t>
      </w:r>
      <w:r w:rsidR="003E3BBE">
        <w:rPr>
          <w:rFonts w:asciiTheme="majorBidi" w:hAnsiTheme="majorBidi" w:cstheme="majorBidi"/>
          <w:sz w:val="24"/>
          <w:szCs w:val="24"/>
        </w:rPr>
        <w:t>,</w:t>
      </w:r>
      <w:r w:rsidRPr="00546532">
        <w:rPr>
          <w:rFonts w:asciiTheme="majorBidi" w:hAnsiTheme="majorBidi" w:cstheme="majorBidi"/>
          <w:sz w:val="24"/>
          <w:szCs w:val="24"/>
        </w:rPr>
        <w:t xml:space="preserve"> </w:t>
      </w:r>
      <w:r w:rsidR="0036479A">
        <w:rPr>
          <w:rFonts w:asciiTheme="majorBidi" w:hAnsiTheme="majorBidi" w:cstheme="majorBidi"/>
          <w:sz w:val="24"/>
          <w:szCs w:val="24"/>
        </w:rPr>
        <w:t>finding</w:t>
      </w:r>
      <w:r w:rsidR="00FB6027">
        <w:rPr>
          <w:rFonts w:asciiTheme="majorBidi" w:hAnsiTheme="majorBidi" w:cstheme="majorBidi"/>
          <w:sz w:val="24"/>
          <w:szCs w:val="24"/>
        </w:rPr>
        <w:t xml:space="preserve"> </w:t>
      </w:r>
      <w:r w:rsidRPr="00546532">
        <w:rPr>
          <w:rFonts w:asciiTheme="majorBidi" w:hAnsiTheme="majorBidi" w:cstheme="majorBidi"/>
          <w:sz w:val="24"/>
          <w:szCs w:val="24"/>
        </w:rPr>
        <w:t xml:space="preserve">pure </w:t>
      </w:r>
      <w:r w:rsidR="00FB6027" w:rsidRPr="00C74AEF">
        <w:rPr>
          <w:rFonts w:asciiTheme="majorBidi" w:hAnsiTheme="majorBidi" w:cstheme="majorBidi"/>
          <w:i/>
          <w:iCs/>
          <w:sz w:val="24"/>
          <w:szCs w:val="24"/>
        </w:rPr>
        <w:t>S</w:t>
      </w:r>
      <w:r w:rsidRPr="00C74AEF">
        <w:rPr>
          <w:rFonts w:asciiTheme="majorBidi" w:hAnsiTheme="majorBidi" w:cstheme="majorBidi"/>
          <w:i/>
          <w:iCs/>
          <w:sz w:val="24"/>
          <w:szCs w:val="24"/>
        </w:rPr>
        <w:t>ukuk</w:t>
      </w:r>
      <w:r w:rsidRPr="00546532">
        <w:rPr>
          <w:rFonts w:asciiTheme="majorBidi" w:hAnsiTheme="majorBidi" w:cstheme="majorBidi"/>
          <w:sz w:val="24"/>
          <w:szCs w:val="24"/>
        </w:rPr>
        <w:t xml:space="preserve"> </w:t>
      </w:r>
      <w:r w:rsidR="002E7E6E" w:rsidRPr="00546532">
        <w:rPr>
          <w:rFonts w:asciiTheme="majorBidi" w:hAnsiTheme="majorBidi" w:cstheme="majorBidi"/>
          <w:sz w:val="24"/>
          <w:szCs w:val="24"/>
        </w:rPr>
        <w:t>portfolio</w:t>
      </w:r>
      <w:r w:rsidR="002E7E6E">
        <w:rPr>
          <w:rFonts w:asciiTheme="majorBidi" w:hAnsiTheme="majorBidi" w:cstheme="majorBidi"/>
          <w:sz w:val="24"/>
          <w:szCs w:val="24"/>
        </w:rPr>
        <w:t xml:space="preserve">s </w:t>
      </w:r>
      <w:r w:rsidR="002E7E6E" w:rsidRPr="00546532">
        <w:rPr>
          <w:rFonts w:asciiTheme="majorBidi" w:hAnsiTheme="majorBidi" w:cstheme="majorBidi"/>
          <w:sz w:val="24"/>
          <w:szCs w:val="24"/>
        </w:rPr>
        <w:t>significantly</w:t>
      </w:r>
      <w:r w:rsidRPr="00546532">
        <w:rPr>
          <w:rFonts w:asciiTheme="majorBidi" w:hAnsiTheme="majorBidi" w:cstheme="majorBidi"/>
          <w:sz w:val="24"/>
          <w:szCs w:val="24"/>
        </w:rPr>
        <w:t xml:space="preserve"> riskier than pure</w:t>
      </w:r>
      <w:r w:rsidR="00FB6027">
        <w:rPr>
          <w:rFonts w:asciiTheme="majorBidi" w:hAnsiTheme="majorBidi" w:cstheme="majorBidi"/>
          <w:sz w:val="24"/>
          <w:szCs w:val="24"/>
        </w:rPr>
        <w:t>ly</w:t>
      </w:r>
      <w:r w:rsidRPr="00546532">
        <w:rPr>
          <w:rFonts w:asciiTheme="majorBidi" w:hAnsiTheme="majorBidi" w:cstheme="majorBidi"/>
          <w:sz w:val="24"/>
          <w:szCs w:val="24"/>
        </w:rPr>
        <w:t xml:space="preserve"> conventional bonds. </w:t>
      </w:r>
    </w:p>
    <w:bookmarkEnd w:id="16"/>
    <w:p w14:paraId="2E33776B" w14:textId="15C7182F" w:rsidR="00A858A8" w:rsidRPr="001E11F0" w:rsidRDefault="00A858A8" w:rsidP="005E1BF6">
      <w:pPr>
        <w:spacing w:before="180" w:after="120" w:line="360" w:lineRule="auto"/>
        <w:jc w:val="both"/>
        <w:rPr>
          <w:rFonts w:asciiTheme="majorBidi" w:hAnsiTheme="majorBidi" w:cstheme="majorBidi"/>
          <w:b/>
          <w:color w:val="C00000"/>
          <w:sz w:val="24"/>
          <w:szCs w:val="24"/>
        </w:rPr>
      </w:pPr>
      <w:r w:rsidRPr="00546532">
        <w:rPr>
          <w:rFonts w:asciiTheme="majorBidi" w:hAnsiTheme="majorBidi" w:cstheme="majorBidi"/>
          <w:sz w:val="24"/>
          <w:szCs w:val="24"/>
        </w:rPr>
        <w:t xml:space="preserve">Most of these studies attempt to compare </w:t>
      </w:r>
      <w:r w:rsidR="00974B16" w:rsidRPr="00C74AEF">
        <w:rPr>
          <w:rFonts w:asciiTheme="majorBidi" w:hAnsiTheme="majorBidi" w:cstheme="majorBidi"/>
          <w:i/>
          <w:iCs/>
          <w:sz w:val="24"/>
          <w:szCs w:val="24"/>
        </w:rPr>
        <w:t>S</w:t>
      </w:r>
      <w:r w:rsidRPr="00C74AEF">
        <w:rPr>
          <w:rFonts w:asciiTheme="majorBidi" w:hAnsiTheme="majorBidi" w:cstheme="majorBidi"/>
          <w:i/>
          <w:iCs/>
          <w:sz w:val="24"/>
          <w:szCs w:val="24"/>
        </w:rPr>
        <w:t>ukuk</w:t>
      </w:r>
      <w:r w:rsidRPr="00546532">
        <w:rPr>
          <w:rFonts w:asciiTheme="majorBidi" w:hAnsiTheme="majorBidi" w:cstheme="majorBidi"/>
          <w:sz w:val="24"/>
          <w:szCs w:val="24"/>
        </w:rPr>
        <w:t xml:space="preserve"> and conventional bonds in terms of their </w:t>
      </w:r>
      <w:r w:rsidR="00C31C8C" w:rsidRPr="00546532">
        <w:rPr>
          <w:rFonts w:asciiTheme="majorBidi" w:hAnsiTheme="majorBidi" w:cstheme="majorBidi"/>
          <w:sz w:val="24"/>
          <w:szCs w:val="24"/>
        </w:rPr>
        <w:t>features, structures</w:t>
      </w:r>
      <w:r w:rsidRPr="00546532">
        <w:rPr>
          <w:rFonts w:asciiTheme="majorBidi" w:hAnsiTheme="majorBidi" w:cstheme="majorBidi"/>
          <w:sz w:val="24"/>
          <w:szCs w:val="24"/>
        </w:rPr>
        <w:t xml:space="preserve"> </w:t>
      </w:r>
      <w:r w:rsidR="002E7E6E" w:rsidRPr="00546532">
        <w:rPr>
          <w:rFonts w:asciiTheme="majorBidi" w:hAnsiTheme="majorBidi" w:cstheme="majorBidi"/>
          <w:sz w:val="24"/>
          <w:szCs w:val="24"/>
        </w:rPr>
        <w:t>and market</w:t>
      </w:r>
      <w:r w:rsidRPr="00546532">
        <w:rPr>
          <w:rFonts w:asciiTheme="majorBidi" w:hAnsiTheme="majorBidi" w:cstheme="majorBidi"/>
          <w:sz w:val="24"/>
          <w:szCs w:val="24"/>
        </w:rPr>
        <w:t xml:space="preserve"> perce</w:t>
      </w:r>
      <w:r w:rsidR="00D16577">
        <w:rPr>
          <w:rFonts w:asciiTheme="majorBidi" w:hAnsiTheme="majorBidi" w:cstheme="majorBidi"/>
          <w:sz w:val="24"/>
          <w:szCs w:val="24"/>
        </w:rPr>
        <w:t>ptions of</w:t>
      </w:r>
      <w:r w:rsidRPr="00546532">
        <w:rPr>
          <w:rFonts w:asciiTheme="majorBidi" w:hAnsiTheme="majorBidi" w:cstheme="majorBidi"/>
          <w:sz w:val="24"/>
          <w:szCs w:val="24"/>
        </w:rPr>
        <w:t xml:space="preserve"> them as alternative investment</w:t>
      </w:r>
      <w:r w:rsidR="00D16577">
        <w:rPr>
          <w:rFonts w:asciiTheme="majorBidi" w:hAnsiTheme="majorBidi" w:cstheme="majorBidi"/>
          <w:sz w:val="24"/>
          <w:szCs w:val="24"/>
        </w:rPr>
        <w:t>s</w:t>
      </w:r>
      <w:r w:rsidRPr="00546532">
        <w:rPr>
          <w:rFonts w:asciiTheme="majorBidi" w:hAnsiTheme="majorBidi" w:cstheme="majorBidi"/>
          <w:sz w:val="24"/>
          <w:szCs w:val="24"/>
        </w:rPr>
        <w:t xml:space="preserve">. </w:t>
      </w:r>
      <w:r w:rsidR="00C31C8C" w:rsidRPr="00546532">
        <w:rPr>
          <w:rFonts w:asciiTheme="majorBidi" w:hAnsiTheme="majorBidi" w:cstheme="majorBidi"/>
          <w:sz w:val="24"/>
          <w:szCs w:val="24"/>
        </w:rPr>
        <w:t xml:space="preserve">However, </w:t>
      </w:r>
      <w:r w:rsidR="00C31C8C">
        <w:rPr>
          <w:rFonts w:asciiTheme="majorBidi" w:hAnsiTheme="majorBidi" w:cstheme="majorBidi"/>
          <w:sz w:val="24"/>
          <w:szCs w:val="24"/>
        </w:rPr>
        <w:t>the debate</w:t>
      </w:r>
      <w:r w:rsidRPr="00546532">
        <w:rPr>
          <w:rFonts w:asciiTheme="majorBidi" w:hAnsiTheme="majorBidi" w:cstheme="majorBidi"/>
          <w:sz w:val="24"/>
          <w:szCs w:val="24"/>
        </w:rPr>
        <w:t xml:space="preserve"> </w:t>
      </w:r>
      <w:r w:rsidR="008027B9">
        <w:rPr>
          <w:rFonts w:asciiTheme="majorBidi" w:hAnsiTheme="majorBidi" w:cstheme="majorBidi"/>
          <w:sz w:val="24"/>
          <w:szCs w:val="24"/>
        </w:rPr>
        <w:t xml:space="preserve">concerning </w:t>
      </w:r>
      <w:r w:rsidRPr="00546532">
        <w:rPr>
          <w:rFonts w:asciiTheme="majorBidi" w:hAnsiTheme="majorBidi" w:cstheme="majorBidi"/>
          <w:sz w:val="24"/>
          <w:szCs w:val="24"/>
        </w:rPr>
        <w:t xml:space="preserve">whether </w:t>
      </w:r>
      <w:r w:rsidR="00827662" w:rsidRPr="00C74AEF">
        <w:rPr>
          <w:rFonts w:asciiTheme="majorBidi" w:hAnsiTheme="majorBidi" w:cstheme="majorBidi"/>
          <w:i/>
          <w:iCs/>
          <w:sz w:val="24"/>
          <w:szCs w:val="24"/>
        </w:rPr>
        <w:t>S</w:t>
      </w:r>
      <w:r w:rsidRPr="00C74AEF">
        <w:rPr>
          <w:rFonts w:asciiTheme="majorBidi" w:hAnsiTheme="majorBidi" w:cstheme="majorBidi"/>
          <w:i/>
          <w:iCs/>
          <w:sz w:val="24"/>
          <w:szCs w:val="24"/>
        </w:rPr>
        <w:t>ukuk</w:t>
      </w:r>
      <w:r w:rsidRPr="00546532">
        <w:rPr>
          <w:rFonts w:asciiTheme="majorBidi" w:hAnsiTheme="majorBidi" w:cstheme="majorBidi"/>
          <w:sz w:val="24"/>
          <w:szCs w:val="24"/>
        </w:rPr>
        <w:t xml:space="preserve"> provides an efficient investment </w:t>
      </w:r>
      <w:r w:rsidR="008027B9">
        <w:rPr>
          <w:rFonts w:asciiTheme="majorBidi" w:hAnsiTheme="majorBidi" w:cstheme="majorBidi"/>
          <w:sz w:val="24"/>
          <w:szCs w:val="24"/>
        </w:rPr>
        <w:t>are</w:t>
      </w:r>
      <w:r w:rsidRPr="00546532">
        <w:rPr>
          <w:rFonts w:asciiTheme="majorBidi" w:hAnsiTheme="majorBidi" w:cstheme="majorBidi"/>
          <w:sz w:val="24"/>
          <w:szCs w:val="24"/>
        </w:rPr>
        <w:t xml:space="preserve"> still ongoing and there </w:t>
      </w:r>
      <w:r w:rsidR="002E7E6E" w:rsidRPr="00546532">
        <w:rPr>
          <w:rFonts w:asciiTheme="majorBidi" w:hAnsiTheme="majorBidi" w:cstheme="majorBidi"/>
          <w:sz w:val="24"/>
          <w:szCs w:val="24"/>
        </w:rPr>
        <w:t>is insufficient</w:t>
      </w:r>
      <w:r w:rsidRPr="00546532">
        <w:rPr>
          <w:rFonts w:asciiTheme="majorBidi" w:hAnsiTheme="majorBidi" w:cstheme="majorBidi"/>
          <w:sz w:val="24"/>
          <w:szCs w:val="24"/>
        </w:rPr>
        <w:t xml:space="preserve"> empirical support  favour</w:t>
      </w:r>
      <w:r w:rsidR="008027B9">
        <w:rPr>
          <w:rFonts w:asciiTheme="majorBidi" w:hAnsiTheme="majorBidi" w:cstheme="majorBidi"/>
          <w:sz w:val="24"/>
          <w:szCs w:val="24"/>
        </w:rPr>
        <w:t>ing</w:t>
      </w:r>
      <w:r w:rsidRPr="00546532">
        <w:rPr>
          <w:rFonts w:asciiTheme="majorBidi" w:hAnsiTheme="majorBidi" w:cstheme="majorBidi"/>
          <w:sz w:val="24"/>
          <w:szCs w:val="24"/>
        </w:rPr>
        <w:t xml:space="preserve"> </w:t>
      </w:r>
      <w:r w:rsidR="008027B9" w:rsidRPr="00C74AEF">
        <w:rPr>
          <w:rFonts w:asciiTheme="majorBidi" w:hAnsiTheme="majorBidi" w:cstheme="majorBidi"/>
          <w:i/>
          <w:iCs/>
          <w:sz w:val="24"/>
          <w:szCs w:val="24"/>
        </w:rPr>
        <w:t>S</w:t>
      </w:r>
      <w:r w:rsidRPr="00C74AEF">
        <w:rPr>
          <w:rFonts w:asciiTheme="majorBidi" w:hAnsiTheme="majorBidi" w:cstheme="majorBidi"/>
          <w:i/>
          <w:iCs/>
          <w:sz w:val="24"/>
          <w:szCs w:val="24"/>
        </w:rPr>
        <w:t>ukuk</w:t>
      </w:r>
      <w:r w:rsidRPr="00546532">
        <w:rPr>
          <w:rFonts w:asciiTheme="majorBidi" w:hAnsiTheme="majorBidi" w:cstheme="majorBidi"/>
          <w:sz w:val="24"/>
          <w:szCs w:val="24"/>
        </w:rPr>
        <w:t xml:space="preserve"> </w:t>
      </w:r>
      <w:r w:rsidR="008027B9">
        <w:rPr>
          <w:rFonts w:asciiTheme="majorBidi" w:hAnsiTheme="majorBidi" w:cstheme="majorBidi"/>
          <w:sz w:val="24"/>
          <w:szCs w:val="24"/>
        </w:rPr>
        <w:t>as an</w:t>
      </w:r>
      <w:r w:rsidRPr="00546532">
        <w:rPr>
          <w:rFonts w:asciiTheme="majorBidi" w:hAnsiTheme="majorBidi" w:cstheme="majorBidi"/>
          <w:sz w:val="24"/>
          <w:szCs w:val="24"/>
        </w:rPr>
        <w:t xml:space="preserve"> efficient alternative investment to conventional bonds. </w:t>
      </w:r>
    </w:p>
    <w:p w14:paraId="07790F07" w14:textId="02760B52" w:rsidR="00A858A8" w:rsidRPr="00546532" w:rsidRDefault="003A5C58" w:rsidP="00A858A8">
      <w:pPr>
        <w:spacing w:before="180" w:after="120" w:line="360" w:lineRule="auto"/>
        <w:jc w:val="both"/>
        <w:rPr>
          <w:rFonts w:asciiTheme="majorBidi" w:hAnsiTheme="majorBidi" w:cstheme="majorBidi"/>
          <w:b/>
          <w:sz w:val="24"/>
          <w:szCs w:val="24"/>
        </w:rPr>
      </w:pPr>
      <w:r>
        <w:rPr>
          <w:rFonts w:asciiTheme="majorBidi" w:hAnsiTheme="majorBidi" w:cstheme="majorBidi"/>
          <w:sz w:val="24"/>
          <w:szCs w:val="24"/>
        </w:rPr>
        <w:t>L</w:t>
      </w:r>
      <w:r w:rsidR="00A858A8" w:rsidRPr="00546532">
        <w:rPr>
          <w:rFonts w:asciiTheme="majorBidi" w:hAnsiTheme="majorBidi" w:cstheme="majorBidi"/>
          <w:sz w:val="24"/>
          <w:szCs w:val="24"/>
        </w:rPr>
        <w:t xml:space="preserve">iterature has </w:t>
      </w:r>
      <w:r>
        <w:rPr>
          <w:rFonts w:asciiTheme="majorBidi" w:hAnsiTheme="majorBidi" w:cstheme="majorBidi"/>
          <w:sz w:val="24"/>
          <w:szCs w:val="24"/>
        </w:rPr>
        <w:t xml:space="preserve">also </w:t>
      </w:r>
      <w:r w:rsidR="00A858A8" w:rsidRPr="00546532">
        <w:rPr>
          <w:rFonts w:asciiTheme="majorBidi" w:hAnsiTheme="majorBidi" w:cstheme="majorBidi"/>
          <w:sz w:val="24"/>
          <w:szCs w:val="24"/>
        </w:rPr>
        <w:t xml:space="preserve">drawn on the usage of VaR in portfolio risk analysis for </w:t>
      </w:r>
      <w:r w:rsidRPr="00C74AEF">
        <w:rPr>
          <w:rFonts w:asciiTheme="majorBidi" w:hAnsiTheme="majorBidi" w:cstheme="majorBidi"/>
          <w:i/>
          <w:iCs/>
          <w:sz w:val="24"/>
          <w:szCs w:val="24"/>
        </w:rPr>
        <w:t>S</w:t>
      </w:r>
      <w:r w:rsidR="00A858A8" w:rsidRPr="00C74AEF">
        <w:rPr>
          <w:rFonts w:asciiTheme="majorBidi" w:hAnsiTheme="majorBidi" w:cstheme="majorBidi"/>
          <w:i/>
          <w:iCs/>
          <w:sz w:val="24"/>
          <w:szCs w:val="24"/>
        </w:rPr>
        <w:t>ukuk</w:t>
      </w:r>
      <w:r w:rsidR="00A858A8" w:rsidRPr="00546532">
        <w:rPr>
          <w:rFonts w:asciiTheme="majorBidi" w:hAnsiTheme="majorBidi" w:cstheme="majorBidi"/>
          <w:sz w:val="24"/>
          <w:szCs w:val="24"/>
        </w:rPr>
        <w:t xml:space="preserve"> and conventional bonds where it has provided a set of empirical studies, </w:t>
      </w:r>
      <w:r w:rsidR="00C31C8C" w:rsidRPr="00546532">
        <w:rPr>
          <w:rFonts w:asciiTheme="majorBidi" w:hAnsiTheme="majorBidi" w:cstheme="majorBidi"/>
          <w:sz w:val="24"/>
          <w:szCs w:val="24"/>
        </w:rPr>
        <w:t>despite its</w:t>
      </w:r>
      <w:r w:rsidR="00A858A8" w:rsidRPr="00546532">
        <w:rPr>
          <w:rFonts w:asciiTheme="majorBidi" w:hAnsiTheme="majorBidi" w:cstheme="majorBidi"/>
          <w:sz w:val="24"/>
          <w:szCs w:val="24"/>
        </w:rPr>
        <w:t xml:space="preserve"> results and </w:t>
      </w:r>
      <w:r w:rsidR="00781B36">
        <w:rPr>
          <w:rFonts w:asciiTheme="majorBidi" w:hAnsiTheme="majorBidi" w:cstheme="majorBidi"/>
          <w:sz w:val="24"/>
          <w:szCs w:val="24"/>
        </w:rPr>
        <w:t xml:space="preserve">variation in </w:t>
      </w:r>
      <w:r w:rsidR="00A858A8" w:rsidRPr="00546532">
        <w:rPr>
          <w:rFonts w:asciiTheme="majorBidi" w:hAnsiTheme="majorBidi" w:cstheme="majorBidi"/>
          <w:sz w:val="24"/>
          <w:szCs w:val="24"/>
        </w:rPr>
        <w:t>conclusions  it c</w:t>
      </w:r>
      <w:r w:rsidR="00781B36">
        <w:rPr>
          <w:rFonts w:asciiTheme="majorBidi" w:hAnsiTheme="majorBidi" w:cstheme="majorBidi"/>
          <w:sz w:val="24"/>
          <w:szCs w:val="24"/>
        </w:rPr>
        <w:t>ontends</w:t>
      </w:r>
      <w:r w:rsidR="00A858A8" w:rsidRPr="00546532">
        <w:rPr>
          <w:rFonts w:asciiTheme="majorBidi" w:hAnsiTheme="majorBidi" w:cstheme="majorBidi"/>
          <w:sz w:val="24"/>
          <w:szCs w:val="24"/>
        </w:rPr>
        <w:t xml:space="preserve"> in general that VaR method</w:t>
      </w:r>
      <w:r w:rsidR="00EE0AF2">
        <w:rPr>
          <w:rFonts w:asciiTheme="majorBidi" w:hAnsiTheme="majorBidi" w:cstheme="majorBidi"/>
          <w:sz w:val="24"/>
          <w:szCs w:val="24"/>
        </w:rPr>
        <w:t>s are</w:t>
      </w:r>
      <w:r w:rsidR="00A858A8" w:rsidRPr="00546532">
        <w:rPr>
          <w:rFonts w:asciiTheme="majorBidi" w:hAnsiTheme="majorBidi" w:cstheme="majorBidi"/>
          <w:sz w:val="24"/>
          <w:szCs w:val="24"/>
        </w:rPr>
        <w:t xml:space="preserve">  accurate and suitable </w:t>
      </w:r>
      <w:r w:rsidR="00EE0AF2">
        <w:rPr>
          <w:rFonts w:asciiTheme="majorBidi" w:hAnsiTheme="majorBidi" w:cstheme="majorBidi"/>
          <w:sz w:val="24"/>
          <w:szCs w:val="24"/>
        </w:rPr>
        <w:t>as</w:t>
      </w:r>
      <w:r w:rsidR="00A858A8" w:rsidRPr="00546532">
        <w:rPr>
          <w:rFonts w:asciiTheme="majorBidi" w:hAnsiTheme="majorBidi" w:cstheme="majorBidi"/>
          <w:sz w:val="24"/>
          <w:szCs w:val="24"/>
        </w:rPr>
        <w:t xml:space="preserve"> portfolio risk management tool</w:t>
      </w:r>
      <w:r w:rsidR="00EE0AF2">
        <w:rPr>
          <w:rFonts w:asciiTheme="majorBidi" w:hAnsiTheme="majorBidi" w:cstheme="majorBidi"/>
          <w:sz w:val="24"/>
          <w:szCs w:val="24"/>
        </w:rPr>
        <w:t>s</w:t>
      </w:r>
      <w:r w:rsidR="00A858A8" w:rsidRPr="00546532">
        <w:rPr>
          <w:rFonts w:asciiTheme="majorBidi" w:hAnsiTheme="majorBidi" w:cstheme="majorBidi"/>
          <w:sz w:val="24"/>
          <w:szCs w:val="24"/>
        </w:rPr>
        <w:t xml:space="preserve"> und</w:t>
      </w:r>
      <w:r w:rsidR="00104535">
        <w:rPr>
          <w:rFonts w:asciiTheme="majorBidi" w:hAnsiTheme="majorBidi" w:cstheme="majorBidi"/>
          <w:sz w:val="24"/>
          <w:szCs w:val="24"/>
        </w:rPr>
        <w:t>er certain conditions regarding</w:t>
      </w:r>
      <w:r w:rsidR="00A858A8" w:rsidRPr="00546532">
        <w:rPr>
          <w:rFonts w:asciiTheme="majorBidi" w:hAnsiTheme="majorBidi" w:cstheme="majorBidi"/>
          <w:sz w:val="24"/>
          <w:szCs w:val="24"/>
        </w:rPr>
        <w:t xml:space="preserve"> data statistical properties. </w:t>
      </w:r>
    </w:p>
    <w:p w14:paraId="1AC094A0" w14:textId="7280CEA2" w:rsidR="00A858A8" w:rsidRPr="00546532" w:rsidRDefault="00285A29" w:rsidP="00A858A8">
      <w:pPr>
        <w:spacing w:before="180" w:after="120" w:line="360" w:lineRule="auto"/>
        <w:jc w:val="both"/>
        <w:rPr>
          <w:rFonts w:asciiTheme="majorBidi" w:hAnsiTheme="majorBidi" w:cstheme="majorBidi"/>
          <w:sz w:val="24"/>
          <w:szCs w:val="24"/>
        </w:rPr>
      </w:pPr>
      <w:r>
        <w:rPr>
          <w:rFonts w:asciiTheme="majorBidi" w:hAnsiTheme="majorBidi" w:cstheme="majorBidi"/>
          <w:sz w:val="24"/>
          <w:szCs w:val="24"/>
        </w:rPr>
        <w:t>O</w:t>
      </w:r>
      <w:r w:rsidR="00D17FC9">
        <w:rPr>
          <w:rFonts w:asciiTheme="majorBidi" w:hAnsiTheme="majorBidi" w:cstheme="majorBidi"/>
          <w:sz w:val="24"/>
          <w:szCs w:val="24"/>
        </w:rPr>
        <w:t>ther</w:t>
      </w:r>
      <w:r w:rsidR="00A858A8" w:rsidRPr="00546532">
        <w:rPr>
          <w:rFonts w:asciiTheme="majorBidi" w:hAnsiTheme="majorBidi" w:cstheme="majorBidi"/>
          <w:sz w:val="24"/>
          <w:szCs w:val="24"/>
        </w:rPr>
        <w:t xml:space="preserve"> literature</w:t>
      </w:r>
      <w:r>
        <w:rPr>
          <w:rFonts w:asciiTheme="majorBidi" w:hAnsiTheme="majorBidi" w:cstheme="majorBidi"/>
          <w:sz w:val="24"/>
          <w:szCs w:val="24"/>
        </w:rPr>
        <w:t>, however,</w:t>
      </w:r>
      <w:r w:rsidR="00A858A8" w:rsidRPr="00546532">
        <w:rPr>
          <w:rFonts w:asciiTheme="majorBidi" w:hAnsiTheme="majorBidi" w:cstheme="majorBidi"/>
          <w:sz w:val="24"/>
          <w:szCs w:val="24"/>
        </w:rPr>
        <w:t xml:space="preserve"> contend</w:t>
      </w:r>
      <w:r w:rsidR="00D17FC9">
        <w:rPr>
          <w:rFonts w:asciiTheme="majorBidi" w:hAnsiTheme="majorBidi" w:cstheme="majorBidi"/>
          <w:sz w:val="24"/>
          <w:szCs w:val="24"/>
        </w:rPr>
        <w:t>s</w:t>
      </w:r>
      <w:r w:rsidR="00A858A8" w:rsidRPr="00546532">
        <w:rPr>
          <w:rFonts w:asciiTheme="majorBidi" w:hAnsiTheme="majorBidi" w:cstheme="majorBidi"/>
          <w:sz w:val="24"/>
          <w:szCs w:val="24"/>
        </w:rPr>
        <w:t xml:space="preserve"> that </w:t>
      </w:r>
      <w:r w:rsidR="0032182D">
        <w:rPr>
          <w:rFonts w:asciiTheme="majorBidi" w:hAnsiTheme="majorBidi" w:cstheme="majorBidi"/>
          <w:sz w:val="24"/>
          <w:szCs w:val="24"/>
        </w:rPr>
        <w:t>further</w:t>
      </w:r>
      <w:r w:rsidR="001E11F0">
        <w:rPr>
          <w:rFonts w:asciiTheme="majorBidi" w:hAnsiTheme="majorBidi" w:cstheme="majorBidi"/>
          <w:sz w:val="24"/>
          <w:szCs w:val="24"/>
        </w:rPr>
        <w:t xml:space="preserve"> models</w:t>
      </w:r>
      <w:r w:rsidR="00A858A8" w:rsidRPr="00546532">
        <w:rPr>
          <w:rFonts w:asciiTheme="majorBidi" w:hAnsiTheme="majorBidi" w:cstheme="majorBidi"/>
          <w:sz w:val="24"/>
          <w:szCs w:val="24"/>
        </w:rPr>
        <w:t xml:space="preserve"> estimate the volatility of returns more accurately at extreme volatile periods than VaR analysis</w:t>
      </w:r>
      <w:r w:rsidR="00D17FC9">
        <w:rPr>
          <w:rFonts w:asciiTheme="majorBidi" w:hAnsiTheme="majorBidi" w:cstheme="majorBidi"/>
          <w:sz w:val="24"/>
          <w:szCs w:val="24"/>
        </w:rPr>
        <w:t>.</w:t>
      </w:r>
      <w:r w:rsidR="00A858A8" w:rsidRPr="00546532">
        <w:rPr>
          <w:rFonts w:asciiTheme="majorBidi" w:hAnsiTheme="majorBidi" w:cstheme="majorBidi"/>
          <w:sz w:val="24"/>
          <w:szCs w:val="24"/>
        </w:rPr>
        <w:t xml:space="preserve"> </w:t>
      </w:r>
      <w:r w:rsidR="001A3503">
        <w:rPr>
          <w:rFonts w:asciiTheme="majorBidi" w:hAnsiTheme="majorBidi" w:cstheme="majorBidi"/>
          <w:sz w:val="24"/>
          <w:szCs w:val="24"/>
        </w:rPr>
        <w:t>To date,</w:t>
      </w:r>
      <w:r w:rsidR="00A858A8" w:rsidRPr="00546532">
        <w:rPr>
          <w:rFonts w:asciiTheme="majorBidi" w:hAnsiTheme="majorBidi" w:cstheme="majorBidi"/>
          <w:sz w:val="24"/>
          <w:szCs w:val="24"/>
        </w:rPr>
        <w:t xml:space="preserve"> only one published paper </w:t>
      </w:r>
      <w:r w:rsidR="009E0960">
        <w:rPr>
          <w:rFonts w:asciiTheme="majorBidi" w:hAnsiTheme="majorBidi" w:cstheme="majorBidi"/>
          <w:sz w:val="24"/>
          <w:szCs w:val="24"/>
        </w:rPr>
        <w:lastRenderedPageBreak/>
        <w:t>appears</w:t>
      </w:r>
      <w:r w:rsidR="00A858A8" w:rsidRPr="00546532">
        <w:rPr>
          <w:rFonts w:asciiTheme="majorBidi" w:hAnsiTheme="majorBidi" w:cstheme="majorBidi"/>
          <w:sz w:val="24"/>
          <w:szCs w:val="24"/>
        </w:rPr>
        <w:t xml:space="preserve"> to implement Value at Risk (VaR) analysis measuring risk diversification on </w:t>
      </w:r>
      <w:r w:rsidR="009E0960" w:rsidRPr="00C74AEF">
        <w:rPr>
          <w:rFonts w:asciiTheme="majorBidi" w:hAnsiTheme="majorBidi" w:cstheme="majorBidi"/>
          <w:i/>
          <w:iCs/>
          <w:sz w:val="24"/>
          <w:szCs w:val="24"/>
        </w:rPr>
        <w:t>S</w:t>
      </w:r>
      <w:r w:rsidR="00A858A8" w:rsidRPr="00C74AEF">
        <w:rPr>
          <w:rFonts w:asciiTheme="majorBidi" w:hAnsiTheme="majorBidi" w:cstheme="majorBidi"/>
          <w:i/>
          <w:iCs/>
          <w:sz w:val="24"/>
          <w:szCs w:val="24"/>
        </w:rPr>
        <w:t>ukuk</w:t>
      </w:r>
      <w:r w:rsidR="00A858A8" w:rsidRPr="00546532">
        <w:rPr>
          <w:rFonts w:asciiTheme="majorBidi" w:hAnsiTheme="majorBidi" w:cstheme="majorBidi"/>
          <w:sz w:val="24"/>
          <w:szCs w:val="24"/>
        </w:rPr>
        <w:t xml:space="preserve"> </w:t>
      </w:r>
      <w:r w:rsidR="009E0960">
        <w:rPr>
          <w:rFonts w:asciiTheme="majorBidi" w:hAnsiTheme="majorBidi" w:cstheme="majorBidi"/>
          <w:sz w:val="24"/>
          <w:szCs w:val="24"/>
        </w:rPr>
        <w:t xml:space="preserve">when </w:t>
      </w:r>
      <w:r w:rsidR="00A858A8" w:rsidRPr="00546532">
        <w:rPr>
          <w:rFonts w:asciiTheme="majorBidi" w:hAnsiTheme="majorBidi" w:cstheme="majorBidi"/>
          <w:sz w:val="24"/>
          <w:szCs w:val="24"/>
        </w:rPr>
        <w:t xml:space="preserve">compared to conventional </w:t>
      </w:r>
      <w:r w:rsidR="00C31C8C" w:rsidRPr="00546532">
        <w:rPr>
          <w:rFonts w:asciiTheme="majorBidi" w:hAnsiTheme="majorBidi" w:cstheme="majorBidi"/>
          <w:sz w:val="24"/>
          <w:szCs w:val="24"/>
        </w:rPr>
        <w:t>bonds presented</w:t>
      </w:r>
      <w:r w:rsidR="00A858A8" w:rsidRPr="00546532">
        <w:rPr>
          <w:rFonts w:asciiTheme="majorBidi" w:hAnsiTheme="majorBidi" w:cstheme="majorBidi"/>
          <w:sz w:val="24"/>
          <w:szCs w:val="24"/>
        </w:rPr>
        <w:t xml:space="preserve"> by </w:t>
      </w:r>
      <w:proofErr w:type="spellStart"/>
      <w:r w:rsidR="00A858A8" w:rsidRPr="00546532">
        <w:rPr>
          <w:rFonts w:asciiTheme="majorBidi" w:hAnsiTheme="majorBidi" w:cstheme="majorBidi"/>
          <w:sz w:val="24"/>
          <w:szCs w:val="24"/>
        </w:rPr>
        <w:t>Cakir</w:t>
      </w:r>
      <w:proofErr w:type="spellEnd"/>
      <w:r w:rsidR="00A858A8" w:rsidRPr="00546532">
        <w:rPr>
          <w:rFonts w:asciiTheme="majorBidi" w:hAnsiTheme="majorBidi" w:cstheme="majorBidi"/>
          <w:sz w:val="24"/>
          <w:szCs w:val="24"/>
        </w:rPr>
        <w:t xml:space="preserve"> and </w:t>
      </w:r>
      <w:proofErr w:type="spellStart"/>
      <w:r w:rsidR="00A858A8" w:rsidRPr="00546532">
        <w:rPr>
          <w:rFonts w:asciiTheme="majorBidi" w:hAnsiTheme="majorBidi" w:cstheme="majorBidi"/>
          <w:sz w:val="24"/>
          <w:szCs w:val="24"/>
        </w:rPr>
        <w:t>Raei</w:t>
      </w:r>
      <w:proofErr w:type="spellEnd"/>
      <w:r w:rsidR="00A858A8" w:rsidRPr="00546532">
        <w:rPr>
          <w:rFonts w:asciiTheme="majorBidi" w:hAnsiTheme="majorBidi" w:cstheme="majorBidi"/>
          <w:sz w:val="24"/>
          <w:szCs w:val="24"/>
        </w:rPr>
        <w:t xml:space="preserve"> (2007). Therefore, this paper aims to bridge the gap in </w:t>
      </w:r>
      <w:r w:rsidR="009E0960" w:rsidRPr="00C74AEF">
        <w:rPr>
          <w:rFonts w:asciiTheme="majorBidi" w:hAnsiTheme="majorBidi" w:cstheme="majorBidi"/>
          <w:i/>
          <w:iCs/>
          <w:sz w:val="24"/>
          <w:szCs w:val="24"/>
        </w:rPr>
        <w:t>S</w:t>
      </w:r>
      <w:r w:rsidR="00A858A8" w:rsidRPr="00C74AEF">
        <w:rPr>
          <w:rFonts w:asciiTheme="majorBidi" w:hAnsiTheme="majorBidi" w:cstheme="majorBidi"/>
          <w:i/>
          <w:iCs/>
          <w:sz w:val="24"/>
          <w:szCs w:val="24"/>
        </w:rPr>
        <w:t>ukuk</w:t>
      </w:r>
      <w:r w:rsidR="00A858A8" w:rsidRPr="00546532">
        <w:rPr>
          <w:rFonts w:asciiTheme="majorBidi" w:hAnsiTheme="majorBidi" w:cstheme="majorBidi"/>
          <w:sz w:val="24"/>
          <w:szCs w:val="24"/>
        </w:rPr>
        <w:t xml:space="preserve"> risk analysis compared to conventional bonds.</w:t>
      </w:r>
    </w:p>
    <w:p w14:paraId="7D888680" w14:textId="38B7966F" w:rsidR="00D5786B" w:rsidRPr="00D5786B" w:rsidRDefault="00D5786B" w:rsidP="00D5786B">
      <w:pPr>
        <w:pStyle w:val="BodyText3"/>
        <w:numPr>
          <w:ilvl w:val="0"/>
          <w:numId w:val="19"/>
        </w:numPr>
        <w:rPr>
          <w:rFonts w:ascii="Times New Roman" w:hAnsi="Times New Roman" w:cs="Times New Roman"/>
          <w:b/>
          <w:noProof/>
          <w:sz w:val="24"/>
          <w:szCs w:val="24"/>
        </w:rPr>
      </w:pPr>
      <w:r>
        <w:rPr>
          <w:rFonts w:ascii="Times New Roman" w:hAnsi="Times New Roman" w:cs="Times New Roman"/>
          <w:b/>
          <w:noProof/>
          <w:sz w:val="24"/>
          <w:szCs w:val="24"/>
        </w:rPr>
        <w:t>DATA</w:t>
      </w:r>
      <w:r w:rsidRPr="00D5786B">
        <w:rPr>
          <w:rFonts w:ascii="Times New Roman" w:hAnsi="Times New Roman" w:cs="Times New Roman"/>
          <w:b/>
          <w:noProof/>
          <w:sz w:val="24"/>
          <w:szCs w:val="24"/>
        </w:rPr>
        <w:t xml:space="preserve"> AND METHOD</w:t>
      </w:r>
    </w:p>
    <w:p w14:paraId="105A3B65" w14:textId="45FEF4CF" w:rsidR="00A755F5" w:rsidRPr="00251B2C" w:rsidRDefault="00C77632" w:rsidP="00D5786B">
      <w:pPr>
        <w:pStyle w:val="BodyText3"/>
        <w:rPr>
          <w:rFonts w:ascii="Times New Roman" w:eastAsia="Times New Roman" w:hAnsi="Times New Roman" w:cs="Times New Roman"/>
          <w:sz w:val="24"/>
          <w:szCs w:val="24"/>
        </w:rPr>
      </w:pPr>
      <w:r>
        <w:rPr>
          <w:rFonts w:ascii="Times New Roman" w:hAnsi="Times New Roman" w:cs="Times New Roman"/>
          <w:noProof/>
          <w:sz w:val="24"/>
          <w:szCs w:val="24"/>
        </w:rPr>
        <w:t>Q</w:t>
      </w:r>
      <w:r w:rsidR="00D5786B" w:rsidRPr="00D5786B">
        <w:rPr>
          <w:rFonts w:ascii="Times New Roman" w:hAnsi="Times New Roman" w:cs="Times New Roman"/>
          <w:noProof/>
          <w:sz w:val="24"/>
          <w:szCs w:val="24"/>
        </w:rPr>
        <w:t>uantitative research methodology</w:t>
      </w:r>
      <w:r>
        <w:rPr>
          <w:rFonts w:ascii="Times New Roman" w:hAnsi="Times New Roman" w:cs="Times New Roman"/>
          <w:noProof/>
          <w:sz w:val="24"/>
          <w:szCs w:val="24"/>
        </w:rPr>
        <w:t xml:space="preserve"> is applied</w:t>
      </w:r>
      <w:r w:rsidR="00686DAA">
        <w:rPr>
          <w:rFonts w:ascii="Times New Roman" w:hAnsi="Times New Roman" w:cs="Times New Roman"/>
          <w:noProof/>
          <w:sz w:val="24"/>
          <w:szCs w:val="24"/>
        </w:rPr>
        <w:t>,</w:t>
      </w:r>
      <w:r w:rsidR="00D5786B" w:rsidRPr="00D5786B">
        <w:rPr>
          <w:rFonts w:ascii="Times New Roman" w:hAnsi="Times New Roman" w:cs="Times New Roman"/>
          <w:noProof/>
          <w:sz w:val="24"/>
          <w:szCs w:val="24"/>
        </w:rPr>
        <w:t xml:space="preserve">  creat</w:t>
      </w:r>
      <w:r w:rsidR="00686DAA">
        <w:rPr>
          <w:rFonts w:ascii="Times New Roman" w:hAnsi="Times New Roman" w:cs="Times New Roman"/>
          <w:noProof/>
          <w:sz w:val="24"/>
          <w:szCs w:val="24"/>
        </w:rPr>
        <w:t>ing</w:t>
      </w:r>
      <w:r w:rsidR="00D5786B" w:rsidRPr="00D5786B">
        <w:rPr>
          <w:rFonts w:ascii="Times New Roman" w:hAnsi="Times New Roman" w:cs="Times New Roman"/>
          <w:noProof/>
          <w:sz w:val="24"/>
          <w:szCs w:val="24"/>
        </w:rPr>
        <w:t xml:space="preserve"> a statistical model  analysing  data through</w:t>
      </w:r>
      <w:r w:rsidR="00686DAA">
        <w:rPr>
          <w:rFonts w:ascii="Times New Roman" w:hAnsi="Times New Roman" w:cs="Times New Roman"/>
          <w:noProof/>
          <w:sz w:val="24"/>
          <w:szCs w:val="24"/>
        </w:rPr>
        <w:t xml:space="preserve"> the</w:t>
      </w:r>
      <w:r w:rsidR="00104535">
        <w:rPr>
          <w:rFonts w:ascii="Times New Roman" w:hAnsi="Times New Roman" w:cs="Times New Roman"/>
          <w:noProof/>
          <w:sz w:val="24"/>
          <w:szCs w:val="24"/>
        </w:rPr>
        <w:t xml:space="preserve"> Value at Risk method.</w:t>
      </w:r>
      <w:r w:rsidR="00D5786B" w:rsidRPr="00D5786B">
        <w:rPr>
          <w:rFonts w:ascii="Times New Roman" w:hAnsi="Times New Roman" w:cs="Times New Roman"/>
          <w:noProof/>
          <w:sz w:val="24"/>
          <w:szCs w:val="24"/>
        </w:rPr>
        <w:t xml:space="preserve"> </w:t>
      </w:r>
      <w:r w:rsidR="001B2B13">
        <w:rPr>
          <w:rFonts w:ascii="Times New Roman" w:hAnsi="Times New Roman" w:cs="Times New Roman"/>
          <w:noProof/>
          <w:sz w:val="24"/>
          <w:szCs w:val="24"/>
        </w:rPr>
        <w:t>A</w:t>
      </w:r>
      <w:r w:rsidR="00D5786B" w:rsidRPr="00D5786B">
        <w:rPr>
          <w:rFonts w:ascii="Times New Roman" w:hAnsi="Times New Roman" w:cs="Times New Roman"/>
          <w:noProof/>
          <w:sz w:val="24"/>
          <w:szCs w:val="24"/>
        </w:rPr>
        <w:t xml:space="preserve"> case study on United Arab Emirates</w:t>
      </w:r>
      <w:r w:rsidR="001B2B13">
        <w:rPr>
          <w:rFonts w:ascii="Times New Roman" w:hAnsi="Times New Roman" w:cs="Times New Roman"/>
          <w:noProof/>
          <w:sz w:val="24"/>
          <w:szCs w:val="24"/>
        </w:rPr>
        <w:t>’</w:t>
      </w:r>
      <w:r w:rsidR="00D5786B" w:rsidRPr="00D5786B">
        <w:rPr>
          <w:rFonts w:ascii="Times New Roman" w:hAnsi="Times New Roman" w:cs="Times New Roman"/>
          <w:noProof/>
          <w:sz w:val="24"/>
          <w:szCs w:val="24"/>
        </w:rPr>
        <w:t xml:space="preserve"> </w:t>
      </w:r>
      <w:r w:rsidR="00D5786B" w:rsidRPr="00C74AEF">
        <w:rPr>
          <w:rFonts w:ascii="Times New Roman" w:hAnsi="Times New Roman" w:cs="Times New Roman"/>
          <w:i/>
          <w:iCs/>
          <w:noProof/>
          <w:sz w:val="24"/>
          <w:szCs w:val="24"/>
        </w:rPr>
        <w:t>Sukuk</w:t>
      </w:r>
      <w:r w:rsidR="00D5786B" w:rsidRPr="00D5786B">
        <w:rPr>
          <w:rFonts w:ascii="Times New Roman" w:hAnsi="Times New Roman" w:cs="Times New Roman"/>
          <w:noProof/>
          <w:sz w:val="24"/>
          <w:szCs w:val="24"/>
        </w:rPr>
        <w:t xml:space="preserve"> and conventional bonds issuances listed</w:t>
      </w:r>
      <w:r w:rsidR="00DC79C9">
        <w:rPr>
          <w:rFonts w:ascii="Times New Roman" w:hAnsi="Times New Roman" w:cs="Times New Roman"/>
          <w:noProof/>
          <w:sz w:val="24"/>
          <w:szCs w:val="24"/>
        </w:rPr>
        <w:t xml:space="preserve"> on</w:t>
      </w:r>
      <w:r w:rsidR="00D5786B" w:rsidRPr="00D5786B">
        <w:rPr>
          <w:rFonts w:ascii="Times New Roman" w:hAnsi="Times New Roman" w:cs="Times New Roman"/>
          <w:noProof/>
          <w:sz w:val="24"/>
          <w:szCs w:val="24"/>
        </w:rPr>
        <w:t xml:space="preserve"> Nasdaq Dubai's financial </w:t>
      </w:r>
      <w:r w:rsidR="001153E9">
        <w:rPr>
          <w:rFonts w:ascii="Times New Roman" w:hAnsi="Times New Roman" w:cs="Times New Roman"/>
          <w:noProof/>
          <w:sz w:val="24"/>
          <w:szCs w:val="24"/>
        </w:rPr>
        <w:t>m</w:t>
      </w:r>
      <w:r w:rsidR="00D5786B" w:rsidRPr="00D5786B">
        <w:rPr>
          <w:rFonts w:ascii="Times New Roman" w:hAnsi="Times New Roman" w:cs="Times New Roman"/>
          <w:noProof/>
          <w:sz w:val="24"/>
          <w:szCs w:val="24"/>
        </w:rPr>
        <w:t>arket</w:t>
      </w:r>
      <w:r w:rsidR="001B2B13">
        <w:rPr>
          <w:rFonts w:ascii="Times New Roman" w:hAnsi="Times New Roman" w:cs="Times New Roman"/>
          <w:noProof/>
          <w:sz w:val="24"/>
          <w:szCs w:val="24"/>
        </w:rPr>
        <w:t xml:space="preserve"> is </w:t>
      </w:r>
      <w:r w:rsidR="00DC79C9">
        <w:rPr>
          <w:rFonts w:ascii="Times New Roman" w:hAnsi="Times New Roman" w:cs="Times New Roman"/>
          <w:noProof/>
          <w:sz w:val="24"/>
          <w:szCs w:val="24"/>
        </w:rPr>
        <w:t>analysed</w:t>
      </w:r>
      <w:r w:rsidR="00D5786B" w:rsidRPr="00D5786B">
        <w:rPr>
          <w:rFonts w:ascii="Times New Roman" w:hAnsi="Times New Roman" w:cs="Times New Roman"/>
          <w:noProof/>
          <w:sz w:val="24"/>
          <w:szCs w:val="24"/>
        </w:rPr>
        <w:t xml:space="preserve">.  </w:t>
      </w:r>
      <w:r w:rsidR="001153E9">
        <w:rPr>
          <w:rFonts w:ascii="Times New Roman" w:hAnsi="Times New Roman" w:cs="Times New Roman"/>
          <w:noProof/>
          <w:sz w:val="24"/>
          <w:szCs w:val="24"/>
        </w:rPr>
        <w:t>S</w:t>
      </w:r>
      <w:r w:rsidR="00D5786B" w:rsidRPr="00D5786B">
        <w:rPr>
          <w:rFonts w:ascii="Times New Roman" w:hAnsi="Times New Roman" w:cs="Times New Roman"/>
          <w:noProof/>
          <w:sz w:val="24"/>
          <w:szCs w:val="24"/>
        </w:rPr>
        <w:t xml:space="preserve">econdary data  is obtained from  listed </w:t>
      </w:r>
      <w:r w:rsidR="00D5786B" w:rsidRPr="00C74AEF">
        <w:rPr>
          <w:rFonts w:ascii="Times New Roman" w:hAnsi="Times New Roman" w:cs="Times New Roman"/>
          <w:i/>
          <w:iCs/>
          <w:noProof/>
          <w:sz w:val="24"/>
          <w:szCs w:val="24"/>
        </w:rPr>
        <w:t>Sukuk</w:t>
      </w:r>
      <w:r w:rsidR="00D5786B" w:rsidRPr="00D5786B">
        <w:rPr>
          <w:rFonts w:ascii="Times New Roman" w:hAnsi="Times New Roman" w:cs="Times New Roman"/>
          <w:noProof/>
          <w:sz w:val="24"/>
          <w:szCs w:val="24"/>
        </w:rPr>
        <w:t xml:space="preserve"> and conventional bonds issuance in Nasdaq Dubai's financial market. The data </w:t>
      </w:r>
      <w:r w:rsidR="00395161">
        <w:rPr>
          <w:rFonts w:ascii="Times New Roman" w:hAnsi="Times New Roman" w:cs="Times New Roman"/>
          <w:noProof/>
          <w:sz w:val="24"/>
          <w:szCs w:val="24"/>
        </w:rPr>
        <w:t>details</w:t>
      </w:r>
      <w:r w:rsidR="00D5786B" w:rsidRPr="00D5786B">
        <w:rPr>
          <w:rFonts w:ascii="Times New Roman" w:hAnsi="Times New Roman" w:cs="Times New Roman"/>
          <w:noProof/>
          <w:sz w:val="24"/>
          <w:szCs w:val="24"/>
        </w:rPr>
        <w:t xml:space="preserve"> daily closing prices of </w:t>
      </w:r>
      <w:r w:rsidR="00D5786B" w:rsidRPr="00C74AEF">
        <w:rPr>
          <w:rFonts w:ascii="Times New Roman" w:hAnsi="Times New Roman" w:cs="Times New Roman"/>
          <w:i/>
          <w:iCs/>
          <w:noProof/>
          <w:sz w:val="24"/>
          <w:szCs w:val="24"/>
        </w:rPr>
        <w:t>Sukuk</w:t>
      </w:r>
      <w:r w:rsidR="00D5786B" w:rsidRPr="00D5786B">
        <w:rPr>
          <w:rFonts w:ascii="Times New Roman" w:hAnsi="Times New Roman" w:cs="Times New Roman"/>
          <w:noProof/>
          <w:sz w:val="24"/>
          <w:szCs w:val="24"/>
        </w:rPr>
        <w:t xml:space="preserve"> and conventional bonds for a period of one-year from 18th Janu</w:t>
      </w:r>
      <w:r w:rsidR="00104535">
        <w:rPr>
          <w:rFonts w:ascii="Times New Roman" w:hAnsi="Times New Roman" w:cs="Times New Roman"/>
          <w:noProof/>
          <w:sz w:val="24"/>
          <w:szCs w:val="24"/>
        </w:rPr>
        <w:t>ary 2016 to 17th January 2017.</w:t>
      </w:r>
      <w:r w:rsidR="00D5786B" w:rsidRPr="00D5786B">
        <w:rPr>
          <w:rFonts w:ascii="Times New Roman" w:hAnsi="Times New Roman" w:cs="Times New Roman"/>
          <w:noProof/>
          <w:sz w:val="24"/>
          <w:szCs w:val="24"/>
        </w:rPr>
        <w:t xml:space="preserve"> </w:t>
      </w:r>
      <w:r w:rsidR="00C34E04">
        <w:rPr>
          <w:rFonts w:ascii="Times New Roman" w:hAnsi="Times New Roman" w:cs="Times New Roman"/>
          <w:noProof/>
          <w:sz w:val="24"/>
          <w:szCs w:val="24"/>
        </w:rPr>
        <w:t>R</w:t>
      </w:r>
      <w:r w:rsidR="00D5786B" w:rsidRPr="00D5786B">
        <w:rPr>
          <w:rFonts w:ascii="Times New Roman" w:hAnsi="Times New Roman" w:cs="Times New Roman"/>
          <w:noProof/>
          <w:sz w:val="24"/>
          <w:szCs w:val="24"/>
        </w:rPr>
        <w:t xml:space="preserve">elevant data used for analysis,  the </w:t>
      </w:r>
      <w:r w:rsidR="00D5786B" w:rsidRPr="00C74AEF">
        <w:rPr>
          <w:rFonts w:ascii="Times New Roman" w:hAnsi="Times New Roman" w:cs="Times New Roman"/>
          <w:i/>
          <w:iCs/>
          <w:noProof/>
          <w:sz w:val="24"/>
          <w:szCs w:val="24"/>
        </w:rPr>
        <w:t>Sukuk</w:t>
      </w:r>
      <w:r w:rsidR="00D5786B" w:rsidRPr="00D5786B">
        <w:rPr>
          <w:rFonts w:ascii="Times New Roman" w:hAnsi="Times New Roman" w:cs="Times New Roman"/>
          <w:noProof/>
          <w:sz w:val="24"/>
          <w:szCs w:val="24"/>
        </w:rPr>
        <w:t xml:space="preserve"> and conventional bonds issuance satisfies the following two criteria: first</w:t>
      </w:r>
      <w:r w:rsidR="00C34E04">
        <w:rPr>
          <w:rFonts w:ascii="Times New Roman" w:hAnsi="Times New Roman" w:cs="Times New Roman"/>
          <w:noProof/>
          <w:sz w:val="24"/>
          <w:szCs w:val="24"/>
        </w:rPr>
        <w:t>ly</w:t>
      </w:r>
      <w:r w:rsidR="00D5786B" w:rsidRPr="00D5786B">
        <w:rPr>
          <w:rFonts w:ascii="Times New Roman" w:hAnsi="Times New Roman" w:cs="Times New Roman"/>
          <w:noProof/>
          <w:sz w:val="24"/>
          <w:szCs w:val="24"/>
        </w:rPr>
        <w:t>,  data  exclud</w:t>
      </w:r>
      <w:r w:rsidR="00885C53">
        <w:rPr>
          <w:rFonts w:ascii="Times New Roman" w:hAnsi="Times New Roman" w:cs="Times New Roman"/>
          <w:noProof/>
          <w:sz w:val="24"/>
          <w:szCs w:val="24"/>
        </w:rPr>
        <w:t>es</w:t>
      </w:r>
      <w:r w:rsidR="00D5786B" w:rsidRPr="00D5786B">
        <w:rPr>
          <w:rFonts w:ascii="Times New Roman" w:hAnsi="Times New Roman" w:cs="Times New Roman"/>
          <w:noProof/>
          <w:sz w:val="24"/>
          <w:szCs w:val="24"/>
        </w:rPr>
        <w:t xml:space="preserve"> any </w:t>
      </w:r>
      <w:r w:rsidR="00D5786B" w:rsidRPr="00C74AEF">
        <w:rPr>
          <w:rFonts w:ascii="Times New Roman" w:hAnsi="Times New Roman" w:cs="Times New Roman"/>
          <w:i/>
          <w:iCs/>
          <w:noProof/>
          <w:sz w:val="24"/>
          <w:szCs w:val="24"/>
        </w:rPr>
        <w:t>Sukuk</w:t>
      </w:r>
      <w:r w:rsidR="00D5786B" w:rsidRPr="00D5786B">
        <w:rPr>
          <w:rFonts w:ascii="Times New Roman" w:hAnsi="Times New Roman" w:cs="Times New Roman"/>
          <w:noProof/>
          <w:sz w:val="24"/>
          <w:szCs w:val="24"/>
        </w:rPr>
        <w:t xml:space="preserve"> and bonds issuances  traded in the market for less  </w:t>
      </w:r>
      <w:r w:rsidR="0055401F">
        <w:rPr>
          <w:rFonts w:ascii="Times New Roman" w:hAnsi="Times New Roman" w:cs="Times New Roman"/>
          <w:noProof/>
          <w:sz w:val="24"/>
          <w:szCs w:val="24"/>
        </w:rPr>
        <w:t xml:space="preserve">than </w:t>
      </w:r>
      <w:r w:rsidR="00D5786B" w:rsidRPr="00D5786B">
        <w:rPr>
          <w:rFonts w:ascii="Times New Roman" w:hAnsi="Times New Roman" w:cs="Times New Roman"/>
          <w:noProof/>
          <w:sz w:val="24"/>
          <w:szCs w:val="24"/>
        </w:rPr>
        <w:t xml:space="preserve">one year. Secondly, it </w:t>
      </w:r>
      <w:r w:rsidR="008421C7">
        <w:rPr>
          <w:rFonts w:ascii="Times New Roman" w:hAnsi="Times New Roman" w:cs="Times New Roman"/>
          <w:noProof/>
          <w:sz w:val="24"/>
          <w:szCs w:val="24"/>
        </w:rPr>
        <w:t xml:space="preserve">only </w:t>
      </w:r>
      <w:r w:rsidR="00D5786B" w:rsidRPr="00D5786B">
        <w:rPr>
          <w:rFonts w:ascii="Times New Roman" w:hAnsi="Times New Roman" w:cs="Times New Roman"/>
          <w:noProof/>
          <w:sz w:val="24"/>
          <w:szCs w:val="24"/>
        </w:rPr>
        <w:t xml:space="preserve">considers  a maturity </w:t>
      </w:r>
      <w:r w:rsidR="0055401F">
        <w:rPr>
          <w:rFonts w:ascii="Times New Roman" w:hAnsi="Times New Roman" w:cs="Times New Roman"/>
          <w:noProof/>
          <w:sz w:val="24"/>
          <w:szCs w:val="24"/>
        </w:rPr>
        <w:t xml:space="preserve">period of </w:t>
      </w:r>
      <w:r w:rsidR="00D5786B" w:rsidRPr="00D5786B">
        <w:rPr>
          <w:rFonts w:ascii="Times New Roman" w:hAnsi="Times New Roman" w:cs="Times New Roman"/>
          <w:noProof/>
          <w:sz w:val="24"/>
          <w:szCs w:val="24"/>
        </w:rPr>
        <w:t xml:space="preserve"> 3 to 10 years from the listed </w:t>
      </w:r>
      <w:r w:rsidR="00D5786B" w:rsidRPr="00C74AEF">
        <w:rPr>
          <w:rFonts w:ascii="Times New Roman" w:hAnsi="Times New Roman" w:cs="Times New Roman"/>
          <w:i/>
          <w:iCs/>
          <w:noProof/>
          <w:sz w:val="24"/>
          <w:szCs w:val="24"/>
        </w:rPr>
        <w:t>Sukuk</w:t>
      </w:r>
      <w:r w:rsidR="00D5786B" w:rsidRPr="00D5786B">
        <w:rPr>
          <w:rFonts w:ascii="Times New Roman" w:hAnsi="Times New Roman" w:cs="Times New Roman"/>
          <w:noProof/>
          <w:sz w:val="24"/>
          <w:szCs w:val="24"/>
        </w:rPr>
        <w:t xml:space="preserve"> and conventional bonds issuances. </w:t>
      </w:r>
      <w:r w:rsidR="00623DE9">
        <w:rPr>
          <w:rFonts w:ascii="Times New Roman" w:hAnsi="Times New Roman" w:cs="Times New Roman"/>
          <w:noProof/>
          <w:sz w:val="24"/>
          <w:szCs w:val="24"/>
        </w:rPr>
        <w:t xml:space="preserve">Sale based </w:t>
      </w:r>
      <w:r w:rsidR="00623DE9" w:rsidRPr="00623DE9">
        <w:rPr>
          <w:rFonts w:ascii="Times New Roman" w:hAnsi="Times New Roman" w:cs="Times New Roman"/>
          <w:i/>
          <w:noProof/>
          <w:sz w:val="24"/>
          <w:szCs w:val="24"/>
        </w:rPr>
        <w:t>Sukuk</w:t>
      </w:r>
      <w:r w:rsidR="00623DE9">
        <w:rPr>
          <w:rFonts w:ascii="Times New Roman" w:hAnsi="Times New Roman" w:cs="Times New Roman"/>
          <w:noProof/>
          <w:sz w:val="24"/>
          <w:szCs w:val="24"/>
        </w:rPr>
        <w:t xml:space="preserve"> were purposly excluded from the analysis, as they have very short maturity, and therefore they does not align for the comparitive analysis with the bonds. T</w:t>
      </w:r>
      <w:r w:rsidR="00D5786B" w:rsidRPr="00D5786B">
        <w:rPr>
          <w:rFonts w:ascii="Times New Roman" w:hAnsi="Times New Roman" w:cs="Times New Roman"/>
          <w:noProof/>
          <w:sz w:val="24"/>
          <w:szCs w:val="24"/>
        </w:rPr>
        <w:t xml:space="preserve">he sample data of 30 (15 </w:t>
      </w:r>
      <w:r w:rsidR="00D5786B" w:rsidRPr="00C74AEF">
        <w:rPr>
          <w:rFonts w:ascii="Times New Roman" w:hAnsi="Times New Roman" w:cs="Times New Roman"/>
          <w:i/>
          <w:iCs/>
          <w:noProof/>
          <w:sz w:val="24"/>
          <w:szCs w:val="24"/>
        </w:rPr>
        <w:t>Sukuk</w:t>
      </w:r>
      <w:r w:rsidR="00D5786B" w:rsidRPr="00D5786B">
        <w:rPr>
          <w:rFonts w:ascii="Times New Roman" w:hAnsi="Times New Roman" w:cs="Times New Roman"/>
          <w:noProof/>
          <w:sz w:val="24"/>
          <w:szCs w:val="24"/>
        </w:rPr>
        <w:t xml:space="preserve"> and 15 bonds) </w:t>
      </w:r>
      <w:r w:rsidR="00D5786B" w:rsidRPr="00C74AEF">
        <w:rPr>
          <w:rFonts w:ascii="Times New Roman" w:hAnsi="Times New Roman" w:cs="Times New Roman"/>
          <w:i/>
          <w:iCs/>
          <w:noProof/>
          <w:sz w:val="24"/>
          <w:szCs w:val="24"/>
        </w:rPr>
        <w:t>Sukuk</w:t>
      </w:r>
      <w:r w:rsidR="00D5786B" w:rsidRPr="00D5786B">
        <w:rPr>
          <w:rFonts w:ascii="Times New Roman" w:hAnsi="Times New Roman" w:cs="Times New Roman"/>
          <w:noProof/>
          <w:sz w:val="24"/>
          <w:szCs w:val="24"/>
        </w:rPr>
        <w:t xml:space="preserve"> and conventional bonds are selected randomly from a listed 70 Sukuk and conventional bonds that have satisfied those criteria. For example, there were only 15 samples of traditional bonds which satisfied the above-mentioned criteria. Therefore, we selected equal sample</w:t>
      </w:r>
      <w:r w:rsidR="0091424F">
        <w:rPr>
          <w:rFonts w:ascii="Times New Roman" w:hAnsi="Times New Roman" w:cs="Times New Roman"/>
          <w:noProof/>
          <w:sz w:val="24"/>
          <w:szCs w:val="24"/>
        </w:rPr>
        <w:t>s</w:t>
      </w:r>
      <w:r w:rsidR="00D5786B" w:rsidRPr="00D5786B">
        <w:rPr>
          <w:rFonts w:ascii="Times New Roman" w:hAnsi="Times New Roman" w:cs="Times New Roman"/>
          <w:noProof/>
          <w:sz w:val="24"/>
          <w:szCs w:val="24"/>
        </w:rPr>
        <w:t xml:space="preserve"> of 15 from each site.</w:t>
      </w:r>
      <w:r w:rsidR="00D5786B" w:rsidRPr="00D5786B">
        <w:rPr>
          <w:rFonts w:ascii="Times New Roman" w:hAnsi="Times New Roman" w:cs="Times New Roman"/>
          <w:b/>
          <w:noProof/>
          <w:sz w:val="24"/>
          <w:szCs w:val="24"/>
        </w:rPr>
        <w:t xml:space="preserve">   </w:t>
      </w:r>
      <w:r w:rsidR="00A755F5" w:rsidRPr="00251B2C">
        <w:rPr>
          <w:rFonts w:ascii="Times New Roman" w:eastAsia="Times New Roman" w:hAnsi="Times New Roman" w:cs="Times New Roman"/>
          <w:sz w:val="24"/>
          <w:szCs w:val="24"/>
        </w:rPr>
        <w:t xml:space="preserve">The lists of </w:t>
      </w:r>
      <w:r w:rsidR="000F4C35" w:rsidRPr="00C74AEF">
        <w:rPr>
          <w:rFonts w:ascii="Times New Roman" w:eastAsia="Times New Roman" w:hAnsi="Times New Roman" w:cs="Times New Roman"/>
          <w:i/>
          <w:iCs/>
          <w:sz w:val="24"/>
          <w:szCs w:val="24"/>
        </w:rPr>
        <w:t>Sukuk</w:t>
      </w:r>
      <w:r w:rsidR="00A755F5" w:rsidRPr="00251B2C">
        <w:rPr>
          <w:rFonts w:ascii="Times New Roman" w:eastAsia="Times New Roman" w:hAnsi="Times New Roman" w:cs="Times New Roman"/>
          <w:sz w:val="24"/>
          <w:szCs w:val="24"/>
        </w:rPr>
        <w:t xml:space="preserve"> and conventional bonds and their descriptions are illustrated in </w:t>
      </w:r>
      <w:r w:rsidR="009538A3">
        <w:rPr>
          <w:rFonts w:ascii="Times New Roman" w:eastAsia="Times New Roman" w:hAnsi="Times New Roman" w:cs="Times New Roman"/>
          <w:sz w:val="24"/>
          <w:szCs w:val="24"/>
        </w:rPr>
        <w:t>Table 1</w:t>
      </w:r>
      <w:r w:rsidR="00A755F5" w:rsidRPr="00251B2C">
        <w:rPr>
          <w:rFonts w:ascii="Times New Roman" w:eastAsia="Times New Roman" w:hAnsi="Times New Roman" w:cs="Times New Roman"/>
          <w:sz w:val="24"/>
          <w:szCs w:val="24"/>
        </w:rPr>
        <w:t xml:space="preserve"> and </w:t>
      </w:r>
      <w:r w:rsidR="009538A3">
        <w:rPr>
          <w:rFonts w:ascii="Times New Roman" w:eastAsia="Times New Roman" w:hAnsi="Times New Roman" w:cs="Times New Roman"/>
          <w:sz w:val="24"/>
          <w:szCs w:val="24"/>
        </w:rPr>
        <w:t xml:space="preserve">Table </w:t>
      </w:r>
      <w:r w:rsidR="00A755F5" w:rsidRPr="00251B2C">
        <w:rPr>
          <w:rFonts w:ascii="Times New Roman" w:eastAsia="Times New Roman" w:hAnsi="Times New Roman" w:cs="Times New Roman"/>
          <w:sz w:val="24"/>
          <w:szCs w:val="24"/>
        </w:rPr>
        <w:t xml:space="preserve">2 below: </w:t>
      </w:r>
    </w:p>
    <w:p w14:paraId="70A5477D" w14:textId="2CD4231C" w:rsidR="00A755F5" w:rsidRPr="00251B2C" w:rsidRDefault="009538A3" w:rsidP="00A755F5">
      <w:pPr>
        <w:pStyle w:val="Caption"/>
        <w:keepNext/>
        <w:rPr>
          <w:rFonts w:ascii="Times New Roman" w:hAnsi="Times New Roman" w:cs="Times New Roman"/>
          <w:sz w:val="24"/>
          <w:szCs w:val="24"/>
        </w:rPr>
      </w:pPr>
      <w:bookmarkStart w:id="17" w:name="_Toc481617418"/>
      <w:bookmarkStart w:id="18" w:name="OLE_LINK127"/>
      <w:bookmarkEnd w:id="4"/>
      <w:bookmarkEnd w:id="5"/>
      <w:r>
        <w:rPr>
          <w:rFonts w:ascii="Times New Roman" w:hAnsi="Times New Roman" w:cs="Times New Roman"/>
          <w:sz w:val="24"/>
          <w:szCs w:val="24"/>
        </w:rPr>
        <w:t>Table 1</w:t>
      </w:r>
      <w:r w:rsidR="00A755F5" w:rsidRPr="00251B2C">
        <w:rPr>
          <w:rFonts w:ascii="Times New Roman" w:hAnsi="Times New Roman" w:cs="Times New Roman"/>
          <w:sz w:val="24"/>
          <w:szCs w:val="24"/>
        </w:rPr>
        <w:t xml:space="preserve">: List of </w:t>
      </w:r>
      <w:r w:rsidR="000F4C35">
        <w:rPr>
          <w:rFonts w:ascii="Times New Roman" w:hAnsi="Times New Roman" w:cs="Times New Roman"/>
          <w:sz w:val="24"/>
          <w:szCs w:val="24"/>
        </w:rPr>
        <w:t>Sukuk</w:t>
      </w:r>
      <w:r w:rsidR="00A755F5" w:rsidRPr="00251B2C">
        <w:rPr>
          <w:rFonts w:ascii="Times New Roman" w:hAnsi="Times New Roman" w:cs="Times New Roman"/>
          <w:sz w:val="24"/>
          <w:szCs w:val="24"/>
        </w:rPr>
        <w:t xml:space="preserve"> instruments</w:t>
      </w:r>
      <w:bookmarkEnd w:id="17"/>
    </w:p>
    <w:tbl>
      <w:tblPr>
        <w:tblW w:w="8637" w:type="dxa"/>
        <w:jc w:val="center"/>
        <w:tblLayout w:type="fixed"/>
        <w:tblLook w:val="04A0" w:firstRow="1" w:lastRow="0" w:firstColumn="1" w:lastColumn="0" w:noHBand="0" w:noVBand="1"/>
      </w:tblPr>
      <w:tblGrid>
        <w:gridCol w:w="2599"/>
        <w:gridCol w:w="1235"/>
        <w:gridCol w:w="1236"/>
        <w:gridCol w:w="824"/>
        <w:gridCol w:w="1326"/>
        <w:gridCol w:w="1417"/>
      </w:tblGrid>
      <w:tr w:rsidR="00A755F5" w:rsidRPr="001A131A" w14:paraId="6FA35274" w14:textId="77777777" w:rsidTr="001A131A">
        <w:trPr>
          <w:trHeight w:val="394"/>
          <w:jc w:val="center"/>
        </w:trPr>
        <w:tc>
          <w:tcPr>
            <w:tcW w:w="2599" w:type="dxa"/>
            <w:tcBorders>
              <w:top w:val="single" w:sz="8" w:space="0" w:color="auto"/>
              <w:left w:val="single" w:sz="8" w:space="0" w:color="auto"/>
              <w:bottom w:val="nil"/>
              <w:right w:val="single" w:sz="8" w:space="0" w:color="auto"/>
            </w:tcBorders>
            <w:shd w:val="clear" w:color="auto" w:fill="auto"/>
            <w:hideMark/>
          </w:tcPr>
          <w:p w14:paraId="0FB4704A" w14:textId="0D4E0C27" w:rsidR="00A755F5" w:rsidRPr="001A131A" w:rsidRDefault="00A755F5" w:rsidP="009B1361">
            <w:pPr>
              <w:spacing w:after="0" w:line="240" w:lineRule="auto"/>
              <w:jc w:val="both"/>
              <w:rPr>
                <w:rFonts w:ascii="Times New Roman" w:eastAsia="Times New Roman" w:hAnsi="Times New Roman" w:cs="Times New Roman"/>
                <w:b/>
                <w:sz w:val="20"/>
                <w:szCs w:val="20"/>
                <w:lang w:eastAsia="en-GB"/>
              </w:rPr>
            </w:pPr>
            <w:r w:rsidRPr="001A131A">
              <w:rPr>
                <w:rFonts w:ascii="Times New Roman" w:eastAsia="Times New Roman" w:hAnsi="Times New Roman" w:cs="Times New Roman"/>
                <w:b/>
                <w:sz w:val="20"/>
                <w:szCs w:val="20"/>
                <w:lang w:eastAsia="en-GB"/>
              </w:rPr>
              <w:t xml:space="preserve">List of </w:t>
            </w:r>
            <w:r w:rsidR="000F4C35" w:rsidRPr="001A131A">
              <w:rPr>
                <w:rFonts w:ascii="Times New Roman" w:eastAsia="Times New Roman" w:hAnsi="Times New Roman" w:cs="Times New Roman"/>
                <w:b/>
                <w:sz w:val="20"/>
                <w:szCs w:val="20"/>
                <w:lang w:eastAsia="en-GB"/>
              </w:rPr>
              <w:t>Sukuk</w:t>
            </w:r>
          </w:p>
        </w:tc>
        <w:tc>
          <w:tcPr>
            <w:tcW w:w="1235" w:type="dxa"/>
            <w:tcBorders>
              <w:top w:val="single" w:sz="8" w:space="0" w:color="auto"/>
              <w:left w:val="nil"/>
              <w:bottom w:val="nil"/>
              <w:right w:val="single" w:sz="8" w:space="0" w:color="auto"/>
            </w:tcBorders>
            <w:shd w:val="clear" w:color="auto" w:fill="auto"/>
            <w:hideMark/>
          </w:tcPr>
          <w:p w14:paraId="18446D53" w14:textId="77777777" w:rsidR="00A755F5" w:rsidRPr="001A131A" w:rsidRDefault="00A755F5" w:rsidP="009B1361">
            <w:pPr>
              <w:spacing w:after="0" w:line="240" w:lineRule="auto"/>
              <w:jc w:val="center"/>
              <w:rPr>
                <w:rFonts w:ascii="Times New Roman" w:eastAsia="Times New Roman" w:hAnsi="Times New Roman" w:cs="Times New Roman"/>
                <w:b/>
                <w:sz w:val="20"/>
                <w:szCs w:val="20"/>
                <w:lang w:eastAsia="en-GB"/>
              </w:rPr>
            </w:pPr>
            <w:r w:rsidRPr="001A131A">
              <w:rPr>
                <w:rFonts w:ascii="Times New Roman" w:eastAsia="Times New Roman" w:hAnsi="Times New Roman" w:cs="Times New Roman"/>
                <w:b/>
                <w:sz w:val="20"/>
                <w:szCs w:val="20"/>
                <w:lang w:eastAsia="en-GB"/>
              </w:rPr>
              <w:t>Issue date</w:t>
            </w:r>
          </w:p>
        </w:tc>
        <w:tc>
          <w:tcPr>
            <w:tcW w:w="1236" w:type="dxa"/>
            <w:tcBorders>
              <w:top w:val="single" w:sz="8" w:space="0" w:color="auto"/>
              <w:left w:val="nil"/>
              <w:bottom w:val="nil"/>
              <w:right w:val="single" w:sz="8" w:space="0" w:color="auto"/>
            </w:tcBorders>
            <w:shd w:val="clear" w:color="auto" w:fill="auto"/>
            <w:hideMark/>
          </w:tcPr>
          <w:p w14:paraId="1422C399" w14:textId="77777777" w:rsidR="00A755F5" w:rsidRPr="001A131A" w:rsidRDefault="00A755F5" w:rsidP="009B1361">
            <w:pPr>
              <w:spacing w:after="0" w:line="240" w:lineRule="auto"/>
              <w:jc w:val="center"/>
              <w:rPr>
                <w:rFonts w:ascii="Times New Roman" w:eastAsia="Times New Roman" w:hAnsi="Times New Roman" w:cs="Times New Roman"/>
                <w:b/>
                <w:sz w:val="20"/>
                <w:szCs w:val="20"/>
                <w:lang w:eastAsia="en-GB"/>
              </w:rPr>
            </w:pPr>
            <w:r w:rsidRPr="001A131A">
              <w:rPr>
                <w:rFonts w:ascii="Times New Roman" w:eastAsia="Times New Roman" w:hAnsi="Times New Roman" w:cs="Times New Roman"/>
                <w:b/>
                <w:sz w:val="20"/>
                <w:szCs w:val="20"/>
                <w:lang w:eastAsia="en-GB"/>
              </w:rPr>
              <w:t>Maturity</w:t>
            </w:r>
          </w:p>
        </w:tc>
        <w:tc>
          <w:tcPr>
            <w:tcW w:w="824" w:type="dxa"/>
            <w:tcBorders>
              <w:top w:val="single" w:sz="8" w:space="0" w:color="auto"/>
              <w:left w:val="nil"/>
              <w:bottom w:val="nil"/>
              <w:right w:val="single" w:sz="8" w:space="0" w:color="auto"/>
            </w:tcBorders>
            <w:shd w:val="clear" w:color="auto" w:fill="auto"/>
            <w:hideMark/>
          </w:tcPr>
          <w:p w14:paraId="14B69223" w14:textId="77777777" w:rsidR="00A755F5" w:rsidRPr="001A131A" w:rsidRDefault="00A755F5" w:rsidP="009B1361">
            <w:pPr>
              <w:spacing w:after="0" w:line="240" w:lineRule="auto"/>
              <w:jc w:val="center"/>
              <w:rPr>
                <w:rFonts w:ascii="Times New Roman" w:eastAsia="Times New Roman" w:hAnsi="Times New Roman" w:cs="Times New Roman"/>
                <w:b/>
                <w:sz w:val="20"/>
                <w:szCs w:val="20"/>
                <w:lang w:eastAsia="en-GB"/>
              </w:rPr>
            </w:pPr>
            <w:r w:rsidRPr="001A131A">
              <w:rPr>
                <w:rFonts w:ascii="Times New Roman" w:eastAsia="Times New Roman" w:hAnsi="Times New Roman" w:cs="Times New Roman"/>
                <w:b/>
                <w:sz w:val="20"/>
                <w:szCs w:val="20"/>
                <w:lang w:eastAsia="en-GB"/>
              </w:rPr>
              <w:t>Tenor</w:t>
            </w:r>
          </w:p>
        </w:tc>
        <w:tc>
          <w:tcPr>
            <w:tcW w:w="1326" w:type="dxa"/>
            <w:tcBorders>
              <w:top w:val="single" w:sz="8" w:space="0" w:color="auto"/>
              <w:left w:val="nil"/>
              <w:bottom w:val="nil"/>
              <w:right w:val="single" w:sz="8" w:space="0" w:color="auto"/>
            </w:tcBorders>
            <w:shd w:val="clear" w:color="auto" w:fill="auto"/>
            <w:hideMark/>
          </w:tcPr>
          <w:p w14:paraId="3B10FC1E" w14:textId="77777777" w:rsidR="00A755F5" w:rsidRPr="001A131A" w:rsidRDefault="00A755F5" w:rsidP="009B1361">
            <w:pPr>
              <w:spacing w:after="0" w:line="240" w:lineRule="auto"/>
              <w:jc w:val="center"/>
              <w:rPr>
                <w:rFonts w:ascii="Times New Roman" w:eastAsia="Times New Roman" w:hAnsi="Times New Roman" w:cs="Times New Roman"/>
                <w:b/>
                <w:sz w:val="20"/>
                <w:szCs w:val="20"/>
                <w:lang w:eastAsia="en-GB"/>
              </w:rPr>
            </w:pPr>
            <w:r w:rsidRPr="001A131A">
              <w:rPr>
                <w:rFonts w:ascii="Times New Roman" w:eastAsia="Times New Roman" w:hAnsi="Times New Roman" w:cs="Times New Roman"/>
                <w:b/>
                <w:sz w:val="20"/>
                <w:szCs w:val="20"/>
                <w:lang w:eastAsia="en-GB"/>
              </w:rPr>
              <w:t>Amounts</w:t>
            </w:r>
          </w:p>
        </w:tc>
        <w:tc>
          <w:tcPr>
            <w:tcW w:w="1417" w:type="dxa"/>
            <w:tcBorders>
              <w:top w:val="single" w:sz="8" w:space="0" w:color="auto"/>
              <w:left w:val="nil"/>
              <w:bottom w:val="nil"/>
              <w:right w:val="single" w:sz="8" w:space="0" w:color="auto"/>
            </w:tcBorders>
            <w:shd w:val="clear" w:color="auto" w:fill="auto"/>
            <w:hideMark/>
          </w:tcPr>
          <w:p w14:paraId="15A4D59B" w14:textId="77777777" w:rsidR="00A755F5" w:rsidRPr="001A131A" w:rsidRDefault="00A755F5" w:rsidP="009B1361">
            <w:pPr>
              <w:spacing w:after="0" w:line="240" w:lineRule="auto"/>
              <w:jc w:val="center"/>
              <w:rPr>
                <w:rFonts w:ascii="Times New Roman" w:eastAsia="Times New Roman" w:hAnsi="Times New Roman" w:cs="Times New Roman"/>
                <w:b/>
                <w:sz w:val="20"/>
                <w:szCs w:val="20"/>
                <w:lang w:eastAsia="en-GB"/>
              </w:rPr>
            </w:pPr>
            <w:r w:rsidRPr="001A131A">
              <w:rPr>
                <w:rFonts w:ascii="Times New Roman" w:eastAsia="Times New Roman" w:hAnsi="Times New Roman" w:cs="Times New Roman"/>
                <w:b/>
                <w:sz w:val="20"/>
                <w:szCs w:val="20"/>
                <w:lang w:eastAsia="en-GB"/>
              </w:rPr>
              <w:t>Type</w:t>
            </w:r>
          </w:p>
        </w:tc>
      </w:tr>
      <w:tr w:rsidR="00A755F5" w:rsidRPr="001A131A" w14:paraId="238C0709" w14:textId="77777777" w:rsidTr="001A131A">
        <w:trPr>
          <w:trHeight w:val="226"/>
          <w:jc w:val="center"/>
        </w:trPr>
        <w:tc>
          <w:tcPr>
            <w:tcW w:w="259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79F205A" w14:textId="36A496BE" w:rsidR="00A755F5" w:rsidRPr="001A131A" w:rsidRDefault="00A755F5" w:rsidP="009B1361">
            <w:pPr>
              <w:spacing w:after="0" w:line="240" w:lineRule="auto"/>
              <w:jc w:val="both"/>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 xml:space="preserve">Dar Al </w:t>
            </w:r>
            <w:proofErr w:type="spellStart"/>
            <w:r w:rsidRPr="001A131A">
              <w:rPr>
                <w:rFonts w:ascii="Times New Roman" w:eastAsia="Times New Roman" w:hAnsi="Times New Roman" w:cs="Times New Roman"/>
                <w:sz w:val="20"/>
                <w:szCs w:val="20"/>
                <w:lang w:eastAsia="en-GB"/>
              </w:rPr>
              <w:t>Arkan</w:t>
            </w:r>
            <w:proofErr w:type="spellEnd"/>
            <w:r w:rsidRPr="001A131A">
              <w:rPr>
                <w:rFonts w:ascii="Times New Roman" w:eastAsia="Times New Roman" w:hAnsi="Times New Roman" w:cs="Times New Roman"/>
                <w:sz w:val="20"/>
                <w:szCs w:val="20"/>
                <w:lang w:eastAsia="en-GB"/>
              </w:rPr>
              <w:t xml:space="preserve"> </w:t>
            </w:r>
            <w:r w:rsidR="000F4C35" w:rsidRPr="001A131A">
              <w:rPr>
                <w:rFonts w:ascii="Times New Roman" w:eastAsia="Times New Roman" w:hAnsi="Times New Roman" w:cs="Times New Roman"/>
                <w:sz w:val="20"/>
                <w:szCs w:val="20"/>
                <w:lang w:eastAsia="en-GB"/>
              </w:rPr>
              <w:t>Sukuk</w:t>
            </w:r>
            <w:r w:rsidRPr="001A131A">
              <w:rPr>
                <w:rFonts w:ascii="Times New Roman" w:eastAsia="Times New Roman" w:hAnsi="Times New Roman" w:cs="Times New Roman"/>
                <w:sz w:val="20"/>
                <w:szCs w:val="20"/>
                <w:lang w:eastAsia="en-GB"/>
              </w:rPr>
              <w:t xml:space="preserve"> Co </w:t>
            </w:r>
          </w:p>
        </w:tc>
        <w:tc>
          <w:tcPr>
            <w:tcW w:w="1235" w:type="dxa"/>
            <w:tcBorders>
              <w:top w:val="single" w:sz="8" w:space="0" w:color="auto"/>
              <w:left w:val="nil"/>
              <w:bottom w:val="single" w:sz="4" w:space="0" w:color="auto"/>
              <w:right w:val="single" w:sz="4" w:space="0" w:color="auto"/>
            </w:tcBorders>
            <w:shd w:val="clear" w:color="auto" w:fill="auto"/>
            <w:vAlign w:val="center"/>
            <w:hideMark/>
          </w:tcPr>
          <w:p w14:paraId="5EA91268"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18.05.2014</w:t>
            </w:r>
          </w:p>
        </w:tc>
        <w:tc>
          <w:tcPr>
            <w:tcW w:w="1236" w:type="dxa"/>
            <w:tcBorders>
              <w:top w:val="single" w:sz="8" w:space="0" w:color="auto"/>
              <w:left w:val="nil"/>
              <w:bottom w:val="single" w:sz="4" w:space="0" w:color="auto"/>
              <w:right w:val="single" w:sz="4" w:space="0" w:color="auto"/>
            </w:tcBorders>
            <w:shd w:val="clear" w:color="auto" w:fill="auto"/>
            <w:vAlign w:val="center"/>
            <w:hideMark/>
          </w:tcPr>
          <w:p w14:paraId="17340756"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24.05.2018</w:t>
            </w:r>
          </w:p>
        </w:tc>
        <w:tc>
          <w:tcPr>
            <w:tcW w:w="824" w:type="dxa"/>
            <w:tcBorders>
              <w:top w:val="single" w:sz="8" w:space="0" w:color="auto"/>
              <w:left w:val="nil"/>
              <w:bottom w:val="single" w:sz="4" w:space="0" w:color="auto"/>
              <w:right w:val="single" w:sz="4" w:space="0" w:color="auto"/>
            </w:tcBorders>
            <w:shd w:val="clear" w:color="auto" w:fill="auto"/>
            <w:vAlign w:val="center"/>
            <w:hideMark/>
          </w:tcPr>
          <w:p w14:paraId="420A22C4"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5</w:t>
            </w:r>
          </w:p>
        </w:tc>
        <w:tc>
          <w:tcPr>
            <w:tcW w:w="1326" w:type="dxa"/>
            <w:tcBorders>
              <w:top w:val="single" w:sz="8" w:space="0" w:color="auto"/>
              <w:left w:val="nil"/>
              <w:bottom w:val="single" w:sz="4" w:space="0" w:color="auto"/>
              <w:right w:val="single" w:sz="4" w:space="0" w:color="auto"/>
            </w:tcBorders>
            <w:shd w:val="clear" w:color="auto" w:fill="auto"/>
            <w:vAlign w:val="center"/>
            <w:hideMark/>
          </w:tcPr>
          <w:p w14:paraId="19E49FB5"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 xml:space="preserve">USD450 </w:t>
            </w:r>
            <w:proofErr w:type="spellStart"/>
            <w:r w:rsidRPr="001A131A">
              <w:rPr>
                <w:rFonts w:ascii="Times New Roman" w:eastAsia="Times New Roman" w:hAnsi="Times New Roman" w:cs="Times New Roman"/>
                <w:sz w:val="20"/>
                <w:szCs w:val="20"/>
                <w:lang w:eastAsia="en-GB"/>
              </w:rPr>
              <w:t>mln</w:t>
            </w:r>
            <w:proofErr w:type="spellEnd"/>
          </w:p>
        </w:tc>
        <w:tc>
          <w:tcPr>
            <w:tcW w:w="1417" w:type="dxa"/>
            <w:tcBorders>
              <w:top w:val="single" w:sz="8" w:space="0" w:color="auto"/>
              <w:left w:val="nil"/>
              <w:bottom w:val="single" w:sz="4" w:space="0" w:color="auto"/>
              <w:right w:val="single" w:sz="8" w:space="0" w:color="auto"/>
            </w:tcBorders>
            <w:shd w:val="clear" w:color="auto" w:fill="auto"/>
            <w:vAlign w:val="center"/>
            <w:hideMark/>
          </w:tcPr>
          <w:p w14:paraId="72CFA8CF"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proofErr w:type="spellStart"/>
            <w:r w:rsidRPr="001A131A">
              <w:rPr>
                <w:rFonts w:ascii="Times New Roman" w:eastAsia="Times New Roman" w:hAnsi="Times New Roman" w:cs="Times New Roman"/>
                <w:sz w:val="20"/>
                <w:szCs w:val="20"/>
                <w:lang w:eastAsia="en-GB"/>
              </w:rPr>
              <w:t>Wakala</w:t>
            </w:r>
            <w:proofErr w:type="spellEnd"/>
          </w:p>
        </w:tc>
      </w:tr>
      <w:tr w:rsidR="00A755F5" w:rsidRPr="001A131A" w14:paraId="390525B3" w14:textId="77777777" w:rsidTr="001A131A">
        <w:trPr>
          <w:trHeight w:val="226"/>
          <w:jc w:val="center"/>
        </w:trPr>
        <w:tc>
          <w:tcPr>
            <w:tcW w:w="2599" w:type="dxa"/>
            <w:tcBorders>
              <w:top w:val="nil"/>
              <w:left w:val="single" w:sz="8" w:space="0" w:color="auto"/>
              <w:bottom w:val="single" w:sz="4" w:space="0" w:color="auto"/>
              <w:right w:val="single" w:sz="4" w:space="0" w:color="auto"/>
            </w:tcBorders>
            <w:shd w:val="clear" w:color="auto" w:fill="auto"/>
            <w:vAlign w:val="center"/>
            <w:hideMark/>
          </w:tcPr>
          <w:p w14:paraId="4DF6A53B" w14:textId="6FE1599E" w:rsidR="00A755F5" w:rsidRPr="001A131A" w:rsidRDefault="00A755F5" w:rsidP="009B1361">
            <w:pPr>
              <w:spacing w:after="0" w:line="240" w:lineRule="auto"/>
              <w:jc w:val="both"/>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 xml:space="preserve">DIB </w:t>
            </w:r>
            <w:r w:rsidR="000F4C35" w:rsidRPr="001A131A">
              <w:rPr>
                <w:rFonts w:ascii="Times New Roman" w:eastAsia="Times New Roman" w:hAnsi="Times New Roman" w:cs="Times New Roman"/>
                <w:sz w:val="20"/>
                <w:szCs w:val="20"/>
                <w:lang w:eastAsia="en-GB"/>
              </w:rPr>
              <w:t>Sukuk</w:t>
            </w:r>
            <w:r w:rsidRPr="001A131A">
              <w:rPr>
                <w:rFonts w:ascii="Times New Roman" w:eastAsia="Times New Roman" w:hAnsi="Times New Roman" w:cs="Times New Roman"/>
                <w:sz w:val="20"/>
                <w:szCs w:val="20"/>
                <w:lang w:eastAsia="en-GB"/>
              </w:rPr>
              <w:t xml:space="preserve"> Limited </w:t>
            </w:r>
          </w:p>
        </w:tc>
        <w:tc>
          <w:tcPr>
            <w:tcW w:w="1235" w:type="dxa"/>
            <w:tcBorders>
              <w:top w:val="nil"/>
              <w:left w:val="nil"/>
              <w:bottom w:val="single" w:sz="4" w:space="0" w:color="auto"/>
              <w:right w:val="single" w:sz="4" w:space="0" w:color="auto"/>
            </w:tcBorders>
            <w:shd w:val="clear" w:color="auto" w:fill="auto"/>
            <w:noWrap/>
            <w:vAlign w:val="center"/>
            <w:hideMark/>
          </w:tcPr>
          <w:p w14:paraId="0A2DB4C9"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0/06/2015</w:t>
            </w:r>
          </w:p>
        </w:tc>
        <w:tc>
          <w:tcPr>
            <w:tcW w:w="1236" w:type="dxa"/>
            <w:tcBorders>
              <w:top w:val="nil"/>
              <w:left w:val="nil"/>
              <w:bottom w:val="single" w:sz="4" w:space="0" w:color="auto"/>
              <w:right w:val="single" w:sz="4" w:space="0" w:color="auto"/>
            </w:tcBorders>
            <w:shd w:val="clear" w:color="auto" w:fill="auto"/>
            <w:vAlign w:val="center"/>
            <w:hideMark/>
          </w:tcPr>
          <w:p w14:paraId="167D2929"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03.06.2020</w:t>
            </w:r>
          </w:p>
        </w:tc>
        <w:tc>
          <w:tcPr>
            <w:tcW w:w="824" w:type="dxa"/>
            <w:tcBorders>
              <w:top w:val="nil"/>
              <w:left w:val="nil"/>
              <w:bottom w:val="single" w:sz="4" w:space="0" w:color="auto"/>
              <w:right w:val="single" w:sz="4" w:space="0" w:color="auto"/>
            </w:tcBorders>
            <w:shd w:val="clear" w:color="auto" w:fill="auto"/>
            <w:vAlign w:val="center"/>
            <w:hideMark/>
          </w:tcPr>
          <w:p w14:paraId="5AA0CED4"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6</w:t>
            </w:r>
          </w:p>
        </w:tc>
        <w:tc>
          <w:tcPr>
            <w:tcW w:w="1326" w:type="dxa"/>
            <w:tcBorders>
              <w:top w:val="nil"/>
              <w:left w:val="nil"/>
              <w:bottom w:val="single" w:sz="4" w:space="0" w:color="auto"/>
              <w:right w:val="single" w:sz="4" w:space="0" w:color="auto"/>
            </w:tcBorders>
            <w:shd w:val="clear" w:color="auto" w:fill="auto"/>
            <w:vAlign w:val="center"/>
            <w:hideMark/>
          </w:tcPr>
          <w:p w14:paraId="662B790C"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 xml:space="preserve">USD750 </w:t>
            </w:r>
            <w:proofErr w:type="spellStart"/>
            <w:r w:rsidRPr="001A131A">
              <w:rPr>
                <w:rFonts w:ascii="Times New Roman" w:eastAsia="Times New Roman" w:hAnsi="Times New Roman" w:cs="Times New Roman"/>
                <w:sz w:val="20"/>
                <w:szCs w:val="20"/>
                <w:lang w:eastAsia="en-GB"/>
              </w:rPr>
              <w:t>mln</w:t>
            </w:r>
            <w:proofErr w:type="spellEnd"/>
          </w:p>
        </w:tc>
        <w:tc>
          <w:tcPr>
            <w:tcW w:w="1417" w:type="dxa"/>
            <w:tcBorders>
              <w:top w:val="nil"/>
              <w:left w:val="nil"/>
              <w:bottom w:val="single" w:sz="4" w:space="0" w:color="auto"/>
              <w:right w:val="single" w:sz="8" w:space="0" w:color="auto"/>
            </w:tcBorders>
            <w:shd w:val="clear" w:color="auto" w:fill="auto"/>
            <w:vAlign w:val="center"/>
            <w:hideMark/>
          </w:tcPr>
          <w:p w14:paraId="2CCFBFFD"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proofErr w:type="spellStart"/>
            <w:r w:rsidRPr="001A131A">
              <w:rPr>
                <w:rFonts w:ascii="Times New Roman" w:eastAsia="Times New Roman" w:hAnsi="Times New Roman" w:cs="Times New Roman"/>
                <w:sz w:val="20"/>
                <w:szCs w:val="20"/>
                <w:lang w:eastAsia="en-GB"/>
              </w:rPr>
              <w:t>Ijarah</w:t>
            </w:r>
            <w:proofErr w:type="spellEnd"/>
          </w:p>
        </w:tc>
      </w:tr>
      <w:tr w:rsidR="00A755F5" w:rsidRPr="001A131A" w14:paraId="2376263C" w14:textId="77777777" w:rsidTr="001A131A">
        <w:trPr>
          <w:trHeight w:val="226"/>
          <w:jc w:val="center"/>
        </w:trPr>
        <w:tc>
          <w:tcPr>
            <w:tcW w:w="2599" w:type="dxa"/>
            <w:tcBorders>
              <w:top w:val="nil"/>
              <w:left w:val="single" w:sz="8" w:space="0" w:color="auto"/>
              <w:bottom w:val="single" w:sz="4" w:space="0" w:color="auto"/>
              <w:right w:val="single" w:sz="4" w:space="0" w:color="auto"/>
            </w:tcBorders>
            <w:shd w:val="clear" w:color="auto" w:fill="auto"/>
            <w:vAlign w:val="center"/>
            <w:hideMark/>
          </w:tcPr>
          <w:p w14:paraId="1584273C" w14:textId="05335202" w:rsidR="00A755F5" w:rsidRPr="001A131A" w:rsidRDefault="00A755F5" w:rsidP="009B1361">
            <w:pPr>
              <w:spacing w:after="0" w:line="240" w:lineRule="auto"/>
              <w:jc w:val="both"/>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 xml:space="preserve">DIB Tier 1 </w:t>
            </w:r>
            <w:r w:rsidR="000F4C35" w:rsidRPr="001A131A">
              <w:rPr>
                <w:rFonts w:ascii="Times New Roman" w:eastAsia="Times New Roman" w:hAnsi="Times New Roman" w:cs="Times New Roman"/>
                <w:sz w:val="20"/>
                <w:szCs w:val="20"/>
                <w:lang w:eastAsia="en-GB"/>
              </w:rPr>
              <w:t>Sukuk</w:t>
            </w:r>
            <w:r w:rsidRPr="001A131A">
              <w:rPr>
                <w:rFonts w:ascii="Times New Roman" w:eastAsia="Times New Roman" w:hAnsi="Times New Roman" w:cs="Times New Roman"/>
                <w:sz w:val="20"/>
                <w:szCs w:val="20"/>
                <w:lang w:eastAsia="en-GB"/>
              </w:rPr>
              <w:t xml:space="preserve"> Ltd </w:t>
            </w:r>
          </w:p>
        </w:tc>
        <w:tc>
          <w:tcPr>
            <w:tcW w:w="1235" w:type="dxa"/>
            <w:tcBorders>
              <w:top w:val="nil"/>
              <w:left w:val="nil"/>
              <w:bottom w:val="single" w:sz="4" w:space="0" w:color="auto"/>
              <w:right w:val="single" w:sz="4" w:space="0" w:color="auto"/>
            </w:tcBorders>
            <w:shd w:val="clear" w:color="auto" w:fill="auto"/>
            <w:vAlign w:val="center"/>
            <w:hideMark/>
          </w:tcPr>
          <w:p w14:paraId="09E1EF28"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02.04.2013</w:t>
            </w:r>
          </w:p>
        </w:tc>
        <w:tc>
          <w:tcPr>
            <w:tcW w:w="1236" w:type="dxa"/>
            <w:tcBorders>
              <w:top w:val="nil"/>
              <w:left w:val="nil"/>
              <w:bottom w:val="single" w:sz="4" w:space="0" w:color="auto"/>
              <w:right w:val="single" w:sz="4" w:space="0" w:color="auto"/>
            </w:tcBorders>
            <w:shd w:val="clear" w:color="auto" w:fill="auto"/>
            <w:vAlign w:val="center"/>
            <w:hideMark/>
          </w:tcPr>
          <w:p w14:paraId="3BA09A83"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20.03.2019</w:t>
            </w:r>
          </w:p>
        </w:tc>
        <w:tc>
          <w:tcPr>
            <w:tcW w:w="824" w:type="dxa"/>
            <w:tcBorders>
              <w:top w:val="nil"/>
              <w:left w:val="nil"/>
              <w:bottom w:val="single" w:sz="4" w:space="0" w:color="auto"/>
              <w:right w:val="single" w:sz="4" w:space="0" w:color="auto"/>
            </w:tcBorders>
            <w:shd w:val="clear" w:color="auto" w:fill="auto"/>
            <w:vAlign w:val="center"/>
            <w:hideMark/>
          </w:tcPr>
          <w:p w14:paraId="1B546A49"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6</w:t>
            </w:r>
          </w:p>
        </w:tc>
        <w:tc>
          <w:tcPr>
            <w:tcW w:w="1326" w:type="dxa"/>
            <w:tcBorders>
              <w:top w:val="nil"/>
              <w:left w:val="nil"/>
              <w:bottom w:val="single" w:sz="4" w:space="0" w:color="auto"/>
              <w:right w:val="single" w:sz="4" w:space="0" w:color="auto"/>
            </w:tcBorders>
            <w:shd w:val="clear" w:color="auto" w:fill="auto"/>
            <w:vAlign w:val="center"/>
            <w:hideMark/>
          </w:tcPr>
          <w:p w14:paraId="107E2C11"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 xml:space="preserve">USD1 </w:t>
            </w:r>
            <w:proofErr w:type="spellStart"/>
            <w:r w:rsidRPr="001A131A">
              <w:rPr>
                <w:rFonts w:ascii="Times New Roman" w:eastAsia="Times New Roman" w:hAnsi="Times New Roman" w:cs="Times New Roman"/>
                <w:sz w:val="20"/>
                <w:szCs w:val="20"/>
                <w:lang w:eastAsia="en-GB"/>
              </w:rPr>
              <w:t>bln</w:t>
            </w:r>
            <w:proofErr w:type="spellEnd"/>
          </w:p>
        </w:tc>
        <w:tc>
          <w:tcPr>
            <w:tcW w:w="1417" w:type="dxa"/>
            <w:tcBorders>
              <w:top w:val="nil"/>
              <w:left w:val="nil"/>
              <w:bottom w:val="single" w:sz="4" w:space="0" w:color="auto"/>
              <w:right w:val="single" w:sz="8" w:space="0" w:color="auto"/>
            </w:tcBorders>
            <w:shd w:val="clear" w:color="auto" w:fill="auto"/>
            <w:vAlign w:val="center"/>
            <w:hideMark/>
          </w:tcPr>
          <w:p w14:paraId="536D4ED5"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proofErr w:type="spellStart"/>
            <w:r w:rsidRPr="001A131A">
              <w:rPr>
                <w:rFonts w:ascii="Times New Roman" w:eastAsia="Times New Roman" w:hAnsi="Times New Roman" w:cs="Times New Roman"/>
                <w:sz w:val="20"/>
                <w:szCs w:val="20"/>
                <w:lang w:eastAsia="en-GB"/>
              </w:rPr>
              <w:t>Mudarabah</w:t>
            </w:r>
            <w:proofErr w:type="spellEnd"/>
          </w:p>
        </w:tc>
      </w:tr>
      <w:tr w:rsidR="00A755F5" w:rsidRPr="001A131A" w14:paraId="6306FCB2" w14:textId="77777777" w:rsidTr="001A131A">
        <w:trPr>
          <w:trHeight w:val="226"/>
          <w:jc w:val="center"/>
        </w:trPr>
        <w:tc>
          <w:tcPr>
            <w:tcW w:w="2599" w:type="dxa"/>
            <w:tcBorders>
              <w:top w:val="nil"/>
              <w:left w:val="single" w:sz="8" w:space="0" w:color="auto"/>
              <w:bottom w:val="single" w:sz="4" w:space="0" w:color="auto"/>
              <w:right w:val="single" w:sz="4" w:space="0" w:color="auto"/>
            </w:tcBorders>
            <w:shd w:val="clear" w:color="auto" w:fill="auto"/>
            <w:vAlign w:val="center"/>
            <w:hideMark/>
          </w:tcPr>
          <w:p w14:paraId="06A59202" w14:textId="00C03FCE" w:rsidR="00A755F5" w:rsidRPr="001A131A" w:rsidRDefault="00A755F5" w:rsidP="009B1361">
            <w:pPr>
              <w:spacing w:after="0" w:line="240" w:lineRule="auto"/>
              <w:jc w:val="both"/>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 xml:space="preserve">DIB Tier 1 </w:t>
            </w:r>
            <w:r w:rsidR="000F4C35" w:rsidRPr="001A131A">
              <w:rPr>
                <w:rFonts w:ascii="Times New Roman" w:eastAsia="Times New Roman" w:hAnsi="Times New Roman" w:cs="Times New Roman"/>
                <w:sz w:val="20"/>
                <w:szCs w:val="20"/>
                <w:lang w:eastAsia="en-GB"/>
              </w:rPr>
              <w:t>Sukuk</w:t>
            </w:r>
            <w:r w:rsidRPr="001A131A">
              <w:rPr>
                <w:rFonts w:ascii="Times New Roman" w:eastAsia="Times New Roman" w:hAnsi="Times New Roman" w:cs="Times New Roman"/>
                <w:sz w:val="20"/>
                <w:szCs w:val="20"/>
                <w:lang w:eastAsia="en-GB"/>
              </w:rPr>
              <w:t xml:space="preserve"> 2 Ltd </w:t>
            </w:r>
          </w:p>
        </w:tc>
        <w:tc>
          <w:tcPr>
            <w:tcW w:w="1235" w:type="dxa"/>
            <w:tcBorders>
              <w:top w:val="nil"/>
              <w:left w:val="nil"/>
              <w:bottom w:val="single" w:sz="4" w:space="0" w:color="auto"/>
              <w:right w:val="single" w:sz="4" w:space="0" w:color="auto"/>
            </w:tcBorders>
            <w:shd w:val="clear" w:color="auto" w:fill="auto"/>
            <w:vAlign w:val="center"/>
            <w:hideMark/>
          </w:tcPr>
          <w:p w14:paraId="18DF11C6"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15.01.2015</w:t>
            </w:r>
          </w:p>
        </w:tc>
        <w:tc>
          <w:tcPr>
            <w:tcW w:w="1236" w:type="dxa"/>
            <w:tcBorders>
              <w:top w:val="nil"/>
              <w:left w:val="nil"/>
              <w:bottom w:val="single" w:sz="4" w:space="0" w:color="auto"/>
              <w:right w:val="single" w:sz="4" w:space="0" w:color="auto"/>
            </w:tcBorders>
            <w:shd w:val="clear" w:color="auto" w:fill="auto"/>
            <w:vAlign w:val="center"/>
            <w:hideMark/>
          </w:tcPr>
          <w:p w14:paraId="40B99180"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20.01.2021</w:t>
            </w:r>
          </w:p>
        </w:tc>
        <w:tc>
          <w:tcPr>
            <w:tcW w:w="824" w:type="dxa"/>
            <w:tcBorders>
              <w:top w:val="nil"/>
              <w:left w:val="nil"/>
              <w:bottom w:val="single" w:sz="4" w:space="0" w:color="auto"/>
              <w:right w:val="single" w:sz="4" w:space="0" w:color="auto"/>
            </w:tcBorders>
            <w:shd w:val="clear" w:color="auto" w:fill="auto"/>
            <w:vAlign w:val="center"/>
            <w:hideMark/>
          </w:tcPr>
          <w:p w14:paraId="2A0FBAA9"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6</w:t>
            </w:r>
          </w:p>
        </w:tc>
        <w:tc>
          <w:tcPr>
            <w:tcW w:w="1326" w:type="dxa"/>
            <w:tcBorders>
              <w:top w:val="nil"/>
              <w:left w:val="nil"/>
              <w:bottom w:val="single" w:sz="4" w:space="0" w:color="auto"/>
              <w:right w:val="single" w:sz="4" w:space="0" w:color="auto"/>
            </w:tcBorders>
            <w:shd w:val="clear" w:color="auto" w:fill="auto"/>
            <w:vAlign w:val="center"/>
            <w:hideMark/>
          </w:tcPr>
          <w:p w14:paraId="3878B319"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 xml:space="preserve">USD1 </w:t>
            </w:r>
            <w:proofErr w:type="spellStart"/>
            <w:r w:rsidRPr="001A131A">
              <w:rPr>
                <w:rFonts w:ascii="Times New Roman" w:eastAsia="Times New Roman" w:hAnsi="Times New Roman" w:cs="Times New Roman"/>
                <w:sz w:val="20"/>
                <w:szCs w:val="20"/>
                <w:lang w:eastAsia="en-GB"/>
              </w:rPr>
              <w:t>bln</w:t>
            </w:r>
            <w:proofErr w:type="spellEnd"/>
          </w:p>
        </w:tc>
        <w:tc>
          <w:tcPr>
            <w:tcW w:w="1417" w:type="dxa"/>
            <w:tcBorders>
              <w:top w:val="nil"/>
              <w:left w:val="nil"/>
              <w:bottom w:val="single" w:sz="4" w:space="0" w:color="auto"/>
              <w:right w:val="single" w:sz="8" w:space="0" w:color="auto"/>
            </w:tcBorders>
            <w:shd w:val="clear" w:color="auto" w:fill="auto"/>
            <w:vAlign w:val="center"/>
            <w:hideMark/>
          </w:tcPr>
          <w:p w14:paraId="097B876C"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proofErr w:type="spellStart"/>
            <w:r w:rsidRPr="001A131A">
              <w:rPr>
                <w:rFonts w:ascii="Times New Roman" w:eastAsia="Times New Roman" w:hAnsi="Times New Roman" w:cs="Times New Roman"/>
                <w:sz w:val="20"/>
                <w:szCs w:val="20"/>
                <w:lang w:eastAsia="en-GB"/>
              </w:rPr>
              <w:t>Mudarabah</w:t>
            </w:r>
            <w:proofErr w:type="spellEnd"/>
          </w:p>
        </w:tc>
      </w:tr>
      <w:tr w:rsidR="00A755F5" w:rsidRPr="001A131A" w14:paraId="421BF008" w14:textId="77777777" w:rsidTr="001A131A">
        <w:trPr>
          <w:trHeight w:val="226"/>
          <w:jc w:val="center"/>
        </w:trPr>
        <w:tc>
          <w:tcPr>
            <w:tcW w:w="2599" w:type="dxa"/>
            <w:tcBorders>
              <w:top w:val="nil"/>
              <w:left w:val="single" w:sz="8" w:space="0" w:color="auto"/>
              <w:bottom w:val="single" w:sz="4" w:space="0" w:color="auto"/>
              <w:right w:val="single" w:sz="4" w:space="0" w:color="auto"/>
            </w:tcBorders>
            <w:shd w:val="clear" w:color="auto" w:fill="auto"/>
            <w:vAlign w:val="center"/>
            <w:hideMark/>
          </w:tcPr>
          <w:p w14:paraId="1E1916ED" w14:textId="75BA4A81" w:rsidR="00A755F5" w:rsidRPr="001A131A" w:rsidRDefault="00A755F5" w:rsidP="009B1361">
            <w:pPr>
              <w:spacing w:after="0" w:line="240" w:lineRule="auto"/>
              <w:jc w:val="both"/>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 xml:space="preserve">DIP </w:t>
            </w:r>
            <w:r w:rsidR="000F4C35" w:rsidRPr="001A131A">
              <w:rPr>
                <w:rFonts w:ascii="Times New Roman" w:eastAsia="Times New Roman" w:hAnsi="Times New Roman" w:cs="Times New Roman"/>
                <w:sz w:val="20"/>
                <w:szCs w:val="20"/>
                <w:lang w:eastAsia="en-GB"/>
              </w:rPr>
              <w:t>Sukuk</w:t>
            </w:r>
            <w:r w:rsidRPr="001A131A">
              <w:rPr>
                <w:rFonts w:ascii="Times New Roman" w:eastAsia="Times New Roman" w:hAnsi="Times New Roman" w:cs="Times New Roman"/>
                <w:sz w:val="20"/>
                <w:szCs w:val="20"/>
                <w:lang w:eastAsia="en-GB"/>
              </w:rPr>
              <w:t xml:space="preserve"> Ltd </w:t>
            </w:r>
          </w:p>
        </w:tc>
        <w:tc>
          <w:tcPr>
            <w:tcW w:w="1235" w:type="dxa"/>
            <w:tcBorders>
              <w:top w:val="nil"/>
              <w:left w:val="nil"/>
              <w:bottom w:val="single" w:sz="4" w:space="0" w:color="auto"/>
              <w:right w:val="single" w:sz="4" w:space="0" w:color="auto"/>
            </w:tcBorders>
            <w:shd w:val="clear" w:color="auto" w:fill="auto"/>
            <w:noWrap/>
            <w:vAlign w:val="center"/>
            <w:hideMark/>
          </w:tcPr>
          <w:p w14:paraId="439148E8"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23.02.2014</w:t>
            </w:r>
          </w:p>
        </w:tc>
        <w:tc>
          <w:tcPr>
            <w:tcW w:w="1236" w:type="dxa"/>
            <w:tcBorders>
              <w:top w:val="nil"/>
              <w:left w:val="nil"/>
              <w:bottom w:val="single" w:sz="4" w:space="0" w:color="auto"/>
              <w:right w:val="single" w:sz="4" w:space="0" w:color="auto"/>
            </w:tcBorders>
            <w:shd w:val="clear" w:color="auto" w:fill="auto"/>
            <w:vAlign w:val="center"/>
            <w:hideMark/>
          </w:tcPr>
          <w:p w14:paraId="37A6B8B5"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20.02.2019</w:t>
            </w:r>
          </w:p>
        </w:tc>
        <w:tc>
          <w:tcPr>
            <w:tcW w:w="824" w:type="dxa"/>
            <w:tcBorders>
              <w:top w:val="nil"/>
              <w:left w:val="nil"/>
              <w:bottom w:val="single" w:sz="4" w:space="0" w:color="auto"/>
              <w:right w:val="single" w:sz="4" w:space="0" w:color="auto"/>
            </w:tcBorders>
            <w:shd w:val="clear" w:color="auto" w:fill="auto"/>
            <w:vAlign w:val="center"/>
            <w:hideMark/>
          </w:tcPr>
          <w:p w14:paraId="1208DC16"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5</w:t>
            </w:r>
          </w:p>
        </w:tc>
        <w:tc>
          <w:tcPr>
            <w:tcW w:w="1326" w:type="dxa"/>
            <w:tcBorders>
              <w:top w:val="nil"/>
              <w:left w:val="nil"/>
              <w:bottom w:val="single" w:sz="4" w:space="0" w:color="auto"/>
              <w:right w:val="single" w:sz="4" w:space="0" w:color="auto"/>
            </w:tcBorders>
            <w:shd w:val="clear" w:color="auto" w:fill="auto"/>
            <w:vAlign w:val="center"/>
            <w:hideMark/>
          </w:tcPr>
          <w:p w14:paraId="78EFF3C8"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 xml:space="preserve">USD300 </w:t>
            </w:r>
            <w:proofErr w:type="spellStart"/>
            <w:r w:rsidRPr="001A131A">
              <w:rPr>
                <w:rFonts w:ascii="Times New Roman" w:eastAsia="Times New Roman" w:hAnsi="Times New Roman" w:cs="Times New Roman"/>
                <w:sz w:val="20"/>
                <w:szCs w:val="20"/>
                <w:lang w:eastAsia="en-GB"/>
              </w:rPr>
              <w:t>mln</w:t>
            </w:r>
            <w:proofErr w:type="spellEnd"/>
          </w:p>
        </w:tc>
        <w:tc>
          <w:tcPr>
            <w:tcW w:w="1417" w:type="dxa"/>
            <w:tcBorders>
              <w:top w:val="nil"/>
              <w:left w:val="nil"/>
              <w:bottom w:val="single" w:sz="4" w:space="0" w:color="auto"/>
              <w:right w:val="single" w:sz="8" w:space="0" w:color="auto"/>
            </w:tcBorders>
            <w:shd w:val="clear" w:color="auto" w:fill="auto"/>
            <w:vAlign w:val="center"/>
            <w:hideMark/>
          </w:tcPr>
          <w:p w14:paraId="28683DEA"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proofErr w:type="spellStart"/>
            <w:r w:rsidRPr="001A131A">
              <w:rPr>
                <w:rFonts w:ascii="Times New Roman" w:eastAsia="Times New Roman" w:hAnsi="Times New Roman" w:cs="Times New Roman"/>
                <w:sz w:val="20"/>
                <w:szCs w:val="20"/>
                <w:lang w:eastAsia="en-GB"/>
              </w:rPr>
              <w:t>Ijarah</w:t>
            </w:r>
            <w:proofErr w:type="spellEnd"/>
          </w:p>
        </w:tc>
      </w:tr>
      <w:tr w:rsidR="00A755F5" w:rsidRPr="001A131A" w14:paraId="64DF4DDA" w14:textId="77777777" w:rsidTr="001A131A">
        <w:trPr>
          <w:trHeight w:val="226"/>
          <w:jc w:val="center"/>
        </w:trPr>
        <w:tc>
          <w:tcPr>
            <w:tcW w:w="2599" w:type="dxa"/>
            <w:tcBorders>
              <w:top w:val="nil"/>
              <w:left w:val="single" w:sz="8" w:space="0" w:color="auto"/>
              <w:bottom w:val="single" w:sz="4" w:space="0" w:color="auto"/>
              <w:right w:val="single" w:sz="4" w:space="0" w:color="auto"/>
            </w:tcBorders>
            <w:shd w:val="clear" w:color="auto" w:fill="auto"/>
            <w:vAlign w:val="center"/>
            <w:hideMark/>
          </w:tcPr>
          <w:p w14:paraId="44D43B52" w14:textId="6D94F87A" w:rsidR="00A755F5" w:rsidRPr="001A131A" w:rsidRDefault="00A755F5" w:rsidP="009B1361">
            <w:pPr>
              <w:spacing w:after="0" w:line="240" w:lineRule="auto"/>
              <w:jc w:val="both"/>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 xml:space="preserve">DP World </w:t>
            </w:r>
            <w:r w:rsidR="000F4C35" w:rsidRPr="001A131A">
              <w:rPr>
                <w:rFonts w:ascii="Times New Roman" w:eastAsia="Times New Roman" w:hAnsi="Times New Roman" w:cs="Times New Roman"/>
                <w:sz w:val="20"/>
                <w:szCs w:val="20"/>
                <w:lang w:eastAsia="en-GB"/>
              </w:rPr>
              <w:t>Sukuk</w:t>
            </w:r>
            <w:r w:rsidRPr="001A131A">
              <w:rPr>
                <w:rFonts w:ascii="Times New Roman" w:eastAsia="Times New Roman" w:hAnsi="Times New Roman" w:cs="Times New Roman"/>
                <w:sz w:val="20"/>
                <w:szCs w:val="20"/>
                <w:lang w:eastAsia="en-GB"/>
              </w:rPr>
              <w:t xml:space="preserve"> Ltd </w:t>
            </w:r>
          </w:p>
        </w:tc>
        <w:tc>
          <w:tcPr>
            <w:tcW w:w="1235" w:type="dxa"/>
            <w:tcBorders>
              <w:top w:val="nil"/>
              <w:left w:val="nil"/>
              <w:bottom w:val="single" w:sz="4" w:space="0" w:color="auto"/>
              <w:right w:val="single" w:sz="4" w:space="0" w:color="auto"/>
            </w:tcBorders>
            <w:shd w:val="clear" w:color="auto" w:fill="auto"/>
            <w:noWrap/>
            <w:vAlign w:val="center"/>
            <w:hideMark/>
          </w:tcPr>
          <w:p w14:paraId="1CF49F85" w14:textId="77777777" w:rsidR="00A755F5" w:rsidRPr="001A131A" w:rsidRDefault="00A755F5" w:rsidP="009B1361">
            <w:pPr>
              <w:spacing w:after="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03.07.2007</w:t>
            </w:r>
          </w:p>
        </w:tc>
        <w:tc>
          <w:tcPr>
            <w:tcW w:w="1236" w:type="dxa"/>
            <w:tcBorders>
              <w:top w:val="nil"/>
              <w:left w:val="nil"/>
              <w:bottom w:val="single" w:sz="4" w:space="0" w:color="auto"/>
              <w:right w:val="single" w:sz="4" w:space="0" w:color="auto"/>
            </w:tcBorders>
            <w:shd w:val="clear" w:color="auto" w:fill="auto"/>
            <w:vAlign w:val="center"/>
            <w:hideMark/>
          </w:tcPr>
          <w:p w14:paraId="6F9865EA"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02.07.2017</w:t>
            </w:r>
          </w:p>
        </w:tc>
        <w:tc>
          <w:tcPr>
            <w:tcW w:w="824" w:type="dxa"/>
            <w:tcBorders>
              <w:top w:val="nil"/>
              <w:left w:val="nil"/>
              <w:bottom w:val="single" w:sz="4" w:space="0" w:color="auto"/>
              <w:right w:val="single" w:sz="4" w:space="0" w:color="auto"/>
            </w:tcBorders>
            <w:shd w:val="clear" w:color="auto" w:fill="auto"/>
            <w:vAlign w:val="center"/>
            <w:hideMark/>
          </w:tcPr>
          <w:p w14:paraId="448AAF7A"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10</w:t>
            </w:r>
          </w:p>
        </w:tc>
        <w:tc>
          <w:tcPr>
            <w:tcW w:w="1326" w:type="dxa"/>
            <w:tcBorders>
              <w:top w:val="nil"/>
              <w:left w:val="nil"/>
              <w:bottom w:val="single" w:sz="4" w:space="0" w:color="auto"/>
              <w:right w:val="single" w:sz="4" w:space="0" w:color="auto"/>
            </w:tcBorders>
            <w:shd w:val="clear" w:color="auto" w:fill="auto"/>
            <w:vAlign w:val="center"/>
            <w:hideMark/>
          </w:tcPr>
          <w:p w14:paraId="177AC3B3"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 xml:space="preserve">USD1.5 </w:t>
            </w:r>
            <w:proofErr w:type="spellStart"/>
            <w:r w:rsidRPr="001A131A">
              <w:rPr>
                <w:rFonts w:ascii="Times New Roman" w:eastAsia="Times New Roman" w:hAnsi="Times New Roman" w:cs="Times New Roman"/>
                <w:sz w:val="20"/>
                <w:szCs w:val="20"/>
                <w:lang w:eastAsia="en-GB"/>
              </w:rPr>
              <w:t>bln</w:t>
            </w:r>
            <w:proofErr w:type="spellEnd"/>
          </w:p>
        </w:tc>
        <w:tc>
          <w:tcPr>
            <w:tcW w:w="1417" w:type="dxa"/>
            <w:tcBorders>
              <w:top w:val="nil"/>
              <w:left w:val="nil"/>
              <w:bottom w:val="single" w:sz="4" w:space="0" w:color="auto"/>
              <w:right w:val="single" w:sz="8" w:space="0" w:color="auto"/>
            </w:tcBorders>
            <w:shd w:val="clear" w:color="auto" w:fill="auto"/>
            <w:vAlign w:val="center"/>
            <w:hideMark/>
          </w:tcPr>
          <w:p w14:paraId="5BB25E7A"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proofErr w:type="spellStart"/>
            <w:r w:rsidRPr="001A131A">
              <w:rPr>
                <w:rFonts w:ascii="Times New Roman" w:eastAsia="Times New Roman" w:hAnsi="Times New Roman" w:cs="Times New Roman"/>
                <w:sz w:val="20"/>
                <w:szCs w:val="20"/>
                <w:lang w:eastAsia="en-GB"/>
              </w:rPr>
              <w:t>Mudarabah</w:t>
            </w:r>
            <w:proofErr w:type="spellEnd"/>
          </w:p>
        </w:tc>
      </w:tr>
      <w:tr w:rsidR="00A755F5" w:rsidRPr="001A131A" w14:paraId="75AD15EC" w14:textId="77777777" w:rsidTr="001A131A">
        <w:trPr>
          <w:trHeight w:val="226"/>
          <w:jc w:val="center"/>
        </w:trPr>
        <w:tc>
          <w:tcPr>
            <w:tcW w:w="2599" w:type="dxa"/>
            <w:tcBorders>
              <w:top w:val="nil"/>
              <w:left w:val="single" w:sz="8" w:space="0" w:color="auto"/>
              <w:bottom w:val="single" w:sz="4" w:space="0" w:color="auto"/>
              <w:right w:val="single" w:sz="4" w:space="0" w:color="auto"/>
            </w:tcBorders>
            <w:shd w:val="clear" w:color="auto" w:fill="auto"/>
            <w:vAlign w:val="center"/>
            <w:hideMark/>
          </w:tcPr>
          <w:p w14:paraId="65BA94BC" w14:textId="23AD8F80" w:rsidR="00A755F5" w:rsidRPr="001A131A" w:rsidRDefault="00A755F5" w:rsidP="009B1361">
            <w:pPr>
              <w:spacing w:after="0" w:line="240" w:lineRule="auto"/>
              <w:jc w:val="both"/>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 xml:space="preserve">EMG </w:t>
            </w:r>
            <w:r w:rsidR="000F4C35" w:rsidRPr="001A131A">
              <w:rPr>
                <w:rFonts w:ascii="Times New Roman" w:eastAsia="Times New Roman" w:hAnsi="Times New Roman" w:cs="Times New Roman"/>
                <w:sz w:val="20"/>
                <w:szCs w:val="20"/>
                <w:lang w:eastAsia="en-GB"/>
              </w:rPr>
              <w:t>Sukuk</w:t>
            </w:r>
            <w:r w:rsidRPr="001A131A">
              <w:rPr>
                <w:rFonts w:ascii="Times New Roman" w:eastAsia="Times New Roman" w:hAnsi="Times New Roman" w:cs="Times New Roman"/>
                <w:sz w:val="20"/>
                <w:szCs w:val="20"/>
                <w:lang w:eastAsia="en-GB"/>
              </w:rPr>
              <w:t xml:space="preserve"> Limited </w:t>
            </w:r>
          </w:p>
        </w:tc>
        <w:tc>
          <w:tcPr>
            <w:tcW w:w="1235" w:type="dxa"/>
            <w:tcBorders>
              <w:top w:val="nil"/>
              <w:left w:val="nil"/>
              <w:bottom w:val="single" w:sz="4" w:space="0" w:color="auto"/>
              <w:right w:val="single" w:sz="4" w:space="0" w:color="auto"/>
            </w:tcBorders>
            <w:shd w:val="clear" w:color="auto" w:fill="auto"/>
            <w:vAlign w:val="center"/>
            <w:hideMark/>
          </w:tcPr>
          <w:p w14:paraId="41E8E9C1"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19.06.2014</w:t>
            </w:r>
          </w:p>
        </w:tc>
        <w:tc>
          <w:tcPr>
            <w:tcW w:w="1236" w:type="dxa"/>
            <w:tcBorders>
              <w:top w:val="nil"/>
              <w:left w:val="nil"/>
              <w:bottom w:val="single" w:sz="4" w:space="0" w:color="auto"/>
              <w:right w:val="single" w:sz="4" w:space="0" w:color="auto"/>
            </w:tcBorders>
            <w:shd w:val="clear" w:color="auto" w:fill="auto"/>
            <w:vAlign w:val="center"/>
            <w:hideMark/>
          </w:tcPr>
          <w:p w14:paraId="1F5C7BD0"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18.06.2024</w:t>
            </w:r>
          </w:p>
        </w:tc>
        <w:tc>
          <w:tcPr>
            <w:tcW w:w="824" w:type="dxa"/>
            <w:tcBorders>
              <w:top w:val="nil"/>
              <w:left w:val="nil"/>
              <w:bottom w:val="single" w:sz="4" w:space="0" w:color="auto"/>
              <w:right w:val="single" w:sz="4" w:space="0" w:color="auto"/>
            </w:tcBorders>
            <w:shd w:val="clear" w:color="auto" w:fill="auto"/>
            <w:vAlign w:val="center"/>
            <w:hideMark/>
          </w:tcPr>
          <w:p w14:paraId="3A06A737"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10</w:t>
            </w:r>
          </w:p>
        </w:tc>
        <w:tc>
          <w:tcPr>
            <w:tcW w:w="1326" w:type="dxa"/>
            <w:tcBorders>
              <w:top w:val="nil"/>
              <w:left w:val="nil"/>
              <w:bottom w:val="single" w:sz="4" w:space="0" w:color="auto"/>
              <w:right w:val="single" w:sz="4" w:space="0" w:color="auto"/>
            </w:tcBorders>
            <w:shd w:val="clear" w:color="auto" w:fill="auto"/>
            <w:vAlign w:val="center"/>
            <w:hideMark/>
          </w:tcPr>
          <w:p w14:paraId="2C49BBDA"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 xml:space="preserve">USD750 </w:t>
            </w:r>
            <w:proofErr w:type="spellStart"/>
            <w:r w:rsidRPr="001A131A">
              <w:rPr>
                <w:rFonts w:ascii="Times New Roman" w:eastAsia="Times New Roman" w:hAnsi="Times New Roman" w:cs="Times New Roman"/>
                <w:sz w:val="20"/>
                <w:szCs w:val="20"/>
                <w:lang w:eastAsia="en-GB"/>
              </w:rPr>
              <w:t>mln</w:t>
            </w:r>
            <w:proofErr w:type="spellEnd"/>
          </w:p>
        </w:tc>
        <w:tc>
          <w:tcPr>
            <w:tcW w:w="1417" w:type="dxa"/>
            <w:tcBorders>
              <w:top w:val="nil"/>
              <w:left w:val="nil"/>
              <w:bottom w:val="single" w:sz="4" w:space="0" w:color="auto"/>
              <w:right w:val="single" w:sz="8" w:space="0" w:color="auto"/>
            </w:tcBorders>
            <w:shd w:val="clear" w:color="auto" w:fill="auto"/>
            <w:vAlign w:val="center"/>
            <w:hideMark/>
          </w:tcPr>
          <w:p w14:paraId="23B86FFE"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proofErr w:type="spellStart"/>
            <w:r w:rsidRPr="001A131A">
              <w:rPr>
                <w:rFonts w:ascii="Times New Roman" w:eastAsia="Times New Roman" w:hAnsi="Times New Roman" w:cs="Times New Roman"/>
                <w:sz w:val="20"/>
                <w:szCs w:val="20"/>
                <w:lang w:eastAsia="en-GB"/>
              </w:rPr>
              <w:t>Wakala</w:t>
            </w:r>
            <w:proofErr w:type="spellEnd"/>
          </w:p>
        </w:tc>
      </w:tr>
      <w:tr w:rsidR="00A755F5" w:rsidRPr="001A131A" w14:paraId="5E843CF6" w14:textId="77777777" w:rsidTr="001A131A">
        <w:trPr>
          <w:trHeight w:val="226"/>
          <w:jc w:val="center"/>
        </w:trPr>
        <w:tc>
          <w:tcPr>
            <w:tcW w:w="2599" w:type="dxa"/>
            <w:tcBorders>
              <w:top w:val="nil"/>
              <w:left w:val="single" w:sz="8" w:space="0" w:color="auto"/>
              <w:bottom w:val="single" w:sz="4" w:space="0" w:color="auto"/>
              <w:right w:val="single" w:sz="4" w:space="0" w:color="auto"/>
            </w:tcBorders>
            <w:shd w:val="clear" w:color="auto" w:fill="auto"/>
            <w:vAlign w:val="center"/>
            <w:hideMark/>
          </w:tcPr>
          <w:p w14:paraId="0C2EF6D9" w14:textId="0A5851BA" w:rsidR="00A755F5" w:rsidRPr="001A131A" w:rsidRDefault="00A755F5" w:rsidP="009B1361">
            <w:pPr>
              <w:spacing w:after="0" w:line="240" w:lineRule="auto"/>
              <w:jc w:val="both"/>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 xml:space="preserve">Hong Kong </w:t>
            </w:r>
            <w:r w:rsidR="000F4C35" w:rsidRPr="001A131A">
              <w:rPr>
                <w:rFonts w:ascii="Times New Roman" w:eastAsia="Times New Roman" w:hAnsi="Times New Roman" w:cs="Times New Roman"/>
                <w:sz w:val="20"/>
                <w:szCs w:val="20"/>
                <w:lang w:eastAsia="en-GB"/>
              </w:rPr>
              <w:t>Sukuk</w:t>
            </w:r>
            <w:r w:rsidRPr="001A131A">
              <w:rPr>
                <w:rFonts w:ascii="Times New Roman" w:eastAsia="Times New Roman" w:hAnsi="Times New Roman" w:cs="Times New Roman"/>
                <w:sz w:val="20"/>
                <w:szCs w:val="20"/>
                <w:lang w:eastAsia="en-GB"/>
              </w:rPr>
              <w:t xml:space="preserve"> Ltd</w:t>
            </w:r>
          </w:p>
        </w:tc>
        <w:tc>
          <w:tcPr>
            <w:tcW w:w="1235" w:type="dxa"/>
            <w:tcBorders>
              <w:top w:val="nil"/>
              <w:left w:val="nil"/>
              <w:bottom w:val="single" w:sz="4" w:space="0" w:color="auto"/>
              <w:right w:val="single" w:sz="4" w:space="0" w:color="auto"/>
            </w:tcBorders>
            <w:shd w:val="clear" w:color="auto" w:fill="auto"/>
            <w:vAlign w:val="center"/>
            <w:hideMark/>
          </w:tcPr>
          <w:p w14:paraId="00C09CE8"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04.06.2015</w:t>
            </w:r>
          </w:p>
        </w:tc>
        <w:tc>
          <w:tcPr>
            <w:tcW w:w="1236" w:type="dxa"/>
            <w:tcBorders>
              <w:top w:val="nil"/>
              <w:left w:val="nil"/>
              <w:bottom w:val="single" w:sz="4" w:space="0" w:color="auto"/>
              <w:right w:val="single" w:sz="4" w:space="0" w:color="auto"/>
            </w:tcBorders>
            <w:shd w:val="clear" w:color="auto" w:fill="auto"/>
            <w:vAlign w:val="center"/>
            <w:hideMark/>
          </w:tcPr>
          <w:p w14:paraId="78501AFD"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03.06.2020</w:t>
            </w:r>
          </w:p>
        </w:tc>
        <w:tc>
          <w:tcPr>
            <w:tcW w:w="824" w:type="dxa"/>
            <w:tcBorders>
              <w:top w:val="nil"/>
              <w:left w:val="nil"/>
              <w:bottom w:val="single" w:sz="4" w:space="0" w:color="auto"/>
              <w:right w:val="single" w:sz="4" w:space="0" w:color="auto"/>
            </w:tcBorders>
            <w:shd w:val="clear" w:color="auto" w:fill="auto"/>
            <w:vAlign w:val="center"/>
            <w:hideMark/>
          </w:tcPr>
          <w:p w14:paraId="34284A48"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5</w:t>
            </w:r>
          </w:p>
        </w:tc>
        <w:tc>
          <w:tcPr>
            <w:tcW w:w="1326" w:type="dxa"/>
            <w:tcBorders>
              <w:top w:val="nil"/>
              <w:left w:val="nil"/>
              <w:bottom w:val="single" w:sz="4" w:space="0" w:color="auto"/>
              <w:right w:val="single" w:sz="4" w:space="0" w:color="auto"/>
            </w:tcBorders>
            <w:shd w:val="clear" w:color="auto" w:fill="auto"/>
            <w:noWrap/>
            <w:vAlign w:val="center"/>
            <w:hideMark/>
          </w:tcPr>
          <w:p w14:paraId="08B6809B"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 xml:space="preserve">ISD1 </w:t>
            </w:r>
            <w:proofErr w:type="spellStart"/>
            <w:r w:rsidRPr="001A131A">
              <w:rPr>
                <w:rFonts w:ascii="Times New Roman" w:eastAsia="Times New Roman" w:hAnsi="Times New Roman" w:cs="Times New Roman"/>
                <w:sz w:val="20"/>
                <w:szCs w:val="20"/>
                <w:lang w:eastAsia="en-GB"/>
              </w:rPr>
              <w:t>bln</w:t>
            </w:r>
            <w:proofErr w:type="spellEnd"/>
          </w:p>
        </w:tc>
        <w:tc>
          <w:tcPr>
            <w:tcW w:w="1417" w:type="dxa"/>
            <w:tcBorders>
              <w:top w:val="nil"/>
              <w:left w:val="nil"/>
              <w:bottom w:val="single" w:sz="4" w:space="0" w:color="auto"/>
              <w:right w:val="single" w:sz="8" w:space="0" w:color="auto"/>
            </w:tcBorders>
            <w:shd w:val="clear" w:color="auto" w:fill="auto"/>
            <w:vAlign w:val="center"/>
            <w:hideMark/>
          </w:tcPr>
          <w:p w14:paraId="5C70629E"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proofErr w:type="spellStart"/>
            <w:r w:rsidRPr="001A131A">
              <w:rPr>
                <w:rFonts w:ascii="Times New Roman" w:eastAsia="Times New Roman" w:hAnsi="Times New Roman" w:cs="Times New Roman"/>
                <w:sz w:val="20"/>
                <w:szCs w:val="20"/>
                <w:lang w:eastAsia="en-GB"/>
              </w:rPr>
              <w:t>Ijarah</w:t>
            </w:r>
            <w:proofErr w:type="spellEnd"/>
          </w:p>
        </w:tc>
      </w:tr>
      <w:tr w:rsidR="00A755F5" w:rsidRPr="001A131A" w14:paraId="360FB241" w14:textId="77777777" w:rsidTr="001A131A">
        <w:trPr>
          <w:trHeight w:val="226"/>
          <w:jc w:val="center"/>
        </w:trPr>
        <w:tc>
          <w:tcPr>
            <w:tcW w:w="2599" w:type="dxa"/>
            <w:tcBorders>
              <w:top w:val="nil"/>
              <w:left w:val="single" w:sz="8" w:space="0" w:color="auto"/>
              <w:bottom w:val="single" w:sz="4" w:space="0" w:color="auto"/>
              <w:right w:val="single" w:sz="4" w:space="0" w:color="auto"/>
            </w:tcBorders>
            <w:shd w:val="clear" w:color="auto" w:fill="auto"/>
            <w:vAlign w:val="center"/>
            <w:hideMark/>
          </w:tcPr>
          <w:p w14:paraId="122382FC" w14:textId="3F558E75" w:rsidR="00A755F5" w:rsidRPr="001A131A" w:rsidRDefault="00A755F5" w:rsidP="009B1361">
            <w:pPr>
              <w:spacing w:after="0" w:line="240" w:lineRule="auto"/>
              <w:jc w:val="both"/>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 xml:space="preserve">Hong Kong </w:t>
            </w:r>
            <w:r w:rsidR="000F4C35" w:rsidRPr="001A131A">
              <w:rPr>
                <w:rFonts w:ascii="Times New Roman" w:eastAsia="Times New Roman" w:hAnsi="Times New Roman" w:cs="Times New Roman"/>
                <w:sz w:val="20"/>
                <w:szCs w:val="20"/>
                <w:lang w:eastAsia="en-GB"/>
              </w:rPr>
              <w:t>Sukuk</w:t>
            </w:r>
            <w:r w:rsidRPr="001A131A">
              <w:rPr>
                <w:rFonts w:ascii="Times New Roman" w:eastAsia="Times New Roman" w:hAnsi="Times New Roman" w:cs="Times New Roman"/>
                <w:sz w:val="20"/>
                <w:szCs w:val="20"/>
                <w:lang w:eastAsia="en-GB"/>
              </w:rPr>
              <w:t xml:space="preserve"> Ltd-Reg S</w:t>
            </w:r>
          </w:p>
        </w:tc>
        <w:tc>
          <w:tcPr>
            <w:tcW w:w="1235" w:type="dxa"/>
            <w:tcBorders>
              <w:top w:val="nil"/>
              <w:left w:val="nil"/>
              <w:bottom w:val="single" w:sz="4" w:space="0" w:color="auto"/>
              <w:right w:val="single" w:sz="4" w:space="0" w:color="auto"/>
            </w:tcBorders>
            <w:shd w:val="clear" w:color="auto" w:fill="auto"/>
            <w:vAlign w:val="center"/>
            <w:hideMark/>
          </w:tcPr>
          <w:p w14:paraId="7764BA50"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21.09.2014</w:t>
            </w:r>
          </w:p>
        </w:tc>
        <w:tc>
          <w:tcPr>
            <w:tcW w:w="1236" w:type="dxa"/>
            <w:tcBorders>
              <w:top w:val="nil"/>
              <w:left w:val="nil"/>
              <w:bottom w:val="single" w:sz="4" w:space="0" w:color="auto"/>
              <w:right w:val="single" w:sz="4" w:space="0" w:color="auto"/>
            </w:tcBorders>
            <w:shd w:val="clear" w:color="auto" w:fill="auto"/>
            <w:vAlign w:val="center"/>
            <w:hideMark/>
          </w:tcPr>
          <w:p w14:paraId="6E4C74D0"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18.09.2019</w:t>
            </w:r>
          </w:p>
        </w:tc>
        <w:tc>
          <w:tcPr>
            <w:tcW w:w="824" w:type="dxa"/>
            <w:tcBorders>
              <w:top w:val="nil"/>
              <w:left w:val="nil"/>
              <w:bottom w:val="single" w:sz="4" w:space="0" w:color="auto"/>
              <w:right w:val="single" w:sz="4" w:space="0" w:color="auto"/>
            </w:tcBorders>
            <w:shd w:val="clear" w:color="auto" w:fill="auto"/>
            <w:vAlign w:val="center"/>
            <w:hideMark/>
          </w:tcPr>
          <w:p w14:paraId="062A432E"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5</w:t>
            </w:r>
          </w:p>
        </w:tc>
        <w:tc>
          <w:tcPr>
            <w:tcW w:w="1326" w:type="dxa"/>
            <w:tcBorders>
              <w:top w:val="nil"/>
              <w:left w:val="nil"/>
              <w:bottom w:val="single" w:sz="4" w:space="0" w:color="auto"/>
              <w:right w:val="single" w:sz="4" w:space="0" w:color="auto"/>
            </w:tcBorders>
            <w:shd w:val="clear" w:color="auto" w:fill="auto"/>
            <w:vAlign w:val="center"/>
            <w:hideMark/>
          </w:tcPr>
          <w:p w14:paraId="1E5FF9AE"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 xml:space="preserve">USD980 </w:t>
            </w:r>
            <w:proofErr w:type="spellStart"/>
            <w:r w:rsidRPr="001A131A">
              <w:rPr>
                <w:rFonts w:ascii="Times New Roman" w:eastAsia="Times New Roman" w:hAnsi="Times New Roman" w:cs="Times New Roman"/>
                <w:sz w:val="20"/>
                <w:szCs w:val="20"/>
                <w:lang w:eastAsia="en-GB"/>
              </w:rPr>
              <w:t>mln</w:t>
            </w:r>
            <w:proofErr w:type="spellEnd"/>
          </w:p>
        </w:tc>
        <w:tc>
          <w:tcPr>
            <w:tcW w:w="1417" w:type="dxa"/>
            <w:tcBorders>
              <w:top w:val="nil"/>
              <w:left w:val="nil"/>
              <w:bottom w:val="single" w:sz="4" w:space="0" w:color="auto"/>
              <w:right w:val="single" w:sz="8" w:space="0" w:color="auto"/>
            </w:tcBorders>
            <w:shd w:val="clear" w:color="auto" w:fill="auto"/>
            <w:vAlign w:val="center"/>
            <w:hideMark/>
          </w:tcPr>
          <w:p w14:paraId="62FA4400"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proofErr w:type="spellStart"/>
            <w:r w:rsidRPr="001A131A">
              <w:rPr>
                <w:rFonts w:ascii="Times New Roman" w:eastAsia="Times New Roman" w:hAnsi="Times New Roman" w:cs="Times New Roman"/>
                <w:sz w:val="20"/>
                <w:szCs w:val="20"/>
                <w:lang w:eastAsia="en-GB"/>
              </w:rPr>
              <w:t>Ijarah</w:t>
            </w:r>
            <w:proofErr w:type="spellEnd"/>
          </w:p>
        </w:tc>
      </w:tr>
      <w:tr w:rsidR="00A755F5" w:rsidRPr="001A131A" w14:paraId="703E71AB" w14:textId="77777777" w:rsidTr="001A131A">
        <w:trPr>
          <w:trHeight w:val="226"/>
          <w:jc w:val="center"/>
        </w:trPr>
        <w:tc>
          <w:tcPr>
            <w:tcW w:w="2599" w:type="dxa"/>
            <w:tcBorders>
              <w:top w:val="nil"/>
              <w:left w:val="single" w:sz="8" w:space="0" w:color="auto"/>
              <w:bottom w:val="single" w:sz="4" w:space="0" w:color="auto"/>
              <w:right w:val="single" w:sz="4" w:space="0" w:color="auto"/>
            </w:tcBorders>
            <w:shd w:val="clear" w:color="auto" w:fill="auto"/>
            <w:vAlign w:val="center"/>
            <w:hideMark/>
          </w:tcPr>
          <w:p w14:paraId="133643EE" w14:textId="4B95B1F4" w:rsidR="00A755F5" w:rsidRPr="001A131A" w:rsidRDefault="00A755F5" w:rsidP="009B1361">
            <w:pPr>
              <w:spacing w:after="0" w:line="240" w:lineRule="auto"/>
              <w:jc w:val="both"/>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 xml:space="preserve">ICD </w:t>
            </w:r>
            <w:r w:rsidR="000F4C35" w:rsidRPr="001A131A">
              <w:rPr>
                <w:rFonts w:ascii="Times New Roman" w:eastAsia="Times New Roman" w:hAnsi="Times New Roman" w:cs="Times New Roman"/>
                <w:sz w:val="20"/>
                <w:szCs w:val="20"/>
                <w:lang w:eastAsia="en-GB"/>
              </w:rPr>
              <w:t>Sukuk</w:t>
            </w:r>
            <w:r w:rsidRPr="001A131A">
              <w:rPr>
                <w:rFonts w:ascii="Times New Roman" w:eastAsia="Times New Roman" w:hAnsi="Times New Roman" w:cs="Times New Roman"/>
                <w:sz w:val="20"/>
                <w:szCs w:val="20"/>
                <w:lang w:eastAsia="en-GB"/>
              </w:rPr>
              <w:t xml:space="preserve"> Co. Ltd </w:t>
            </w:r>
          </w:p>
        </w:tc>
        <w:tc>
          <w:tcPr>
            <w:tcW w:w="1235" w:type="dxa"/>
            <w:tcBorders>
              <w:top w:val="nil"/>
              <w:left w:val="nil"/>
              <w:bottom w:val="single" w:sz="4" w:space="0" w:color="auto"/>
              <w:right w:val="single" w:sz="4" w:space="0" w:color="auto"/>
            </w:tcBorders>
            <w:shd w:val="clear" w:color="auto" w:fill="auto"/>
            <w:vAlign w:val="center"/>
            <w:hideMark/>
          </w:tcPr>
          <w:p w14:paraId="23D8AC8C"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22.05.2014</w:t>
            </w:r>
          </w:p>
        </w:tc>
        <w:tc>
          <w:tcPr>
            <w:tcW w:w="1236" w:type="dxa"/>
            <w:tcBorders>
              <w:top w:val="nil"/>
              <w:left w:val="nil"/>
              <w:bottom w:val="single" w:sz="4" w:space="0" w:color="auto"/>
              <w:right w:val="single" w:sz="4" w:space="0" w:color="auto"/>
            </w:tcBorders>
            <w:shd w:val="clear" w:color="auto" w:fill="auto"/>
            <w:vAlign w:val="center"/>
            <w:hideMark/>
          </w:tcPr>
          <w:p w14:paraId="4A603B58"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21.05.2020</w:t>
            </w:r>
          </w:p>
        </w:tc>
        <w:tc>
          <w:tcPr>
            <w:tcW w:w="824" w:type="dxa"/>
            <w:tcBorders>
              <w:top w:val="nil"/>
              <w:left w:val="nil"/>
              <w:bottom w:val="single" w:sz="4" w:space="0" w:color="auto"/>
              <w:right w:val="single" w:sz="4" w:space="0" w:color="auto"/>
            </w:tcBorders>
            <w:shd w:val="clear" w:color="auto" w:fill="auto"/>
            <w:vAlign w:val="center"/>
            <w:hideMark/>
          </w:tcPr>
          <w:p w14:paraId="68D1798E"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6</w:t>
            </w:r>
          </w:p>
        </w:tc>
        <w:tc>
          <w:tcPr>
            <w:tcW w:w="1326" w:type="dxa"/>
            <w:tcBorders>
              <w:top w:val="nil"/>
              <w:left w:val="nil"/>
              <w:bottom w:val="single" w:sz="4" w:space="0" w:color="auto"/>
              <w:right w:val="single" w:sz="4" w:space="0" w:color="auto"/>
            </w:tcBorders>
            <w:shd w:val="clear" w:color="auto" w:fill="auto"/>
            <w:vAlign w:val="center"/>
            <w:hideMark/>
          </w:tcPr>
          <w:p w14:paraId="47312D94"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 xml:space="preserve">USD700 </w:t>
            </w:r>
            <w:proofErr w:type="spellStart"/>
            <w:r w:rsidRPr="001A131A">
              <w:rPr>
                <w:rFonts w:ascii="Times New Roman" w:eastAsia="Times New Roman" w:hAnsi="Times New Roman" w:cs="Times New Roman"/>
                <w:sz w:val="20"/>
                <w:szCs w:val="20"/>
                <w:lang w:eastAsia="en-GB"/>
              </w:rPr>
              <w:t>mln</w:t>
            </w:r>
            <w:proofErr w:type="spellEnd"/>
          </w:p>
        </w:tc>
        <w:tc>
          <w:tcPr>
            <w:tcW w:w="1417" w:type="dxa"/>
            <w:tcBorders>
              <w:top w:val="nil"/>
              <w:left w:val="nil"/>
              <w:bottom w:val="single" w:sz="4" w:space="0" w:color="auto"/>
              <w:right w:val="single" w:sz="8" w:space="0" w:color="auto"/>
            </w:tcBorders>
            <w:shd w:val="clear" w:color="auto" w:fill="auto"/>
            <w:vAlign w:val="center"/>
            <w:hideMark/>
          </w:tcPr>
          <w:p w14:paraId="44AE5D4F"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proofErr w:type="spellStart"/>
            <w:r w:rsidRPr="001A131A">
              <w:rPr>
                <w:rFonts w:ascii="Times New Roman" w:eastAsia="Times New Roman" w:hAnsi="Times New Roman" w:cs="Times New Roman"/>
                <w:sz w:val="20"/>
                <w:szCs w:val="20"/>
                <w:lang w:eastAsia="en-GB"/>
              </w:rPr>
              <w:t>Ijarah</w:t>
            </w:r>
            <w:proofErr w:type="spellEnd"/>
          </w:p>
        </w:tc>
      </w:tr>
      <w:tr w:rsidR="00A755F5" w:rsidRPr="001A131A" w14:paraId="348A28B6" w14:textId="77777777" w:rsidTr="001A131A">
        <w:trPr>
          <w:trHeight w:val="226"/>
          <w:jc w:val="center"/>
        </w:trPr>
        <w:tc>
          <w:tcPr>
            <w:tcW w:w="2599" w:type="dxa"/>
            <w:tcBorders>
              <w:top w:val="nil"/>
              <w:left w:val="single" w:sz="8" w:space="0" w:color="auto"/>
              <w:bottom w:val="single" w:sz="4" w:space="0" w:color="auto"/>
              <w:right w:val="single" w:sz="4" w:space="0" w:color="auto"/>
            </w:tcBorders>
            <w:shd w:val="clear" w:color="auto" w:fill="auto"/>
            <w:vAlign w:val="center"/>
            <w:hideMark/>
          </w:tcPr>
          <w:p w14:paraId="269BA263" w14:textId="77777777" w:rsidR="00A755F5" w:rsidRPr="001A131A" w:rsidRDefault="00A755F5" w:rsidP="009B1361">
            <w:pPr>
              <w:spacing w:after="0" w:line="240" w:lineRule="auto"/>
              <w:jc w:val="both"/>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IDB Trust Services Ltd</w:t>
            </w:r>
          </w:p>
        </w:tc>
        <w:tc>
          <w:tcPr>
            <w:tcW w:w="1235" w:type="dxa"/>
            <w:tcBorders>
              <w:top w:val="nil"/>
              <w:left w:val="nil"/>
              <w:bottom w:val="single" w:sz="4" w:space="0" w:color="auto"/>
              <w:right w:val="single" w:sz="4" w:space="0" w:color="auto"/>
            </w:tcBorders>
            <w:shd w:val="clear" w:color="auto" w:fill="auto"/>
            <w:vAlign w:val="center"/>
            <w:hideMark/>
          </w:tcPr>
          <w:p w14:paraId="3BB16DC8"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25.02.2014</w:t>
            </w:r>
          </w:p>
        </w:tc>
        <w:tc>
          <w:tcPr>
            <w:tcW w:w="1236" w:type="dxa"/>
            <w:tcBorders>
              <w:top w:val="nil"/>
              <w:left w:val="nil"/>
              <w:bottom w:val="single" w:sz="4" w:space="0" w:color="auto"/>
              <w:right w:val="single" w:sz="4" w:space="0" w:color="auto"/>
            </w:tcBorders>
            <w:shd w:val="clear" w:color="auto" w:fill="auto"/>
            <w:vAlign w:val="center"/>
            <w:hideMark/>
          </w:tcPr>
          <w:p w14:paraId="20CD65E1"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26.06.2017</w:t>
            </w:r>
          </w:p>
        </w:tc>
        <w:tc>
          <w:tcPr>
            <w:tcW w:w="824" w:type="dxa"/>
            <w:tcBorders>
              <w:top w:val="nil"/>
              <w:left w:val="nil"/>
              <w:bottom w:val="single" w:sz="4" w:space="0" w:color="auto"/>
              <w:right w:val="single" w:sz="4" w:space="0" w:color="auto"/>
            </w:tcBorders>
            <w:shd w:val="clear" w:color="auto" w:fill="auto"/>
            <w:vAlign w:val="center"/>
            <w:hideMark/>
          </w:tcPr>
          <w:p w14:paraId="02CA2283"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3</w:t>
            </w:r>
          </w:p>
        </w:tc>
        <w:tc>
          <w:tcPr>
            <w:tcW w:w="1326" w:type="dxa"/>
            <w:tcBorders>
              <w:top w:val="nil"/>
              <w:left w:val="nil"/>
              <w:bottom w:val="single" w:sz="4" w:space="0" w:color="auto"/>
              <w:right w:val="single" w:sz="4" w:space="0" w:color="auto"/>
            </w:tcBorders>
            <w:shd w:val="clear" w:color="auto" w:fill="auto"/>
            <w:vAlign w:val="center"/>
            <w:hideMark/>
          </w:tcPr>
          <w:p w14:paraId="1F9AB0CB"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 xml:space="preserve">USD800 </w:t>
            </w:r>
            <w:proofErr w:type="spellStart"/>
            <w:r w:rsidRPr="001A131A">
              <w:rPr>
                <w:rFonts w:ascii="Times New Roman" w:eastAsia="Times New Roman" w:hAnsi="Times New Roman" w:cs="Times New Roman"/>
                <w:sz w:val="20"/>
                <w:szCs w:val="20"/>
                <w:lang w:eastAsia="en-GB"/>
              </w:rPr>
              <w:t>mln</w:t>
            </w:r>
            <w:proofErr w:type="spellEnd"/>
          </w:p>
        </w:tc>
        <w:tc>
          <w:tcPr>
            <w:tcW w:w="1417" w:type="dxa"/>
            <w:tcBorders>
              <w:top w:val="nil"/>
              <w:left w:val="nil"/>
              <w:bottom w:val="single" w:sz="4" w:space="0" w:color="auto"/>
              <w:right w:val="single" w:sz="8" w:space="0" w:color="auto"/>
            </w:tcBorders>
            <w:shd w:val="clear" w:color="auto" w:fill="auto"/>
            <w:vAlign w:val="center"/>
            <w:hideMark/>
          </w:tcPr>
          <w:p w14:paraId="0C7D0DE1"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proofErr w:type="spellStart"/>
            <w:r w:rsidRPr="001A131A">
              <w:rPr>
                <w:rFonts w:ascii="Times New Roman" w:eastAsia="Times New Roman" w:hAnsi="Times New Roman" w:cs="Times New Roman"/>
                <w:sz w:val="20"/>
                <w:szCs w:val="20"/>
                <w:lang w:eastAsia="en-GB"/>
              </w:rPr>
              <w:t>Wakala</w:t>
            </w:r>
            <w:proofErr w:type="spellEnd"/>
          </w:p>
        </w:tc>
      </w:tr>
      <w:tr w:rsidR="00A755F5" w:rsidRPr="001A131A" w14:paraId="3AE7F011" w14:textId="77777777" w:rsidTr="001A131A">
        <w:trPr>
          <w:trHeight w:val="226"/>
          <w:jc w:val="center"/>
        </w:trPr>
        <w:tc>
          <w:tcPr>
            <w:tcW w:w="2599" w:type="dxa"/>
            <w:tcBorders>
              <w:top w:val="nil"/>
              <w:left w:val="single" w:sz="8" w:space="0" w:color="auto"/>
              <w:bottom w:val="single" w:sz="4" w:space="0" w:color="auto"/>
              <w:right w:val="single" w:sz="4" w:space="0" w:color="auto"/>
            </w:tcBorders>
            <w:shd w:val="clear" w:color="auto" w:fill="auto"/>
            <w:vAlign w:val="center"/>
            <w:hideMark/>
          </w:tcPr>
          <w:p w14:paraId="33489BE5" w14:textId="77777777" w:rsidR="00A755F5" w:rsidRPr="001A131A" w:rsidRDefault="00A755F5" w:rsidP="009B1361">
            <w:pPr>
              <w:spacing w:after="0" w:line="240" w:lineRule="auto"/>
              <w:jc w:val="both"/>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INDONESIA III-144A</w:t>
            </w:r>
          </w:p>
        </w:tc>
        <w:tc>
          <w:tcPr>
            <w:tcW w:w="1235" w:type="dxa"/>
            <w:tcBorders>
              <w:top w:val="nil"/>
              <w:left w:val="nil"/>
              <w:bottom w:val="single" w:sz="4" w:space="0" w:color="auto"/>
              <w:right w:val="single" w:sz="4" w:space="0" w:color="auto"/>
            </w:tcBorders>
            <w:shd w:val="clear" w:color="auto" w:fill="auto"/>
            <w:vAlign w:val="center"/>
            <w:hideMark/>
          </w:tcPr>
          <w:p w14:paraId="03916880"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31.05.2015</w:t>
            </w:r>
          </w:p>
        </w:tc>
        <w:tc>
          <w:tcPr>
            <w:tcW w:w="1236" w:type="dxa"/>
            <w:tcBorders>
              <w:top w:val="nil"/>
              <w:left w:val="nil"/>
              <w:bottom w:val="single" w:sz="4" w:space="0" w:color="auto"/>
              <w:right w:val="single" w:sz="4" w:space="0" w:color="auto"/>
            </w:tcBorders>
            <w:shd w:val="clear" w:color="auto" w:fill="auto"/>
            <w:vAlign w:val="center"/>
            <w:hideMark/>
          </w:tcPr>
          <w:p w14:paraId="7C62B4D6"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10.09.2024</w:t>
            </w:r>
          </w:p>
        </w:tc>
        <w:tc>
          <w:tcPr>
            <w:tcW w:w="824" w:type="dxa"/>
            <w:tcBorders>
              <w:top w:val="nil"/>
              <w:left w:val="nil"/>
              <w:bottom w:val="single" w:sz="4" w:space="0" w:color="auto"/>
              <w:right w:val="single" w:sz="4" w:space="0" w:color="auto"/>
            </w:tcBorders>
            <w:shd w:val="clear" w:color="auto" w:fill="auto"/>
            <w:vAlign w:val="center"/>
            <w:hideMark/>
          </w:tcPr>
          <w:p w14:paraId="71C07ABD"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10</w:t>
            </w:r>
          </w:p>
        </w:tc>
        <w:tc>
          <w:tcPr>
            <w:tcW w:w="1326" w:type="dxa"/>
            <w:tcBorders>
              <w:top w:val="nil"/>
              <w:left w:val="nil"/>
              <w:bottom w:val="single" w:sz="4" w:space="0" w:color="auto"/>
              <w:right w:val="single" w:sz="4" w:space="0" w:color="auto"/>
            </w:tcBorders>
            <w:shd w:val="clear" w:color="auto" w:fill="auto"/>
            <w:noWrap/>
            <w:vAlign w:val="center"/>
            <w:hideMark/>
          </w:tcPr>
          <w:p w14:paraId="00318E63"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 xml:space="preserve">USD178.1 </w:t>
            </w:r>
            <w:proofErr w:type="spellStart"/>
            <w:r w:rsidRPr="001A131A">
              <w:rPr>
                <w:rFonts w:ascii="Times New Roman" w:eastAsia="Times New Roman" w:hAnsi="Times New Roman" w:cs="Times New Roman"/>
                <w:sz w:val="20"/>
                <w:szCs w:val="20"/>
                <w:lang w:eastAsia="en-GB"/>
              </w:rPr>
              <w:t>mln</w:t>
            </w:r>
            <w:proofErr w:type="spellEnd"/>
          </w:p>
        </w:tc>
        <w:tc>
          <w:tcPr>
            <w:tcW w:w="1417" w:type="dxa"/>
            <w:tcBorders>
              <w:top w:val="nil"/>
              <w:left w:val="nil"/>
              <w:bottom w:val="single" w:sz="4" w:space="0" w:color="auto"/>
              <w:right w:val="single" w:sz="8" w:space="0" w:color="auto"/>
            </w:tcBorders>
            <w:shd w:val="clear" w:color="auto" w:fill="auto"/>
            <w:vAlign w:val="center"/>
            <w:hideMark/>
          </w:tcPr>
          <w:p w14:paraId="08302AD5"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proofErr w:type="spellStart"/>
            <w:r w:rsidRPr="001A131A">
              <w:rPr>
                <w:rFonts w:ascii="Times New Roman" w:eastAsia="Times New Roman" w:hAnsi="Times New Roman" w:cs="Times New Roman"/>
                <w:sz w:val="20"/>
                <w:szCs w:val="20"/>
                <w:lang w:eastAsia="en-GB"/>
              </w:rPr>
              <w:t>Ijarah</w:t>
            </w:r>
            <w:proofErr w:type="spellEnd"/>
          </w:p>
        </w:tc>
      </w:tr>
      <w:tr w:rsidR="00A755F5" w:rsidRPr="001A131A" w14:paraId="4A064C85" w14:textId="77777777" w:rsidTr="001A131A">
        <w:trPr>
          <w:trHeight w:val="226"/>
          <w:jc w:val="center"/>
        </w:trPr>
        <w:tc>
          <w:tcPr>
            <w:tcW w:w="2599" w:type="dxa"/>
            <w:tcBorders>
              <w:top w:val="nil"/>
              <w:left w:val="single" w:sz="8" w:space="0" w:color="auto"/>
              <w:bottom w:val="single" w:sz="4" w:space="0" w:color="auto"/>
              <w:right w:val="single" w:sz="4" w:space="0" w:color="auto"/>
            </w:tcBorders>
            <w:shd w:val="clear" w:color="auto" w:fill="auto"/>
            <w:vAlign w:val="center"/>
            <w:hideMark/>
          </w:tcPr>
          <w:p w14:paraId="6EF1975A" w14:textId="77777777" w:rsidR="00A755F5" w:rsidRPr="001A131A" w:rsidRDefault="00A755F5" w:rsidP="009B1361">
            <w:pPr>
              <w:spacing w:after="0" w:line="240" w:lineRule="auto"/>
              <w:jc w:val="both"/>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INDONESIA III</w:t>
            </w:r>
          </w:p>
        </w:tc>
        <w:tc>
          <w:tcPr>
            <w:tcW w:w="1235" w:type="dxa"/>
            <w:tcBorders>
              <w:top w:val="nil"/>
              <w:left w:val="nil"/>
              <w:bottom w:val="single" w:sz="4" w:space="0" w:color="auto"/>
              <w:right w:val="single" w:sz="4" w:space="0" w:color="auto"/>
            </w:tcBorders>
            <w:shd w:val="clear" w:color="auto" w:fill="auto"/>
            <w:vAlign w:val="center"/>
            <w:hideMark/>
          </w:tcPr>
          <w:p w14:paraId="45484AC9" w14:textId="77777777" w:rsidR="00A755F5" w:rsidRPr="001A131A" w:rsidRDefault="00A755F5" w:rsidP="009B1361">
            <w:pPr>
              <w:spacing w:after="0" w:line="240" w:lineRule="auto"/>
              <w:jc w:val="both"/>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31.05.2015</w:t>
            </w:r>
          </w:p>
        </w:tc>
        <w:tc>
          <w:tcPr>
            <w:tcW w:w="1236" w:type="dxa"/>
            <w:tcBorders>
              <w:top w:val="nil"/>
              <w:left w:val="nil"/>
              <w:bottom w:val="single" w:sz="4" w:space="0" w:color="auto"/>
              <w:right w:val="single" w:sz="4" w:space="0" w:color="auto"/>
            </w:tcBorders>
            <w:shd w:val="clear" w:color="auto" w:fill="auto"/>
            <w:vAlign w:val="center"/>
            <w:hideMark/>
          </w:tcPr>
          <w:p w14:paraId="0169DADD" w14:textId="77777777" w:rsidR="00A755F5" w:rsidRPr="001A131A" w:rsidRDefault="00A755F5" w:rsidP="009B1361">
            <w:pPr>
              <w:spacing w:after="0" w:line="240" w:lineRule="auto"/>
              <w:jc w:val="both"/>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10.09.2024</w:t>
            </w:r>
          </w:p>
        </w:tc>
        <w:tc>
          <w:tcPr>
            <w:tcW w:w="824" w:type="dxa"/>
            <w:tcBorders>
              <w:top w:val="nil"/>
              <w:left w:val="nil"/>
              <w:bottom w:val="single" w:sz="4" w:space="0" w:color="auto"/>
              <w:right w:val="single" w:sz="4" w:space="0" w:color="auto"/>
            </w:tcBorders>
            <w:shd w:val="clear" w:color="auto" w:fill="auto"/>
            <w:vAlign w:val="center"/>
            <w:hideMark/>
          </w:tcPr>
          <w:p w14:paraId="54FDFB98"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10</w:t>
            </w:r>
          </w:p>
        </w:tc>
        <w:tc>
          <w:tcPr>
            <w:tcW w:w="1326" w:type="dxa"/>
            <w:tcBorders>
              <w:top w:val="nil"/>
              <w:left w:val="nil"/>
              <w:bottom w:val="single" w:sz="4" w:space="0" w:color="auto"/>
              <w:right w:val="single" w:sz="4" w:space="0" w:color="auto"/>
            </w:tcBorders>
            <w:shd w:val="clear" w:color="auto" w:fill="auto"/>
            <w:noWrap/>
            <w:vAlign w:val="center"/>
            <w:hideMark/>
          </w:tcPr>
          <w:p w14:paraId="2EA9CF9C"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 xml:space="preserve">USD1.32 </w:t>
            </w:r>
            <w:proofErr w:type="spellStart"/>
            <w:r w:rsidRPr="001A131A">
              <w:rPr>
                <w:rFonts w:ascii="Times New Roman" w:eastAsia="Times New Roman" w:hAnsi="Times New Roman" w:cs="Times New Roman"/>
                <w:sz w:val="20"/>
                <w:szCs w:val="20"/>
                <w:lang w:eastAsia="en-GB"/>
              </w:rPr>
              <w:t>bln</w:t>
            </w:r>
            <w:proofErr w:type="spellEnd"/>
          </w:p>
        </w:tc>
        <w:tc>
          <w:tcPr>
            <w:tcW w:w="1417" w:type="dxa"/>
            <w:tcBorders>
              <w:top w:val="nil"/>
              <w:left w:val="nil"/>
              <w:bottom w:val="single" w:sz="4" w:space="0" w:color="auto"/>
              <w:right w:val="single" w:sz="8" w:space="0" w:color="auto"/>
            </w:tcBorders>
            <w:shd w:val="clear" w:color="auto" w:fill="auto"/>
            <w:noWrap/>
            <w:vAlign w:val="center"/>
            <w:hideMark/>
          </w:tcPr>
          <w:p w14:paraId="438E6D5C" w14:textId="77777777" w:rsidR="00A755F5" w:rsidRPr="001A131A" w:rsidRDefault="00A755F5" w:rsidP="009B1361">
            <w:pPr>
              <w:spacing w:after="0" w:line="240" w:lineRule="auto"/>
              <w:jc w:val="center"/>
              <w:rPr>
                <w:rFonts w:ascii="Times New Roman" w:eastAsia="Times New Roman" w:hAnsi="Times New Roman" w:cs="Times New Roman"/>
                <w:color w:val="000000"/>
                <w:sz w:val="20"/>
                <w:szCs w:val="20"/>
                <w:lang w:eastAsia="en-GB"/>
              </w:rPr>
            </w:pPr>
            <w:proofErr w:type="spellStart"/>
            <w:r w:rsidRPr="001A131A">
              <w:rPr>
                <w:rFonts w:ascii="Times New Roman" w:eastAsia="Times New Roman" w:hAnsi="Times New Roman" w:cs="Times New Roman"/>
                <w:color w:val="000000"/>
                <w:sz w:val="20"/>
                <w:szCs w:val="20"/>
                <w:lang w:eastAsia="en-GB"/>
              </w:rPr>
              <w:t>Ijarah</w:t>
            </w:r>
            <w:proofErr w:type="spellEnd"/>
          </w:p>
        </w:tc>
      </w:tr>
      <w:tr w:rsidR="00A755F5" w:rsidRPr="001A131A" w14:paraId="63170EF4" w14:textId="77777777" w:rsidTr="001A131A">
        <w:trPr>
          <w:trHeight w:val="226"/>
          <w:jc w:val="center"/>
        </w:trPr>
        <w:tc>
          <w:tcPr>
            <w:tcW w:w="2599" w:type="dxa"/>
            <w:tcBorders>
              <w:top w:val="nil"/>
              <w:left w:val="single" w:sz="8" w:space="0" w:color="auto"/>
              <w:bottom w:val="single" w:sz="4" w:space="0" w:color="auto"/>
              <w:right w:val="single" w:sz="4" w:space="0" w:color="auto"/>
            </w:tcBorders>
            <w:shd w:val="clear" w:color="auto" w:fill="auto"/>
            <w:noWrap/>
            <w:vAlign w:val="center"/>
            <w:hideMark/>
          </w:tcPr>
          <w:p w14:paraId="6EB26BF2" w14:textId="3E11EF33" w:rsidR="00A755F5" w:rsidRPr="001A131A" w:rsidRDefault="00A755F5" w:rsidP="009B1361">
            <w:pPr>
              <w:spacing w:after="0" w:line="240" w:lineRule="auto"/>
              <w:jc w:val="both"/>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 xml:space="preserve">JAFZ </w:t>
            </w:r>
            <w:r w:rsidR="000F4C35" w:rsidRPr="001A131A">
              <w:rPr>
                <w:rFonts w:ascii="Times New Roman" w:eastAsia="Times New Roman" w:hAnsi="Times New Roman" w:cs="Times New Roman"/>
                <w:sz w:val="20"/>
                <w:szCs w:val="20"/>
                <w:lang w:eastAsia="en-GB"/>
              </w:rPr>
              <w:t>Sukuk</w:t>
            </w:r>
            <w:r w:rsidRPr="001A131A">
              <w:rPr>
                <w:rFonts w:ascii="Times New Roman" w:eastAsia="Times New Roman" w:hAnsi="Times New Roman" w:cs="Times New Roman"/>
                <w:sz w:val="20"/>
                <w:szCs w:val="20"/>
                <w:lang w:eastAsia="en-GB"/>
              </w:rPr>
              <w:t xml:space="preserve"> Limited</w:t>
            </w:r>
          </w:p>
        </w:tc>
        <w:tc>
          <w:tcPr>
            <w:tcW w:w="1235" w:type="dxa"/>
            <w:tcBorders>
              <w:top w:val="nil"/>
              <w:left w:val="nil"/>
              <w:bottom w:val="single" w:sz="4" w:space="0" w:color="auto"/>
              <w:right w:val="single" w:sz="4" w:space="0" w:color="auto"/>
            </w:tcBorders>
            <w:shd w:val="clear" w:color="auto" w:fill="auto"/>
            <w:vAlign w:val="center"/>
            <w:hideMark/>
          </w:tcPr>
          <w:p w14:paraId="4DE416C1" w14:textId="77777777" w:rsidR="00A755F5" w:rsidRPr="001A131A" w:rsidRDefault="00A755F5" w:rsidP="009B1361">
            <w:pPr>
              <w:spacing w:after="0" w:line="240" w:lineRule="auto"/>
              <w:jc w:val="both"/>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20.06.2012</w:t>
            </w:r>
          </w:p>
        </w:tc>
        <w:tc>
          <w:tcPr>
            <w:tcW w:w="1236" w:type="dxa"/>
            <w:tcBorders>
              <w:top w:val="nil"/>
              <w:left w:val="nil"/>
              <w:bottom w:val="single" w:sz="4" w:space="0" w:color="auto"/>
              <w:right w:val="single" w:sz="4" w:space="0" w:color="auto"/>
            </w:tcBorders>
            <w:shd w:val="clear" w:color="auto" w:fill="auto"/>
            <w:vAlign w:val="center"/>
            <w:hideMark/>
          </w:tcPr>
          <w:p w14:paraId="4249BD0F" w14:textId="77777777" w:rsidR="00A755F5" w:rsidRPr="001A131A" w:rsidRDefault="00A755F5" w:rsidP="009B1361">
            <w:pPr>
              <w:spacing w:after="0" w:line="240" w:lineRule="auto"/>
              <w:jc w:val="both"/>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19.06.2019</w:t>
            </w:r>
          </w:p>
        </w:tc>
        <w:tc>
          <w:tcPr>
            <w:tcW w:w="824" w:type="dxa"/>
            <w:tcBorders>
              <w:top w:val="nil"/>
              <w:left w:val="nil"/>
              <w:bottom w:val="single" w:sz="4" w:space="0" w:color="auto"/>
              <w:right w:val="single" w:sz="4" w:space="0" w:color="auto"/>
            </w:tcBorders>
            <w:shd w:val="clear" w:color="auto" w:fill="auto"/>
            <w:vAlign w:val="center"/>
            <w:hideMark/>
          </w:tcPr>
          <w:p w14:paraId="21E6C536"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7</w:t>
            </w:r>
          </w:p>
        </w:tc>
        <w:tc>
          <w:tcPr>
            <w:tcW w:w="1326" w:type="dxa"/>
            <w:tcBorders>
              <w:top w:val="nil"/>
              <w:left w:val="nil"/>
              <w:bottom w:val="single" w:sz="4" w:space="0" w:color="auto"/>
              <w:right w:val="single" w:sz="4" w:space="0" w:color="auto"/>
            </w:tcBorders>
            <w:shd w:val="clear" w:color="auto" w:fill="auto"/>
            <w:vAlign w:val="center"/>
            <w:hideMark/>
          </w:tcPr>
          <w:p w14:paraId="2D287D83"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 xml:space="preserve">USD650 </w:t>
            </w:r>
            <w:proofErr w:type="spellStart"/>
            <w:r w:rsidRPr="001A131A">
              <w:rPr>
                <w:rFonts w:ascii="Times New Roman" w:eastAsia="Times New Roman" w:hAnsi="Times New Roman" w:cs="Times New Roman"/>
                <w:sz w:val="20"/>
                <w:szCs w:val="20"/>
                <w:lang w:eastAsia="en-GB"/>
              </w:rPr>
              <w:t>mln</w:t>
            </w:r>
            <w:proofErr w:type="spellEnd"/>
          </w:p>
        </w:tc>
        <w:tc>
          <w:tcPr>
            <w:tcW w:w="1417" w:type="dxa"/>
            <w:tcBorders>
              <w:top w:val="nil"/>
              <w:left w:val="nil"/>
              <w:bottom w:val="single" w:sz="4" w:space="0" w:color="auto"/>
              <w:right w:val="single" w:sz="8" w:space="0" w:color="auto"/>
            </w:tcBorders>
            <w:shd w:val="clear" w:color="auto" w:fill="auto"/>
            <w:vAlign w:val="center"/>
            <w:hideMark/>
          </w:tcPr>
          <w:p w14:paraId="0563DCB7"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proofErr w:type="spellStart"/>
            <w:r w:rsidRPr="001A131A">
              <w:rPr>
                <w:rFonts w:ascii="Times New Roman" w:eastAsia="Times New Roman" w:hAnsi="Times New Roman" w:cs="Times New Roman"/>
                <w:sz w:val="20"/>
                <w:szCs w:val="20"/>
                <w:lang w:eastAsia="en-GB"/>
              </w:rPr>
              <w:t>Wakala</w:t>
            </w:r>
            <w:proofErr w:type="spellEnd"/>
          </w:p>
        </w:tc>
      </w:tr>
      <w:tr w:rsidR="00A755F5" w:rsidRPr="001A131A" w14:paraId="0977C86E" w14:textId="77777777" w:rsidTr="001A131A">
        <w:trPr>
          <w:trHeight w:val="226"/>
          <w:jc w:val="center"/>
        </w:trPr>
        <w:tc>
          <w:tcPr>
            <w:tcW w:w="2599" w:type="dxa"/>
            <w:tcBorders>
              <w:top w:val="nil"/>
              <w:left w:val="single" w:sz="8" w:space="0" w:color="auto"/>
              <w:bottom w:val="single" w:sz="8" w:space="0" w:color="auto"/>
              <w:right w:val="single" w:sz="4" w:space="0" w:color="auto"/>
            </w:tcBorders>
            <w:shd w:val="clear" w:color="auto" w:fill="auto"/>
            <w:vAlign w:val="center"/>
            <w:hideMark/>
          </w:tcPr>
          <w:p w14:paraId="06A58282" w14:textId="77777777" w:rsidR="00A755F5" w:rsidRPr="001A131A" w:rsidRDefault="00A755F5" w:rsidP="009B1361">
            <w:pPr>
              <w:spacing w:after="0" w:line="240" w:lineRule="auto"/>
              <w:jc w:val="both"/>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 xml:space="preserve">RAK Capital </w:t>
            </w:r>
          </w:p>
        </w:tc>
        <w:tc>
          <w:tcPr>
            <w:tcW w:w="1235" w:type="dxa"/>
            <w:tcBorders>
              <w:top w:val="nil"/>
              <w:left w:val="nil"/>
              <w:bottom w:val="single" w:sz="8" w:space="0" w:color="auto"/>
              <w:right w:val="single" w:sz="4" w:space="0" w:color="auto"/>
            </w:tcBorders>
            <w:shd w:val="clear" w:color="auto" w:fill="auto"/>
            <w:noWrap/>
            <w:vAlign w:val="center"/>
            <w:hideMark/>
          </w:tcPr>
          <w:p w14:paraId="168C5CDE" w14:textId="77777777" w:rsidR="00A755F5" w:rsidRPr="001A131A" w:rsidRDefault="00A755F5" w:rsidP="009B1361">
            <w:pPr>
              <w:spacing w:after="0" w:line="240" w:lineRule="auto"/>
              <w:jc w:val="both"/>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01.04.2015</w:t>
            </w:r>
          </w:p>
        </w:tc>
        <w:tc>
          <w:tcPr>
            <w:tcW w:w="1236" w:type="dxa"/>
            <w:tcBorders>
              <w:top w:val="nil"/>
              <w:left w:val="nil"/>
              <w:bottom w:val="single" w:sz="8" w:space="0" w:color="auto"/>
              <w:right w:val="single" w:sz="4" w:space="0" w:color="auto"/>
            </w:tcBorders>
            <w:shd w:val="clear" w:color="auto" w:fill="auto"/>
            <w:vAlign w:val="center"/>
            <w:hideMark/>
          </w:tcPr>
          <w:p w14:paraId="21D36780" w14:textId="77777777" w:rsidR="00A755F5" w:rsidRPr="001A131A" w:rsidRDefault="00A755F5" w:rsidP="009B1361">
            <w:pPr>
              <w:spacing w:after="0" w:line="240" w:lineRule="auto"/>
              <w:jc w:val="both"/>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31.03.2025</w:t>
            </w:r>
          </w:p>
        </w:tc>
        <w:tc>
          <w:tcPr>
            <w:tcW w:w="824" w:type="dxa"/>
            <w:tcBorders>
              <w:top w:val="nil"/>
              <w:left w:val="nil"/>
              <w:bottom w:val="single" w:sz="8" w:space="0" w:color="auto"/>
              <w:right w:val="single" w:sz="4" w:space="0" w:color="auto"/>
            </w:tcBorders>
            <w:shd w:val="clear" w:color="auto" w:fill="auto"/>
            <w:vAlign w:val="center"/>
            <w:hideMark/>
          </w:tcPr>
          <w:p w14:paraId="46364B7A"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10</w:t>
            </w:r>
          </w:p>
        </w:tc>
        <w:tc>
          <w:tcPr>
            <w:tcW w:w="1326" w:type="dxa"/>
            <w:tcBorders>
              <w:top w:val="nil"/>
              <w:left w:val="nil"/>
              <w:bottom w:val="single" w:sz="8" w:space="0" w:color="auto"/>
              <w:right w:val="single" w:sz="4" w:space="0" w:color="auto"/>
            </w:tcBorders>
            <w:shd w:val="clear" w:color="auto" w:fill="auto"/>
            <w:vAlign w:val="center"/>
            <w:hideMark/>
          </w:tcPr>
          <w:p w14:paraId="2BFA6715"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r w:rsidRPr="001A131A">
              <w:rPr>
                <w:rFonts w:ascii="Times New Roman" w:eastAsia="Times New Roman" w:hAnsi="Times New Roman" w:cs="Times New Roman"/>
                <w:sz w:val="20"/>
                <w:szCs w:val="20"/>
                <w:lang w:eastAsia="en-GB"/>
              </w:rPr>
              <w:t xml:space="preserve">USD1 </w:t>
            </w:r>
            <w:proofErr w:type="spellStart"/>
            <w:r w:rsidRPr="001A131A">
              <w:rPr>
                <w:rFonts w:ascii="Times New Roman" w:eastAsia="Times New Roman" w:hAnsi="Times New Roman" w:cs="Times New Roman"/>
                <w:sz w:val="20"/>
                <w:szCs w:val="20"/>
                <w:lang w:eastAsia="en-GB"/>
              </w:rPr>
              <w:t>bln</w:t>
            </w:r>
            <w:proofErr w:type="spellEnd"/>
          </w:p>
        </w:tc>
        <w:tc>
          <w:tcPr>
            <w:tcW w:w="1417" w:type="dxa"/>
            <w:tcBorders>
              <w:top w:val="nil"/>
              <w:left w:val="nil"/>
              <w:bottom w:val="single" w:sz="8" w:space="0" w:color="auto"/>
              <w:right w:val="single" w:sz="8" w:space="0" w:color="auto"/>
            </w:tcBorders>
            <w:shd w:val="clear" w:color="auto" w:fill="auto"/>
            <w:vAlign w:val="center"/>
            <w:hideMark/>
          </w:tcPr>
          <w:p w14:paraId="4051495A" w14:textId="77777777" w:rsidR="00A755F5" w:rsidRPr="001A131A" w:rsidRDefault="00A755F5" w:rsidP="009B1361">
            <w:pPr>
              <w:spacing w:after="0" w:line="240" w:lineRule="auto"/>
              <w:jc w:val="center"/>
              <w:rPr>
                <w:rFonts w:ascii="Times New Roman" w:eastAsia="Times New Roman" w:hAnsi="Times New Roman" w:cs="Times New Roman"/>
                <w:sz w:val="20"/>
                <w:szCs w:val="20"/>
                <w:lang w:eastAsia="en-GB"/>
              </w:rPr>
            </w:pPr>
            <w:proofErr w:type="spellStart"/>
            <w:r w:rsidRPr="001A131A">
              <w:rPr>
                <w:rFonts w:ascii="Times New Roman" w:eastAsia="Times New Roman" w:hAnsi="Times New Roman" w:cs="Times New Roman"/>
                <w:sz w:val="20"/>
                <w:szCs w:val="20"/>
                <w:lang w:eastAsia="en-GB"/>
              </w:rPr>
              <w:t>Ijarah</w:t>
            </w:r>
            <w:proofErr w:type="spellEnd"/>
          </w:p>
        </w:tc>
      </w:tr>
    </w:tbl>
    <w:bookmarkEnd w:id="18"/>
    <w:p w14:paraId="5350E96B" w14:textId="77777777" w:rsidR="00A755F5" w:rsidRPr="00251B2C" w:rsidRDefault="00A755F5" w:rsidP="00A755F5">
      <w:pPr>
        <w:shd w:val="clear" w:color="auto" w:fill="FFFFFF" w:themeFill="background1"/>
        <w:spacing w:before="120" w:after="120" w:line="360" w:lineRule="auto"/>
        <w:jc w:val="center"/>
        <w:rPr>
          <w:rFonts w:ascii="Times New Roman" w:eastAsia="Times New Roman" w:hAnsi="Times New Roman" w:cs="Times New Roman"/>
          <w:sz w:val="24"/>
          <w:szCs w:val="24"/>
        </w:rPr>
      </w:pPr>
      <w:r w:rsidRPr="00251B2C">
        <w:rPr>
          <w:rFonts w:ascii="Times New Roman" w:eastAsia="Times New Roman" w:hAnsi="Times New Roman" w:cs="Times New Roman"/>
          <w:sz w:val="24"/>
          <w:szCs w:val="24"/>
        </w:rPr>
        <w:lastRenderedPageBreak/>
        <w:t>Sources: Nasdaq Dubai;</w:t>
      </w:r>
      <w:r w:rsidRPr="00251B2C">
        <w:rPr>
          <w:rFonts w:ascii="Times New Roman" w:hAnsi="Times New Roman" w:cs="Times New Roman"/>
          <w:sz w:val="24"/>
          <w:szCs w:val="24"/>
        </w:rPr>
        <w:t xml:space="preserve"> </w:t>
      </w:r>
      <w:r w:rsidRPr="00251B2C">
        <w:rPr>
          <w:rFonts w:ascii="Times New Roman" w:eastAsia="Times New Roman" w:hAnsi="Times New Roman" w:cs="Times New Roman"/>
          <w:sz w:val="24"/>
          <w:szCs w:val="24"/>
        </w:rPr>
        <w:t>http://www.nasdaqdubai.com/listing/listed-securities</w:t>
      </w:r>
    </w:p>
    <w:p w14:paraId="62179652" w14:textId="4661698A" w:rsidR="00A755F5" w:rsidRPr="00251B2C" w:rsidRDefault="00A755F5" w:rsidP="00A755F5">
      <w:pPr>
        <w:shd w:val="clear" w:color="auto" w:fill="FFFFFF" w:themeFill="background1"/>
        <w:spacing w:before="120" w:after="120" w:line="360" w:lineRule="auto"/>
        <w:ind w:right="-1"/>
        <w:jc w:val="both"/>
        <w:rPr>
          <w:rStyle w:val="mceitemhidden"/>
          <w:rFonts w:ascii="Times New Roman" w:hAnsi="Times New Roman" w:cs="Times New Roman"/>
          <w:color w:val="000000"/>
          <w:sz w:val="24"/>
          <w:szCs w:val="24"/>
          <w:shd w:val="clear" w:color="auto" w:fill="FFFFFF"/>
        </w:rPr>
      </w:pPr>
      <w:bookmarkStart w:id="19" w:name="OLE_LINK110"/>
      <w:bookmarkStart w:id="20" w:name="OLE_LINK117"/>
      <w:r w:rsidRPr="00251B2C">
        <w:rPr>
          <w:rFonts w:ascii="Times New Roman" w:hAnsi="Times New Roman" w:cs="Times New Roman"/>
          <w:color w:val="000000"/>
          <w:sz w:val="24"/>
          <w:szCs w:val="24"/>
          <w:shd w:val="clear" w:color="auto" w:fill="FFFFFF"/>
        </w:rPr>
        <w:t>As demonstrated in the above</w:t>
      </w:r>
      <w:r w:rsidR="001430D4">
        <w:rPr>
          <w:rFonts w:ascii="Times New Roman" w:hAnsi="Times New Roman" w:cs="Times New Roman"/>
          <w:color w:val="000000"/>
          <w:sz w:val="24"/>
          <w:szCs w:val="24"/>
          <w:shd w:val="clear" w:color="auto" w:fill="FFFFFF"/>
        </w:rPr>
        <w:t xml:space="preserve"> </w:t>
      </w:r>
      <w:r w:rsidR="00A12B21" w:rsidRPr="00C74AEF">
        <w:rPr>
          <w:rFonts w:ascii="Times New Roman" w:hAnsi="Times New Roman" w:cs="Times New Roman"/>
          <w:sz w:val="24"/>
          <w:szCs w:val="24"/>
        </w:rPr>
        <w:t xml:space="preserve">Table </w:t>
      </w:r>
      <w:r w:rsidR="001430D4" w:rsidRPr="00C74AEF">
        <w:rPr>
          <w:rFonts w:ascii="Times New Roman" w:hAnsi="Times New Roman" w:cs="Times New Roman"/>
          <w:sz w:val="24"/>
          <w:szCs w:val="24"/>
        </w:rPr>
        <w:t>1</w:t>
      </w:r>
      <w:r w:rsidRPr="00C74AEF">
        <w:rPr>
          <w:rFonts w:ascii="Times New Roman" w:hAnsi="Times New Roman" w:cs="Times New Roman"/>
          <w:color w:val="000000"/>
          <w:sz w:val="24"/>
          <w:szCs w:val="24"/>
          <w:shd w:val="clear" w:color="auto" w:fill="FFFFFF"/>
        </w:rPr>
        <w:t>, the</w:t>
      </w:r>
      <w:r w:rsidRPr="00251B2C">
        <w:rPr>
          <w:rFonts w:ascii="Times New Roman" w:hAnsi="Times New Roman" w:cs="Times New Roman"/>
          <w:color w:val="000000"/>
          <w:sz w:val="24"/>
          <w:szCs w:val="24"/>
          <w:shd w:val="clear" w:color="auto" w:fill="FFFFFF"/>
        </w:rPr>
        <w:t xml:space="preserve"> range of</w:t>
      </w:r>
      <w:r w:rsidRPr="00251B2C">
        <w:rPr>
          <w:rStyle w:val="apple-converted-space"/>
          <w:rFonts w:ascii="Times New Roman" w:hAnsi="Times New Roman" w:cs="Times New Roman"/>
          <w:color w:val="000000"/>
          <w:sz w:val="24"/>
          <w:szCs w:val="24"/>
          <w:shd w:val="clear" w:color="auto" w:fill="FFFFFF"/>
        </w:rPr>
        <w:t> </w:t>
      </w:r>
      <w:r w:rsidR="000F4C35">
        <w:rPr>
          <w:rFonts w:ascii="Times New Roman" w:hAnsi="Times New Roman" w:cs="Times New Roman"/>
          <w:color w:val="000000"/>
          <w:sz w:val="24"/>
          <w:szCs w:val="24"/>
          <w:shd w:val="clear" w:color="auto" w:fill="FFFFFF"/>
        </w:rPr>
        <w:t>Sukuk</w:t>
      </w:r>
      <w:r w:rsidRPr="00251B2C">
        <w:rPr>
          <w:rStyle w:val="apple-converted-space"/>
          <w:rFonts w:ascii="Times New Roman" w:hAnsi="Times New Roman" w:cs="Times New Roman"/>
          <w:color w:val="000000"/>
          <w:sz w:val="24"/>
          <w:szCs w:val="24"/>
          <w:shd w:val="clear" w:color="auto" w:fill="FFFFFF"/>
        </w:rPr>
        <w:t> </w:t>
      </w:r>
      <w:r w:rsidRPr="00251B2C">
        <w:rPr>
          <w:rFonts w:ascii="Times New Roman" w:hAnsi="Times New Roman" w:cs="Times New Roman"/>
          <w:color w:val="000000"/>
          <w:sz w:val="24"/>
          <w:szCs w:val="24"/>
          <w:shd w:val="clear" w:color="auto" w:fill="FFFFFF"/>
        </w:rPr>
        <w:t xml:space="preserve">issue size differs between the amount of USD 178.1 million to USD 1.5 billion, while the total </w:t>
      </w:r>
      <w:r w:rsidR="00BC228C">
        <w:rPr>
          <w:rFonts w:ascii="Times New Roman" w:hAnsi="Times New Roman" w:cs="Times New Roman"/>
          <w:color w:val="000000"/>
          <w:sz w:val="24"/>
          <w:szCs w:val="24"/>
          <w:shd w:val="clear" w:color="auto" w:fill="FFFFFF"/>
        </w:rPr>
        <w:t xml:space="preserve">combined </w:t>
      </w:r>
      <w:r w:rsidRPr="00251B2C">
        <w:rPr>
          <w:rFonts w:ascii="Times New Roman" w:hAnsi="Times New Roman" w:cs="Times New Roman"/>
          <w:color w:val="000000"/>
          <w:sz w:val="24"/>
          <w:szCs w:val="24"/>
          <w:shd w:val="clear" w:color="auto" w:fill="FFFFFF"/>
        </w:rPr>
        <w:t xml:space="preserve">amount of </w:t>
      </w:r>
      <w:r w:rsidR="000F4C35" w:rsidRPr="00C74AEF">
        <w:rPr>
          <w:rFonts w:ascii="Times New Roman" w:hAnsi="Times New Roman" w:cs="Times New Roman"/>
          <w:i/>
          <w:iCs/>
          <w:color w:val="000000"/>
          <w:sz w:val="24"/>
          <w:szCs w:val="24"/>
          <w:shd w:val="clear" w:color="auto" w:fill="FFFFFF"/>
        </w:rPr>
        <w:t>Sukuk</w:t>
      </w:r>
      <w:r w:rsidRPr="00251B2C">
        <w:rPr>
          <w:rFonts w:ascii="Times New Roman" w:hAnsi="Times New Roman" w:cs="Times New Roman"/>
          <w:color w:val="000000"/>
          <w:sz w:val="24"/>
          <w:szCs w:val="24"/>
          <w:shd w:val="clear" w:color="auto" w:fill="FFFFFF"/>
        </w:rPr>
        <w:t xml:space="preserve"> issuance is USD 12.38 billion. The </w:t>
      </w:r>
      <w:proofErr w:type="spellStart"/>
      <w:r w:rsidRPr="00A12B21">
        <w:rPr>
          <w:rStyle w:val="hiddenspellerror"/>
          <w:rFonts w:ascii="Times New Roman" w:hAnsi="Times New Roman" w:cs="Times New Roman"/>
          <w:i/>
          <w:iCs/>
          <w:color w:val="000000"/>
          <w:sz w:val="24"/>
          <w:szCs w:val="24"/>
          <w:shd w:val="clear" w:color="auto" w:fill="FFFFFF"/>
        </w:rPr>
        <w:t>Ijarah</w:t>
      </w:r>
      <w:proofErr w:type="spellEnd"/>
      <w:r w:rsidRPr="00251B2C">
        <w:rPr>
          <w:rStyle w:val="apple-converted-space"/>
          <w:rFonts w:ascii="Times New Roman" w:hAnsi="Times New Roman" w:cs="Times New Roman"/>
          <w:color w:val="000000"/>
          <w:sz w:val="24"/>
          <w:szCs w:val="24"/>
          <w:shd w:val="clear" w:color="auto" w:fill="FFFFFF"/>
        </w:rPr>
        <w:t> </w:t>
      </w:r>
      <w:r w:rsidRPr="00251B2C">
        <w:rPr>
          <w:rStyle w:val="mceitemhidden"/>
          <w:rFonts w:ascii="Times New Roman" w:hAnsi="Times New Roman" w:cs="Times New Roman"/>
          <w:color w:val="000000"/>
          <w:sz w:val="24"/>
          <w:szCs w:val="24"/>
          <w:shd w:val="clear" w:color="auto" w:fill="FFFFFF"/>
        </w:rPr>
        <w:t>finance model was the most popular mode of financing a total of USD 6.23 billion, p</w:t>
      </w:r>
      <w:r w:rsidR="005E1BF6">
        <w:rPr>
          <w:rStyle w:val="mceitemhidden"/>
          <w:rFonts w:ascii="Times New Roman" w:hAnsi="Times New Roman" w:cs="Times New Roman"/>
          <w:color w:val="000000"/>
          <w:sz w:val="24"/>
          <w:szCs w:val="24"/>
          <w:shd w:val="clear" w:color="auto" w:fill="FFFFFF"/>
        </w:rPr>
        <w:t>resenting a total percentage of</w:t>
      </w:r>
      <w:r w:rsidRPr="00251B2C">
        <w:rPr>
          <w:rStyle w:val="mceitemhidden"/>
          <w:rFonts w:ascii="Times New Roman" w:hAnsi="Times New Roman" w:cs="Times New Roman"/>
          <w:color w:val="000000"/>
          <w:sz w:val="24"/>
          <w:szCs w:val="24"/>
          <w:shd w:val="clear" w:color="auto" w:fill="FFFFFF"/>
        </w:rPr>
        <w:t xml:space="preserve"> 50.3% </w:t>
      </w:r>
      <w:r w:rsidR="00C31C8C" w:rsidRPr="00251B2C">
        <w:rPr>
          <w:rStyle w:val="mceitemhidden"/>
          <w:rFonts w:ascii="Times New Roman" w:hAnsi="Times New Roman" w:cs="Times New Roman"/>
          <w:color w:val="000000"/>
          <w:sz w:val="24"/>
          <w:szCs w:val="24"/>
          <w:shd w:val="clear" w:color="auto" w:fill="FFFFFF"/>
        </w:rPr>
        <w:t>when compared</w:t>
      </w:r>
      <w:r w:rsidR="009A3C3B">
        <w:rPr>
          <w:rStyle w:val="mceitemhidden"/>
          <w:rFonts w:ascii="Times New Roman" w:hAnsi="Times New Roman" w:cs="Times New Roman"/>
          <w:color w:val="000000"/>
          <w:sz w:val="24"/>
          <w:szCs w:val="24"/>
          <w:shd w:val="clear" w:color="auto" w:fill="FFFFFF"/>
        </w:rPr>
        <w:t xml:space="preserve"> to</w:t>
      </w:r>
      <w:r w:rsidRPr="00251B2C">
        <w:rPr>
          <w:rStyle w:val="mceitemhidden"/>
          <w:rFonts w:ascii="Times New Roman" w:hAnsi="Times New Roman" w:cs="Times New Roman"/>
          <w:color w:val="000000"/>
          <w:sz w:val="24"/>
          <w:szCs w:val="24"/>
          <w:shd w:val="clear" w:color="auto" w:fill="FFFFFF"/>
        </w:rPr>
        <w:t xml:space="preserve"> other financing modes. Second</w:t>
      </w:r>
      <w:r w:rsidR="009A3C3B">
        <w:rPr>
          <w:rStyle w:val="mceitemhidden"/>
          <w:rFonts w:ascii="Times New Roman" w:hAnsi="Times New Roman" w:cs="Times New Roman"/>
          <w:color w:val="000000"/>
          <w:sz w:val="24"/>
          <w:szCs w:val="24"/>
          <w:shd w:val="clear" w:color="auto" w:fill="FFFFFF"/>
        </w:rPr>
        <w:t>ly, the</w:t>
      </w:r>
      <w:r w:rsidRPr="00251B2C">
        <w:rPr>
          <w:rStyle w:val="mceitemhidden"/>
          <w:rFonts w:ascii="Times New Roman" w:hAnsi="Times New Roman" w:cs="Times New Roman"/>
          <w:color w:val="000000"/>
          <w:sz w:val="24"/>
          <w:szCs w:val="24"/>
          <w:shd w:val="clear" w:color="auto" w:fill="FFFFFF"/>
        </w:rPr>
        <w:t xml:space="preserve"> largest</w:t>
      </w:r>
      <w:r w:rsidRPr="00251B2C">
        <w:rPr>
          <w:rStyle w:val="apple-converted-space"/>
          <w:rFonts w:ascii="Times New Roman" w:hAnsi="Times New Roman" w:cs="Times New Roman"/>
          <w:color w:val="000000"/>
          <w:sz w:val="24"/>
          <w:szCs w:val="24"/>
          <w:shd w:val="clear" w:color="auto" w:fill="FFFFFF"/>
        </w:rPr>
        <w:t> </w:t>
      </w:r>
      <w:r w:rsidR="000F4C35" w:rsidRPr="00C74AEF">
        <w:rPr>
          <w:rFonts w:ascii="Times New Roman" w:hAnsi="Times New Roman" w:cs="Times New Roman"/>
          <w:i/>
          <w:iCs/>
          <w:color w:val="000000"/>
          <w:sz w:val="24"/>
          <w:szCs w:val="24"/>
          <w:shd w:val="clear" w:color="auto" w:fill="FFFFFF"/>
        </w:rPr>
        <w:t>Sukuk</w:t>
      </w:r>
      <w:r w:rsidRPr="00251B2C">
        <w:rPr>
          <w:rStyle w:val="apple-converted-space"/>
          <w:rFonts w:ascii="Times New Roman" w:hAnsi="Times New Roman" w:cs="Times New Roman"/>
          <w:color w:val="000000"/>
          <w:sz w:val="24"/>
          <w:szCs w:val="24"/>
          <w:shd w:val="clear" w:color="auto" w:fill="FFFFFF"/>
        </w:rPr>
        <w:t> </w:t>
      </w:r>
      <w:r w:rsidRPr="00251B2C">
        <w:rPr>
          <w:rStyle w:val="mceitemhidden"/>
          <w:rFonts w:ascii="Times New Roman" w:hAnsi="Times New Roman" w:cs="Times New Roman"/>
          <w:color w:val="000000"/>
          <w:sz w:val="24"/>
          <w:szCs w:val="24"/>
          <w:shd w:val="clear" w:color="auto" w:fill="FFFFFF"/>
        </w:rPr>
        <w:t>issuances was</w:t>
      </w:r>
      <w:r w:rsidRPr="00251B2C">
        <w:rPr>
          <w:rStyle w:val="apple-converted-space"/>
          <w:rFonts w:ascii="Times New Roman" w:hAnsi="Times New Roman" w:cs="Times New Roman"/>
          <w:color w:val="000000"/>
          <w:sz w:val="24"/>
          <w:szCs w:val="24"/>
          <w:shd w:val="clear" w:color="auto" w:fill="FFFFFF"/>
        </w:rPr>
        <w:t> </w:t>
      </w:r>
      <w:r w:rsidR="009A3C3B">
        <w:rPr>
          <w:rStyle w:val="apple-converted-space"/>
          <w:rFonts w:ascii="Times New Roman" w:hAnsi="Times New Roman" w:cs="Times New Roman"/>
          <w:color w:val="000000"/>
          <w:sz w:val="24"/>
          <w:szCs w:val="24"/>
          <w:shd w:val="clear" w:color="auto" w:fill="FFFFFF"/>
        </w:rPr>
        <w:t xml:space="preserve">the </w:t>
      </w:r>
      <w:proofErr w:type="spellStart"/>
      <w:r w:rsidRPr="00A12B21">
        <w:rPr>
          <w:rStyle w:val="hiddenspellerror"/>
          <w:rFonts w:ascii="Times New Roman" w:hAnsi="Times New Roman" w:cs="Times New Roman"/>
          <w:i/>
          <w:iCs/>
          <w:color w:val="000000"/>
          <w:sz w:val="24"/>
          <w:szCs w:val="24"/>
          <w:shd w:val="clear" w:color="auto" w:fill="FFFFFF"/>
        </w:rPr>
        <w:t>Mudarabah</w:t>
      </w:r>
      <w:proofErr w:type="spellEnd"/>
      <w:r w:rsidRPr="00251B2C">
        <w:rPr>
          <w:rStyle w:val="apple-converted-space"/>
          <w:rFonts w:ascii="Times New Roman" w:hAnsi="Times New Roman" w:cs="Times New Roman"/>
          <w:color w:val="000000"/>
          <w:sz w:val="24"/>
          <w:szCs w:val="24"/>
          <w:shd w:val="clear" w:color="auto" w:fill="FFFFFF"/>
        </w:rPr>
        <w:t> </w:t>
      </w:r>
      <w:r w:rsidRPr="00251B2C">
        <w:rPr>
          <w:rStyle w:val="mceitemhidden"/>
          <w:rFonts w:ascii="Times New Roman" w:hAnsi="Times New Roman" w:cs="Times New Roman"/>
          <w:color w:val="000000"/>
          <w:sz w:val="24"/>
          <w:szCs w:val="24"/>
          <w:shd w:val="clear" w:color="auto" w:fill="FFFFFF"/>
        </w:rPr>
        <w:t xml:space="preserve">model </w:t>
      </w:r>
      <w:r w:rsidR="009A3C3B">
        <w:rPr>
          <w:rStyle w:val="mceitemhidden"/>
          <w:rFonts w:ascii="Times New Roman" w:hAnsi="Times New Roman" w:cs="Times New Roman"/>
          <w:color w:val="000000"/>
          <w:sz w:val="24"/>
          <w:szCs w:val="24"/>
          <w:shd w:val="clear" w:color="auto" w:fill="FFFFFF"/>
        </w:rPr>
        <w:t xml:space="preserve">offering </w:t>
      </w:r>
      <w:r w:rsidRPr="00251B2C">
        <w:rPr>
          <w:rStyle w:val="mceitemhidden"/>
          <w:rFonts w:ascii="Times New Roman" w:hAnsi="Times New Roman" w:cs="Times New Roman"/>
          <w:color w:val="000000"/>
          <w:sz w:val="24"/>
          <w:szCs w:val="24"/>
          <w:shd w:val="clear" w:color="auto" w:fill="FFFFFF"/>
        </w:rPr>
        <w:t xml:space="preserve">a value of 28.3%, a total amount of USD 3.5 billion, and </w:t>
      </w:r>
      <w:proofErr w:type="spellStart"/>
      <w:r w:rsidRPr="00A12B21">
        <w:rPr>
          <w:rStyle w:val="hiddenspellerror"/>
          <w:rFonts w:ascii="Times New Roman" w:hAnsi="Times New Roman" w:cs="Times New Roman"/>
          <w:i/>
          <w:iCs/>
          <w:color w:val="000000"/>
          <w:sz w:val="24"/>
          <w:szCs w:val="24"/>
          <w:shd w:val="clear" w:color="auto" w:fill="FFFFFF"/>
        </w:rPr>
        <w:t>Wakalah</w:t>
      </w:r>
      <w:proofErr w:type="spellEnd"/>
      <w:r w:rsidRPr="00251B2C">
        <w:rPr>
          <w:rStyle w:val="apple-converted-space"/>
          <w:rFonts w:ascii="Times New Roman" w:hAnsi="Times New Roman" w:cs="Times New Roman"/>
          <w:color w:val="000000"/>
          <w:sz w:val="24"/>
          <w:szCs w:val="24"/>
          <w:shd w:val="clear" w:color="auto" w:fill="FFFFFF"/>
        </w:rPr>
        <w:t> </w:t>
      </w:r>
      <w:r w:rsidRPr="00251B2C">
        <w:rPr>
          <w:rStyle w:val="mceitemhidden"/>
          <w:rFonts w:ascii="Times New Roman" w:hAnsi="Times New Roman" w:cs="Times New Roman"/>
          <w:color w:val="000000"/>
          <w:sz w:val="24"/>
          <w:szCs w:val="24"/>
          <w:shd w:val="clear" w:color="auto" w:fill="FFFFFF"/>
        </w:rPr>
        <w:t>asset financing was a percentage of 21.4%.</w:t>
      </w:r>
    </w:p>
    <w:p w14:paraId="07EC2175" w14:textId="039357E5" w:rsidR="00A755F5" w:rsidRPr="00251B2C" w:rsidRDefault="009538A3" w:rsidP="00A755F5">
      <w:pPr>
        <w:pStyle w:val="Caption"/>
        <w:keepNext/>
        <w:rPr>
          <w:rFonts w:ascii="Times New Roman" w:hAnsi="Times New Roman" w:cs="Times New Roman"/>
          <w:sz w:val="24"/>
          <w:szCs w:val="24"/>
        </w:rPr>
      </w:pPr>
      <w:bookmarkStart w:id="21" w:name="_Toc481617419"/>
      <w:bookmarkEnd w:id="19"/>
      <w:bookmarkEnd w:id="20"/>
      <w:r>
        <w:rPr>
          <w:rFonts w:ascii="Times New Roman" w:eastAsia="Times New Roman" w:hAnsi="Times New Roman" w:cs="Times New Roman"/>
          <w:sz w:val="24"/>
          <w:szCs w:val="24"/>
        </w:rPr>
        <w:t>Table 2</w:t>
      </w:r>
      <w:r w:rsidR="00401058">
        <w:rPr>
          <w:rFonts w:ascii="Times New Roman" w:hAnsi="Times New Roman" w:cs="Times New Roman"/>
          <w:sz w:val="24"/>
          <w:szCs w:val="24"/>
        </w:rPr>
        <w:t>: List of Conventional B</w:t>
      </w:r>
      <w:r w:rsidR="00A755F5" w:rsidRPr="00251B2C">
        <w:rPr>
          <w:rFonts w:ascii="Times New Roman" w:hAnsi="Times New Roman" w:cs="Times New Roman"/>
          <w:sz w:val="24"/>
          <w:szCs w:val="24"/>
        </w:rPr>
        <w:t>onds</w:t>
      </w:r>
      <w:bookmarkEnd w:id="21"/>
    </w:p>
    <w:tbl>
      <w:tblPr>
        <w:tblW w:w="8363" w:type="dxa"/>
        <w:tblInd w:w="132" w:type="dxa"/>
        <w:tblLayout w:type="fixed"/>
        <w:tblLook w:val="04A0" w:firstRow="1" w:lastRow="0" w:firstColumn="1" w:lastColumn="0" w:noHBand="0" w:noVBand="1"/>
      </w:tblPr>
      <w:tblGrid>
        <w:gridCol w:w="2693"/>
        <w:gridCol w:w="993"/>
        <w:gridCol w:w="1134"/>
        <w:gridCol w:w="850"/>
        <w:gridCol w:w="1134"/>
        <w:gridCol w:w="1559"/>
      </w:tblGrid>
      <w:tr w:rsidR="00A755F5" w:rsidRPr="00965789" w14:paraId="7FEE693F" w14:textId="77777777" w:rsidTr="00A755F5">
        <w:trPr>
          <w:trHeight w:val="323"/>
        </w:trPr>
        <w:tc>
          <w:tcPr>
            <w:tcW w:w="269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8CC29B3" w14:textId="77777777" w:rsidR="00A755F5" w:rsidRPr="00965789" w:rsidRDefault="00A755F5" w:rsidP="00C74AEF">
            <w:pPr>
              <w:pStyle w:val="Heading5"/>
              <w:rPr>
                <w:rFonts w:ascii="Times New Roman" w:hAnsi="Times New Roman" w:cs="Times New Roman"/>
                <w:sz w:val="19"/>
                <w:szCs w:val="19"/>
              </w:rPr>
            </w:pPr>
            <w:r w:rsidRPr="00965789">
              <w:rPr>
                <w:rFonts w:ascii="Times New Roman" w:hAnsi="Times New Roman" w:cs="Times New Roman"/>
                <w:sz w:val="19"/>
                <w:szCs w:val="19"/>
              </w:rPr>
              <w:t>List of Bonds</w:t>
            </w:r>
          </w:p>
        </w:tc>
        <w:tc>
          <w:tcPr>
            <w:tcW w:w="993" w:type="dxa"/>
            <w:tcBorders>
              <w:top w:val="single" w:sz="8" w:space="0" w:color="auto"/>
              <w:left w:val="nil"/>
              <w:bottom w:val="single" w:sz="8" w:space="0" w:color="auto"/>
              <w:right w:val="single" w:sz="4" w:space="0" w:color="auto"/>
            </w:tcBorders>
            <w:shd w:val="clear" w:color="auto" w:fill="auto"/>
            <w:vAlign w:val="center"/>
            <w:hideMark/>
          </w:tcPr>
          <w:p w14:paraId="1B68613E" w14:textId="77777777" w:rsidR="00A755F5" w:rsidRPr="00965789" w:rsidRDefault="00A755F5" w:rsidP="00C74AEF">
            <w:pPr>
              <w:spacing w:after="0" w:line="240" w:lineRule="auto"/>
              <w:jc w:val="center"/>
              <w:rPr>
                <w:rFonts w:ascii="Times New Roman" w:eastAsia="Times New Roman" w:hAnsi="Times New Roman" w:cs="Times New Roman"/>
                <w:b/>
                <w:bCs/>
                <w:sz w:val="19"/>
                <w:szCs w:val="19"/>
                <w:lang w:eastAsia="en-GB"/>
              </w:rPr>
            </w:pPr>
            <w:r w:rsidRPr="00965789">
              <w:rPr>
                <w:rFonts w:ascii="Times New Roman" w:eastAsia="Times New Roman" w:hAnsi="Times New Roman" w:cs="Times New Roman"/>
                <w:b/>
                <w:bCs/>
                <w:sz w:val="19"/>
                <w:szCs w:val="19"/>
                <w:lang w:eastAsia="en-GB"/>
              </w:rPr>
              <w:t>Issue date</w:t>
            </w:r>
          </w:p>
        </w:tc>
        <w:tc>
          <w:tcPr>
            <w:tcW w:w="1134" w:type="dxa"/>
            <w:tcBorders>
              <w:top w:val="single" w:sz="8" w:space="0" w:color="auto"/>
              <w:left w:val="nil"/>
              <w:bottom w:val="single" w:sz="8" w:space="0" w:color="auto"/>
              <w:right w:val="nil"/>
            </w:tcBorders>
            <w:shd w:val="clear" w:color="auto" w:fill="auto"/>
            <w:vAlign w:val="center"/>
            <w:hideMark/>
          </w:tcPr>
          <w:p w14:paraId="0E673742" w14:textId="77777777" w:rsidR="00A755F5" w:rsidRPr="00965789" w:rsidRDefault="00A755F5" w:rsidP="00C74AEF">
            <w:pPr>
              <w:spacing w:after="0" w:line="240" w:lineRule="auto"/>
              <w:jc w:val="center"/>
              <w:rPr>
                <w:rFonts w:ascii="Times New Roman" w:eastAsia="Times New Roman" w:hAnsi="Times New Roman" w:cs="Times New Roman"/>
                <w:b/>
                <w:bCs/>
                <w:sz w:val="19"/>
                <w:szCs w:val="19"/>
                <w:lang w:eastAsia="en-GB"/>
              </w:rPr>
            </w:pPr>
            <w:r w:rsidRPr="00965789">
              <w:rPr>
                <w:rFonts w:ascii="Times New Roman" w:eastAsia="Times New Roman" w:hAnsi="Times New Roman" w:cs="Times New Roman"/>
                <w:b/>
                <w:bCs/>
                <w:sz w:val="19"/>
                <w:szCs w:val="19"/>
                <w:lang w:eastAsia="en-GB"/>
              </w:rPr>
              <w:t>Maturity</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BF8724" w14:textId="77777777" w:rsidR="00A755F5" w:rsidRPr="00965789" w:rsidRDefault="00A755F5" w:rsidP="00C74AEF">
            <w:pPr>
              <w:pStyle w:val="Heading7"/>
              <w:spacing w:after="0" w:line="240" w:lineRule="auto"/>
              <w:rPr>
                <w:rFonts w:ascii="Times New Roman" w:hAnsi="Times New Roman" w:cs="Times New Roman"/>
                <w:sz w:val="19"/>
                <w:szCs w:val="19"/>
                <w:lang w:eastAsia="en-US"/>
              </w:rPr>
            </w:pPr>
            <w:r w:rsidRPr="00965789">
              <w:rPr>
                <w:rFonts w:ascii="Times New Roman" w:hAnsi="Times New Roman" w:cs="Times New Roman"/>
                <w:sz w:val="19"/>
                <w:szCs w:val="19"/>
                <w:lang w:eastAsia="en-US"/>
              </w:rPr>
              <w:br/>
              <w:t>Tenor</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14:paraId="56B03157" w14:textId="77777777" w:rsidR="00A755F5" w:rsidRPr="00965789" w:rsidRDefault="00A755F5" w:rsidP="00C74AEF">
            <w:pPr>
              <w:spacing w:after="0" w:line="240" w:lineRule="auto"/>
              <w:rPr>
                <w:rFonts w:ascii="Times New Roman" w:hAnsi="Times New Roman" w:cs="Times New Roman"/>
                <w:sz w:val="19"/>
                <w:szCs w:val="19"/>
              </w:rPr>
            </w:pPr>
            <w:r w:rsidRPr="00965789">
              <w:rPr>
                <w:rFonts w:ascii="Times New Roman" w:hAnsi="Times New Roman" w:cs="Times New Roman"/>
                <w:b/>
                <w:sz w:val="19"/>
                <w:szCs w:val="19"/>
              </w:rPr>
              <w:br/>
              <w:t>Amounts</w:t>
            </w:r>
          </w:p>
        </w:tc>
        <w:tc>
          <w:tcPr>
            <w:tcW w:w="1559" w:type="dxa"/>
            <w:tcBorders>
              <w:top w:val="single" w:sz="4" w:space="0" w:color="auto"/>
              <w:left w:val="nil"/>
              <w:bottom w:val="single" w:sz="8" w:space="0" w:color="auto"/>
              <w:right w:val="single" w:sz="8" w:space="0" w:color="auto"/>
            </w:tcBorders>
            <w:shd w:val="clear" w:color="auto" w:fill="auto"/>
            <w:noWrap/>
            <w:vAlign w:val="center"/>
            <w:hideMark/>
          </w:tcPr>
          <w:p w14:paraId="4061B876" w14:textId="77777777" w:rsidR="00A755F5" w:rsidRPr="00965789" w:rsidRDefault="00A755F5" w:rsidP="00C74AEF">
            <w:pPr>
              <w:spacing w:after="0" w:line="240" w:lineRule="auto"/>
              <w:jc w:val="center"/>
              <w:rPr>
                <w:rFonts w:ascii="Times New Roman" w:eastAsia="Times New Roman" w:hAnsi="Times New Roman" w:cs="Times New Roman"/>
                <w:b/>
                <w:bCs/>
                <w:sz w:val="19"/>
                <w:szCs w:val="19"/>
                <w:lang w:eastAsia="en-GB"/>
              </w:rPr>
            </w:pPr>
            <w:r w:rsidRPr="00965789">
              <w:rPr>
                <w:rFonts w:ascii="Times New Roman" w:eastAsia="Times New Roman" w:hAnsi="Times New Roman" w:cs="Times New Roman"/>
                <w:b/>
                <w:bCs/>
                <w:sz w:val="19"/>
                <w:szCs w:val="19"/>
                <w:lang w:eastAsia="en-GB"/>
              </w:rPr>
              <w:t>Type</w:t>
            </w:r>
          </w:p>
        </w:tc>
      </w:tr>
      <w:tr w:rsidR="00A755F5" w:rsidRPr="00965789" w14:paraId="3371CFDB" w14:textId="77777777" w:rsidTr="00A755F5">
        <w:trPr>
          <w:trHeight w:val="342"/>
        </w:trPr>
        <w:tc>
          <w:tcPr>
            <w:tcW w:w="2693" w:type="dxa"/>
            <w:tcBorders>
              <w:top w:val="nil"/>
              <w:left w:val="single" w:sz="8" w:space="0" w:color="auto"/>
              <w:bottom w:val="single" w:sz="4" w:space="0" w:color="auto"/>
              <w:right w:val="single" w:sz="4" w:space="0" w:color="auto"/>
            </w:tcBorders>
            <w:shd w:val="clear" w:color="auto" w:fill="auto"/>
            <w:vAlign w:val="center"/>
            <w:hideMark/>
          </w:tcPr>
          <w:p w14:paraId="784882AE" w14:textId="77777777" w:rsidR="00A755F5" w:rsidRPr="00965789" w:rsidRDefault="00A755F5" w:rsidP="00C74AEF">
            <w:pPr>
              <w:spacing w:after="0" w:line="240" w:lineRule="auto"/>
              <w:rPr>
                <w:rFonts w:ascii="Times New Roman" w:eastAsia="Times New Roman" w:hAnsi="Times New Roman" w:cs="Times New Roman"/>
                <w:color w:val="000000"/>
                <w:sz w:val="19"/>
                <w:szCs w:val="19"/>
                <w:lang w:eastAsia="en-GB"/>
              </w:rPr>
            </w:pPr>
            <w:r w:rsidRPr="00965789">
              <w:rPr>
                <w:rFonts w:ascii="Times New Roman" w:eastAsia="Times New Roman" w:hAnsi="Times New Roman" w:cs="Times New Roman"/>
                <w:color w:val="000000"/>
                <w:sz w:val="19"/>
                <w:szCs w:val="19"/>
                <w:lang w:eastAsia="en-GB"/>
              </w:rPr>
              <w:t>Agri Bank of China</w:t>
            </w:r>
          </w:p>
        </w:tc>
        <w:tc>
          <w:tcPr>
            <w:tcW w:w="993" w:type="dxa"/>
            <w:tcBorders>
              <w:top w:val="nil"/>
              <w:left w:val="nil"/>
              <w:bottom w:val="single" w:sz="4" w:space="0" w:color="auto"/>
              <w:right w:val="single" w:sz="4" w:space="0" w:color="auto"/>
            </w:tcBorders>
            <w:shd w:val="clear" w:color="auto" w:fill="auto"/>
            <w:noWrap/>
            <w:vAlign w:val="center"/>
            <w:hideMark/>
          </w:tcPr>
          <w:p w14:paraId="10CA4387"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15.09.14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A8D3E54"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11.9.17</w:t>
            </w:r>
          </w:p>
        </w:tc>
        <w:tc>
          <w:tcPr>
            <w:tcW w:w="850" w:type="dxa"/>
            <w:tcBorders>
              <w:top w:val="nil"/>
              <w:left w:val="nil"/>
              <w:bottom w:val="single" w:sz="4" w:space="0" w:color="auto"/>
              <w:right w:val="single" w:sz="4" w:space="0" w:color="auto"/>
            </w:tcBorders>
            <w:shd w:val="clear" w:color="auto" w:fill="auto"/>
            <w:noWrap/>
            <w:vAlign w:val="center"/>
            <w:hideMark/>
          </w:tcPr>
          <w:p w14:paraId="579CDD67"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3</w:t>
            </w:r>
          </w:p>
        </w:tc>
        <w:tc>
          <w:tcPr>
            <w:tcW w:w="1134" w:type="dxa"/>
            <w:tcBorders>
              <w:top w:val="nil"/>
              <w:left w:val="nil"/>
              <w:bottom w:val="single" w:sz="4" w:space="0" w:color="auto"/>
              <w:right w:val="single" w:sz="4" w:space="0" w:color="auto"/>
            </w:tcBorders>
            <w:shd w:val="clear" w:color="auto" w:fill="auto"/>
            <w:noWrap/>
            <w:vAlign w:val="center"/>
            <w:hideMark/>
          </w:tcPr>
          <w:p w14:paraId="37E69DCC"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 xml:space="preserve">USD15 </w:t>
            </w:r>
            <w:proofErr w:type="spellStart"/>
            <w:r w:rsidRPr="00965789">
              <w:rPr>
                <w:rFonts w:ascii="Times New Roman" w:eastAsia="Times New Roman" w:hAnsi="Times New Roman" w:cs="Times New Roman"/>
                <w:sz w:val="19"/>
                <w:szCs w:val="19"/>
                <w:lang w:eastAsia="en-GB"/>
              </w:rPr>
              <w:t>bln</w:t>
            </w:r>
            <w:proofErr w:type="spellEnd"/>
          </w:p>
        </w:tc>
        <w:tc>
          <w:tcPr>
            <w:tcW w:w="1559" w:type="dxa"/>
            <w:tcBorders>
              <w:top w:val="nil"/>
              <w:left w:val="nil"/>
              <w:bottom w:val="single" w:sz="4" w:space="0" w:color="auto"/>
              <w:right w:val="single" w:sz="8" w:space="0" w:color="auto"/>
            </w:tcBorders>
            <w:shd w:val="clear" w:color="auto" w:fill="auto"/>
            <w:noWrap/>
            <w:vAlign w:val="center"/>
            <w:hideMark/>
          </w:tcPr>
          <w:p w14:paraId="25406BBC" w14:textId="77777777" w:rsidR="00A755F5" w:rsidRPr="00965789" w:rsidRDefault="00A755F5" w:rsidP="00C74AEF">
            <w:pPr>
              <w:spacing w:after="0" w:line="240" w:lineRule="auto"/>
              <w:jc w:val="center"/>
              <w:rPr>
                <w:rFonts w:ascii="Times New Roman" w:eastAsia="Times New Roman" w:hAnsi="Times New Roman" w:cs="Times New Roman"/>
                <w:color w:val="000000"/>
                <w:sz w:val="19"/>
                <w:szCs w:val="19"/>
                <w:lang w:eastAsia="en-GB"/>
              </w:rPr>
            </w:pPr>
            <w:r w:rsidRPr="00965789">
              <w:rPr>
                <w:rFonts w:ascii="Times New Roman" w:eastAsia="Times New Roman" w:hAnsi="Times New Roman" w:cs="Times New Roman"/>
                <w:color w:val="000000"/>
                <w:sz w:val="19"/>
                <w:szCs w:val="19"/>
                <w:lang w:eastAsia="en-GB"/>
              </w:rPr>
              <w:t>Medium Term Notes</w:t>
            </w:r>
          </w:p>
        </w:tc>
      </w:tr>
      <w:tr w:rsidR="00A755F5" w:rsidRPr="00965789" w14:paraId="1F19F031" w14:textId="77777777" w:rsidTr="00A755F5">
        <w:trPr>
          <w:trHeight w:val="342"/>
        </w:trPr>
        <w:tc>
          <w:tcPr>
            <w:tcW w:w="2693" w:type="dxa"/>
            <w:tcBorders>
              <w:top w:val="nil"/>
              <w:left w:val="single" w:sz="8" w:space="0" w:color="auto"/>
              <w:bottom w:val="single" w:sz="4" w:space="0" w:color="auto"/>
              <w:right w:val="single" w:sz="4" w:space="0" w:color="auto"/>
            </w:tcBorders>
            <w:shd w:val="clear" w:color="auto" w:fill="auto"/>
            <w:vAlign w:val="center"/>
            <w:hideMark/>
          </w:tcPr>
          <w:p w14:paraId="303FE61E" w14:textId="77777777" w:rsidR="00A755F5" w:rsidRPr="00965789" w:rsidRDefault="00A755F5" w:rsidP="00C74AEF">
            <w:pPr>
              <w:spacing w:after="0" w:line="240" w:lineRule="auto"/>
              <w:rPr>
                <w:rFonts w:ascii="Times New Roman" w:eastAsia="Times New Roman" w:hAnsi="Times New Roman" w:cs="Times New Roman"/>
                <w:color w:val="000000"/>
                <w:sz w:val="19"/>
                <w:szCs w:val="19"/>
                <w:lang w:eastAsia="en-GB"/>
              </w:rPr>
            </w:pPr>
            <w:r w:rsidRPr="00965789">
              <w:rPr>
                <w:rFonts w:ascii="Times New Roman" w:eastAsia="Times New Roman" w:hAnsi="Times New Roman" w:cs="Times New Roman"/>
                <w:color w:val="000000"/>
                <w:sz w:val="19"/>
                <w:szCs w:val="19"/>
                <w:lang w:eastAsia="en-GB"/>
              </w:rPr>
              <w:t>Bank of China Ltd AD</w:t>
            </w:r>
          </w:p>
        </w:tc>
        <w:tc>
          <w:tcPr>
            <w:tcW w:w="993" w:type="dxa"/>
            <w:tcBorders>
              <w:top w:val="nil"/>
              <w:left w:val="nil"/>
              <w:bottom w:val="single" w:sz="4" w:space="0" w:color="auto"/>
              <w:right w:val="single" w:sz="4" w:space="0" w:color="auto"/>
            </w:tcBorders>
            <w:shd w:val="clear" w:color="auto" w:fill="auto"/>
            <w:noWrap/>
            <w:vAlign w:val="center"/>
            <w:hideMark/>
          </w:tcPr>
          <w:p w14:paraId="1E6BD369"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01.07.15</w:t>
            </w:r>
          </w:p>
        </w:tc>
        <w:tc>
          <w:tcPr>
            <w:tcW w:w="1134" w:type="dxa"/>
            <w:tcBorders>
              <w:top w:val="nil"/>
              <w:left w:val="nil"/>
              <w:bottom w:val="single" w:sz="4" w:space="0" w:color="auto"/>
              <w:right w:val="single" w:sz="4" w:space="0" w:color="auto"/>
            </w:tcBorders>
            <w:shd w:val="clear" w:color="auto" w:fill="auto"/>
            <w:noWrap/>
            <w:vAlign w:val="center"/>
            <w:hideMark/>
          </w:tcPr>
          <w:p w14:paraId="299A13B3"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30.6.17</w:t>
            </w:r>
          </w:p>
        </w:tc>
        <w:tc>
          <w:tcPr>
            <w:tcW w:w="850" w:type="dxa"/>
            <w:tcBorders>
              <w:top w:val="nil"/>
              <w:left w:val="nil"/>
              <w:bottom w:val="single" w:sz="4" w:space="0" w:color="auto"/>
              <w:right w:val="single" w:sz="4" w:space="0" w:color="auto"/>
            </w:tcBorders>
            <w:shd w:val="clear" w:color="auto" w:fill="auto"/>
            <w:noWrap/>
            <w:vAlign w:val="center"/>
            <w:hideMark/>
          </w:tcPr>
          <w:p w14:paraId="16F2887B"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3</w:t>
            </w:r>
          </w:p>
        </w:tc>
        <w:tc>
          <w:tcPr>
            <w:tcW w:w="1134" w:type="dxa"/>
            <w:tcBorders>
              <w:top w:val="nil"/>
              <w:left w:val="nil"/>
              <w:bottom w:val="single" w:sz="4" w:space="0" w:color="auto"/>
              <w:right w:val="single" w:sz="4" w:space="0" w:color="auto"/>
            </w:tcBorders>
            <w:shd w:val="clear" w:color="auto" w:fill="auto"/>
            <w:noWrap/>
            <w:vAlign w:val="center"/>
            <w:hideMark/>
          </w:tcPr>
          <w:p w14:paraId="716A90FA"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 xml:space="preserve">USD20 </w:t>
            </w:r>
            <w:proofErr w:type="spellStart"/>
            <w:r w:rsidRPr="00965789">
              <w:rPr>
                <w:rFonts w:ascii="Times New Roman" w:eastAsia="Times New Roman" w:hAnsi="Times New Roman" w:cs="Times New Roman"/>
                <w:sz w:val="19"/>
                <w:szCs w:val="19"/>
                <w:lang w:eastAsia="en-GB"/>
              </w:rPr>
              <w:t>bln</w:t>
            </w:r>
            <w:proofErr w:type="spellEnd"/>
          </w:p>
        </w:tc>
        <w:tc>
          <w:tcPr>
            <w:tcW w:w="1559" w:type="dxa"/>
            <w:tcBorders>
              <w:top w:val="nil"/>
              <w:left w:val="nil"/>
              <w:bottom w:val="single" w:sz="4" w:space="0" w:color="auto"/>
              <w:right w:val="single" w:sz="8" w:space="0" w:color="auto"/>
            </w:tcBorders>
            <w:shd w:val="clear" w:color="auto" w:fill="auto"/>
            <w:noWrap/>
            <w:vAlign w:val="center"/>
            <w:hideMark/>
          </w:tcPr>
          <w:p w14:paraId="2048ACCD" w14:textId="77777777" w:rsidR="00A755F5" w:rsidRPr="00965789" w:rsidRDefault="00A755F5" w:rsidP="00C74AEF">
            <w:pPr>
              <w:spacing w:after="0" w:line="240" w:lineRule="auto"/>
              <w:jc w:val="center"/>
              <w:rPr>
                <w:rFonts w:ascii="Times New Roman" w:eastAsia="Times New Roman" w:hAnsi="Times New Roman" w:cs="Times New Roman"/>
                <w:color w:val="000000"/>
                <w:sz w:val="19"/>
                <w:szCs w:val="19"/>
                <w:lang w:eastAsia="en-GB"/>
              </w:rPr>
            </w:pPr>
            <w:r w:rsidRPr="00965789">
              <w:rPr>
                <w:rFonts w:ascii="Times New Roman" w:eastAsia="Times New Roman" w:hAnsi="Times New Roman" w:cs="Times New Roman"/>
                <w:color w:val="000000"/>
                <w:sz w:val="19"/>
                <w:szCs w:val="19"/>
                <w:lang w:eastAsia="en-GB"/>
              </w:rPr>
              <w:t>Notes</w:t>
            </w:r>
          </w:p>
        </w:tc>
      </w:tr>
      <w:tr w:rsidR="00A755F5" w:rsidRPr="00965789" w14:paraId="0AE07EE2" w14:textId="77777777" w:rsidTr="00A755F5">
        <w:trPr>
          <w:trHeight w:val="342"/>
        </w:trPr>
        <w:tc>
          <w:tcPr>
            <w:tcW w:w="2693" w:type="dxa"/>
            <w:tcBorders>
              <w:top w:val="nil"/>
              <w:left w:val="single" w:sz="8" w:space="0" w:color="auto"/>
              <w:bottom w:val="single" w:sz="4" w:space="0" w:color="auto"/>
              <w:right w:val="single" w:sz="4" w:space="0" w:color="auto"/>
            </w:tcBorders>
            <w:shd w:val="clear" w:color="auto" w:fill="auto"/>
            <w:vAlign w:val="center"/>
            <w:hideMark/>
          </w:tcPr>
          <w:p w14:paraId="412058B9" w14:textId="77777777" w:rsidR="00A755F5" w:rsidRPr="00965789" w:rsidRDefault="00A755F5" w:rsidP="00C74AEF">
            <w:pPr>
              <w:spacing w:after="0" w:line="240" w:lineRule="auto"/>
              <w:rPr>
                <w:rFonts w:ascii="Times New Roman" w:eastAsia="Times New Roman" w:hAnsi="Times New Roman" w:cs="Times New Roman"/>
                <w:color w:val="000000"/>
                <w:sz w:val="19"/>
                <w:szCs w:val="19"/>
                <w:lang w:eastAsia="en-GB"/>
              </w:rPr>
            </w:pPr>
            <w:r w:rsidRPr="00965789">
              <w:rPr>
                <w:rFonts w:ascii="Times New Roman" w:eastAsia="Times New Roman" w:hAnsi="Times New Roman" w:cs="Times New Roman"/>
                <w:color w:val="000000"/>
                <w:sz w:val="19"/>
                <w:szCs w:val="19"/>
                <w:lang w:eastAsia="en-GB"/>
              </w:rPr>
              <w:t xml:space="preserve">DP World Ltd GMTN - </w:t>
            </w:r>
            <w:proofErr w:type="spellStart"/>
            <w:r w:rsidRPr="00965789">
              <w:rPr>
                <w:rFonts w:ascii="Times New Roman" w:eastAsia="Times New Roman" w:hAnsi="Times New Roman" w:cs="Times New Roman"/>
                <w:color w:val="000000"/>
                <w:sz w:val="19"/>
                <w:szCs w:val="19"/>
                <w:lang w:eastAsia="en-GB"/>
              </w:rPr>
              <w:t>RegS</w:t>
            </w:r>
            <w:proofErr w:type="spellEnd"/>
          </w:p>
        </w:tc>
        <w:tc>
          <w:tcPr>
            <w:tcW w:w="993" w:type="dxa"/>
            <w:tcBorders>
              <w:top w:val="nil"/>
              <w:left w:val="nil"/>
              <w:bottom w:val="single" w:sz="4" w:space="0" w:color="auto"/>
              <w:right w:val="single" w:sz="4" w:space="0" w:color="auto"/>
            </w:tcBorders>
            <w:shd w:val="clear" w:color="auto" w:fill="auto"/>
            <w:vAlign w:val="center"/>
            <w:hideMark/>
          </w:tcPr>
          <w:p w14:paraId="10F891A5"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10.06.15</w:t>
            </w:r>
          </w:p>
        </w:tc>
        <w:tc>
          <w:tcPr>
            <w:tcW w:w="1134" w:type="dxa"/>
            <w:tcBorders>
              <w:top w:val="nil"/>
              <w:left w:val="nil"/>
              <w:bottom w:val="single" w:sz="4" w:space="0" w:color="auto"/>
              <w:right w:val="single" w:sz="4" w:space="0" w:color="auto"/>
            </w:tcBorders>
            <w:shd w:val="clear" w:color="auto" w:fill="auto"/>
            <w:noWrap/>
            <w:vAlign w:val="center"/>
            <w:hideMark/>
          </w:tcPr>
          <w:p w14:paraId="2AF811A7"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18.05.20</w:t>
            </w:r>
          </w:p>
        </w:tc>
        <w:tc>
          <w:tcPr>
            <w:tcW w:w="850" w:type="dxa"/>
            <w:tcBorders>
              <w:top w:val="nil"/>
              <w:left w:val="nil"/>
              <w:bottom w:val="single" w:sz="4" w:space="0" w:color="auto"/>
              <w:right w:val="single" w:sz="4" w:space="0" w:color="auto"/>
            </w:tcBorders>
            <w:shd w:val="clear" w:color="auto" w:fill="auto"/>
            <w:noWrap/>
            <w:vAlign w:val="center"/>
            <w:hideMark/>
          </w:tcPr>
          <w:p w14:paraId="09C9FBAD"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5</w:t>
            </w:r>
          </w:p>
        </w:tc>
        <w:tc>
          <w:tcPr>
            <w:tcW w:w="1134" w:type="dxa"/>
            <w:tcBorders>
              <w:top w:val="nil"/>
              <w:left w:val="nil"/>
              <w:bottom w:val="single" w:sz="4" w:space="0" w:color="auto"/>
              <w:right w:val="single" w:sz="4" w:space="0" w:color="auto"/>
            </w:tcBorders>
            <w:shd w:val="clear" w:color="auto" w:fill="auto"/>
            <w:noWrap/>
            <w:vAlign w:val="center"/>
            <w:hideMark/>
          </w:tcPr>
          <w:p w14:paraId="24C8E4AE"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 xml:space="preserve">USD375.1 </w:t>
            </w:r>
            <w:proofErr w:type="spellStart"/>
            <w:r w:rsidRPr="00965789">
              <w:rPr>
                <w:rFonts w:ascii="Times New Roman" w:eastAsia="Times New Roman" w:hAnsi="Times New Roman" w:cs="Times New Roman"/>
                <w:sz w:val="19"/>
                <w:szCs w:val="19"/>
                <w:lang w:eastAsia="en-GB"/>
              </w:rPr>
              <w:t>mln</w:t>
            </w:r>
            <w:proofErr w:type="spellEnd"/>
          </w:p>
        </w:tc>
        <w:tc>
          <w:tcPr>
            <w:tcW w:w="1559" w:type="dxa"/>
            <w:tcBorders>
              <w:top w:val="nil"/>
              <w:left w:val="nil"/>
              <w:bottom w:val="single" w:sz="4" w:space="0" w:color="auto"/>
              <w:right w:val="single" w:sz="8" w:space="0" w:color="auto"/>
            </w:tcBorders>
            <w:shd w:val="clear" w:color="auto" w:fill="auto"/>
            <w:noWrap/>
            <w:vAlign w:val="center"/>
            <w:hideMark/>
          </w:tcPr>
          <w:p w14:paraId="49F9AFF7" w14:textId="77777777" w:rsidR="00A755F5" w:rsidRPr="00965789" w:rsidRDefault="00A755F5" w:rsidP="00C74AEF">
            <w:pPr>
              <w:spacing w:after="0" w:line="240" w:lineRule="auto"/>
              <w:jc w:val="center"/>
              <w:rPr>
                <w:rFonts w:ascii="Times New Roman" w:eastAsia="Times New Roman" w:hAnsi="Times New Roman" w:cs="Times New Roman"/>
                <w:color w:val="000000"/>
                <w:sz w:val="19"/>
                <w:szCs w:val="19"/>
                <w:lang w:eastAsia="en-GB"/>
              </w:rPr>
            </w:pPr>
            <w:r w:rsidRPr="00965789">
              <w:rPr>
                <w:rFonts w:ascii="Times New Roman" w:eastAsia="Times New Roman" w:hAnsi="Times New Roman" w:cs="Times New Roman"/>
                <w:color w:val="000000"/>
                <w:sz w:val="19"/>
                <w:szCs w:val="19"/>
                <w:lang w:eastAsia="en-GB"/>
              </w:rPr>
              <w:t>Bond</w:t>
            </w:r>
          </w:p>
        </w:tc>
      </w:tr>
      <w:tr w:rsidR="00A755F5" w:rsidRPr="00965789" w14:paraId="09554F7B" w14:textId="77777777" w:rsidTr="00A755F5">
        <w:trPr>
          <w:trHeight w:val="342"/>
        </w:trPr>
        <w:tc>
          <w:tcPr>
            <w:tcW w:w="2693" w:type="dxa"/>
            <w:tcBorders>
              <w:top w:val="nil"/>
              <w:left w:val="single" w:sz="8" w:space="0" w:color="auto"/>
              <w:bottom w:val="single" w:sz="4" w:space="0" w:color="auto"/>
              <w:right w:val="single" w:sz="4" w:space="0" w:color="auto"/>
            </w:tcBorders>
            <w:shd w:val="clear" w:color="auto" w:fill="auto"/>
            <w:vAlign w:val="center"/>
            <w:hideMark/>
          </w:tcPr>
          <w:p w14:paraId="61706A02" w14:textId="77777777" w:rsidR="00A755F5" w:rsidRPr="00965789" w:rsidRDefault="00A755F5" w:rsidP="00C74AEF">
            <w:pPr>
              <w:spacing w:after="0" w:line="240" w:lineRule="auto"/>
              <w:rPr>
                <w:rFonts w:ascii="Times New Roman" w:eastAsia="Times New Roman" w:hAnsi="Times New Roman" w:cs="Times New Roman"/>
                <w:color w:val="000000"/>
                <w:sz w:val="19"/>
                <w:szCs w:val="19"/>
                <w:lang w:eastAsia="en-GB"/>
              </w:rPr>
            </w:pPr>
            <w:r w:rsidRPr="00965789">
              <w:rPr>
                <w:rFonts w:ascii="Times New Roman" w:eastAsia="Times New Roman" w:hAnsi="Times New Roman" w:cs="Times New Roman"/>
                <w:color w:val="000000"/>
                <w:sz w:val="19"/>
                <w:szCs w:val="19"/>
                <w:lang w:eastAsia="en-GB"/>
              </w:rPr>
              <w:t>DP World Ltd- 144A</w:t>
            </w:r>
          </w:p>
        </w:tc>
        <w:tc>
          <w:tcPr>
            <w:tcW w:w="993" w:type="dxa"/>
            <w:tcBorders>
              <w:top w:val="nil"/>
              <w:left w:val="nil"/>
              <w:bottom w:val="single" w:sz="4" w:space="0" w:color="auto"/>
              <w:right w:val="single" w:sz="4" w:space="0" w:color="auto"/>
            </w:tcBorders>
            <w:shd w:val="clear" w:color="auto" w:fill="auto"/>
            <w:noWrap/>
            <w:vAlign w:val="center"/>
            <w:hideMark/>
          </w:tcPr>
          <w:p w14:paraId="309FBAA0"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10.06.15</w:t>
            </w:r>
          </w:p>
        </w:tc>
        <w:tc>
          <w:tcPr>
            <w:tcW w:w="1134" w:type="dxa"/>
            <w:tcBorders>
              <w:top w:val="nil"/>
              <w:left w:val="nil"/>
              <w:bottom w:val="single" w:sz="4" w:space="0" w:color="auto"/>
              <w:right w:val="single" w:sz="4" w:space="0" w:color="auto"/>
            </w:tcBorders>
            <w:shd w:val="clear" w:color="auto" w:fill="auto"/>
            <w:noWrap/>
            <w:vAlign w:val="center"/>
            <w:hideMark/>
          </w:tcPr>
          <w:p w14:paraId="7AC7552D"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18.05.20</w:t>
            </w:r>
          </w:p>
        </w:tc>
        <w:tc>
          <w:tcPr>
            <w:tcW w:w="850" w:type="dxa"/>
            <w:tcBorders>
              <w:top w:val="nil"/>
              <w:left w:val="nil"/>
              <w:bottom w:val="single" w:sz="4" w:space="0" w:color="auto"/>
              <w:right w:val="single" w:sz="4" w:space="0" w:color="auto"/>
            </w:tcBorders>
            <w:shd w:val="clear" w:color="auto" w:fill="auto"/>
            <w:noWrap/>
            <w:vAlign w:val="center"/>
            <w:hideMark/>
          </w:tcPr>
          <w:p w14:paraId="4C1BA35F"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5</w:t>
            </w:r>
          </w:p>
        </w:tc>
        <w:tc>
          <w:tcPr>
            <w:tcW w:w="1134" w:type="dxa"/>
            <w:tcBorders>
              <w:top w:val="nil"/>
              <w:left w:val="nil"/>
              <w:bottom w:val="single" w:sz="4" w:space="0" w:color="auto"/>
              <w:right w:val="single" w:sz="4" w:space="0" w:color="auto"/>
            </w:tcBorders>
            <w:shd w:val="clear" w:color="auto" w:fill="auto"/>
            <w:noWrap/>
            <w:vAlign w:val="center"/>
            <w:hideMark/>
          </w:tcPr>
          <w:p w14:paraId="5B574F73"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 xml:space="preserve">USD124.9 </w:t>
            </w:r>
            <w:proofErr w:type="spellStart"/>
            <w:r w:rsidRPr="00965789">
              <w:rPr>
                <w:rFonts w:ascii="Times New Roman" w:eastAsia="Times New Roman" w:hAnsi="Times New Roman" w:cs="Times New Roman"/>
                <w:sz w:val="19"/>
                <w:szCs w:val="19"/>
                <w:lang w:eastAsia="en-GB"/>
              </w:rPr>
              <w:t>mln</w:t>
            </w:r>
            <w:proofErr w:type="spellEnd"/>
          </w:p>
        </w:tc>
        <w:tc>
          <w:tcPr>
            <w:tcW w:w="1559" w:type="dxa"/>
            <w:tcBorders>
              <w:top w:val="nil"/>
              <w:left w:val="nil"/>
              <w:bottom w:val="single" w:sz="4" w:space="0" w:color="auto"/>
              <w:right w:val="single" w:sz="8" w:space="0" w:color="auto"/>
            </w:tcBorders>
            <w:shd w:val="clear" w:color="auto" w:fill="auto"/>
            <w:noWrap/>
            <w:vAlign w:val="center"/>
            <w:hideMark/>
          </w:tcPr>
          <w:p w14:paraId="3F8FC3BF" w14:textId="77777777" w:rsidR="00A755F5" w:rsidRPr="00965789" w:rsidRDefault="00A755F5" w:rsidP="00C74AEF">
            <w:pPr>
              <w:spacing w:after="0" w:line="240" w:lineRule="auto"/>
              <w:jc w:val="center"/>
              <w:rPr>
                <w:rFonts w:ascii="Times New Roman" w:eastAsia="Times New Roman" w:hAnsi="Times New Roman" w:cs="Times New Roman"/>
                <w:color w:val="000000"/>
                <w:sz w:val="19"/>
                <w:szCs w:val="19"/>
                <w:lang w:eastAsia="en-GB"/>
              </w:rPr>
            </w:pPr>
            <w:r w:rsidRPr="00965789">
              <w:rPr>
                <w:rFonts w:ascii="Times New Roman" w:eastAsia="Times New Roman" w:hAnsi="Times New Roman" w:cs="Times New Roman"/>
                <w:color w:val="000000"/>
                <w:sz w:val="19"/>
                <w:szCs w:val="19"/>
                <w:lang w:eastAsia="en-GB"/>
              </w:rPr>
              <w:t>Bond</w:t>
            </w:r>
          </w:p>
        </w:tc>
      </w:tr>
      <w:tr w:rsidR="00A755F5" w:rsidRPr="00965789" w14:paraId="6A14E6EE" w14:textId="77777777" w:rsidTr="00A755F5">
        <w:trPr>
          <w:trHeight w:val="342"/>
        </w:trPr>
        <w:tc>
          <w:tcPr>
            <w:tcW w:w="2693" w:type="dxa"/>
            <w:tcBorders>
              <w:top w:val="nil"/>
              <w:left w:val="single" w:sz="8" w:space="0" w:color="auto"/>
              <w:bottom w:val="single" w:sz="4" w:space="0" w:color="auto"/>
              <w:right w:val="single" w:sz="4" w:space="0" w:color="auto"/>
            </w:tcBorders>
            <w:shd w:val="clear" w:color="auto" w:fill="auto"/>
            <w:vAlign w:val="center"/>
            <w:hideMark/>
          </w:tcPr>
          <w:p w14:paraId="28D6D40A" w14:textId="77777777" w:rsidR="00A755F5" w:rsidRPr="00965789" w:rsidRDefault="00A755F5" w:rsidP="00C74AEF">
            <w:pPr>
              <w:spacing w:after="0" w:line="240" w:lineRule="auto"/>
              <w:rPr>
                <w:rFonts w:ascii="Times New Roman" w:eastAsia="Times New Roman" w:hAnsi="Times New Roman" w:cs="Times New Roman"/>
                <w:color w:val="000000"/>
                <w:sz w:val="19"/>
                <w:szCs w:val="19"/>
                <w:lang w:eastAsia="en-GB"/>
              </w:rPr>
            </w:pPr>
            <w:r w:rsidRPr="00965789">
              <w:rPr>
                <w:rFonts w:ascii="Times New Roman" w:eastAsia="Times New Roman" w:hAnsi="Times New Roman" w:cs="Times New Roman"/>
                <w:color w:val="000000"/>
                <w:sz w:val="19"/>
                <w:szCs w:val="19"/>
                <w:lang w:eastAsia="en-GB"/>
              </w:rPr>
              <w:t>Dubai Holding C.O. Ltd</w:t>
            </w:r>
          </w:p>
        </w:tc>
        <w:tc>
          <w:tcPr>
            <w:tcW w:w="993" w:type="dxa"/>
            <w:tcBorders>
              <w:top w:val="nil"/>
              <w:left w:val="nil"/>
              <w:bottom w:val="single" w:sz="4" w:space="0" w:color="auto"/>
              <w:right w:val="single" w:sz="4" w:space="0" w:color="auto"/>
            </w:tcBorders>
            <w:shd w:val="clear" w:color="auto" w:fill="auto"/>
            <w:vAlign w:val="center"/>
            <w:hideMark/>
          </w:tcPr>
          <w:p w14:paraId="54913981"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01.02.07</w:t>
            </w:r>
          </w:p>
        </w:tc>
        <w:tc>
          <w:tcPr>
            <w:tcW w:w="1134" w:type="dxa"/>
            <w:tcBorders>
              <w:top w:val="nil"/>
              <w:left w:val="nil"/>
              <w:bottom w:val="single" w:sz="4" w:space="0" w:color="auto"/>
              <w:right w:val="single" w:sz="4" w:space="0" w:color="auto"/>
            </w:tcBorders>
            <w:shd w:val="clear" w:color="auto" w:fill="auto"/>
            <w:vAlign w:val="center"/>
            <w:hideMark/>
          </w:tcPr>
          <w:p w14:paraId="6257FAB4"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01.02.17</w:t>
            </w:r>
          </w:p>
        </w:tc>
        <w:tc>
          <w:tcPr>
            <w:tcW w:w="850" w:type="dxa"/>
            <w:tcBorders>
              <w:top w:val="nil"/>
              <w:left w:val="nil"/>
              <w:bottom w:val="single" w:sz="4" w:space="0" w:color="auto"/>
              <w:right w:val="single" w:sz="4" w:space="0" w:color="auto"/>
            </w:tcBorders>
            <w:shd w:val="clear" w:color="auto" w:fill="auto"/>
            <w:noWrap/>
            <w:vAlign w:val="center"/>
            <w:hideMark/>
          </w:tcPr>
          <w:p w14:paraId="6439BA5C"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10</w:t>
            </w:r>
          </w:p>
        </w:tc>
        <w:tc>
          <w:tcPr>
            <w:tcW w:w="1134" w:type="dxa"/>
            <w:tcBorders>
              <w:top w:val="nil"/>
              <w:left w:val="nil"/>
              <w:bottom w:val="single" w:sz="4" w:space="0" w:color="auto"/>
              <w:right w:val="single" w:sz="4" w:space="0" w:color="auto"/>
            </w:tcBorders>
            <w:shd w:val="clear" w:color="auto" w:fill="auto"/>
            <w:noWrap/>
            <w:vAlign w:val="center"/>
            <w:hideMark/>
          </w:tcPr>
          <w:p w14:paraId="15AF35A3"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 xml:space="preserve">USD500 </w:t>
            </w:r>
            <w:proofErr w:type="spellStart"/>
            <w:r w:rsidRPr="00965789">
              <w:rPr>
                <w:rFonts w:ascii="Times New Roman" w:eastAsia="Times New Roman" w:hAnsi="Times New Roman" w:cs="Times New Roman"/>
                <w:sz w:val="19"/>
                <w:szCs w:val="19"/>
                <w:lang w:eastAsia="en-GB"/>
              </w:rPr>
              <w:t>mln</w:t>
            </w:r>
            <w:proofErr w:type="spellEnd"/>
          </w:p>
        </w:tc>
        <w:tc>
          <w:tcPr>
            <w:tcW w:w="1559" w:type="dxa"/>
            <w:tcBorders>
              <w:top w:val="nil"/>
              <w:left w:val="nil"/>
              <w:bottom w:val="single" w:sz="4" w:space="0" w:color="auto"/>
              <w:right w:val="single" w:sz="8" w:space="0" w:color="auto"/>
            </w:tcBorders>
            <w:shd w:val="clear" w:color="auto" w:fill="auto"/>
            <w:vAlign w:val="center"/>
            <w:hideMark/>
          </w:tcPr>
          <w:p w14:paraId="7DA97C5D" w14:textId="77777777" w:rsidR="00A755F5" w:rsidRPr="00965789" w:rsidRDefault="00A755F5" w:rsidP="00C74AEF">
            <w:pPr>
              <w:spacing w:after="0" w:line="240" w:lineRule="auto"/>
              <w:jc w:val="center"/>
              <w:rPr>
                <w:rFonts w:ascii="Times New Roman" w:eastAsia="Times New Roman" w:hAnsi="Times New Roman" w:cs="Times New Roman"/>
                <w:color w:val="000000"/>
                <w:sz w:val="19"/>
                <w:szCs w:val="19"/>
                <w:lang w:eastAsia="en-GB"/>
              </w:rPr>
            </w:pPr>
            <w:r w:rsidRPr="00965789">
              <w:rPr>
                <w:rFonts w:ascii="Times New Roman" w:eastAsia="Times New Roman" w:hAnsi="Times New Roman" w:cs="Times New Roman"/>
                <w:color w:val="000000"/>
                <w:sz w:val="19"/>
                <w:szCs w:val="19"/>
                <w:lang w:eastAsia="en-GB"/>
              </w:rPr>
              <w:t>Notes</w:t>
            </w:r>
          </w:p>
        </w:tc>
      </w:tr>
      <w:tr w:rsidR="00A755F5" w:rsidRPr="00965789" w14:paraId="1CE09D14" w14:textId="77777777" w:rsidTr="00A755F5">
        <w:trPr>
          <w:trHeight w:val="342"/>
        </w:trPr>
        <w:tc>
          <w:tcPr>
            <w:tcW w:w="2693" w:type="dxa"/>
            <w:tcBorders>
              <w:top w:val="nil"/>
              <w:left w:val="single" w:sz="8" w:space="0" w:color="auto"/>
              <w:bottom w:val="single" w:sz="4" w:space="0" w:color="auto"/>
              <w:right w:val="single" w:sz="4" w:space="0" w:color="auto"/>
            </w:tcBorders>
            <w:shd w:val="clear" w:color="auto" w:fill="auto"/>
            <w:vAlign w:val="center"/>
            <w:hideMark/>
          </w:tcPr>
          <w:p w14:paraId="3EEC2F13" w14:textId="77777777" w:rsidR="00A755F5" w:rsidRPr="00965789" w:rsidRDefault="00A755F5" w:rsidP="00C74AEF">
            <w:pPr>
              <w:spacing w:after="0" w:line="240" w:lineRule="auto"/>
              <w:rPr>
                <w:rFonts w:ascii="Times New Roman" w:eastAsia="Times New Roman" w:hAnsi="Times New Roman" w:cs="Times New Roman"/>
                <w:color w:val="000000"/>
                <w:sz w:val="19"/>
                <w:szCs w:val="19"/>
                <w:lang w:eastAsia="en-GB"/>
              </w:rPr>
            </w:pPr>
            <w:r w:rsidRPr="00965789">
              <w:rPr>
                <w:rFonts w:ascii="Times New Roman" w:eastAsia="Times New Roman" w:hAnsi="Times New Roman" w:cs="Times New Roman"/>
                <w:color w:val="000000"/>
                <w:sz w:val="19"/>
                <w:szCs w:val="19"/>
                <w:lang w:eastAsia="en-GB"/>
              </w:rPr>
              <w:t>Emirates NBD PJSC2015</w:t>
            </w:r>
          </w:p>
        </w:tc>
        <w:tc>
          <w:tcPr>
            <w:tcW w:w="993" w:type="dxa"/>
            <w:tcBorders>
              <w:top w:val="nil"/>
              <w:left w:val="nil"/>
              <w:bottom w:val="single" w:sz="4" w:space="0" w:color="auto"/>
              <w:right w:val="single" w:sz="4" w:space="0" w:color="auto"/>
            </w:tcBorders>
            <w:shd w:val="clear" w:color="auto" w:fill="auto"/>
            <w:noWrap/>
            <w:vAlign w:val="center"/>
            <w:hideMark/>
          </w:tcPr>
          <w:p w14:paraId="05D6B3FD"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24.03.15</w:t>
            </w:r>
          </w:p>
        </w:tc>
        <w:tc>
          <w:tcPr>
            <w:tcW w:w="1134" w:type="dxa"/>
            <w:tcBorders>
              <w:top w:val="nil"/>
              <w:left w:val="nil"/>
              <w:bottom w:val="single" w:sz="4" w:space="0" w:color="auto"/>
              <w:right w:val="single" w:sz="4" w:space="0" w:color="auto"/>
            </w:tcBorders>
            <w:shd w:val="clear" w:color="auto" w:fill="auto"/>
            <w:noWrap/>
            <w:vAlign w:val="center"/>
            <w:hideMark/>
          </w:tcPr>
          <w:p w14:paraId="18C39A59"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23.3.22</w:t>
            </w:r>
          </w:p>
        </w:tc>
        <w:tc>
          <w:tcPr>
            <w:tcW w:w="850" w:type="dxa"/>
            <w:tcBorders>
              <w:top w:val="nil"/>
              <w:left w:val="nil"/>
              <w:bottom w:val="single" w:sz="4" w:space="0" w:color="auto"/>
              <w:right w:val="single" w:sz="4" w:space="0" w:color="auto"/>
            </w:tcBorders>
            <w:shd w:val="clear" w:color="auto" w:fill="auto"/>
            <w:noWrap/>
            <w:vAlign w:val="center"/>
            <w:hideMark/>
          </w:tcPr>
          <w:p w14:paraId="23050CF8"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6</w:t>
            </w:r>
          </w:p>
        </w:tc>
        <w:tc>
          <w:tcPr>
            <w:tcW w:w="1134" w:type="dxa"/>
            <w:tcBorders>
              <w:top w:val="nil"/>
              <w:left w:val="nil"/>
              <w:bottom w:val="single" w:sz="4" w:space="0" w:color="auto"/>
              <w:right w:val="single" w:sz="4" w:space="0" w:color="auto"/>
            </w:tcBorders>
            <w:shd w:val="clear" w:color="auto" w:fill="auto"/>
            <w:noWrap/>
            <w:vAlign w:val="center"/>
            <w:hideMark/>
          </w:tcPr>
          <w:p w14:paraId="13CF4842"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 xml:space="preserve">USD550 </w:t>
            </w:r>
            <w:proofErr w:type="spellStart"/>
            <w:r w:rsidRPr="00965789">
              <w:rPr>
                <w:rFonts w:ascii="Times New Roman" w:eastAsia="Times New Roman" w:hAnsi="Times New Roman" w:cs="Times New Roman"/>
                <w:sz w:val="19"/>
                <w:szCs w:val="19"/>
                <w:lang w:eastAsia="en-GB"/>
              </w:rPr>
              <w:t>mln</w:t>
            </w:r>
            <w:proofErr w:type="spellEnd"/>
          </w:p>
        </w:tc>
        <w:tc>
          <w:tcPr>
            <w:tcW w:w="1559" w:type="dxa"/>
            <w:tcBorders>
              <w:top w:val="nil"/>
              <w:left w:val="nil"/>
              <w:bottom w:val="single" w:sz="4" w:space="0" w:color="auto"/>
              <w:right w:val="single" w:sz="8" w:space="0" w:color="auto"/>
            </w:tcBorders>
            <w:shd w:val="clear" w:color="auto" w:fill="auto"/>
            <w:noWrap/>
            <w:vAlign w:val="center"/>
            <w:hideMark/>
          </w:tcPr>
          <w:p w14:paraId="1213CE5E" w14:textId="77777777" w:rsidR="00A755F5" w:rsidRPr="00965789" w:rsidRDefault="00A755F5" w:rsidP="00C74AEF">
            <w:pPr>
              <w:spacing w:after="0" w:line="240" w:lineRule="auto"/>
              <w:jc w:val="center"/>
              <w:rPr>
                <w:rFonts w:ascii="Times New Roman" w:eastAsia="Times New Roman" w:hAnsi="Times New Roman" w:cs="Times New Roman"/>
                <w:color w:val="000000"/>
                <w:sz w:val="19"/>
                <w:szCs w:val="19"/>
                <w:lang w:eastAsia="en-GB"/>
              </w:rPr>
            </w:pPr>
            <w:r w:rsidRPr="00965789">
              <w:rPr>
                <w:rFonts w:ascii="Times New Roman" w:eastAsia="Times New Roman" w:hAnsi="Times New Roman" w:cs="Times New Roman"/>
                <w:color w:val="000000"/>
                <w:sz w:val="19"/>
                <w:szCs w:val="19"/>
                <w:lang w:eastAsia="en-GB"/>
              </w:rPr>
              <w:t>Euro Medium Notes</w:t>
            </w:r>
          </w:p>
        </w:tc>
      </w:tr>
      <w:tr w:rsidR="00A755F5" w:rsidRPr="00965789" w14:paraId="0B7D9589" w14:textId="77777777" w:rsidTr="00A755F5">
        <w:trPr>
          <w:trHeight w:val="342"/>
        </w:trPr>
        <w:tc>
          <w:tcPr>
            <w:tcW w:w="2693" w:type="dxa"/>
            <w:tcBorders>
              <w:top w:val="nil"/>
              <w:left w:val="single" w:sz="8" w:space="0" w:color="auto"/>
              <w:bottom w:val="single" w:sz="4" w:space="0" w:color="auto"/>
              <w:right w:val="single" w:sz="4" w:space="0" w:color="auto"/>
            </w:tcBorders>
            <w:shd w:val="clear" w:color="auto" w:fill="auto"/>
            <w:vAlign w:val="center"/>
            <w:hideMark/>
          </w:tcPr>
          <w:p w14:paraId="6FF6D331" w14:textId="77777777" w:rsidR="00A755F5" w:rsidRPr="00965789" w:rsidRDefault="00A755F5" w:rsidP="00C74AEF">
            <w:pPr>
              <w:spacing w:after="0" w:line="240" w:lineRule="auto"/>
              <w:rPr>
                <w:rFonts w:ascii="Times New Roman" w:eastAsia="Times New Roman" w:hAnsi="Times New Roman" w:cs="Times New Roman"/>
                <w:color w:val="000000"/>
                <w:sz w:val="19"/>
                <w:szCs w:val="19"/>
                <w:lang w:eastAsia="en-GB"/>
              </w:rPr>
            </w:pPr>
            <w:r w:rsidRPr="00965789">
              <w:rPr>
                <w:rFonts w:ascii="Times New Roman" w:eastAsia="Times New Roman" w:hAnsi="Times New Roman" w:cs="Times New Roman"/>
                <w:color w:val="000000"/>
                <w:sz w:val="19"/>
                <w:szCs w:val="19"/>
                <w:lang w:eastAsia="en-GB"/>
              </w:rPr>
              <w:t>Emirates NBD PJSC 2015</w:t>
            </w:r>
          </w:p>
        </w:tc>
        <w:tc>
          <w:tcPr>
            <w:tcW w:w="993" w:type="dxa"/>
            <w:tcBorders>
              <w:top w:val="nil"/>
              <w:left w:val="nil"/>
              <w:bottom w:val="single" w:sz="4" w:space="0" w:color="auto"/>
              <w:right w:val="single" w:sz="4" w:space="0" w:color="auto"/>
            </w:tcBorders>
            <w:shd w:val="clear" w:color="auto" w:fill="auto"/>
            <w:noWrap/>
            <w:vAlign w:val="center"/>
            <w:hideMark/>
          </w:tcPr>
          <w:p w14:paraId="6B10F137"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07.05.15</w:t>
            </w:r>
          </w:p>
        </w:tc>
        <w:tc>
          <w:tcPr>
            <w:tcW w:w="1134" w:type="dxa"/>
            <w:tcBorders>
              <w:top w:val="nil"/>
              <w:left w:val="nil"/>
              <w:bottom w:val="single" w:sz="4" w:space="0" w:color="auto"/>
              <w:right w:val="single" w:sz="4" w:space="0" w:color="auto"/>
            </w:tcBorders>
            <w:shd w:val="clear" w:color="auto" w:fill="auto"/>
            <w:noWrap/>
            <w:vAlign w:val="center"/>
            <w:hideMark/>
          </w:tcPr>
          <w:p w14:paraId="0402B2E9"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06.05.20</w:t>
            </w:r>
          </w:p>
        </w:tc>
        <w:tc>
          <w:tcPr>
            <w:tcW w:w="850" w:type="dxa"/>
            <w:tcBorders>
              <w:top w:val="nil"/>
              <w:left w:val="nil"/>
              <w:bottom w:val="single" w:sz="4" w:space="0" w:color="auto"/>
              <w:right w:val="single" w:sz="4" w:space="0" w:color="auto"/>
            </w:tcBorders>
            <w:shd w:val="clear" w:color="auto" w:fill="auto"/>
            <w:noWrap/>
            <w:vAlign w:val="center"/>
            <w:hideMark/>
          </w:tcPr>
          <w:p w14:paraId="769645B8"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5</w:t>
            </w:r>
          </w:p>
        </w:tc>
        <w:tc>
          <w:tcPr>
            <w:tcW w:w="1134" w:type="dxa"/>
            <w:tcBorders>
              <w:top w:val="nil"/>
              <w:left w:val="nil"/>
              <w:bottom w:val="single" w:sz="4" w:space="0" w:color="auto"/>
              <w:right w:val="single" w:sz="4" w:space="0" w:color="auto"/>
            </w:tcBorders>
            <w:shd w:val="clear" w:color="auto" w:fill="auto"/>
            <w:noWrap/>
            <w:vAlign w:val="center"/>
            <w:hideMark/>
          </w:tcPr>
          <w:p w14:paraId="7DFDA312"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 xml:space="preserve">USD350 </w:t>
            </w:r>
            <w:proofErr w:type="spellStart"/>
            <w:r w:rsidRPr="00965789">
              <w:rPr>
                <w:rFonts w:ascii="Times New Roman" w:eastAsia="Times New Roman" w:hAnsi="Times New Roman" w:cs="Times New Roman"/>
                <w:sz w:val="19"/>
                <w:szCs w:val="19"/>
                <w:lang w:eastAsia="en-GB"/>
              </w:rPr>
              <w:t>mln</w:t>
            </w:r>
            <w:proofErr w:type="spellEnd"/>
          </w:p>
        </w:tc>
        <w:tc>
          <w:tcPr>
            <w:tcW w:w="1559" w:type="dxa"/>
            <w:tcBorders>
              <w:top w:val="nil"/>
              <w:left w:val="nil"/>
              <w:bottom w:val="single" w:sz="4" w:space="0" w:color="auto"/>
              <w:right w:val="single" w:sz="8" w:space="0" w:color="auto"/>
            </w:tcBorders>
            <w:shd w:val="clear" w:color="auto" w:fill="auto"/>
            <w:noWrap/>
            <w:vAlign w:val="center"/>
            <w:hideMark/>
          </w:tcPr>
          <w:p w14:paraId="0665D3DE" w14:textId="77777777" w:rsidR="00A755F5" w:rsidRPr="00965789" w:rsidRDefault="00A755F5" w:rsidP="00C74AEF">
            <w:pPr>
              <w:spacing w:after="0" w:line="240" w:lineRule="auto"/>
              <w:jc w:val="center"/>
              <w:rPr>
                <w:rFonts w:ascii="Times New Roman" w:eastAsia="Times New Roman" w:hAnsi="Times New Roman" w:cs="Times New Roman"/>
                <w:color w:val="000000"/>
                <w:sz w:val="19"/>
                <w:szCs w:val="19"/>
                <w:lang w:eastAsia="en-GB"/>
              </w:rPr>
            </w:pPr>
            <w:r w:rsidRPr="00965789">
              <w:rPr>
                <w:rFonts w:ascii="Times New Roman" w:eastAsia="Times New Roman" w:hAnsi="Times New Roman" w:cs="Times New Roman"/>
                <w:color w:val="000000"/>
                <w:sz w:val="19"/>
                <w:szCs w:val="19"/>
                <w:lang w:eastAsia="en-GB"/>
              </w:rPr>
              <w:t>Euro Medium Notes</w:t>
            </w:r>
          </w:p>
        </w:tc>
      </w:tr>
      <w:tr w:rsidR="00A755F5" w:rsidRPr="00965789" w14:paraId="3E237C3E" w14:textId="77777777" w:rsidTr="00A755F5">
        <w:trPr>
          <w:trHeight w:val="342"/>
        </w:trPr>
        <w:tc>
          <w:tcPr>
            <w:tcW w:w="2693" w:type="dxa"/>
            <w:tcBorders>
              <w:top w:val="nil"/>
              <w:left w:val="single" w:sz="8" w:space="0" w:color="auto"/>
              <w:bottom w:val="single" w:sz="4" w:space="0" w:color="auto"/>
              <w:right w:val="single" w:sz="4" w:space="0" w:color="auto"/>
            </w:tcBorders>
            <w:shd w:val="clear" w:color="auto" w:fill="auto"/>
            <w:vAlign w:val="center"/>
            <w:hideMark/>
          </w:tcPr>
          <w:p w14:paraId="6BDE70D9" w14:textId="77777777" w:rsidR="00A755F5" w:rsidRPr="00965789" w:rsidRDefault="00A755F5" w:rsidP="00C74AEF">
            <w:pPr>
              <w:spacing w:after="0" w:line="240" w:lineRule="auto"/>
              <w:rPr>
                <w:rFonts w:ascii="Times New Roman" w:eastAsia="Times New Roman" w:hAnsi="Times New Roman" w:cs="Times New Roman"/>
                <w:color w:val="000000"/>
                <w:sz w:val="19"/>
                <w:szCs w:val="19"/>
                <w:lang w:eastAsia="en-GB"/>
              </w:rPr>
            </w:pPr>
            <w:r w:rsidRPr="00965789">
              <w:rPr>
                <w:rFonts w:ascii="Times New Roman" w:eastAsia="Times New Roman" w:hAnsi="Times New Roman" w:cs="Times New Roman"/>
                <w:color w:val="000000"/>
                <w:sz w:val="19"/>
                <w:szCs w:val="19"/>
                <w:lang w:eastAsia="en-GB"/>
              </w:rPr>
              <w:t>Emirates NBD PJSC 2014</w:t>
            </w:r>
          </w:p>
        </w:tc>
        <w:tc>
          <w:tcPr>
            <w:tcW w:w="993" w:type="dxa"/>
            <w:tcBorders>
              <w:top w:val="nil"/>
              <w:left w:val="nil"/>
              <w:bottom w:val="single" w:sz="4" w:space="0" w:color="auto"/>
              <w:right w:val="single" w:sz="4" w:space="0" w:color="auto"/>
            </w:tcBorders>
            <w:shd w:val="clear" w:color="auto" w:fill="auto"/>
            <w:noWrap/>
            <w:vAlign w:val="center"/>
            <w:hideMark/>
          </w:tcPr>
          <w:p w14:paraId="4F9C2AFE"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20.11.14</w:t>
            </w:r>
          </w:p>
        </w:tc>
        <w:tc>
          <w:tcPr>
            <w:tcW w:w="1134" w:type="dxa"/>
            <w:tcBorders>
              <w:top w:val="nil"/>
              <w:left w:val="nil"/>
              <w:bottom w:val="single" w:sz="4" w:space="0" w:color="auto"/>
              <w:right w:val="single" w:sz="4" w:space="0" w:color="auto"/>
            </w:tcBorders>
            <w:shd w:val="clear" w:color="auto" w:fill="auto"/>
            <w:noWrap/>
            <w:vAlign w:val="center"/>
            <w:hideMark/>
          </w:tcPr>
          <w:p w14:paraId="352A3D59"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19.11.19</w:t>
            </w:r>
          </w:p>
        </w:tc>
        <w:tc>
          <w:tcPr>
            <w:tcW w:w="850" w:type="dxa"/>
            <w:tcBorders>
              <w:top w:val="nil"/>
              <w:left w:val="nil"/>
              <w:bottom w:val="single" w:sz="4" w:space="0" w:color="auto"/>
              <w:right w:val="single" w:sz="4" w:space="0" w:color="auto"/>
            </w:tcBorders>
            <w:shd w:val="clear" w:color="auto" w:fill="auto"/>
            <w:noWrap/>
            <w:vAlign w:val="center"/>
            <w:hideMark/>
          </w:tcPr>
          <w:p w14:paraId="30804877"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5</w:t>
            </w:r>
          </w:p>
        </w:tc>
        <w:tc>
          <w:tcPr>
            <w:tcW w:w="1134" w:type="dxa"/>
            <w:tcBorders>
              <w:top w:val="nil"/>
              <w:left w:val="nil"/>
              <w:bottom w:val="single" w:sz="4" w:space="0" w:color="auto"/>
              <w:right w:val="single" w:sz="4" w:space="0" w:color="auto"/>
            </w:tcBorders>
            <w:shd w:val="clear" w:color="auto" w:fill="auto"/>
            <w:noWrap/>
            <w:vAlign w:val="center"/>
            <w:hideMark/>
          </w:tcPr>
          <w:p w14:paraId="4468BB7F"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 xml:space="preserve">USD1 </w:t>
            </w:r>
            <w:proofErr w:type="spellStart"/>
            <w:r w:rsidRPr="00965789">
              <w:rPr>
                <w:rFonts w:ascii="Times New Roman" w:eastAsia="Times New Roman" w:hAnsi="Times New Roman" w:cs="Times New Roman"/>
                <w:sz w:val="19"/>
                <w:szCs w:val="19"/>
                <w:lang w:eastAsia="en-GB"/>
              </w:rPr>
              <w:t>bln</w:t>
            </w:r>
            <w:proofErr w:type="spellEnd"/>
          </w:p>
        </w:tc>
        <w:tc>
          <w:tcPr>
            <w:tcW w:w="1559" w:type="dxa"/>
            <w:tcBorders>
              <w:top w:val="nil"/>
              <w:left w:val="nil"/>
              <w:bottom w:val="single" w:sz="4" w:space="0" w:color="auto"/>
              <w:right w:val="single" w:sz="8" w:space="0" w:color="auto"/>
            </w:tcBorders>
            <w:shd w:val="clear" w:color="auto" w:fill="auto"/>
            <w:noWrap/>
            <w:vAlign w:val="center"/>
            <w:hideMark/>
          </w:tcPr>
          <w:p w14:paraId="00EDCECF" w14:textId="77777777" w:rsidR="00A755F5" w:rsidRPr="00965789" w:rsidRDefault="00A755F5" w:rsidP="00C74AEF">
            <w:pPr>
              <w:spacing w:after="0" w:line="240" w:lineRule="auto"/>
              <w:jc w:val="center"/>
              <w:rPr>
                <w:rFonts w:ascii="Times New Roman" w:eastAsia="Times New Roman" w:hAnsi="Times New Roman" w:cs="Times New Roman"/>
                <w:color w:val="000000"/>
                <w:sz w:val="19"/>
                <w:szCs w:val="19"/>
                <w:lang w:eastAsia="en-GB"/>
              </w:rPr>
            </w:pPr>
            <w:r w:rsidRPr="00965789">
              <w:rPr>
                <w:rFonts w:ascii="Times New Roman" w:eastAsia="Times New Roman" w:hAnsi="Times New Roman" w:cs="Times New Roman"/>
                <w:color w:val="000000"/>
                <w:sz w:val="19"/>
                <w:szCs w:val="19"/>
                <w:lang w:eastAsia="en-GB"/>
              </w:rPr>
              <w:t>Euro Medium Notes</w:t>
            </w:r>
          </w:p>
        </w:tc>
      </w:tr>
      <w:tr w:rsidR="00A755F5" w:rsidRPr="00965789" w14:paraId="1B701634" w14:textId="77777777" w:rsidTr="00A755F5">
        <w:trPr>
          <w:trHeight w:val="342"/>
        </w:trPr>
        <w:tc>
          <w:tcPr>
            <w:tcW w:w="2693" w:type="dxa"/>
            <w:tcBorders>
              <w:top w:val="nil"/>
              <w:left w:val="single" w:sz="8" w:space="0" w:color="auto"/>
              <w:bottom w:val="single" w:sz="4" w:space="0" w:color="auto"/>
              <w:right w:val="single" w:sz="4" w:space="0" w:color="auto"/>
            </w:tcBorders>
            <w:shd w:val="clear" w:color="auto" w:fill="auto"/>
            <w:vAlign w:val="center"/>
            <w:hideMark/>
          </w:tcPr>
          <w:p w14:paraId="72623455" w14:textId="77777777" w:rsidR="00A755F5" w:rsidRPr="00965789" w:rsidRDefault="00A755F5" w:rsidP="00C74AEF">
            <w:pPr>
              <w:spacing w:after="0" w:line="240" w:lineRule="auto"/>
              <w:rPr>
                <w:rFonts w:ascii="Times New Roman" w:eastAsia="Times New Roman" w:hAnsi="Times New Roman" w:cs="Times New Roman"/>
                <w:color w:val="000000"/>
                <w:sz w:val="19"/>
                <w:szCs w:val="19"/>
                <w:lang w:eastAsia="en-GB"/>
              </w:rPr>
            </w:pPr>
            <w:r w:rsidRPr="00965789">
              <w:rPr>
                <w:rFonts w:ascii="Times New Roman" w:eastAsia="Times New Roman" w:hAnsi="Times New Roman" w:cs="Times New Roman"/>
                <w:color w:val="000000"/>
                <w:sz w:val="19"/>
                <w:szCs w:val="19"/>
                <w:lang w:eastAsia="en-GB"/>
              </w:rPr>
              <w:t>Emirates NBD PJSC 2013</w:t>
            </w:r>
          </w:p>
        </w:tc>
        <w:tc>
          <w:tcPr>
            <w:tcW w:w="993" w:type="dxa"/>
            <w:tcBorders>
              <w:top w:val="nil"/>
              <w:left w:val="nil"/>
              <w:bottom w:val="single" w:sz="4" w:space="0" w:color="auto"/>
              <w:right w:val="single" w:sz="4" w:space="0" w:color="auto"/>
            </w:tcBorders>
            <w:shd w:val="clear" w:color="auto" w:fill="auto"/>
            <w:noWrap/>
            <w:vAlign w:val="center"/>
            <w:hideMark/>
          </w:tcPr>
          <w:p w14:paraId="3C7E9611"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31.03.13</w:t>
            </w:r>
          </w:p>
        </w:tc>
        <w:tc>
          <w:tcPr>
            <w:tcW w:w="1134" w:type="dxa"/>
            <w:tcBorders>
              <w:top w:val="nil"/>
              <w:left w:val="nil"/>
              <w:bottom w:val="single" w:sz="4" w:space="0" w:color="auto"/>
              <w:right w:val="single" w:sz="4" w:space="0" w:color="auto"/>
            </w:tcBorders>
            <w:shd w:val="clear" w:color="auto" w:fill="auto"/>
            <w:noWrap/>
            <w:vAlign w:val="center"/>
            <w:hideMark/>
          </w:tcPr>
          <w:p w14:paraId="5F4FE74F"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28.03.23</w:t>
            </w:r>
          </w:p>
        </w:tc>
        <w:tc>
          <w:tcPr>
            <w:tcW w:w="850" w:type="dxa"/>
            <w:tcBorders>
              <w:top w:val="nil"/>
              <w:left w:val="nil"/>
              <w:bottom w:val="single" w:sz="4" w:space="0" w:color="auto"/>
              <w:right w:val="single" w:sz="4" w:space="0" w:color="auto"/>
            </w:tcBorders>
            <w:shd w:val="clear" w:color="auto" w:fill="auto"/>
            <w:noWrap/>
            <w:vAlign w:val="center"/>
            <w:hideMark/>
          </w:tcPr>
          <w:p w14:paraId="1769B970"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10</w:t>
            </w:r>
          </w:p>
        </w:tc>
        <w:tc>
          <w:tcPr>
            <w:tcW w:w="1134" w:type="dxa"/>
            <w:tcBorders>
              <w:top w:val="nil"/>
              <w:left w:val="nil"/>
              <w:bottom w:val="single" w:sz="4" w:space="0" w:color="auto"/>
              <w:right w:val="single" w:sz="4" w:space="0" w:color="auto"/>
            </w:tcBorders>
            <w:shd w:val="clear" w:color="auto" w:fill="auto"/>
            <w:noWrap/>
            <w:vAlign w:val="center"/>
            <w:hideMark/>
          </w:tcPr>
          <w:p w14:paraId="4DFBBB34"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 xml:space="preserve">USD750 </w:t>
            </w:r>
            <w:proofErr w:type="spellStart"/>
            <w:r w:rsidRPr="00965789">
              <w:rPr>
                <w:rFonts w:ascii="Times New Roman" w:eastAsia="Times New Roman" w:hAnsi="Times New Roman" w:cs="Times New Roman"/>
                <w:sz w:val="19"/>
                <w:szCs w:val="19"/>
                <w:lang w:eastAsia="en-GB"/>
              </w:rPr>
              <w:t>mln</w:t>
            </w:r>
            <w:proofErr w:type="spellEnd"/>
          </w:p>
        </w:tc>
        <w:tc>
          <w:tcPr>
            <w:tcW w:w="1559" w:type="dxa"/>
            <w:tcBorders>
              <w:top w:val="nil"/>
              <w:left w:val="nil"/>
              <w:bottom w:val="single" w:sz="4" w:space="0" w:color="auto"/>
              <w:right w:val="single" w:sz="8" w:space="0" w:color="auto"/>
            </w:tcBorders>
            <w:shd w:val="clear" w:color="auto" w:fill="auto"/>
            <w:noWrap/>
            <w:vAlign w:val="center"/>
            <w:hideMark/>
          </w:tcPr>
          <w:p w14:paraId="4D499899" w14:textId="77777777" w:rsidR="00A755F5" w:rsidRPr="00965789" w:rsidRDefault="00A755F5" w:rsidP="00C74AEF">
            <w:pPr>
              <w:spacing w:after="0" w:line="240" w:lineRule="auto"/>
              <w:jc w:val="center"/>
              <w:rPr>
                <w:rFonts w:ascii="Times New Roman" w:eastAsia="Times New Roman" w:hAnsi="Times New Roman" w:cs="Times New Roman"/>
                <w:color w:val="000000"/>
                <w:sz w:val="19"/>
                <w:szCs w:val="19"/>
                <w:lang w:eastAsia="en-GB"/>
              </w:rPr>
            </w:pPr>
            <w:r w:rsidRPr="00965789">
              <w:rPr>
                <w:rFonts w:ascii="Times New Roman" w:eastAsia="Times New Roman" w:hAnsi="Times New Roman" w:cs="Times New Roman"/>
                <w:color w:val="000000"/>
                <w:sz w:val="19"/>
                <w:szCs w:val="19"/>
                <w:lang w:eastAsia="en-GB"/>
              </w:rPr>
              <w:t>Euro Medium Notes</w:t>
            </w:r>
          </w:p>
        </w:tc>
      </w:tr>
      <w:tr w:rsidR="00A755F5" w:rsidRPr="00965789" w14:paraId="4E8FCDE3" w14:textId="77777777" w:rsidTr="00A755F5">
        <w:trPr>
          <w:trHeight w:val="342"/>
        </w:trPr>
        <w:tc>
          <w:tcPr>
            <w:tcW w:w="2693" w:type="dxa"/>
            <w:tcBorders>
              <w:top w:val="nil"/>
              <w:left w:val="single" w:sz="8" w:space="0" w:color="auto"/>
              <w:bottom w:val="single" w:sz="4" w:space="0" w:color="auto"/>
              <w:right w:val="single" w:sz="4" w:space="0" w:color="auto"/>
            </w:tcBorders>
            <w:shd w:val="clear" w:color="auto" w:fill="auto"/>
            <w:vAlign w:val="center"/>
            <w:hideMark/>
          </w:tcPr>
          <w:p w14:paraId="36107C98" w14:textId="77777777" w:rsidR="00A755F5" w:rsidRPr="00965789" w:rsidRDefault="00A755F5" w:rsidP="00C74AEF">
            <w:pPr>
              <w:spacing w:after="0" w:line="240" w:lineRule="auto"/>
              <w:rPr>
                <w:rFonts w:ascii="Times New Roman" w:eastAsia="Times New Roman" w:hAnsi="Times New Roman" w:cs="Times New Roman"/>
                <w:color w:val="000000"/>
                <w:sz w:val="19"/>
                <w:szCs w:val="19"/>
                <w:lang w:eastAsia="en-GB"/>
              </w:rPr>
            </w:pPr>
            <w:r w:rsidRPr="00965789">
              <w:rPr>
                <w:rFonts w:ascii="Times New Roman" w:eastAsia="Times New Roman" w:hAnsi="Times New Roman" w:cs="Times New Roman"/>
                <w:color w:val="000000"/>
                <w:sz w:val="19"/>
                <w:szCs w:val="19"/>
                <w:lang w:eastAsia="en-GB"/>
              </w:rPr>
              <w:t>Emirates NBD PJSC 2014</w:t>
            </w:r>
          </w:p>
        </w:tc>
        <w:tc>
          <w:tcPr>
            <w:tcW w:w="993" w:type="dxa"/>
            <w:tcBorders>
              <w:top w:val="nil"/>
              <w:left w:val="nil"/>
              <w:bottom w:val="single" w:sz="4" w:space="0" w:color="auto"/>
              <w:right w:val="single" w:sz="4" w:space="0" w:color="auto"/>
            </w:tcBorders>
            <w:shd w:val="clear" w:color="auto" w:fill="auto"/>
            <w:noWrap/>
            <w:vAlign w:val="center"/>
            <w:hideMark/>
          </w:tcPr>
          <w:p w14:paraId="3188936F"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20.11.14</w:t>
            </w:r>
          </w:p>
        </w:tc>
        <w:tc>
          <w:tcPr>
            <w:tcW w:w="1134" w:type="dxa"/>
            <w:tcBorders>
              <w:top w:val="nil"/>
              <w:left w:val="nil"/>
              <w:bottom w:val="single" w:sz="4" w:space="0" w:color="auto"/>
              <w:right w:val="single" w:sz="4" w:space="0" w:color="auto"/>
            </w:tcBorders>
            <w:shd w:val="clear" w:color="auto" w:fill="auto"/>
            <w:noWrap/>
            <w:vAlign w:val="center"/>
            <w:hideMark/>
          </w:tcPr>
          <w:p w14:paraId="5F8CD659"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19.11.19</w:t>
            </w:r>
          </w:p>
        </w:tc>
        <w:tc>
          <w:tcPr>
            <w:tcW w:w="850" w:type="dxa"/>
            <w:tcBorders>
              <w:top w:val="nil"/>
              <w:left w:val="nil"/>
              <w:bottom w:val="single" w:sz="4" w:space="0" w:color="auto"/>
              <w:right w:val="single" w:sz="4" w:space="0" w:color="auto"/>
            </w:tcBorders>
            <w:shd w:val="clear" w:color="auto" w:fill="auto"/>
            <w:noWrap/>
            <w:vAlign w:val="center"/>
            <w:hideMark/>
          </w:tcPr>
          <w:p w14:paraId="39080A0C"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5</w:t>
            </w:r>
          </w:p>
        </w:tc>
        <w:tc>
          <w:tcPr>
            <w:tcW w:w="1134" w:type="dxa"/>
            <w:tcBorders>
              <w:top w:val="nil"/>
              <w:left w:val="nil"/>
              <w:bottom w:val="single" w:sz="4" w:space="0" w:color="auto"/>
              <w:right w:val="single" w:sz="4" w:space="0" w:color="auto"/>
            </w:tcBorders>
            <w:shd w:val="clear" w:color="auto" w:fill="auto"/>
            <w:noWrap/>
            <w:vAlign w:val="center"/>
            <w:hideMark/>
          </w:tcPr>
          <w:p w14:paraId="04762F8D"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 xml:space="preserve">USD1 </w:t>
            </w:r>
            <w:proofErr w:type="spellStart"/>
            <w:r w:rsidRPr="00965789">
              <w:rPr>
                <w:rFonts w:ascii="Times New Roman" w:eastAsia="Times New Roman" w:hAnsi="Times New Roman" w:cs="Times New Roman"/>
                <w:sz w:val="19"/>
                <w:szCs w:val="19"/>
                <w:lang w:eastAsia="en-GB"/>
              </w:rPr>
              <w:t>bln</w:t>
            </w:r>
            <w:proofErr w:type="spellEnd"/>
          </w:p>
        </w:tc>
        <w:tc>
          <w:tcPr>
            <w:tcW w:w="1559" w:type="dxa"/>
            <w:tcBorders>
              <w:top w:val="nil"/>
              <w:left w:val="nil"/>
              <w:bottom w:val="single" w:sz="4" w:space="0" w:color="auto"/>
              <w:right w:val="single" w:sz="8" w:space="0" w:color="auto"/>
            </w:tcBorders>
            <w:shd w:val="clear" w:color="auto" w:fill="auto"/>
            <w:noWrap/>
            <w:vAlign w:val="center"/>
            <w:hideMark/>
          </w:tcPr>
          <w:p w14:paraId="450AE8BF" w14:textId="77777777" w:rsidR="00A755F5" w:rsidRPr="00965789" w:rsidRDefault="00A755F5" w:rsidP="00C74AEF">
            <w:pPr>
              <w:spacing w:after="0" w:line="240" w:lineRule="auto"/>
              <w:jc w:val="center"/>
              <w:rPr>
                <w:rFonts w:ascii="Times New Roman" w:eastAsia="Times New Roman" w:hAnsi="Times New Roman" w:cs="Times New Roman"/>
                <w:color w:val="000000"/>
                <w:sz w:val="19"/>
                <w:szCs w:val="19"/>
                <w:lang w:eastAsia="en-GB"/>
              </w:rPr>
            </w:pPr>
            <w:r w:rsidRPr="00965789">
              <w:rPr>
                <w:rFonts w:ascii="Times New Roman" w:eastAsia="Times New Roman" w:hAnsi="Times New Roman" w:cs="Times New Roman"/>
                <w:color w:val="000000"/>
                <w:sz w:val="19"/>
                <w:szCs w:val="19"/>
                <w:lang w:eastAsia="en-GB"/>
              </w:rPr>
              <w:t>Euro Medium Notes</w:t>
            </w:r>
          </w:p>
        </w:tc>
      </w:tr>
      <w:tr w:rsidR="00A755F5" w:rsidRPr="00965789" w14:paraId="29F6C3E8" w14:textId="77777777" w:rsidTr="00A755F5">
        <w:trPr>
          <w:trHeight w:val="342"/>
        </w:trPr>
        <w:tc>
          <w:tcPr>
            <w:tcW w:w="2693" w:type="dxa"/>
            <w:tcBorders>
              <w:top w:val="nil"/>
              <w:left w:val="single" w:sz="8" w:space="0" w:color="auto"/>
              <w:bottom w:val="single" w:sz="4" w:space="0" w:color="auto"/>
              <w:right w:val="single" w:sz="4" w:space="0" w:color="auto"/>
            </w:tcBorders>
            <w:shd w:val="clear" w:color="auto" w:fill="auto"/>
            <w:vAlign w:val="center"/>
            <w:hideMark/>
          </w:tcPr>
          <w:p w14:paraId="7DDA69E2" w14:textId="637E2C7D" w:rsidR="00A755F5" w:rsidRPr="00965789" w:rsidRDefault="00965789" w:rsidP="00C74AEF">
            <w:pPr>
              <w:spacing w:after="0" w:line="240" w:lineRule="auto"/>
              <w:rPr>
                <w:rFonts w:ascii="Times New Roman" w:eastAsia="Times New Roman" w:hAnsi="Times New Roman" w:cs="Times New Roman"/>
                <w:color w:val="000000"/>
                <w:sz w:val="19"/>
                <w:szCs w:val="19"/>
                <w:lang w:eastAsia="en-GB"/>
              </w:rPr>
            </w:pPr>
            <w:bookmarkStart w:id="22" w:name="_Hlk480381585"/>
            <w:r w:rsidRPr="00965789">
              <w:rPr>
                <w:rFonts w:ascii="Times New Roman" w:eastAsia="Times New Roman" w:hAnsi="Times New Roman" w:cs="Times New Roman"/>
                <w:color w:val="000000"/>
                <w:sz w:val="19"/>
                <w:szCs w:val="19"/>
                <w:lang w:eastAsia="en-GB"/>
              </w:rPr>
              <w:t>Emirates NBD Tier 1 Ltd</w:t>
            </w:r>
            <w:r>
              <w:rPr>
                <w:rFonts w:ascii="Times New Roman" w:eastAsia="Times New Roman" w:hAnsi="Times New Roman" w:cs="Times New Roman"/>
                <w:color w:val="000000"/>
                <w:sz w:val="19"/>
                <w:szCs w:val="19"/>
                <w:lang w:eastAsia="en-GB"/>
              </w:rPr>
              <w:t xml:space="preserve"> </w:t>
            </w:r>
            <w:r w:rsidRPr="00965789">
              <w:rPr>
                <w:rFonts w:ascii="Times New Roman" w:eastAsia="Times New Roman" w:hAnsi="Times New Roman" w:cs="Times New Roman"/>
                <w:color w:val="000000"/>
                <w:sz w:val="19"/>
                <w:szCs w:val="19"/>
                <w:lang w:eastAsia="en-GB"/>
              </w:rPr>
              <w:t xml:space="preserve">- </w:t>
            </w:r>
            <w:r w:rsidR="00A755F5" w:rsidRPr="00965789">
              <w:rPr>
                <w:rFonts w:ascii="Times New Roman" w:eastAsia="Times New Roman" w:hAnsi="Times New Roman" w:cs="Times New Roman"/>
                <w:color w:val="000000"/>
                <w:sz w:val="19"/>
                <w:szCs w:val="19"/>
                <w:lang w:eastAsia="en-GB"/>
              </w:rPr>
              <w:t>PRP</w:t>
            </w:r>
          </w:p>
        </w:tc>
        <w:tc>
          <w:tcPr>
            <w:tcW w:w="993" w:type="dxa"/>
            <w:tcBorders>
              <w:top w:val="nil"/>
              <w:left w:val="nil"/>
              <w:bottom w:val="single" w:sz="4" w:space="0" w:color="auto"/>
              <w:right w:val="single" w:sz="4" w:space="0" w:color="auto"/>
            </w:tcBorders>
            <w:shd w:val="clear" w:color="auto" w:fill="auto"/>
            <w:noWrap/>
            <w:vAlign w:val="center"/>
            <w:hideMark/>
          </w:tcPr>
          <w:p w14:paraId="3F1CFCEF"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02.06.13</w:t>
            </w:r>
          </w:p>
        </w:tc>
        <w:tc>
          <w:tcPr>
            <w:tcW w:w="1134" w:type="dxa"/>
            <w:tcBorders>
              <w:top w:val="nil"/>
              <w:left w:val="nil"/>
              <w:bottom w:val="single" w:sz="4" w:space="0" w:color="auto"/>
              <w:right w:val="single" w:sz="4" w:space="0" w:color="auto"/>
            </w:tcBorders>
            <w:shd w:val="clear" w:color="auto" w:fill="auto"/>
            <w:noWrap/>
            <w:vAlign w:val="center"/>
            <w:hideMark/>
          </w:tcPr>
          <w:p w14:paraId="56204426"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30.5.19</w:t>
            </w:r>
          </w:p>
        </w:tc>
        <w:tc>
          <w:tcPr>
            <w:tcW w:w="850" w:type="dxa"/>
            <w:tcBorders>
              <w:top w:val="nil"/>
              <w:left w:val="nil"/>
              <w:bottom w:val="single" w:sz="4" w:space="0" w:color="auto"/>
              <w:right w:val="single" w:sz="4" w:space="0" w:color="auto"/>
            </w:tcBorders>
            <w:shd w:val="clear" w:color="auto" w:fill="auto"/>
            <w:noWrap/>
            <w:vAlign w:val="center"/>
            <w:hideMark/>
          </w:tcPr>
          <w:p w14:paraId="2EE35227"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6</w:t>
            </w:r>
          </w:p>
        </w:tc>
        <w:tc>
          <w:tcPr>
            <w:tcW w:w="1134" w:type="dxa"/>
            <w:tcBorders>
              <w:top w:val="nil"/>
              <w:left w:val="nil"/>
              <w:bottom w:val="single" w:sz="4" w:space="0" w:color="auto"/>
              <w:right w:val="single" w:sz="4" w:space="0" w:color="auto"/>
            </w:tcBorders>
            <w:shd w:val="clear" w:color="auto" w:fill="auto"/>
            <w:noWrap/>
            <w:vAlign w:val="center"/>
            <w:hideMark/>
          </w:tcPr>
          <w:p w14:paraId="61D36EAB"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 xml:space="preserve">USD1 </w:t>
            </w:r>
            <w:proofErr w:type="spellStart"/>
            <w:r w:rsidRPr="00965789">
              <w:rPr>
                <w:rFonts w:ascii="Times New Roman" w:eastAsia="Times New Roman" w:hAnsi="Times New Roman" w:cs="Times New Roman"/>
                <w:sz w:val="19"/>
                <w:szCs w:val="19"/>
                <w:lang w:eastAsia="en-GB"/>
              </w:rPr>
              <w:t>bln</w:t>
            </w:r>
            <w:proofErr w:type="spellEnd"/>
          </w:p>
        </w:tc>
        <w:tc>
          <w:tcPr>
            <w:tcW w:w="1559" w:type="dxa"/>
            <w:tcBorders>
              <w:top w:val="nil"/>
              <w:left w:val="nil"/>
              <w:bottom w:val="single" w:sz="4" w:space="0" w:color="auto"/>
              <w:right w:val="single" w:sz="8" w:space="0" w:color="auto"/>
            </w:tcBorders>
            <w:shd w:val="clear" w:color="auto" w:fill="auto"/>
            <w:noWrap/>
            <w:vAlign w:val="center"/>
            <w:hideMark/>
          </w:tcPr>
          <w:p w14:paraId="0749816C" w14:textId="77777777" w:rsidR="00A755F5" w:rsidRPr="00965789" w:rsidRDefault="00A755F5" w:rsidP="00C74AEF">
            <w:pPr>
              <w:spacing w:after="0" w:line="240" w:lineRule="auto"/>
              <w:jc w:val="center"/>
              <w:rPr>
                <w:rFonts w:ascii="Times New Roman" w:eastAsia="Times New Roman" w:hAnsi="Times New Roman" w:cs="Times New Roman"/>
                <w:color w:val="000000"/>
                <w:sz w:val="19"/>
                <w:szCs w:val="19"/>
                <w:lang w:eastAsia="en-GB"/>
              </w:rPr>
            </w:pPr>
            <w:r w:rsidRPr="00965789">
              <w:rPr>
                <w:rFonts w:ascii="Times New Roman" w:eastAsia="Times New Roman" w:hAnsi="Times New Roman" w:cs="Times New Roman"/>
                <w:color w:val="000000"/>
                <w:sz w:val="19"/>
                <w:szCs w:val="19"/>
                <w:lang w:eastAsia="en-GB"/>
              </w:rPr>
              <w:t>Perpetual Security</w:t>
            </w:r>
          </w:p>
        </w:tc>
      </w:tr>
      <w:bookmarkEnd w:id="22"/>
      <w:tr w:rsidR="00A755F5" w:rsidRPr="00965789" w14:paraId="63689C44" w14:textId="77777777" w:rsidTr="00A755F5">
        <w:trPr>
          <w:trHeight w:val="342"/>
        </w:trPr>
        <w:tc>
          <w:tcPr>
            <w:tcW w:w="2693" w:type="dxa"/>
            <w:tcBorders>
              <w:top w:val="nil"/>
              <w:left w:val="single" w:sz="8" w:space="0" w:color="auto"/>
              <w:bottom w:val="single" w:sz="4" w:space="0" w:color="auto"/>
              <w:right w:val="single" w:sz="4" w:space="0" w:color="auto"/>
            </w:tcBorders>
            <w:shd w:val="clear" w:color="auto" w:fill="auto"/>
            <w:vAlign w:val="center"/>
            <w:hideMark/>
          </w:tcPr>
          <w:p w14:paraId="7AC6738B" w14:textId="77777777" w:rsidR="00A755F5" w:rsidRPr="00965789" w:rsidRDefault="00A755F5" w:rsidP="00C74AEF">
            <w:pPr>
              <w:spacing w:after="0" w:line="240" w:lineRule="auto"/>
              <w:rPr>
                <w:rFonts w:ascii="Times New Roman" w:eastAsia="Times New Roman" w:hAnsi="Times New Roman" w:cs="Times New Roman"/>
                <w:color w:val="000000"/>
                <w:sz w:val="19"/>
                <w:szCs w:val="19"/>
                <w:lang w:eastAsia="en-GB"/>
              </w:rPr>
            </w:pPr>
            <w:r w:rsidRPr="00965789">
              <w:rPr>
                <w:rFonts w:ascii="Times New Roman" w:eastAsia="Times New Roman" w:hAnsi="Times New Roman" w:cs="Times New Roman"/>
                <w:color w:val="000000"/>
                <w:sz w:val="19"/>
                <w:szCs w:val="19"/>
                <w:lang w:eastAsia="en-GB"/>
              </w:rPr>
              <w:t xml:space="preserve">ICD Funding Ltd </w:t>
            </w:r>
          </w:p>
        </w:tc>
        <w:tc>
          <w:tcPr>
            <w:tcW w:w="993" w:type="dxa"/>
            <w:tcBorders>
              <w:top w:val="nil"/>
              <w:left w:val="nil"/>
              <w:bottom w:val="single" w:sz="4" w:space="0" w:color="auto"/>
              <w:right w:val="single" w:sz="4" w:space="0" w:color="auto"/>
            </w:tcBorders>
            <w:shd w:val="clear" w:color="auto" w:fill="auto"/>
            <w:noWrap/>
            <w:vAlign w:val="center"/>
            <w:hideMark/>
          </w:tcPr>
          <w:p w14:paraId="2A4B9AA7"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22.05.14</w:t>
            </w:r>
          </w:p>
        </w:tc>
        <w:tc>
          <w:tcPr>
            <w:tcW w:w="1134" w:type="dxa"/>
            <w:tcBorders>
              <w:top w:val="nil"/>
              <w:left w:val="nil"/>
              <w:bottom w:val="single" w:sz="4" w:space="0" w:color="auto"/>
              <w:right w:val="single" w:sz="4" w:space="0" w:color="auto"/>
            </w:tcBorders>
            <w:shd w:val="clear" w:color="auto" w:fill="auto"/>
            <w:noWrap/>
            <w:vAlign w:val="center"/>
            <w:hideMark/>
          </w:tcPr>
          <w:p w14:paraId="3178B596"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21.5.24</w:t>
            </w:r>
          </w:p>
        </w:tc>
        <w:tc>
          <w:tcPr>
            <w:tcW w:w="850" w:type="dxa"/>
            <w:tcBorders>
              <w:top w:val="nil"/>
              <w:left w:val="nil"/>
              <w:bottom w:val="single" w:sz="4" w:space="0" w:color="auto"/>
              <w:right w:val="single" w:sz="4" w:space="0" w:color="auto"/>
            </w:tcBorders>
            <w:shd w:val="clear" w:color="auto" w:fill="auto"/>
            <w:noWrap/>
            <w:vAlign w:val="center"/>
            <w:hideMark/>
          </w:tcPr>
          <w:p w14:paraId="7EDB08D1"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10</w:t>
            </w:r>
          </w:p>
        </w:tc>
        <w:tc>
          <w:tcPr>
            <w:tcW w:w="1134" w:type="dxa"/>
            <w:tcBorders>
              <w:top w:val="nil"/>
              <w:left w:val="nil"/>
              <w:bottom w:val="single" w:sz="4" w:space="0" w:color="auto"/>
              <w:right w:val="single" w:sz="4" w:space="0" w:color="auto"/>
            </w:tcBorders>
            <w:shd w:val="clear" w:color="auto" w:fill="auto"/>
            <w:noWrap/>
            <w:vAlign w:val="center"/>
            <w:hideMark/>
          </w:tcPr>
          <w:p w14:paraId="33EE2526"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 xml:space="preserve">USD300 </w:t>
            </w:r>
            <w:proofErr w:type="spellStart"/>
            <w:r w:rsidRPr="00965789">
              <w:rPr>
                <w:rFonts w:ascii="Times New Roman" w:eastAsia="Times New Roman" w:hAnsi="Times New Roman" w:cs="Times New Roman"/>
                <w:sz w:val="19"/>
                <w:szCs w:val="19"/>
                <w:lang w:eastAsia="en-GB"/>
              </w:rPr>
              <w:t>mln</w:t>
            </w:r>
            <w:proofErr w:type="spellEnd"/>
          </w:p>
        </w:tc>
        <w:tc>
          <w:tcPr>
            <w:tcW w:w="1559" w:type="dxa"/>
            <w:tcBorders>
              <w:top w:val="nil"/>
              <w:left w:val="nil"/>
              <w:bottom w:val="single" w:sz="4" w:space="0" w:color="auto"/>
              <w:right w:val="single" w:sz="8" w:space="0" w:color="auto"/>
            </w:tcBorders>
            <w:shd w:val="clear" w:color="auto" w:fill="auto"/>
            <w:noWrap/>
            <w:vAlign w:val="center"/>
            <w:hideMark/>
          </w:tcPr>
          <w:p w14:paraId="5213F9F2" w14:textId="77777777" w:rsidR="00A755F5" w:rsidRPr="00965789" w:rsidRDefault="00A755F5" w:rsidP="00C74AEF">
            <w:pPr>
              <w:spacing w:after="0" w:line="240" w:lineRule="auto"/>
              <w:jc w:val="center"/>
              <w:rPr>
                <w:rFonts w:ascii="Times New Roman" w:eastAsia="Times New Roman" w:hAnsi="Times New Roman" w:cs="Times New Roman"/>
                <w:color w:val="000000"/>
                <w:sz w:val="19"/>
                <w:szCs w:val="19"/>
                <w:lang w:eastAsia="en-GB"/>
              </w:rPr>
            </w:pPr>
            <w:r w:rsidRPr="00965789">
              <w:rPr>
                <w:rFonts w:ascii="Times New Roman" w:eastAsia="Times New Roman" w:hAnsi="Times New Roman" w:cs="Times New Roman"/>
                <w:color w:val="000000"/>
                <w:sz w:val="19"/>
                <w:szCs w:val="19"/>
                <w:lang w:eastAsia="en-GB"/>
              </w:rPr>
              <w:t>Euro Medium Notes</w:t>
            </w:r>
          </w:p>
        </w:tc>
      </w:tr>
      <w:tr w:rsidR="00A755F5" w:rsidRPr="00965789" w14:paraId="4D176F58" w14:textId="77777777" w:rsidTr="00A755F5">
        <w:trPr>
          <w:trHeight w:val="342"/>
        </w:trPr>
        <w:tc>
          <w:tcPr>
            <w:tcW w:w="2693" w:type="dxa"/>
            <w:tcBorders>
              <w:top w:val="nil"/>
              <w:left w:val="single" w:sz="8" w:space="0" w:color="auto"/>
              <w:bottom w:val="single" w:sz="4" w:space="0" w:color="auto"/>
              <w:right w:val="single" w:sz="4" w:space="0" w:color="auto"/>
            </w:tcBorders>
            <w:shd w:val="clear" w:color="auto" w:fill="auto"/>
            <w:vAlign w:val="center"/>
            <w:hideMark/>
          </w:tcPr>
          <w:p w14:paraId="3F3FD75C" w14:textId="77777777" w:rsidR="00A755F5" w:rsidRPr="00965789" w:rsidRDefault="00A755F5" w:rsidP="00C74AEF">
            <w:pPr>
              <w:spacing w:after="0" w:line="240" w:lineRule="auto"/>
              <w:rPr>
                <w:rFonts w:ascii="Times New Roman" w:eastAsia="Times New Roman" w:hAnsi="Times New Roman" w:cs="Times New Roman"/>
                <w:color w:val="000000"/>
                <w:sz w:val="19"/>
                <w:szCs w:val="19"/>
                <w:lang w:eastAsia="en-GB"/>
              </w:rPr>
            </w:pPr>
            <w:r w:rsidRPr="00965789">
              <w:rPr>
                <w:rFonts w:ascii="Times New Roman" w:eastAsia="Times New Roman" w:hAnsi="Times New Roman" w:cs="Times New Roman"/>
                <w:color w:val="000000"/>
                <w:sz w:val="19"/>
                <w:szCs w:val="19"/>
                <w:lang w:eastAsia="en-GB"/>
              </w:rPr>
              <w:t xml:space="preserve">Ind. &amp; Com. Bank of China </w:t>
            </w:r>
          </w:p>
        </w:tc>
        <w:tc>
          <w:tcPr>
            <w:tcW w:w="993" w:type="dxa"/>
            <w:tcBorders>
              <w:top w:val="nil"/>
              <w:left w:val="nil"/>
              <w:bottom w:val="single" w:sz="4" w:space="0" w:color="auto"/>
              <w:right w:val="single" w:sz="4" w:space="0" w:color="auto"/>
            </w:tcBorders>
            <w:shd w:val="clear" w:color="auto" w:fill="auto"/>
            <w:noWrap/>
            <w:vAlign w:val="center"/>
            <w:hideMark/>
          </w:tcPr>
          <w:p w14:paraId="0F35CB87"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27.05.15</w:t>
            </w:r>
          </w:p>
        </w:tc>
        <w:tc>
          <w:tcPr>
            <w:tcW w:w="1134" w:type="dxa"/>
            <w:tcBorders>
              <w:top w:val="nil"/>
              <w:left w:val="nil"/>
              <w:bottom w:val="single" w:sz="4" w:space="0" w:color="auto"/>
              <w:right w:val="single" w:sz="4" w:space="0" w:color="auto"/>
            </w:tcBorders>
            <w:shd w:val="clear" w:color="auto" w:fill="auto"/>
            <w:noWrap/>
            <w:vAlign w:val="center"/>
            <w:hideMark/>
          </w:tcPr>
          <w:p w14:paraId="1DCDAB20"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26.05.2020</w:t>
            </w:r>
          </w:p>
        </w:tc>
        <w:tc>
          <w:tcPr>
            <w:tcW w:w="850" w:type="dxa"/>
            <w:tcBorders>
              <w:top w:val="nil"/>
              <w:left w:val="nil"/>
              <w:bottom w:val="single" w:sz="4" w:space="0" w:color="auto"/>
              <w:right w:val="single" w:sz="4" w:space="0" w:color="auto"/>
            </w:tcBorders>
            <w:shd w:val="clear" w:color="auto" w:fill="auto"/>
            <w:noWrap/>
            <w:vAlign w:val="center"/>
            <w:hideMark/>
          </w:tcPr>
          <w:p w14:paraId="762A9D20"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5</w:t>
            </w:r>
          </w:p>
        </w:tc>
        <w:tc>
          <w:tcPr>
            <w:tcW w:w="1134" w:type="dxa"/>
            <w:tcBorders>
              <w:top w:val="nil"/>
              <w:left w:val="nil"/>
              <w:bottom w:val="single" w:sz="4" w:space="0" w:color="auto"/>
              <w:right w:val="single" w:sz="4" w:space="0" w:color="auto"/>
            </w:tcBorders>
            <w:shd w:val="clear" w:color="auto" w:fill="auto"/>
            <w:noWrap/>
            <w:vAlign w:val="center"/>
            <w:hideMark/>
          </w:tcPr>
          <w:p w14:paraId="5BDABECC"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 xml:space="preserve">USD400 </w:t>
            </w:r>
            <w:proofErr w:type="spellStart"/>
            <w:r w:rsidRPr="00965789">
              <w:rPr>
                <w:rFonts w:ascii="Times New Roman" w:eastAsia="Times New Roman" w:hAnsi="Times New Roman" w:cs="Times New Roman"/>
                <w:sz w:val="19"/>
                <w:szCs w:val="19"/>
                <w:lang w:eastAsia="en-GB"/>
              </w:rPr>
              <w:t>mln</w:t>
            </w:r>
            <w:proofErr w:type="spellEnd"/>
          </w:p>
        </w:tc>
        <w:tc>
          <w:tcPr>
            <w:tcW w:w="1559" w:type="dxa"/>
            <w:tcBorders>
              <w:top w:val="nil"/>
              <w:left w:val="nil"/>
              <w:bottom w:val="single" w:sz="4" w:space="0" w:color="auto"/>
              <w:right w:val="single" w:sz="8" w:space="0" w:color="auto"/>
            </w:tcBorders>
            <w:shd w:val="clear" w:color="auto" w:fill="auto"/>
            <w:noWrap/>
            <w:vAlign w:val="center"/>
            <w:hideMark/>
          </w:tcPr>
          <w:p w14:paraId="71D680C8" w14:textId="77777777" w:rsidR="00A755F5" w:rsidRPr="00965789" w:rsidRDefault="00A755F5" w:rsidP="00C74AEF">
            <w:pPr>
              <w:spacing w:after="0" w:line="240" w:lineRule="auto"/>
              <w:jc w:val="center"/>
              <w:rPr>
                <w:rFonts w:ascii="Times New Roman" w:eastAsia="Times New Roman" w:hAnsi="Times New Roman" w:cs="Times New Roman"/>
                <w:color w:val="000000"/>
                <w:sz w:val="19"/>
                <w:szCs w:val="19"/>
                <w:lang w:eastAsia="en-GB"/>
              </w:rPr>
            </w:pPr>
            <w:r w:rsidRPr="00965789">
              <w:rPr>
                <w:rFonts w:ascii="Times New Roman" w:eastAsia="Times New Roman" w:hAnsi="Times New Roman" w:cs="Times New Roman"/>
                <w:color w:val="000000"/>
                <w:sz w:val="19"/>
                <w:szCs w:val="19"/>
                <w:lang w:eastAsia="en-GB"/>
              </w:rPr>
              <w:t>Euro Medium Notes</w:t>
            </w:r>
          </w:p>
        </w:tc>
      </w:tr>
      <w:tr w:rsidR="00A755F5" w:rsidRPr="00965789" w14:paraId="49F4EC50" w14:textId="77777777" w:rsidTr="00A755F5">
        <w:trPr>
          <w:trHeight w:val="342"/>
        </w:trPr>
        <w:tc>
          <w:tcPr>
            <w:tcW w:w="2693" w:type="dxa"/>
            <w:tcBorders>
              <w:top w:val="nil"/>
              <w:left w:val="single" w:sz="8" w:space="0" w:color="auto"/>
              <w:bottom w:val="single" w:sz="4" w:space="0" w:color="auto"/>
              <w:right w:val="single" w:sz="4" w:space="0" w:color="auto"/>
            </w:tcBorders>
            <w:shd w:val="clear" w:color="auto" w:fill="auto"/>
            <w:vAlign w:val="center"/>
            <w:hideMark/>
          </w:tcPr>
          <w:p w14:paraId="17175205" w14:textId="77777777" w:rsidR="00A755F5" w:rsidRPr="00965789" w:rsidRDefault="00A755F5" w:rsidP="00C74AEF">
            <w:pPr>
              <w:spacing w:after="0" w:line="240" w:lineRule="auto"/>
              <w:rPr>
                <w:rFonts w:ascii="Times New Roman" w:eastAsia="Times New Roman" w:hAnsi="Times New Roman" w:cs="Times New Roman"/>
                <w:color w:val="000000"/>
                <w:sz w:val="19"/>
                <w:szCs w:val="19"/>
                <w:lang w:eastAsia="en-GB"/>
              </w:rPr>
            </w:pPr>
            <w:r w:rsidRPr="00965789">
              <w:rPr>
                <w:rFonts w:ascii="Times New Roman" w:eastAsia="Times New Roman" w:hAnsi="Times New Roman" w:cs="Times New Roman"/>
                <w:color w:val="000000"/>
                <w:sz w:val="19"/>
                <w:szCs w:val="19"/>
                <w:lang w:eastAsia="en-GB"/>
              </w:rPr>
              <w:t>MAF Global Securities-14</w:t>
            </w:r>
          </w:p>
        </w:tc>
        <w:tc>
          <w:tcPr>
            <w:tcW w:w="993" w:type="dxa"/>
            <w:tcBorders>
              <w:top w:val="nil"/>
              <w:left w:val="nil"/>
              <w:bottom w:val="single" w:sz="4" w:space="0" w:color="auto"/>
              <w:right w:val="single" w:sz="4" w:space="0" w:color="auto"/>
            </w:tcBorders>
            <w:shd w:val="clear" w:color="auto" w:fill="auto"/>
            <w:noWrap/>
            <w:vAlign w:val="center"/>
            <w:hideMark/>
          </w:tcPr>
          <w:p w14:paraId="74B2557E"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08.05.14</w:t>
            </w:r>
          </w:p>
        </w:tc>
        <w:tc>
          <w:tcPr>
            <w:tcW w:w="1134" w:type="dxa"/>
            <w:tcBorders>
              <w:top w:val="nil"/>
              <w:left w:val="nil"/>
              <w:bottom w:val="single" w:sz="4" w:space="0" w:color="auto"/>
              <w:right w:val="single" w:sz="4" w:space="0" w:color="auto"/>
            </w:tcBorders>
            <w:shd w:val="clear" w:color="auto" w:fill="auto"/>
            <w:noWrap/>
            <w:vAlign w:val="center"/>
            <w:hideMark/>
          </w:tcPr>
          <w:p w14:paraId="7886AE24"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7.5.2024</w:t>
            </w:r>
          </w:p>
        </w:tc>
        <w:tc>
          <w:tcPr>
            <w:tcW w:w="850" w:type="dxa"/>
            <w:tcBorders>
              <w:top w:val="nil"/>
              <w:left w:val="nil"/>
              <w:bottom w:val="single" w:sz="4" w:space="0" w:color="auto"/>
              <w:right w:val="single" w:sz="4" w:space="0" w:color="auto"/>
            </w:tcBorders>
            <w:shd w:val="clear" w:color="auto" w:fill="auto"/>
            <w:noWrap/>
            <w:vAlign w:val="center"/>
            <w:hideMark/>
          </w:tcPr>
          <w:p w14:paraId="61D3A685"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10</w:t>
            </w:r>
          </w:p>
        </w:tc>
        <w:tc>
          <w:tcPr>
            <w:tcW w:w="1134" w:type="dxa"/>
            <w:tcBorders>
              <w:top w:val="nil"/>
              <w:left w:val="nil"/>
              <w:bottom w:val="single" w:sz="4" w:space="0" w:color="auto"/>
              <w:right w:val="single" w:sz="4" w:space="0" w:color="auto"/>
            </w:tcBorders>
            <w:shd w:val="clear" w:color="auto" w:fill="auto"/>
            <w:noWrap/>
            <w:vAlign w:val="center"/>
            <w:hideMark/>
          </w:tcPr>
          <w:p w14:paraId="0FA81782"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 xml:space="preserve">USD800 </w:t>
            </w:r>
            <w:proofErr w:type="spellStart"/>
            <w:r w:rsidRPr="00965789">
              <w:rPr>
                <w:rFonts w:ascii="Times New Roman" w:eastAsia="Times New Roman" w:hAnsi="Times New Roman" w:cs="Times New Roman"/>
                <w:sz w:val="19"/>
                <w:szCs w:val="19"/>
                <w:lang w:eastAsia="en-GB"/>
              </w:rPr>
              <w:t>mln</w:t>
            </w:r>
            <w:proofErr w:type="spellEnd"/>
          </w:p>
        </w:tc>
        <w:tc>
          <w:tcPr>
            <w:tcW w:w="1559" w:type="dxa"/>
            <w:tcBorders>
              <w:top w:val="nil"/>
              <w:left w:val="nil"/>
              <w:bottom w:val="single" w:sz="4" w:space="0" w:color="auto"/>
              <w:right w:val="single" w:sz="8" w:space="0" w:color="auto"/>
            </w:tcBorders>
            <w:shd w:val="clear" w:color="auto" w:fill="auto"/>
            <w:noWrap/>
            <w:vAlign w:val="center"/>
            <w:hideMark/>
          </w:tcPr>
          <w:p w14:paraId="3E9A8BE0" w14:textId="77777777" w:rsidR="00A755F5" w:rsidRPr="00965789" w:rsidRDefault="00A755F5" w:rsidP="00C74AEF">
            <w:pPr>
              <w:spacing w:after="0" w:line="240" w:lineRule="auto"/>
              <w:jc w:val="center"/>
              <w:rPr>
                <w:rFonts w:ascii="Times New Roman" w:eastAsia="Times New Roman" w:hAnsi="Times New Roman" w:cs="Times New Roman"/>
                <w:color w:val="000000"/>
                <w:sz w:val="19"/>
                <w:szCs w:val="19"/>
                <w:lang w:eastAsia="en-GB"/>
              </w:rPr>
            </w:pPr>
            <w:r w:rsidRPr="00965789">
              <w:rPr>
                <w:rFonts w:ascii="Times New Roman" w:eastAsia="Times New Roman" w:hAnsi="Times New Roman" w:cs="Times New Roman"/>
                <w:color w:val="000000"/>
                <w:sz w:val="19"/>
                <w:szCs w:val="19"/>
                <w:lang w:eastAsia="en-GB"/>
              </w:rPr>
              <w:t>Medium Notes</w:t>
            </w:r>
          </w:p>
        </w:tc>
      </w:tr>
      <w:tr w:rsidR="00A755F5" w:rsidRPr="00965789" w14:paraId="1F8546C4" w14:textId="77777777" w:rsidTr="00A755F5">
        <w:trPr>
          <w:trHeight w:val="342"/>
        </w:trPr>
        <w:tc>
          <w:tcPr>
            <w:tcW w:w="2693" w:type="dxa"/>
            <w:tcBorders>
              <w:top w:val="nil"/>
              <w:left w:val="single" w:sz="8" w:space="0" w:color="auto"/>
              <w:bottom w:val="single" w:sz="8" w:space="0" w:color="auto"/>
              <w:right w:val="single" w:sz="4" w:space="0" w:color="auto"/>
            </w:tcBorders>
            <w:shd w:val="clear" w:color="auto" w:fill="auto"/>
            <w:vAlign w:val="center"/>
            <w:hideMark/>
          </w:tcPr>
          <w:p w14:paraId="541A8E08" w14:textId="77777777" w:rsidR="00A755F5" w:rsidRPr="00965789" w:rsidRDefault="00A755F5" w:rsidP="00C74AEF">
            <w:pPr>
              <w:spacing w:after="0" w:line="240" w:lineRule="auto"/>
              <w:rPr>
                <w:rFonts w:ascii="Times New Roman" w:eastAsia="Times New Roman" w:hAnsi="Times New Roman" w:cs="Times New Roman"/>
                <w:color w:val="000000"/>
                <w:sz w:val="19"/>
                <w:szCs w:val="19"/>
                <w:lang w:eastAsia="en-GB"/>
              </w:rPr>
            </w:pPr>
            <w:r w:rsidRPr="00965789">
              <w:rPr>
                <w:rFonts w:ascii="Times New Roman" w:eastAsia="Times New Roman" w:hAnsi="Times New Roman" w:cs="Times New Roman"/>
                <w:color w:val="000000"/>
                <w:sz w:val="19"/>
                <w:szCs w:val="19"/>
                <w:lang w:eastAsia="en-GB"/>
              </w:rPr>
              <w:t>MAF Global Securities- 2013</w:t>
            </w:r>
          </w:p>
        </w:tc>
        <w:tc>
          <w:tcPr>
            <w:tcW w:w="993" w:type="dxa"/>
            <w:tcBorders>
              <w:top w:val="nil"/>
              <w:left w:val="nil"/>
              <w:bottom w:val="single" w:sz="8" w:space="0" w:color="auto"/>
              <w:right w:val="single" w:sz="4" w:space="0" w:color="auto"/>
            </w:tcBorders>
            <w:shd w:val="clear" w:color="auto" w:fill="auto"/>
            <w:noWrap/>
            <w:vAlign w:val="center"/>
            <w:hideMark/>
          </w:tcPr>
          <w:p w14:paraId="19C7A200"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31.07.13</w:t>
            </w:r>
          </w:p>
        </w:tc>
        <w:tc>
          <w:tcPr>
            <w:tcW w:w="1134" w:type="dxa"/>
            <w:tcBorders>
              <w:top w:val="nil"/>
              <w:left w:val="nil"/>
              <w:bottom w:val="single" w:sz="4" w:space="0" w:color="auto"/>
              <w:right w:val="single" w:sz="4" w:space="0" w:color="auto"/>
            </w:tcBorders>
            <w:shd w:val="clear" w:color="auto" w:fill="auto"/>
            <w:noWrap/>
            <w:vAlign w:val="center"/>
            <w:hideMark/>
          </w:tcPr>
          <w:p w14:paraId="1A9E8C5B"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5.7.2019</w:t>
            </w:r>
          </w:p>
        </w:tc>
        <w:tc>
          <w:tcPr>
            <w:tcW w:w="850" w:type="dxa"/>
            <w:tcBorders>
              <w:top w:val="nil"/>
              <w:left w:val="nil"/>
              <w:bottom w:val="single" w:sz="8" w:space="0" w:color="auto"/>
              <w:right w:val="single" w:sz="4" w:space="0" w:color="auto"/>
            </w:tcBorders>
            <w:shd w:val="clear" w:color="auto" w:fill="auto"/>
            <w:noWrap/>
            <w:vAlign w:val="center"/>
            <w:hideMark/>
          </w:tcPr>
          <w:p w14:paraId="4F7B34EE"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6</w:t>
            </w:r>
          </w:p>
        </w:tc>
        <w:tc>
          <w:tcPr>
            <w:tcW w:w="1134" w:type="dxa"/>
            <w:tcBorders>
              <w:top w:val="nil"/>
              <w:left w:val="nil"/>
              <w:bottom w:val="single" w:sz="8" w:space="0" w:color="auto"/>
              <w:right w:val="single" w:sz="4" w:space="0" w:color="auto"/>
            </w:tcBorders>
            <w:shd w:val="clear" w:color="auto" w:fill="auto"/>
            <w:noWrap/>
            <w:vAlign w:val="center"/>
            <w:hideMark/>
          </w:tcPr>
          <w:p w14:paraId="44AA7F4E" w14:textId="77777777" w:rsidR="00A755F5" w:rsidRPr="00965789" w:rsidRDefault="00A755F5" w:rsidP="00C74AEF">
            <w:pPr>
              <w:spacing w:after="0" w:line="240" w:lineRule="auto"/>
              <w:jc w:val="center"/>
              <w:rPr>
                <w:rFonts w:ascii="Times New Roman" w:eastAsia="Times New Roman" w:hAnsi="Times New Roman" w:cs="Times New Roman"/>
                <w:sz w:val="19"/>
                <w:szCs w:val="19"/>
                <w:lang w:eastAsia="en-GB"/>
              </w:rPr>
            </w:pPr>
            <w:r w:rsidRPr="00965789">
              <w:rPr>
                <w:rFonts w:ascii="Times New Roman" w:eastAsia="Times New Roman" w:hAnsi="Times New Roman" w:cs="Times New Roman"/>
                <w:sz w:val="19"/>
                <w:szCs w:val="19"/>
                <w:lang w:eastAsia="en-GB"/>
              </w:rPr>
              <w:t xml:space="preserve">USD800 </w:t>
            </w:r>
            <w:proofErr w:type="spellStart"/>
            <w:r w:rsidRPr="00965789">
              <w:rPr>
                <w:rFonts w:ascii="Times New Roman" w:eastAsia="Times New Roman" w:hAnsi="Times New Roman" w:cs="Times New Roman"/>
                <w:sz w:val="19"/>
                <w:szCs w:val="19"/>
                <w:lang w:eastAsia="en-GB"/>
              </w:rPr>
              <w:t>mln</w:t>
            </w:r>
            <w:proofErr w:type="spellEnd"/>
          </w:p>
        </w:tc>
        <w:tc>
          <w:tcPr>
            <w:tcW w:w="1559" w:type="dxa"/>
            <w:tcBorders>
              <w:top w:val="nil"/>
              <w:left w:val="nil"/>
              <w:bottom w:val="single" w:sz="8" w:space="0" w:color="auto"/>
              <w:right w:val="single" w:sz="8" w:space="0" w:color="auto"/>
            </w:tcBorders>
            <w:shd w:val="clear" w:color="auto" w:fill="auto"/>
            <w:noWrap/>
            <w:vAlign w:val="center"/>
            <w:hideMark/>
          </w:tcPr>
          <w:p w14:paraId="5BE29BF1" w14:textId="77777777" w:rsidR="00A755F5" w:rsidRPr="00965789" w:rsidRDefault="00A755F5" w:rsidP="00C74AEF">
            <w:pPr>
              <w:spacing w:after="0" w:line="240" w:lineRule="auto"/>
              <w:jc w:val="center"/>
              <w:rPr>
                <w:rFonts w:ascii="Times New Roman" w:eastAsia="Times New Roman" w:hAnsi="Times New Roman" w:cs="Times New Roman"/>
                <w:color w:val="000000"/>
                <w:sz w:val="19"/>
                <w:szCs w:val="19"/>
                <w:lang w:eastAsia="en-GB"/>
              </w:rPr>
            </w:pPr>
            <w:r w:rsidRPr="00965789">
              <w:rPr>
                <w:rFonts w:ascii="Times New Roman" w:eastAsia="Times New Roman" w:hAnsi="Times New Roman" w:cs="Times New Roman"/>
                <w:color w:val="000000"/>
                <w:sz w:val="19"/>
                <w:szCs w:val="19"/>
                <w:lang w:eastAsia="en-GB"/>
              </w:rPr>
              <w:t>Medium Notes</w:t>
            </w:r>
          </w:p>
        </w:tc>
      </w:tr>
    </w:tbl>
    <w:p w14:paraId="56F89B5A" w14:textId="381DFEB7" w:rsidR="00A755F5" w:rsidRPr="00251B2C" w:rsidRDefault="00A755F5" w:rsidP="00A755F5">
      <w:pPr>
        <w:shd w:val="clear" w:color="auto" w:fill="FFFFFF" w:themeFill="background1"/>
        <w:spacing w:before="120" w:after="120" w:line="360" w:lineRule="auto"/>
        <w:jc w:val="center"/>
        <w:rPr>
          <w:rFonts w:ascii="Times New Roman" w:eastAsia="Times New Roman" w:hAnsi="Times New Roman" w:cs="Times New Roman"/>
          <w:sz w:val="24"/>
          <w:szCs w:val="24"/>
        </w:rPr>
      </w:pPr>
      <w:r w:rsidRPr="009B1361">
        <w:rPr>
          <w:rFonts w:ascii="Times New Roman" w:eastAsia="Times New Roman" w:hAnsi="Times New Roman" w:cs="Times New Roman"/>
          <w:i/>
          <w:iCs/>
          <w:sz w:val="24"/>
          <w:szCs w:val="24"/>
        </w:rPr>
        <w:t>Source:</w:t>
      </w:r>
      <w:r w:rsidRPr="00251B2C">
        <w:rPr>
          <w:rFonts w:ascii="Times New Roman" w:eastAsia="Times New Roman" w:hAnsi="Times New Roman" w:cs="Times New Roman"/>
          <w:sz w:val="24"/>
          <w:szCs w:val="24"/>
        </w:rPr>
        <w:t xml:space="preserve"> Nasdaq Dubai</w:t>
      </w:r>
      <w:r w:rsidR="00E307F6" w:rsidRPr="00251B2C">
        <w:rPr>
          <w:rFonts w:ascii="Times New Roman" w:eastAsia="Times New Roman" w:hAnsi="Times New Roman" w:cs="Times New Roman"/>
          <w:sz w:val="24"/>
          <w:szCs w:val="24"/>
        </w:rPr>
        <w:t xml:space="preserve"> </w:t>
      </w:r>
    </w:p>
    <w:p w14:paraId="1A6CB6D8" w14:textId="744AFF8C" w:rsidR="00A755F5" w:rsidRPr="00251B2C" w:rsidRDefault="00A755F5" w:rsidP="00A755F5">
      <w:pPr>
        <w:spacing w:before="120" w:after="120" w:line="360" w:lineRule="auto"/>
        <w:jc w:val="both"/>
        <w:rPr>
          <w:rFonts w:ascii="Times New Roman" w:eastAsia="Times New Roman" w:hAnsi="Times New Roman" w:cs="Times New Roman"/>
          <w:color w:val="000000"/>
          <w:sz w:val="24"/>
          <w:szCs w:val="24"/>
          <w:lang w:eastAsia="en-GB"/>
        </w:rPr>
      </w:pPr>
      <w:bookmarkStart w:id="23" w:name="OLE_LINK118"/>
      <w:r w:rsidRPr="00251B2C">
        <w:rPr>
          <w:rFonts w:ascii="Times New Roman" w:eastAsia="Times New Roman" w:hAnsi="Times New Roman" w:cs="Times New Roman"/>
          <w:color w:val="000000"/>
          <w:sz w:val="24"/>
          <w:szCs w:val="24"/>
          <w:lang w:eastAsia="en-GB"/>
        </w:rPr>
        <w:t xml:space="preserve">As shown </w:t>
      </w:r>
      <w:r w:rsidR="009538A3" w:rsidRPr="00251B2C">
        <w:rPr>
          <w:rFonts w:ascii="Times New Roman" w:eastAsia="Times New Roman" w:hAnsi="Times New Roman" w:cs="Times New Roman"/>
          <w:color w:val="000000"/>
          <w:sz w:val="24"/>
          <w:szCs w:val="24"/>
          <w:lang w:eastAsia="en-GB"/>
        </w:rPr>
        <w:t xml:space="preserve">in </w:t>
      </w:r>
      <w:r w:rsidR="009538A3">
        <w:rPr>
          <w:rFonts w:ascii="Times New Roman" w:eastAsia="Times New Roman" w:hAnsi="Times New Roman" w:cs="Times New Roman"/>
          <w:color w:val="000000"/>
          <w:sz w:val="24"/>
          <w:szCs w:val="24"/>
          <w:lang w:eastAsia="en-GB"/>
        </w:rPr>
        <w:t>Table</w:t>
      </w:r>
      <w:r w:rsidR="00612FE1" w:rsidRPr="00251B2C">
        <w:rPr>
          <w:rFonts w:ascii="Times New Roman" w:eastAsia="Times New Roman" w:hAnsi="Times New Roman" w:cs="Times New Roman"/>
          <w:sz w:val="24"/>
          <w:szCs w:val="24"/>
        </w:rPr>
        <w:t xml:space="preserve"> </w:t>
      </w:r>
      <w:r w:rsidRPr="00251B2C">
        <w:rPr>
          <w:rFonts w:ascii="Times New Roman" w:eastAsia="Times New Roman" w:hAnsi="Times New Roman" w:cs="Times New Roman"/>
          <w:color w:val="000000"/>
          <w:sz w:val="24"/>
          <w:szCs w:val="24"/>
          <w:lang w:eastAsia="en-GB"/>
        </w:rPr>
        <w:t xml:space="preserve">2 above, the range of conventional bonds issue size varies </w:t>
      </w:r>
      <w:r w:rsidR="00A12B21" w:rsidRPr="00251B2C">
        <w:rPr>
          <w:rFonts w:ascii="Times New Roman" w:eastAsia="Times New Roman" w:hAnsi="Times New Roman" w:cs="Times New Roman"/>
          <w:color w:val="000000"/>
          <w:sz w:val="24"/>
          <w:szCs w:val="24"/>
          <w:lang w:eastAsia="en-GB"/>
        </w:rPr>
        <w:t>between USD</w:t>
      </w:r>
      <w:r w:rsidRPr="00251B2C">
        <w:rPr>
          <w:rFonts w:ascii="Times New Roman" w:eastAsia="Times New Roman" w:hAnsi="Times New Roman" w:cs="Times New Roman"/>
          <w:color w:val="000000"/>
          <w:sz w:val="24"/>
          <w:szCs w:val="24"/>
          <w:lang w:eastAsia="en-GB"/>
        </w:rPr>
        <w:t xml:space="preserve"> 124.9 million to USD 20 billion, a total of USD 43.1 billion altogether. Whereas, Bonds and Notes </w:t>
      </w:r>
      <w:r w:rsidR="009A3C3B">
        <w:rPr>
          <w:rFonts w:ascii="Times New Roman" w:eastAsia="Times New Roman" w:hAnsi="Times New Roman" w:cs="Times New Roman"/>
          <w:color w:val="000000"/>
          <w:sz w:val="24"/>
          <w:szCs w:val="24"/>
          <w:lang w:eastAsia="en-GB"/>
        </w:rPr>
        <w:t xml:space="preserve">amount </w:t>
      </w:r>
      <w:r w:rsidR="009538A3">
        <w:rPr>
          <w:rFonts w:ascii="Times New Roman" w:eastAsia="Times New Roman" w:hAnsi="Times New Roman" w:cs="Times New Roman"/>
          <w:color w:val="000000"/>
          <w:sz w:val="24"/>
          <w:szCs w:val="24"/>
          <w:lang w:eastAsia="en-GB"/>
        </w:rPr>
        <w:t xml:space="preserve">to </w:t>
      </w:r>
      <w:r w:rsidR="009538A3" w:rsidRPr="00251B2C">
        <w:rPr>
          <w:rFonts w:ascii="Times New Roman" w:eastAsia="Times New Roman" w:hAnsi="Times New Roman" w:cs="Times New Roman"/>
          <w:color w:val="000000"/>
          <w:sz w:val="24"/>
          <w:szCs w:val="24"/>
          <w:lang w:eastAsia="en-GB"/>
        </w:rPr>
        <w:t>a</w:t>
      </w:r>
      <w:r w:rsidRPr="00251B2C">
        <w:rPr>
          <w:rFonts w:ascii="Times New Roman" w:eastAsia="Times New Roman" w:hAnsi="Times New Roman" w:cs="Times New Roman"/>
          <w:color w:val="000000"/>
          <w:sz w:val="24"/>
          <w:szCs w:val="24"/>
          <w:lang w:eastAsia="en-GB"/>
        </w:rPr>
        <w:t xml:space="preserve"> value of 48.8% </w:t>
      </w:r>
      <w:r w:rsidR="007F30FA">
        <w:rPr>
          <w:rFonts w:ascii="Times New Roman" w:eastAsia="Times New Roman" w:hAnsi="Times New Roman" w:cs="Times New Roman"/>
          <w:color w:val="000000"/>
          <w:sz w:val="24"/>
          <w:szCs w:val="24"/>
          <w:lang w:eastAsia="en-GB"/>
        </w:rPr>
        <w:t xml:space="preserve">equating to </w:t>
      </w:r>
      <w:r w:rsidR="00C31C8C">
        <w:rPr>
          <w:rFonts w:ascii="Times New Roman" w:eastAsia="Times New Roman" w:hAnsi="Times New Roman" w:cs="Times New Roman"/>
          <w:color w:val="000000"/>
          <w:sz w:val="24"/>
          <w:szCs w:val="24"/>
          <w:lang w:eastAsia="en-GB"/>
        </w:rPr>
        <w:t xml:space="preserve">a </w:t>
      </w:r>
      <w:r w:rsidR="00C31C8C" w:rsidRPr="00251B2C">
        <w:rPr>
          <w:rFonts w:ascii="Times New Roman" w:eastAsia="Times New Roman" w:hAnsi="Times New Roman" w:cs="Times New Roman"/>
          <w:color w:val="000000"/>
          <w:sz w:val="24"/>
          <w:szCs w:val="24"/>
          <w:lang w:eastAsia="en-GB"/>
        </w:rPr>
        <w:t>total</w:t>
      </w:r>
      <w:r w:rsidRPr="00251B2C">
        <w:rPr>
          <w:rFonts w:ascii="Times New Roman" w:eastAsia="Times New Roman" w:hAnsi="Times New Roman" w:cs="Times New Roman"/>
          <w:color w:val="000000"/>
          <w:sz w:val="24"/>
          <w:szCs w:val="24"/>
          <w:lang w:eastAsia="en-GB"/>
        </w:rPr>
        <w:t xml:space="preserve"> of USD 21 billion</w:t>
      </w:r>
      <w:r w:rsidR="007F30FA">
        <w:rPr>
          <w:rFonts w:ascii="Times New Roman" w:eastAsia="Times New Roman" w:hAnsi="Times New Roman" w:cs="Times New Roman"/>
          <w:color w:val="000000"/>
          <w:sz w:val="24"/>
          <w:szCs w:val="24"/>
          <w:lang w:eastAsia="en-GB"/>
        </w:rPr>
        <w:t>,</w:t>
      </w:r>
      <w:r w:rsidRPr="00251B2C">
        <w:rPr>
          <w:rFonts w:ascii="Times New Roman" w:eastAsia="Times New Roman" w:hAnsi="Times New Roman" w:cs="Times New Roman"/>
          <w:color w:val="000000"/>
          <w:sz w:val="24"/>
          <w:szCs w:val="24"/>
          <w:lang w:eastAsia="en-GB"/>
        </w:rPr>
        <w:t xml:space="preserve"> </w:t>
      </w:r>
      <w:r w:rsidR="00301F95">
        <w:rPr>
          <w:rFonts w:ascii="Times New Roman" w:eastAsia="Times New Roman" w:hAnsi="Times New Roman" w:cs="Times New Roman"/>
          <w:color w:val="000000"/>
          <w:sz w:val="24"/>
          <w:szCs w:val="24"/>
          <w:lang w:eastAsia="en-GB"/>
        </w:rPr>
        <w:t>while</w:t>
      </w:r>
      <w:r w:rsidRPr="00251B2C">
        <w:rPr>
          <w:rFonts w:ascii="Times New Roman" w:eastAsia="Times New Roman" w:hAnsi="Times New Roman" w:cs="Times New Roman"/>
          <w:color w:val="000000"/>
          <w:sz w:val="24"/>
          <w:szCs w:val="24"/>
          <w:lang w:eastAsia="en-GB"/>
        </w:rPr>
        <w:t xml:space="preserve"> the second largest issued conventional bonds </w:t>
      </w:r>
      <w:r w:rsidR="009513FF" w:rsidRPr="00251B2C">
        <w:rPr>
          <w:rFonts w:ascii="Times New Roman" w:eastAsia="Times New Roman" w:hAnsi="Times New Roman" w:cs="Times New Roman"/>
          <w:color w:val="000000"/>
          <w:sz w:val="24"/>
          <w:szCs w:val="24"/>
          <w:lang w:eastAsia="en-GB"/>
        </w:rPr>
        <w:t>are</w:t>
      </w:r>
      <w:r w:rsidRPr="00251B2C">
        <w:rPr>
          <w:rFonts w:ascii="Times New Roman" w:eastAsia="Times New Roman" w:hAnsi="Times New Roman" w:cs="Times New Roman"/>
          <w:color w:val="000000"/>
          <w:sz w:val="24"/>
          <w:szCs w:val="24"/>
          <w:lang w:eastAsia="en-GB"/>
        </w:rPr>
        <w:t xml:space="preserve"> Medium Terms Note a</w:t>
      </w:r>
      <w:r w:rsidR="00301F95">
        <w:rPr>
          <w:rFonts w:ascii="Times New Roman" w:eastAsia="Times New Roman" w:hAnsi="Times New Roman" w:cs="Times New Roman"/>
          <w:color w:val="000000"/>
          <w:sz w:val="24"/>
          <w:szCs w:val="24"/>
          <w:lang w:eastAsia="en-GB"/>
        </w:rPr>
        <w:t>t</w:t>
      </w:r>
      <w:r w:rsidRPr="00251B2C">
        <w:rPr>
          <w:rFonts w:ascii="Times New Roman" w:eastAsia="Times New Roman" w:hAnsi="Times New Roman" w:cs="Times New Roman"/>
          <w:color w:val="000000"/>
          <w:sz w:val="24"/>
          <w:szCs w:val="24"/>
          <w:lang w:eastAsia="en-GB"/>
        </w:rPr>
        <w:t xml:space="preserve"> 38.6%.  Euro Medium Notes was 10.3% </w:t>
      </w:r>
      <w:r w:rsidR="009538A3" w:rsidRPr="00251B2C">
        <w:rPr>
          <w:rFonts w:ascii="Times New Roman" w:eastAsia="Times New Roman" w:hAnsi="Times New Roman" w:cs="Times New Roman"/>
          <w:color w:val="000000"/>
          <w:sz w:val="24"/>
          <w:szCs w:val="24"/>
          <w:lang w:eastAsia="en-GB"/>
        </w:rPr>
        <w:t>and Perpetual</w:t>
      </w:r>
      <w:r w:rsidRPr="00251B2C">
        <w:rPr>
          <w:rFonts w:ascii="Times New Roman" w:eastAsia="Times New Roman" w:hAnsi="Times New Roman" w:cs="Times New Roman"/>
          <w:color w:val="000000"/>
          <w:sz w:val="24"/>
          <w:szCs w:val="24"/>
          <w:lang w:eastAsia="en-GB"/>
        </w:rPr>
        <w:t xml:space="preserve"> Security </w:t>
      </w:r>
      <w:r w:rsidR="009513FF">
        <w:rPr>
          <w:rFonts w:ascii="Times New Roman" w:eastAsia="Times New Roman" w:hAnsi="Times New Roman" w:cs="Times New Roman"/>
          <w:color w:val="000000"/>
          <w:sz w:val="24"/>
          <w:szCs w:val="24"/>
          <w:lang w:eastAsia="en-GB"/>
        </w:rPr>
        <w:t>has</w:t>
      </w:r>
      <w:r w:rsidRPr="00251B2C">
        <w:rPr>
          <w:rFonts w:ascii="Times New Roman" w:eastAsia="Times New Roman" w:hAnsi="Times New Roman" w:cs="Times New Roman"/>
          <w:color w:val="000000"/>
          <w:sz w:val="24"/>
          <w:szCs w:val="24"/>
          <w:lang w:eastAsia="en-GB"/>
        </w:rPr>
        <w:t xml:space="preserve"> a value of 2.3%.    </w:t>
      </w:r>
    </w:p>
    <w:p w14:paraId="1C589C16" w14:textId="32A6B0A9" w:rsidR="001A131A" w:rsidRPr="00A858A8" w:rsidRDefault="000F4C35" w:rsidP="00A858A8">
      <w:pPr>
        <w:spacing w:before="120" w:after="120" w:line="360" w:lineRule="auto"/>
        <w:jc w:val="both"/>
        <w:rPr>
          <w:rFonts w:ascii="Times New Roman" w:eastAsia="Times New Roman" w:hAnsi="Times New Roman" w:cs="Times New Roman"/>
          <w:color w:val="000000"/>
          <w:sz w:val="24"/>
          <w:szCs w:val="24"/>
          <w:lang w:eastAsia="en-GB"/>
        </w:rPr>
      </w:pPr>
      <w:r w:rsidRPr="00C74AEF">
        <w:rPr>
          <w:rFonts w:ascii="Times New Roman" w:eastAsia="Times New Roman" w:hAnsi="Times New Roman" w:cs="Times New Roman"/>
          <w:i/>
          <w:iCs/>
          <w:color w:val="000000"/>
          <w:sz w:val="24"/>
          <w:szCs w:val="24"/>
          <w:lang w:eastAsia="en-GB"/>
        </w:rPr>
        <w:lastRenderedPageBreak/>
        <w:t>Sukuk</w:t>
      </w:r>
      <w:r w:rsidR="00A755F5" w:rsidRPr="00251B2C">
        <w:rPr>
          <w:rFonts w:ascii="Times New Roman" w:eastAsia="Times New Roman" w:hAnsi="Times New Roman" w:cs="Times New Roman"/>
          <w:color w:val="000000"/>
          <w:sz w:val="24"/>
          <w:szCs w:val="24"/>
          <w:lang w:eastAsia="en-GB"/>
        </w:rPr>
        <w:t xml:space="preserve"> and conventional bonds have a limited range of maturity from 3 to 10 years, except Emirates NBD Tier 1 Ltd- PRP, which is </w:t>
      </w:r>
      <w:r w:rsidR="00387615">
        <w:rPr>
          <w:rFonts w:ascii="Times New Roman" w:eastAsia="Times New Roman" w:hAnsi="Times New Roman" w:cs="Times New Roman"/>
          <w:color w:val="000000"/>
          <w:sz w:val="24"/>
          <w:szCs w:val="24"/>
          <w:lang w:eastAsia="en-GB"/>
        </w:rPr>
        <w:t xml:space="preserve">a </w:t>
      </w:r>
      <w:r w:rsidR="00A755F5" w:rsidRPr="00251B2C">
        <w:rPr>
          <w:rFonts w:ascii="Times New Roman" w:eastAsia="Times New Roman" w:hAnsi="Times New Roman" w:cs="Times New Roman"/>
          <w:color w:val="000000"/>
          <w:sz w:val="24"/>
          <w:szCs w:val="24"/>
          <w:lang w:eastAsia="en-GB"/>
        </w:rPr>
        <w:t>perpetuity security with no limited time of maturity. Since there is limited available information on firms issuing both </w:t>
      </w:r>
      <w:r w:rsidRPr="00C74AEF">
        <w:rPr>
          <w:rFonts w:ascii="Times New Roman" w:eastAsia="Times New Roman" w:hAnsi="Times New Roman" w:cs="Times New Roman"/>
          <w:i/>
          <w:iCs/>
          <w:color w:val="000000"/>
          <w:sz w:val="24"/>
          <w:szCs w:val="24"/>
          <w:lang w:eastAsia="en-GB"/>
        </w:rPr>
        <w:t>Sukuk</w:t>
      </w:r>
      <w:r w:rsidR="00A755F5" w:rsidRPr="00251B2C">
        <w:rPr>
          <w:rFonts w:ascii="Times New Roman" w:eastAsia="Times New Roman" w:hAnsi="Times New Roman" w:cs="Times New Roman"/>
          <w:color w:val="000000"/>
          <w:sz w:val="24"/>
          <w:szCs w:val="24"/>
          <w:lang w:eastAsia="en-GB"/>
        </w:rPr>
        <w:t> and conventional bonds, attempts were made to find the </w:t>
      </w:r>
      <w:r w:rsidRPr="00C74AEF">
        <w:rPr>
          <w:rFonts w:ascii="Times New Roman" w:eastAsia="Times New Roman" w:hAnsi="Times New Roman" w:cs="Times New Roman"/>
          <w:i/>
          <w:iCs/>
          <w:color w:val="000000"/>
          <w:sz w:val="24"/>
          <w:szCs w:val="24"/>
          <w:lang w:eastAsia="en-GB"/>
        </w:rPr>
        <w:t>Sukuk</w:t>
      </w:r>
      <w:r w:rsidR="00A755F5" w:rsidRPr="00251B2C">
        <w:rPr>
          <w:rFonts w:ascii="Times New Roman" w:eastAsia="Times New Roman" w:hAnsi="Times New Roman" w:cs="Times New Roman"/>
          <w:color w:val="000000"/>
          <w:sz w:val="24"/>
          <w:szCs w:val="24"/>
          <w:lang w:eastAsia="en-GB"/>
        </w:rPr>
        <w:t xml:space="preserve"> and bonds issuances from the same country to give an adequate comparison </w:t>
      </w:r>
      <w:r w:rsidR="00387615">
        <w:rPr>
          <w:rFonts w:ascii="Times New Roman" w:eastAsia="Times New Roman" w:hAnsi="Times New Roman" w:cs="Times New Roman"/>
          <w:color w:val="000000"/>
          <w:sz w:val="24"/>
          <w:szCs w:val="24"/>
          <w:lang w:eastAsia="en-GB"/>
        </w:rPr>
        <w:t>while</w:t>
      </w:r>
      <w:r w:rsidR="00A755F5" w:rsidRPr="00251B2C">
        <w:rPr>
          <w:rFonts w:ascii="Times New Roman" w:eastAsia="Times New Roman" w:hAnsi="Times New Roman" w:cs="Times New Roman"/>
          <w:color w:val="000000"/>
          <w:sz w:val="24"/>
          <w:szCs w:val="24"/>
          <w:lang w:eastAsia="en-GB"/>
        </w:rPr>
        <w:t xml:space="preserve"> eliminat</w:t>
      </w:r>
      <w:r w:rsidR="00387615">
        <w:rPr>
          <w:rFonts w:ascii="Times New Roman" w:eastAsia="Times New Roman" w:hAnsi="Times New Roman" w:cs="Times New Roman"/>
          <w:color w:val="000000"/>
          <w:sz w:val="24"/>
          <w:szCs w:val="24"/>
          <w:lang w:eastAsia="en-GB"/>
        </w:rPr>
        <w:t>ing</w:t>
      </w:r>
      <w:r w:rsidR="00A755F5" w:rsidRPr="00251B2C">
        <w:rPr>
          <w:rFonts w:ascii="Times New Roman" w:eastAsia="Times New Roman" w:hAnsi="Times New Roman" w:cs="Times New Roman"/>
          <w:color w:val="000000"/>
          <w:sz w:val="24"/>
          <w:szCs w:val="24"/>
          <w:lang w:eastAsia="en-GB"/>
        </w:rPr>
        <w:t> </w:t>
      </w:r>
      <w:r w:rsidR="009538A3">
        <w:rPr>
          <w:rFonts w:ascii="Times New Roman" w:eastAsia="Times New Roman" w:hAnsi="Times New Roman" w:cs="Times New Roman"/>
          <w:color w:val="000000"/>
          <w:sz w:val="24"/>
          <w:szCs w:val="24"/>
          <w:lang w:eastAsia="en-GB"/>
        </w:rPr>
        <w:t xml:space="preserve">state </w:t>
      </w:r>
      <w:r w:rsidR="009538A3" w:rsidRPr="00251B2C">
        <w:rPr>
          <w:rFonts w:ascii="Times New Roman" w:eastAsia="Times New Roman" w:hAnsi="Times New Roman" w:cs="Times New Roman"/>
          <w:color w:val="000000"/>
          <w:sz w:val="24"/>
          <w:szCs w:val="24"/>
          <w:lang w:eastAsia="en-GB"/>
        </w:rPr>
        <w:t>and</w:t>
      </w:r>
      <w:r w:rsidR="00A755F5" w:rsidRPr="00251B2C">
        <w:rPr>
          <w:rFonts w:ascii="Times New Roman" w:eastAsia="Times New Roman" w:hAnsi="Times New Roman" w:cs="Times New Roman"/>
          <w:color w:val="000000"/>
          <w:sz w:val="24"/>
          <w:szCs w:val="24"/>
          <w:lang w:eastAsia="en-GB"/>
        </w:rPr>
        <w:t xml:space="preserve"> industr</w:t>
      </w:r>
      <w:r w:rsidR="00B829B6">
        <w:rPr>
          <w:rFonts w:ascii="Times New Roman" w:eastAsia="Times New Roman" w:hAnsi="Times New Roman" w:cs="Times New Roman"/>
          <w:color w:val="000000"/>
          <w:sz w:val="24"/>
          <w:szCs w:val="24"/>
          <w:lang w:eastAsia="en-GB"/>
        </w:rPr>
        <w:t>y</w:t>
      </w:r>
      <w:r w:rsidR="00A755F5" w:rsidRPr="00251B2C">
        <w:rPr>
          <w:rFonts w:ascii="Times New Roman" w:eastAsia="Times New Roman" w:hAnsi="Times New Roman" w:cs="Times New Roman"/>
          <w:color w:val="000000"/>
          <w:sz w:val="24"/>
          <w:szCs w:val="24"/>
          <w:lang w:eastAsia="en-GB"/>
        </w:rPr>
        <w:t xml:space="preserve"> risks. </w:t>
      </w:r>
      <w:bookmarkStart w:id="24" w:name="_Toc481617402"/>
      <w:bookmarkEnd w:id="23"/>
    </w:p>
    <w:p w14:paraId="1166DE1E" w14:textId="2A6268BB" w:rsidR="00A755F5" w:rsidRPr="00251B2C" w:rsidRDefault="00A755F5" w:rsidP="00A755F5">
      <w:pPr>
        <w:pStyle w:val="Heading2"/>
        <w:rPr>
          <w:rFonts w:ascii="Times New Roman" w:hAnsi="Times New Roman" w:cs="Times New Roman"/>
          <w:sz w:val="24"/>
          <w:szCs w:val="24"/>
        </w:rPr>
      </w:pPr>
      <w:r w:rsidRPr="00251B2C">
        <w:rPr>
          <w:rFonts w:ascii="Times New Roman" w:hAnsi="Times New Roman" w:cs="Times New Roman"/>
          <w:sz w:val="24"/>
          <w:szCs w:val="24"/>
        </w:rPr>
        <w:t>Data Analysis</w:t>
      </w:r>
      <w:bookmarkEnd w:id="24"/>
    </w:p>
    <w:p w14:paraId="3263E8DC" w14:textId="70C8B261" w:rsidR="00A755F5" w:rsidRPr="00251B2C" w:rsidRDefault="00E72195" w:rsidP="00A755F5">
      <w:pPr>
        <w:shd w:val="clear" w:color="auto" w:fill="FFFFFF" w:themeFill="background1"/>
        <w:spacing w:before="120" w:after="120" w:line="360" w:lineRule="auto"/>
        <w:jc w:val="both"/>
        <w:rPr>
          <w:rFonts w:ascii="Times New Roman" w:hAnsi="Times New Roman" w:cs="Times New Roman"/>
          <w:sz w:val="24"/>
          <w:szCs w:val="24"/>
        </w:rPr>
      </w:pPr>
      <w:bookmarkStart w:id="25" w:name="OLE_LINK3"/>
      <w:bookmarkStart w:id="26" w:name="OLE_LINK67"/>
      <w:bookmarkStart w:id="27" w:name="OLE_LINK68"/>
      <w:r>
        <w:rPr>
          <w:rFonts w:ascii="Times New Roman" w:eastAsia="Times New Roman" w:hAnsi="Times New Roman" w:cs="Times New Roman"/>
          <w:sz w:val="24"/>
          <w:szCs w:val="24"/>
        </w:rPr>
        <w:t xml:space="preserve">As previously </w:t>
      </w:r>
      <w:r w:rsidR="009538A3">
        <w:rPr>
          <w:rFonts w:ascii="Times New Roman" w:eastAsia="Times New Roman" w:hAnsi="Times New Roman" w:cs="Times New Roman"/>
          <w:sz w:val="24"/>
          <w:szCs w:val="24"/>
        </w:rPr>
        <w:t xml:space="preserve">mentioned, </w:t>
      </w:r>
      <w:r w:rsidR="009538A3" w:rsidRPr="00251B2C">
        <w:rPr>
          <w:rFonts w:ascii="Times New Roman" w:eastAsia="Times New Roman" w:hAnsi="Times New Roman" w:cs="Times New Roman"/>
          <w:sz w:val="24"/>
          <w:szCs w:val="24"/>
        </w:rPr>
        <w:t>data</w:t>
      </w:r>
      <w:r w:rsidR="00A755F5" w:rsidRPr="00251B2C">
        <w:rPr>
          <w:rFonts w:ascii="Times New Roman" w:eastAsia="Times New Roman" w:hAnsi="Times New Roman" w:cs="Times New Roman"/>
          <w:sz w:val="24"/>
          <w:szCs w:val="24"/>
        </w:rPr>
        <w:t xml:space="preserve"> analysis </w:t>
      </w:r>
      <w:r>
        <w:rPr>
          <w:rFonts w:ascii="Times New Roman" w:eastAsia="Times New Roman" w:hAnsi="Times New Roman" w:cs="Times New Roman"/>
          <w:sz w:val="24"/>
          <w:szCs w:val="24"/>
        </w:rPr>
        <w:t>applied</w:t>
      </w:r>
      <w:r w:rsidR="00A755F5" w:rsidRPr="00251B2C">
        <w:rPr>
          <w:rFonts w:ascii="Times New Roman" w:eastAsia="Times New Roman" w:hAnsi="Times New Roman" w:cs="Times New Roman"/>
          <w:sz w:val="24"/>
          <w:szCs w:val="24"/>
        </w:rPr>
        <w:t xml:space="preserve"> is quantitative in nature and </w:t>
      </w:r>
      <w:r w:rsidR="00A12B21" w:rsidRPr="00251B2C">
        <w:rPr>
          <w:rFonts w:ascii="Times New Roman" w:eastAsia="Times New Roman" w:hAnsi="Times New Roman" w:cs="Times New Roman"/>
          <w:sz w:val="24"/>
          <w:szCs w:val="24"/>
        </w:rPr>
        <w:t>involves several</w:t>
      </w:r>
      <w:r w:rsidR="00A755F5" w:rsidRPr="00251B2C">
        <w:rPr>
          <w:rFonts w:ascii="Times New Roman" w:eastAsia="Times New Roman" w:hAnsi="Times New Roman" w:cs="Times New Roman"/>
          <w:sz w:val="24"/>
          <w:szCs w:val="24"/>
        </w:rPr>
        <w:t xml:space="preserve"> research methods</w:t>
      </w:r>
      <w:r w:rsidR="005B08EB">
        <w:rPr>
          <w:rFonts w:ascii="Times New Roman" w:eastAsia="Times New Roman" w:hAnsi="Times New Roman" w:cs="Times New Roman"/>
          <w:sz w:val="24"/>
          <w:szCs w:val="24"/>
        </w:rPr>
        <w:t>.</w:t>
      </w:r>
      <w:r w:rsidR="00A755F5" w:rsidRPr="00251B2C">
        <w:rPr>
          <w:rFonts w:ascii="Times New Roman" w:eastAsia="Times New Roman" w:hAnsi="Times New Roman" w:cs="Times New Roman"/>
          <w:sz w:val="24"/>
          <w:szCs w:val="24"/>
        </w:rPr>
        <w:t xml:space="preserve"> The study uses </w:t>
      </w:r>
      <w:r w:rsidR="0055692D">
        <w:rPr>
          <w:rFonts w:ascii="Times New Roman" w:eastAsia="Times New Roman" w:hAnsi="Times New Roman" w:cs="Times New Roman"/>
          <w:sz w:val="24"/>
          <w:szCs w:val="24"/>
        </w:rPr>
        <w:t xml:space="preserve">the </w:t>
      </w:r>
      <w:r w:rsidR="00A755F5" w:rsidRPr="00251B2C">
        <w:rPr>
          <w:rFonts w:ascii="Times New Roman" w:eastAsia="Times New Roman" w:hAnsi="Times New Roman" w:cs="Times New Roman"/>
          <w:sz w:val="24"/>
          <w:szCs w:val="24"/>
        </w:rPr>
        <w:t>Value at Risk (VaR) method as a main statistical tool by employing the Historical simulation and Monte Carlo simulation model</w:t>
      </w:r>
      <w:r w:rsidR="001C3BFE">
        <w:rPr>
          <w:rFonts w:ascii="Times New Roman" w:eastAsia="Times New Roman" w:hAnsi="Times New Roman" w:cs="Times New Roman"/>
          <w:sz w:val="24"/>
          <w:szCs w:val="24"/>
        </w:rPr>
        <w:t>s</w:t>
      </w:r>
      <w:r w:rsidR="00A755F5" w:rsidRPr="00251B2C">
        <w:rPr>
          <w:rFonts w:ascii="Times New Roman" w:eastAsia="Times New Roman" w:hAnsi="Times New Roman" w:cs="Times New Roman"/>
          <w:sz w:val="24"/>
          <w:szCs w:val="24"/>
        </w:rPr>
        <w:t xml:space="preserve"> to </w:t>
      </w:r>
      <w:r w:rsidR="009538A3" w:rsidRPr="00251B2C">
        <w:rPr>
          <w:rFonts w:ascii="Times New Roman" w:eastAsia="Times New Roman" w:hAnsi="Times New Roman" w:cs="Times New Roman"/>
          <w:sz w:val="24"/>
          <w:szCs w:val="24"/>
        </w:rPr>
        <w:t>analyse risk</w:t>
      </w:r>
      <w:r w:rsidR="00A755F5" w:rsidRPr="00251B2C">
        <w:rPr>
          <w:rFonts w:ascii="Times New Roman" w:eastAsia="Times New Roman" w:hAnsi="Times New Roman" w:cs="Times New Roman"/>
          <w:sz w:val="24"/>
          <w:szCs w:val="24"/>
        </w:rPr>
        <w:t xml:space="preserve"> level</w:t>
      </w:r>
      <w:r w:rsidR="00C7739C">
        <w:rPr>
          <w:rFonts w:ascii="Times New Roman" w:eastAsia="Times New Roman" w:hAnsi="Times New Roman" w:cs="Times New Roman"/>
          <w:sz w:val="24"/>
          <w:szCs w:val="24"/>
        </w:rPr>
        <w:t>s</w:t>
      </w:r>
      <w:r w:rsidR="00A755F5" w:rsidRPr="00251B2C">
        <w:rPr>
          <w:rFonts w:ascii="Times New Roman" w:eastAsia="Times New Roman" w:hAnsi="Times New Roman" w:cs="Times New Roman"/>
          <w:sz w:val="24"/>
          <w:szCs w:val="24"/>
        </w:rPr>
        <w:t xml:space="preserve"> of </w:t>
      </w:r>
      <w:r w:rsidR="000F4C35" w:rsidRPr="00C74AEF">
        <w:rPr>
          <w:rFonts w:ascii="Times New Roman" w:eastAsia="Times New Roman" w:hAnsi="Times New Roman" w:cs="Times New Roman"/>
          <w:i/>
          <w:iCs/>
          <w:sz w:val="24"/>
          <w:szCs w:val="24"/>
        </w:rPr>
        <w:t>Sukuk</w:t>
      </w:r>
      <w:r w:rsidR="00A755F5" w:rsidRPr="00251B2C">
        <w:rPr>
          <w:rFonts w:ascii="Times New Roman" w:eastAsia="Times New Roman" w:hAnsi="Times New Roman" w:cs="Times New Roman"/>
          <w:sz w:val="24"/>
          <w:szCs w:val="24"/>
        </w:rPr>
        <w:t xml:space="preserve"> and conventional bonds. </w:t>
      </w:r>
      <w:r w:rsidR="00D82F59">
        <w:rPr>
          <w:rFonts w:ascii="Times New Roman" w:eastAsia="Times New Roman" w:hAnsi="Times New Roman" w:cs="Times New Roman"/>
          <w:sz w:val="24"/>
          <w:szCs w:val="24"/>
        </w:rPr>
        <w:t>An</w:t>
      </w:r>
      <w:r w:rsidR="00A755F5" w:rsidRPr="00251B2C">
        <w:rPr>
          <w:rFonts w:ascii="Times New Roman" w:eastAsia="Times New Roman" w:hAnsi="Times New Roman" w:cs="Times New Roman"/>
          <w:sz w:val="24"/>
          <w:szCs w:val="24"/>
        </w:rPr>
        <w:t xml:space="preserve"> F-test</w:t>
      </w:r>
      <w:r w:rsidR="00D82F59">
        <w:rPr>
          <w:rFonts w:ascii="Times New Roman" w:eastAsia="Times New Roman" w:hAnsi="Times New Roman" w:cs="Times New Roman"/>
          <w:sz w:val="24"/>
          <w:szCs w:val="24"/>
        </w:rPr>
        <w:t xml:space="preserve"> is used</w:t>
      </w:r>
      <w:r w:rsidR="00A755F5" w:rsidRPr="00251B2C">
        <w:rPr>
          <w:rFonts w:ascii="Times New Roman" w:eastAsia="Times New Roman" w:hAnsi="Times New Roman" w:cs="Times New Roman"/>
          <w:sz w:val="24"/>
          <w:szCs w:val="24"/>
        </w:rPr>
        <w:t xml:space="preserve"> to </w:t>
      </w:r>
      <w:r w:rsidR="00D82F59">
        <w:rPr>
          <w:rFonts w:ascii="Times New Roman" w:eastAsia="Times New Roman" w:hAnsi="Times New Roman" w:cs="Times New Roman"/>
          <w:sz w:val="24"/>
          <w:szCs w:val="24"/>
        </w:rPr>
        <w:t>evaluate any</w:t>
      </w:r>
      <w:r w:rsidR="00A755F5" w:rsidRPr="00251B2C">
        <w:rPr>
          <w:rFonts w:ascii="Times New Roman" w:eastAsia="Times New Roman" w:hAnsi="Times New Roman" w:cs="Times New Roman"/>
          <w:sz w:val="24"/>
          <w:szCs w:val="24"/>
        </w:rPr>
        <w:t xml:space="preserve"> difference</w:t>
      </w:r>
      <w:r w:rsidR="00D82F59">
        <w:rPr>
          <w:rFonts w:ascii="Times New Roman" w:eastAsia="Times New Roman" w:hAnsi="Times New Roman" w:cs="Times New Roman"/>
          <w:sz w:val="24"/>
          <w:szCs w:val="24"/>
        </w:rPr>
        <w:t>s</w:t>
      </w:r>
      <w:r w:rsidR="00A755F5" w:rsidRPr="00251B2C">
        <w:rPr>
          <w:rFonts w:ascii="Times New Roman" w:eastAsia="Times New Roman" w:hAnsi="Times New Roman" w:cs="Times New Roman"/>
          <w:sz w:val="24"/>
          <w:szCs w:val="24"/>
        </w:rPr>
        <w:t xml:space="preserve"> between </w:t>
      </w:r>
      <w:r w:rsidR="000F4C35" w:rsidRPr="00C74AEF">
        <w:rPr>
          <w:rFonts w:ascii="Times New Roman" w:eastAsia="Times New Roman" w:hAnsi="Times New Roman" w:cs="Times New Roman"/>
          <w:i/>
          <w:iCs/>
          <w:sz w:val="24"/>
          <w:szCs w:val="24"/>
        </w:rPr>
        <w:t>Sukuk</w:t>
      </w:r>
      <w:r w:rsidR="00A755F5" w:rsidRPr="00251B2C">
        <w:rPr>
          <w:rFonts w:ascii="Times New Roman" w:eastAsia="Times New Roman" w:hAnsi="Times New Roman" w:cs="Times New Roman"/>
          <w:sz w:val="24"/>
          <w:szCs w:val="24"/>
        </w:rPr>
        <w:t xml:space="preserve"> and conventional bonds. Firstly, the log-normal daily returns </w:t>
      </w:r>
      <w:r w:rsidR="00953523">
        <w:rPr>
          <w:rFonts w:ascii="Times New Roman" w:eastAsia="Times New Roman" w:hAnsi="Times New Roman" w:cs="Times New Roman"/>
          <w:sz w:val="24"/>
          <w:szCs w:val="24"/>
        </w:rPr>
        <w:t>are</w:t>
      </w:r>
      <w:r w:rsidR="00A755F5" w:rsidRPr="00251B2C">
        <w:rPr>
          <w:rFonts w:ascii="Times New Roman" w:eastAsia="Times New Roman" w:hAnsi="Times New Roman" w:cs="Times New Roman"/>
          <w:sz w:val="24"/>
          <w:szCs w:val="24"/>
        </w:rPr>
        <w:t xml:space="preserve"> calculated from the daily closing prices of </w:t>
      </w:r>
      <w:r w:rsidR="000F4C35">
        <w:rPr>
          <w:rFonts w:ascii="Times New Roman" w:eastAsia="Times New Roman" w:hAnsi="Times New Roman" w:cs="Times New Roman"/>
          <w:sz w:val="24"/>
          <w:szCs w:val="24"/>
        </w:rPr>
        <w:t>Sukuk</w:t>
      </w:r>
      <w:r w:rsidR="00A755F5" w:rsidRPr="00251B2C">
        <w:rPr>
          <w:rFonts w:ascii="Times New Roman" w:eastAsia="Times New Roman" w:hAnsi="Times New Roman" w:cs="Times New Roman"/>
          <w:sz w:val="24"/>
          <w:szCs w:val="24"/>
        </w:rPr>
        <w:t xml:space="preserve"> and conventional bonds, and descriptive analysis through Excel calculating the expected average returns, variance, standard deviation, and skewness</w:t>
      </w:r>
      <w:r w:rsidR="00953523">
        <w:rPr>
          <w:rFonts w:ascii="Times New Roman" w:eastAsia="Times New Roman" w:hAnsi="Times New Roman" w:cs="Times New Roman"/>
          <w:sz w:val="24"/>
          <w:szCs w:val="24"/>
        </w:rPr>
        <w:t xml:space="preserve"> is applied</w:t>
      </w:r>
      <w:r w:rsidR="00A755F5" w:rsidRPr="00251B2C">
        <w:rPr>
          <w:rFonts w:ascii="Times New Roman" w:eastAsia="Times New Roman" w:hAnsi="Times New Roman" w:cs="Times New Roman"/>
          <w:sz w:val="24"/>
          <w:szCs w:val="24"/>
        </w:rPr>
        <w:t>. This descriptive statistic measures the central tendency and spread of data which allows a summary of data anal</w:t>
      </w:r>
      <w:r w:rsidR="00B3494E">
        <w:rPr>
          <w:rFonts w:ascii="Times New Roman" w:eastAsia="Times New Roman" w:hAnsi="Times New Roman" w:cs="Times New Roman"/>
          <w:sz w:val="24"/>
          <w:szCs w:val="24"/>
        </w:rPr>
        <w:t>ysis</w:t>
      </w:r>
      <w:r w:rsidR="005E1BF6">
        <w:rPr>
          <w:rFonts w:ascii="Times New Roman" w:eastAsia="Times New Roman" w:hAnsi="Times New Roman" w:cs="Times New Roman"/>
          <w:sz w:val="24"/>
          <w:szCs w:val="24"/>
        </w:rPr>
        <w:t>.</w:t>
      </w:r>
      <w:r w:rsidR="00A755F5" w:rsidRPr="00251B2C">
        <w:rPr>
          <w:rFonts w:ascii="Times New Roman" w:hAnsi="Times New Roman" w:cs="Times New Roman"/>
          <w:sz w:val="24"/>
          <w:szCs w:val="24"/>
        </w:rPr>
        <w:t xml:space="preserve"> Historical simulation</w:t>
      </w:r>
      <w:r w:rsidR="00605522">
        <w:rPr>
          <w:rFonts w:ascii="Times New Roman" w:hAnsi="Times New Roman" w:cs="Times New Roman"/>
          <w:sz w:val="24"/>
          <w:szCs w:val="24"/>
        </w:rPr>
        <w:t xml:space="preserve"> is then applied</w:t>
      </w:r>
      <w:r w:rsidR="00A755F5" w:rsidRPr="00251B2C">
        <w:rPr>
          <w:rFonts w:ascii="Times New Roman" w:hAnsi="Times New Roman" w:cs="Times New Roman"/>
          <w:sz w:val="24"/>
          <w:szCs w:val="24"/>
        </w:rPr>
        <w:t xml:space="preserve"> to examine the risk level of </w:t>
      </w:r>
      <w:r w:rsidR="000F4C35">
        <w:rPr>
          <w:rFonts w:ascii="Times New Roman" w:hAnsi="Times New Roman" w:cs="Times New Roman"/>
          <w:sz w:val="24"/>
          <w:szCs w:val="24"/>
        </w:rPr>
        <w:t>Sukuk</w:t>
      </w:r>
      <w:r w:rsidR="00A755F5" w:rsidRPr="00251B2C">
        <w:rPr>
          <w:rFonts w:ascii="Times New Roman" w:hAnsi="Times New Roman" w:cs="Times New Roman"/>
          <w:sz w:val="24"/>
          <w:szCs w:val="24"/>
        </w:rPr>
        <w:t xml:space="preserve"> and conventional bonds for the holding period of one year.  </w:t>
      </w:r>
    </w:p>
    <w:p w14:paraId="41D9D2CD" w14:textId="0B6F382C" w:rsidR="00401058" w:rsidRPr="005E1BF6" w:rsidRDefault="00A755F5" w:rsidP="005E1BF6">
      <w:pPr>
        <w:shd w:val="clear" w:color="auto" w:fill="FFFFFF" w:themeFill="background1"/>
        <w:spacing w:before="120" w:after="120" w:line="360" w:lineRule="auto"/>
        <w:jc w:val="both"/>
        <w:rPr>
          <w:rFonts w:ascii="Times New Roman" w:eastAsia="Times New Roman" w:hAnsi="Times New Roman" w:cs="Times New Roman"/>
          <w:color w:val="000000"/>
          <w:sz w:val="24"/>
          <w:szCs w:val="24"/>
          <w:lang w:eastAsia="en-GB"/>
        </w:rPr>
      </w:pPr>
      <w:r w:rsidRPr="00251B2C">
        <w:rPr>
          <w:rFonts w:ascii="Times New Roman" w:eastAsia="Times New Roman" w:hAnsi="Times New Roman" w:cs="Times New Roman"/>
          <w:sz w:val="24"/>
          <w:szCs w:val="24"/>
        </w:rPr>
        <w:t xml:space="preserve">Secondly, </w:t>
      </w:r>
      <w:bookmarkStart w:id="28" w:name="OLE_LINK147"/>
      <w:r w:rsidRPr="00251B2C">
        <w:rPr>
          <w:rFonts w:ascii="Times New Roman" w:eastAsia="Times New Roman" w:hAnsi="Times New Roman" w:cs="Times New Roman"/>
          <w:color w:val="000000"/>
          <w:sz w:val="24"/>
          <w:szCs w:val="24"/>
          <w:lang w:eastAsia="en-GB"/>
        </w:rPr>
        <w:t xml:space="preserve">the Monte Carlo simulation (MCS) model is applied to simulate the expected future returns distribution randomly to analyse possible losses of portfolio for </w:t>
      </w:r>
      <w:r w:rsidR="000F4C35" w:rsidRPr="00C74AEF">
        <w:rPr>
          <w:rFonts w:ascii="Times New Roman" w:eastAsia="Times New Roman" w:hAnsi="Times New Roman" w:cs="Times New Roman"/>
          <w:i/>
          <w:iCs/>
          <w:color w:val="000000"/>
          <w:sz w:val="24"/>
          <w:szCs w:val="24"/>
          <w:lang w:eastAsia="en-GB"/>
        </w:rPr>
        <w:t>Sukuk</w:t>
      </w:r>
      <w:r w:rsidRPr="00251B2C">
        <w:rPr>
          <w:rFonts w:ascii="Times New Roman" w:eastAsia="Times New Roman" w:hAnsi="Times New Roman" w:cs="Times New Roman"/>
          <w:color w:val="000000"/>
          <w:sz w:val="24"/>
          <w:szCs w:val="24"/>
          <w:lang w:eastAsia="en-GB"/>
        </w:rPr>
        <w:t xml:space="preserve"> and conventional bonds. However, due to the literature recommendations and limited information on </w:t>
      </w:r>
      <w:r w:rsidR="000F4C35" w:rsidRPr="00C74AEF">
        <w:rPr>
          <w:rFonts w:ascii="Times New Roman" w:eastAsia="Times New Roman" w:hAnsi="Times New Roman" w:cs="Times New Roman"/>
          <w:i/>
          <w:iCs/>
          <w:color w:val="000000"/>
          <w:sz w:val="24"/>
          <w:szCs w:val="24"/>
          <w:lang w:eastAsia="en-GB"/>
        </w:rPr>
        <w:t>Sukuk</w:t>
      </w:r>
      <w:r w:rsidRPr="00251B2C">
        <w:rPr>
          <w:rFonts w:ascii="Times New Roman" w:eastAsia="Times New Roman" w:hAnsi="Times New Roman" w:cs="Times New Roman"/>
          <w:color w:val="000000"/>
          <w:sz w:val="24"/>
          <w:szCs w:val="24"/>
          <w:lang w:eastAsia="en-GB"/>
        </w:rPr>
        <w:t xml:space="preserve"> and conventional bonds in the UAE’s financial market, the MCS is a more effective method to check the VaR risk level of </w:t>
      </w:r>
      <w:r w:rsidR="000F4C35" w:rsidRPr="00C74AEF">
        <w:rPr>
          <w:rFonts w:ascii="Times New Roman" w:eastAsia="Times New Roman" w:hAnsi="Times New Roman" w:cs="Times New Roman"/>
          <w:i/>
          <w:iCs/>
          <w:color w:val="000000"/>
          <w:sz w:val="24"/>
          <w:szCs w:val="24"/>
          <w:lang w:eastAsia="en-GB"/>
        </w:rPr>
        <w:t>Sukuk</w:t>
      </w:r>
      <w:r w:rsidRPr="00251B2C">
        <w:rPr>
          <w:rFonts w:ascii="Times New Roman" w:eastAsia="Times New Roman" w:hAnsi="Times New Roman" w:cs="Times New Roman"/>
          <w:color w:val="000000"/>
          <w:sz w:val="24"/>
          <w:szCs w:val="24"/>
          <w:lang w:eastAsia="en-GB"/>
        </w:rPr>
        <w:t xml:space="preserve"> and conventional bonds since it allows the repeated simulations of daily </w:t>
      </w:r>
      <w:r w:rsidRPr="00251B2C">
        <w:rPr>
          <w:rFonts w:ascii="Times New Roman" w:eastAsia="Times New Roman" w:hAnsi="Times New Roman" w:cs="Times New Roman"/>
          <w:sz w:val="24"/>
          <w:szCs w:val="24"/>
          <w:lang w:eastAsia="en-GB"/>
        </w:rPr>
        <w:t>returns of portfolios</w:t>
      </w:r>
      <w:r w:rsidRPr="00251B2C">
        <w:rPr>
          <w:rFonts w:ascii="Times New Roman" w:eastAsia="Times New Roman" w:hAnsi="Times New Roman" w:cs="Times New Roman"/>
          <w:color w:val="000000"/>
          <w:sz w:val="24"/>
          <w:szCs w:val="24"/>
          <w:lang w:eastAsia="en-GB"/>
        </w:rPr>
        <w:t>, using a random process of NORMSINV(RAND</w:t>
      </w:r>
      <w:r w:rsidR="00C53B53">
        <w:rPr>
          <w:rFonts w:ascii="Times New Roman" w:eastAsia="Times New Roman" w:hAnsi="Times New Roman" w:cs="Times New Roman"/>
          <w:color w:val="000000"/>
          <w:sz w:val="24"/>
          <w:szCs w:val="24"/>
          <w:lang w:eastAsia="en-GB"/>
        </w:rPr>
        <w:t>)</w:t>
      </w:r>
      <w:r w:rsidRPr="00251B2C">
        <w:rPr>
          <w:rFonts w:ascii="Times New Roman" w:eastAsia="Times New Roman" w:hAnsi="Times New Roman" w:cs="Times New Roman"/>
          <w:color w:val="000000"/>
          <w:sz w:val="24"/>
          <w:szCs w:val="24"/>
          <w:lang w:eastAsia="en-GB"/>
        </w:rPr>
        <w:t xml:space="preserve"> function of Excel. The study employs two VaR estimates of MCS; firstly, the 10 days holding period of the VaR estimates with 99% confidence level, as per recommendations of the Basel Committee. Another reason behind the 10 days VaR </w:t>
      </w:r>
      <w:r w:rsidR="00C31C8C" w:rsidRPr="00251B2C">
        <w:rPr>
          <w:rFonts w:ascii="Times New Roman" w:eastAsia="Times New Roman" w:hAnsi="Times New Roman" w:cs="Times New Roman"/>
          <w:color w:val="000000"/>
          <w:sz w:val="24"/>
          <w:szCs w:val="24"/>
          <w:lang w:eastAsia="en-GB"/>
        </w:rPr>
        <w:t xml:space="preserve">estimates </w:t>
      </w:r>
      <w:r w:rsidR="00C31C8C">
        <w:rPr>
          <w:rFonts w:ascii="Times New Roman" w:eastAsia="Times New Roman" w:hAnsi="Times New Roman" w:cs="Times New Roman"/>
          <w:color w:val="000000"/>
          <w:sz w:val="24"/>
          <w:szCs w:val="24"/>
          <w:lang w:eastAsia="en-GB"/>
        </w:rPr>
        <w:t>is</w:t>
      </w:r>
      <w:r w:rsidR="00C53B53">
        <w:rPr>
          <w:rFonts w:ascii="Times New Roman" w:eastAsia="Times New Roman" w:hAnsi="Times New Roman" w:cs="Times New Roman"/>
          <w:color w:val="000000"/>
          <w:sz w:val="24"/>
          <w:szCs w:val="24"/>
          <w:lang w:eastAsia="en-GB"/>
        </w:rPr>
        <w:t xml:space="preserve"> because</w:t>
      </w:r>
      <w:r w:rsidRPr="00251B2C">
        <w:rPr>
          <w:rFonts w:ascii="Times New Roman" w:eastAsia="Times New Roman" w:hAnsi="Times New Roman" w:cs="Times New Roman"/>
          <w:color w:val="000000"/>
          <w:sz w:val="24"/>
          <w:szCs w:val="24"/>
          <w:lang w:eastAsia="en-GB"/>
        </w:rPr>
        <w:t xml:space="preserve"> </w:t>
      </w:r>
      <w:r w:rsidR="000F4C35" w:rsidRPr="00C74AEF">
        <w:rPr>
          <w:rFonts w:ascii="Times New Roman" w:eastAsia="Times New Roman" w:hAnsi="Times New Roman" w:cs="Times New Roman"/>
          <w:i/>
          <w:iCs/>
          <w:color w:val="000000"/>
          <w:sz w:val="24"/>
          <w:szCs w:val="24"/>
          <w:lang w:eastAsia="en-GB"/>
        </w:rPr>
        <w:t>Sukuk</w:t>
      </w:r>
      <w:r w:rsidRPr="00251B2C">
        <w:rPr>
          <w:rFonts w:ascii="Times New Roman" w:eastAsia="Times New Roman" w:hAnsi="Times New Roman" w:cs="Times New Roman"/>
          <w:color w:val="000000"/>
          <w:sz w:val="24"/>
          <w:szCs w:val="24"/>
          <w:lang w:eastAsia="en-GB"/>
        </w:rPr>
        <w:t xml:space="preserve"> are not very liquid products and require enough time to be traded </w:t>
      </w:r>
      <w:r w:rsidR="00C31C8C">
        <w:rPr>
          <w:rFonts w:ascii="Times New Roman" w:eastAsia="Times New Roman" w:hAnsi="Times New Roman" w:cs="Times New Roman"/>
          <w:color w:val="000000"/>
          <w:sz w:val="24"/>
          <w:szCs w:val="24"/>
          <w:lang w:eastAsia="en-GB"/>
        </w:rPr>
        <w:t>on</w:t>
      </w:r>
      <w:r w:rsidR="00C31C8C" w:rsidRPr="00251B2C">
        <w:rPr>
          <w:rFonts w:ascii="Times New Roman" w:eastAsia="Times New Roman" w:hAnsi="Times New Roman" w:cs="Times New Roman"/>
          <w:color w:val="000000"/>
          <w:sz w:val="24"/>
          <w:szCs w:val="24"/>
          <w:lang w:eastAsia="en-GB"/>
        </w:rPr>
        <w:t xml:space="preserve"> security</w:t>
      </w:r>
      <w:r w:rsidRPr="00251B2C">
        <w:rPr>
          <w:rFonts w:ascii="Times New Roman" w:eastAsia="Times New Roman" w:hAnsi="Times New Roman" w:cs="Times New Roman"/>
          <w:color w:val="000000"/>
          <w:sz w:val="24"/>
          <w:szCs w:val="24"/>
          <w:lang w:eastAsia="en-GB"/>
        </w:rPr>
        <w:t xml:space="preserve"> markets. Secondly, </w:t>
      </w:r>
      <w:bookmarkStart w:id="29" w:name="OLE_LINK231"/>
      <w:r w:rsidRPr="00251B2C">
        <w:rPr>
          <w:rFonts w:ascii="Times New Roman" w:eastAsia="Times New Roman" w:hAnsi="Times New Roman" w:cs="Times New Roman"/>
          <w:color w:val="000000"/>
          <w:sz w:val="24"/>
          <w:szCs w:val="24"/>
          <w:lang w:eastAsia="en-GB"/>
        </w:rPr>
        <w:t xml:space="preserve">the study generates (5000 repetitions) possible paths for the VaR estimates using randomly generated numbers to analyse the risk level of </w:t>
      </w:r>
      <w:r w:rsidR="000F4C35" w:rsidRPr="00C74AEF">
        <w:rPr>
          <w:rFonts w:ascii="Times New Roman" w:eastAsia="Times New Roman" w:hAnsi="Times New Roman" w:cs="Times New Roman"/>
          <w:i/>
          <w:iCs/>
          <w:color w:val="000000"/>
          <w:sz w:val="24"/>
          <w:szCs w:val="24"/>
          <w:lang w:eastAsia="en-GB"/>
        </w:rPr>
        <w:t>Sukuk</w:t>
      </w:r>
      <w:r w:rsidRPr="00251B2C">
        <w:rPr>
          <w:rFonts w:ascii="Times New Roman" w:eastAsia="Times New Roman" w:hAnsi="Times New Roman" w:cs="Times New Roman"/>
          <w:color w:val="000000"/>
          <w:sz w:val="24"/>
          <w:szCs w:val="24"/>
          <w:lang w:eastAsia="en-GB"/>
        </w:rPr>
        <w:t xml:space="preserve"> and conventional bonds over the holding period.  </w:t>
      </w:r>
      <w:bookmarkStart w:id="30" w:name="_Toc481617403"/>
      <w:bookmarkStart w:id="31" w:name="OLE_LINK28"/>
      <w:bookmarkStart w:id="32" w:name="OLE_LINK29"/>
      <w:bookmarkEnd w:id="25"/>
      <w:bookmarkEnd w:id="26"/>
      <w:bookmarkEnd w:id="27"/>
      <w:bookmarkEnd w:id="28"/>
      <w:bookmarkEnd w:id="29"/>
    </w:p>
    <w:p w14:paraId="311B5032" w14:textId="519AFC9C" w:rsidR="00A755F5" w:rsidRPr="00251B2C" w:rsidRDefault="00A755F5" w:rsidP="00251B2C">
      <w:pPr>
        <w:pStyle w:val="Heading3"/>
        <w:numPr>
          <w:ilvl w:val="0"/>
          <w:numId w:val="0"/>
        </w:numPr>
        <w:rPr>
          <w:rFonts w:ascii="Times New Roman" w:hAnsi="Times New Roman" w:cs="Times New Roman"/>
          <w:sz w:val="24"/>
          <w:szCs w:val="24"/>
        </w:rPr>
      </w:pPr>
      <w:r w:rsidRPr="00251B2C">
        <w:rPr>
          <w:rFonts w:ascii="Times New Roman" w:hAnsi="Times New Roman" w:cs="Times New Roman"/>
          <w:sz w:val="24"/>
          <w:szCs w:val="24"/>
        </w:rPr>
        <w:t>Value at Risk Method</w:t>
      </w:r>
      <w:bookmarkEnd w:id="30"/>
    </w:p>
    <w:p w14:paraId="7FE06215" w14:textId="2D760D6F" w:rsidR="00A755F5" w:rsidRPr="00251B2C" w:rsidRDefault="00A755F5" w:rsidP="00A755F5">
      <w:pPr>
        <w:shd w:val="clear" w:color="auto" w:fill="FFFFFF" w:themeFill="background1"/>
        <w:spacing w:before="120" w:after="120" w:line="360" w:lineRule="auto"/>
        <w:jc w:val="both"/>
        <w:rPr>
          <w:rFonts w:ascii="Times New Roman" w:hAnsi="Times New Roman" w:cs="Times New Roman"/>
          <w:sz w:val="24"/>
          <w:szCs w:val="24"/>
        </w:rPr>
      </w:pPr>
      <w:r w:rsidRPr="00251B2C">
        <w:rPr>
          <w:rFonts w:ascii="Times New Roman" w:hAnsi="Times New Roman" w:cs="Times New Roman"/>
          <w:sz w:val="24"/>
          <w:szCs w:val="24"/>
        </w:rPr>
        <w:t xml:space="preserve">The Historical simulation method </w:t>
      </w:r>
      <w:r w:rsidR="009538A3" w:rsidRPr="00251B2C">
        <w:rPr>
          <w:rFonts w:ascii="Times New Roman" w:hAnsi="Times New Roman" w:cs="Times New Roman"/>
          <w:sz w:val="24"/>
          <w:szCs w:val="24"/>
        </w:rPr>
        <w:t>uses real</w:t>
      </w:r>
      <w:r w:rsidRPr="00251B2C">
        <w:rPr>
          <w:rFonts w:ascii="Times New Roman" w:hAnsi="Times New Roman" w:cs="Times New Roman"/>
          <w:sz w:val="24"/>
          <w:szCs w:val="24"/>
        </w:rPr>
        <w:t xml:space="preserve"> data </w:t>
      </w:r>
      <w:r w:rsidR="00C31C8C" w:rsidRPr="00251B2C">
        <w:rPr>
          <w:rFonts w:ascii="Times New Roman" w:hAnsi="Times New Roman" w:cs="Times New Roman"/>
          <w:sz w:val="24"/>
          <w:szCs w:val="24"/>
        </w:rPr>
        <w:t xml:space="preserve">and </w:t>
      </w:r>
      <w:r w:rsidR="00C74AEF" w:rsidRPr="00251B2C">
        <w:rPr>
          <w:rFonts w:ascii="Times New Roman" w:hAnsi="Times New Roman" w:cs="Times New Roman"/>
          <w:sz w:val="24"/>
          <w:szCs w:val="24"/>
        </w:rPr>
        <w:t>reflects actual</w:t>
      </w:r>
      <w:r w:rsidRPr="00251B2C">
        <w:rPr>
          <w:rFonts w:ascii="Times New Roman" w:hAnsi="Times New Roman" w:cs="Times New Roman"/>
          <w:sz w:val="24"/>
          <w:szCs w:val="24"/>
        </w:rPr>
        <w:t xml:space="preserve"> behaviour of the  sample data. </w:t>
      </w:r>
      <w:r w:rsidR="006107B5">
        <w:rPr>
          <w:rFonts w:ascii="Times New Roman" w:hAnsi="Times New Roman" w:cs="Times New Roman"/>
          <w:sz w:val="24"/>
          <w:szCs w:val="24"/>
        </w:rPr>
        <w:t>It provides</w:t>
      </w:r>
      <w:r w:rsidRPr="00251B2C">
        <w:rPr>
          <w:rFonts w:ascii="Times New Roman" w:hAnsi="Times New Roman" w:cs="Times New Roman"/>
          <w:sz w:val="24"/>
          <w:szCs w:val="24"/>
        </w:rPr>
        <w:t xml:space="preserve"> a more reliable level of VaR estimation if the real distributions of sample </w:t>
      </w:r>
      <w:r w:rsidRPr="00251B2C">
        <w:rPr>
          <w:rFonts w:ascii="Times New Roman" w:hAnsi="Times New Roman" w:cs="Times New Roman"/>
          <w:sz w:val="24"/>
          <w:szCs w:val="24"/>
        </w:rPr>
        <w:lastRenderedPageBreak/>
        <w:t xml:space="preserve">data are </w:t>
      </w:r>
      <w:r w:rsidR="004702EC">
        <w:rPr>
          <w:rFonts w:ascii="Times New Roman" w:hAnsi="Times New Roman" w:cs="Times New Roman"/>
          <w:sz w:val="24"/>
          <w:szCs w:val="24"/>
        </w:rPr>
        <w:t>‘</w:t>
      </w:r>
      <w:r w:rsidRPr="00251B2C">
        <w:rPr>
          <w:rFonts w:ascii="Times New Roman" w:hAnsi="Times New Roman" w:cs="Times New Roman"/>
          <w:sz w:val="24"/>
          <w:szCs w:val="24"/>
        </w:rPr>
        <w:t>at tails</w:t>
      </w:r>
      <w:r w:rsidR="00C74AEF">
        <w:rPr>
          <w:rFonts w:ascii="Times New Roman" w:hAnsi="Times New Roman" w:cs="Times New Roman"/>
          <w:sz w:val="24"/>
          <w:szCs w:val="24"/>
        </w:rPr>
        <w:t>’</w:t>
      </w:r>
      <w:r w:rsidR="004702EC">
        <w:rPr>
          <w:rFonts w:ascii="Times New Roman" w:hAnsi="Times New Roman" w:cs="Times New Roman"/>
          <w:sz w:val="24"/>
          <w:szCs w:val="24"/>
        </w:rPr>
        <w:t>.</w:t>
      </w:r>
      <w:r w:rsidRPr="00251B2C">
        <w:rPr>
          <w:rFonts w:ascii="Times New Roman" w:hAnsi="Times New Roman" w:cs="Times New Roman"/>
          <w:sz w:val="24"/>
          <w:szCs w:val="24"/>
        </w:rPr>
        <w:t xml:space="preserve"> In addition, it is easier to estimate unlike other methods of VaR model</w:t>
      </w:r>
      <w:r w:rsidR="004702EC">
        <w:rPr>
          <w:rFonts w:ascii="Times New Roman" w:hAnsi="Times New Roman" w:cs="Times New Roman"/>
          <w:sz w:val="24"/>
          <w:szCs w:val="24"/>
        </w:rPr>
        <w:t>s</w:t>
      </w:r>
      <w:r w:rsidR="005E1BF6">
        <w:rPr>
          <w:rFonts w:ascii="Times New Roman" w:hAnsi="Times New Roman" w:cs="Times New Roman"/>
          <w:sz w:val="24"/>
          <w:szCs w:val="24"/>
        </w:rPr>
        <w:t xml:space="preserve"> (</w:t>
      </w:r>
      <w:proofErr w:type="spellStart"/>
      <w:r w:rsidR="005E1BF6">
        <w:rPr>
          <w:rFonts w:ascii="Times New Roman" w:hAnsi="Times New Roman" w:cs="Times New Roman"/>
          <w:sz w:val="24"/>
          <w:szCs w:val="24"/>
        </w:rPr>
        <w:t>Mentel</w:t>
      </w:r>
      <w:proofErr w:type="spellEnd"/>
      <w:r w:rsidR="005E1BF6">
        <w:rPr>
          <w:rFonts w:ascii="Times New Roman" w:hAnsi="Times New Roman" w:cs="Times New Roman"/>
          <w:sz w:val="24"/>
          <w:szCs w:val="24"/>
        </w:rPr>
        <w:t>, 2013).</w:t>
      </w:r>
      <w:r w:rsidRPr="00251B2C">
        <w:rPr>
          <w:rFonts w:ascii="Times New Roman" w:hAnsi="Times New Roman" w:cs="Times New Roman"/>
          <w:sz w:val="24"/>
          <w:szCs w:val="24"/>
        </w:rPr>
        <w:t xml:space="preserve"> </w:t>
      </w:r>
      <w:r w:rsidR="004702EC">
        <w:rPr>
          <w:rFonts w:ascii="Times New Roman" w:hAnsi="Times New Roman" w:cs="Times New Roman"/>
          <w:sz w:val="24"/>
          <w:szCs w:val="24"/>
        </w:rPr>
        <w:t>D</w:t>
      </w:r>
      <w:r w:rsidRPr="00251B2C">
        <w:rPr>
          <w:rFonts w:ascii="Times New Roman" w:hAnsi="Times New Roman" w:cs="Times New Roman"/>
          <w:sz w:val="24"/>
          <w:szCs w:val="24"/>
        </w:rPr>
        <w:t>rawbacks</w:t>
      </w:r>
      <w:r w:rsidR="004702EC">
        <w:rPr>
          <w:rFonts w:ascii="Times New Roman" w:hAnsi="Times New Roman" w:cs="Times New Roman"/>
          <w:sz w:val="24"/>
          <w:szCs w:val="24"/>
        </w:rPr>
        <w:t xml:space="preserve"> to the model include:</w:t>
      </w:r>
      <w:r w:rsidRPr="00251B2C">
        <w:rPr>
          <w:rFonts w:ascii="Times New Roman" w:hAnsi="Times New Roman" w:cs="Times New Roman"/>
          <w:sz w:val="24"/>
          <w:szCs w:val="24"/>
        </w:rPr>
        <w:t xml:space="preserve"> it assumes the historically simulated distribution can represent the future distributions; it </w:t>
      </w:r>
      <w:r w:rsidR="00926694">
        <w:rPr>
          <w:rFonts w:ascii="Times New Roman" w:hAnsi="Times New Roman" w:cs="Times New Roman"/>
          <w:sz w:val="24"/>
          <w:szCs w:val="24"/>
        </w:rPr>
        <w:t>possesses</w:t>
      </w:r>
      <w:r w:rsidRPr="00251B2C">
        <w:rPr>
          <w:rFonts w:ascii="Times New Roman" w:hAnsi="Times New Roman" w:cs="Times New Roman"/>
          <w:sz w:val="24"/>
          <w:szCs w:val="24"/>
        </w:rPr>
        <w:t xml:space="preserve"> higher variation compared to other models; and needs considerable number of </w:t>
      </w:r>
      <w:proofErr w:type="gramStart"/>
      <w:r w:rsidRPr="00251B2C">
        <w:rPr>
          <w:rFonts w:ascii="Times New Roman" w:hAnsi="Times New Roman" w:cs="Times New Roman"/>
          <w:sz w:val="24"/>
          <w:szCs w:val="24"/>
        </w:rPr>
        <w:t>data</w:t>
      </w:r>
      <w:proofErr w:type="gramEnd"/>
      <w:r w:rsidRPr="00251B2C">
        <w:rPr>
          <w:rFonts w:ascii="Times New Roman" w:hAnsi="Times New Roman" w:cs="Times New Roman"/>
          <w:sz w:val="24"/>
          <w:szCs w:val="24"/>
        </w:rPr>
        <w:t xml:space="preserve"> to estimate the quantiles of the empirical distribution (Hassan, 2012). </w:t>
      </w:r>
    </w:p>
    <w:p w14:paraId="5E1FAA40" w14:textId="4D79CEC7" w:rsidR="00A755F5" w:rsidRPr="00251B2C" w:rsidRDefault="00717780" w:rsidP="00A755F5">
      <w:pPr>
        <w:pStyle w:val="BodyText3"/>
        <w:rPr>
          <w:rFonts w:ascii="Times New Roman" w:hAnsi="Times New Roman" w:cs="Times New Roman"/>
          <w:sz w:val="24"/>
          <w:szCs w:val="24"/>
        </w:rPr>
      </w:pPr>
      <w:bookmarkStart w:id="33" w:name="OLE_LINK197"/>
      <w:r>
        <w:rPr>
          <w:rFonts w:ascii="Times New Roman" w:hAnsi="Times New Roman" w:cs="Times New Roman"/>
          <w:sz w:val="24"/>
          <w:szCs w:val="24"/>
        </w:rPr>
        <w:t xml:space="preserve">Whereas, the </w:t>
      </w:r>
      <w:r w:rsidR="00A755F5" w:rsidRPr="00251B2C">
        <w:rPr>
          <w:rFonts w:ascii="Times New Roman" w:hAnsi="Times New Roman" w:cs="Times New Roman"/>
          <w:sz w:val="24"/>
          <w:szCs w:val="24"/>
        </w:rPr>
        <w:t xml:space="preserve">Monte Carlo simulation (MCS) model simulates the risk factors randomly rather than </w:t>
      </w:r>
      <w:r w:rsidR="005F2E5C">
        <w:rPr>
          <w:rFonts w:ascii="Times New Roman" w:hAnsi="Times New Roman" w:cs="Times New Roman"/>
          <w:sz w:val="24"/>
          <w:szCs w:val="24"/>
        </w:rPr>
        <w:t xml:space="preserve">being </w:t>
      </w:r>
      <w:r w:rsidR="00A755F5" w:rsidRPr="00251B2C">
        <w:rPr>
          <w:rFonts w:ascii="Times New Roman" w:hAnsi="Times New Roman" w:cs="Times New Roman"/>
          <w:sz w:val="24"/>
          <w:szCs w:val="24"/>
        </w:rPr>
        <w:t>analytically obtain</w:t>
      </w:r>
      <w:r w:rsidR="005F2E5C">
        <w:rPr>
          <w:rFonts w:ascii="Times New Roman" w:hAnsi="Times New Roman" w:cs="Times New Roman"/>
          <w:sz w:val="24"/>
          <w:szCs w:val="24"/>
        </w:rPr>
        <w:t>ed,</w:t>
      </w:r>
      <w:r w:rsidR="00A755F5" w:rsidRPr="00251B2C">
        <w:rPr>
          <w:rFonts w:ascii="Times New Roman" w:hAnsi="Times New Roman" w:cs="Times New Roman"/>
          <w:sz w:val="24"/>
          <w:szCs w:val="24"/>
        </w:rPr>
        <w:t xml:space="preserve"> such as</w:t>
      </w:r>
      <w:r w:rsidR="005F2E5C">
        <w:rPr>
          <w:rFonts w:ascii="Times New Roman" w:hAnsi="Times New Roman" w:cs="Times New Roman"/>
          <w:sz w:val="24"/>
          <w:szCs w:val="24"/>
        </w:rPr>
        <w:t>,</w:t>
      </w:r>
      <w:r w:rsidR="00A755F5" w:rsidRPr="00251B2C">
        <w:rPr>
          <w:rFonts w:ascii="Times New Roman" w:hAnsi="Times New Roman" w:cs="Times New Roman"/>
          <w:sz w:val="24"/>
          <w:szCs w:val="24"/>
        </w:rPr>
        <w:t xml:space="preserve"> in the Delta-Normal model. The MCS has several </w:t>
      </w:r>
      <w:r w:rsidR="009538A3" w:rsidRPr="00251B2C">
        <w:rPr>
          <w:rFonts w:ascii="Times New Roman" w:hAnsi="Times New Roman" w:cs="Times New Roman"/>
          <w:sz w:val="24"/>
          <w:szCs w:val="24"/>
        </w:rPr>
        <w:t>advantages making</w:t>
      </w:r>
      <w:r w:rsidR="00A755F5" w:rsidRPr="00251B2C">
        <w:rPr>
          <w:rFonts w:ascii="Times New Roman" w:hAnsi="Times New Roman" w:cs="Times New Roman"/>
          <w:sz w:val="24"/>
          <w:szCs w:val="24"/>
        </w:rPr>
        <w:t xml:space="preserve"> it the most comprehensive model to </w:t>
      </w:r>
      <w:r w:rsidR="00C31C8C" w:rsidRPr="00251B2C">
        <w:rPr>
          <w:rFonts w:ascii="Times New Roman" w:hAnsi="Times New Roman" w:cs="Times New Roman"/>
          <w:sz w:val="24"/>
          <w:szCs w:val="24"/>
        </w:rPr>
        <w:t>measure market</w:t>
      </w:r>
      <w:r w:rsidR="00A755F5" w:rsidRPr="00251B2C">
        <w:rPr>
          <w:rFonts w:ascii="Times New Roman" w:hAnsi="Times New Roman" w:cs="Times New Roman"/>
          <w:sz w:val="24"/>
          <w:szCs w:val="24"/>
        </w:rPr>
        <w:t xml:space="preserve"> risks</w:t>
      </w:r>
      <w:r w:rsidR="005F2E5C">
        <w:rPr>
          <w:rFonts w:ascii="Times New Roman" w:hAnsi="Times New Roman" w:cs="Times New Roman"/>
          <w:sz w:val="24"/>
          <w:szCs w:val="24"/>
        </w:rPr>
        <w:t>,</w:t>
      </w:r>
      <w:r w:rsidR="00A755F5" w:rsidRPr="00251B2C">
        <w:rPr>
          <w:rFonts w:ascii="Times New Roman" w:hAnsi="Times New Roman" w:cs="Times New Roman"/>
          <w:sz w:val="24"/>
          <w:szCs w:val="24"/>
        </w:rPr>
        <w:t xml:space="preserve"> if accurately implemented </w:t>
      </w:r>
      <w:r w:rsidR="005F2E5C">
        <w:rPr>
          <w:rFonts w:ascii="Times New Roman" w:hAnsi="Times New Roman" w:cs="Times New Roman"/>
          <w:sz w:val="24"/>
          <w:szCs w:val="24"/>
        </w:rPr>
        <w:t>including</w:t>
      </w:r>
      <w:r w:rsidR="00A755F5" w:rsidRPr="00251B2C">
        <w:rPr>
          <w:rFonts w:ascii="Times New Roman" w:hAnsi="Times New Roman" w:cs="Times New Roman"/>
          <w:sz w:val="24"/>
          <w:szCs w:val="24"/>
        </w:rPr>
        <w:t xml:space="preserve">: it is </w:t>
      </w:r>
      <w:bookmarkStart w:id="34" w:name="OLE_LINK189"/>
      <w:bookmarkStart w:id="35" w:name="OLE_LINK194"/>
      <w:r w:rsidR="00A755F5" w:rsidRPr="00251B2C">
        <w:rPr>
          <w:rFonts w:ascii="Times New Roman" w:hAnsi="Times New Roman" w:cs="Times New Roman"/>
          <w:sz w:val="24"/>
          <w:szCs w:val="24"/>
        </w:rPr>
        <w:t xml:space="preserve">flexible to incorporate time variations in the returns or the volatility of the </w:t>
      </w:r>
      <w:r w:rsidR="002A654F" w:rsidRPr="00251B2C">
        <w:rPr>
          <w:rFonts w:ascii="Times New Roman" w:hAnsi="Times New Roman" w:cs="Times New Roman"/>
          <w:sz w:val="24"/>
          <w:szCs w:val="24"/>
        </w:rPr>
        <w:t>returns and</w:t>
      </w:r>
      <w:r w:rsidR="00A755F5" w:rsidRPr="00251B2C">
        <w:rPr>
          <w:rFonts w:ascii="Times New Roman" w:hAnsi="Times New Roman" w:cs="Times New Roman"/>
          <w:sz w:val="24"/>
          <w:szCs w:val="24"/>
        </w:rPr>
        <w:t xml:space="preserve"> can be implemented in the presence of fat tails</w:t>
      </w:r>
      <w:bookmarkEnd w:id="34"/>
      <w:bookmarkEnd w:id="35"/>
      <w:r w:rsidR="00A755F5" w:rsidRPr="00251B2C">
        <w:rPr>
          <w:rFonts w:ascii="Times New Roman" w:hAnsi="Times New Roman" w:cs="Times New Roman"/>
          <w:sz w:val="24"/>
          <w:szCs w:val="24"/>
        </w:rPr>
        <w:t xml:space="preserve">; it can also be applied to any type of portfolios. On the other hand, the MCS </w:t>
      </w:r>
      <w:r w:rsidR="002A654F">
        <w:rPr>
          <w:rFonts w:ascii="Times New Roman" w:hAnsi="Times New Roman" w:cs="Times New Roman"/>
          <w:sz w:val="24"/>
          <w:szCs w:val="24"/>
        </w:rPr>
        <w:t>details</w:t>
      </w:r>
      <w:r w:rsidR="00A755F5" w:rsidRPr="00251B2C">
        <w:rPr>
          <w:rFonts w:ascii="Times New Roman" w:hAnsi="Times New Roman" w:cs="Times New Roman"/>
          <w:sz w:val="24"/>
          <w:szCs w:val="24"/>
        </w:rPr>
        <w:t xml:space="preserve"> disadvantages such as: it is more complex to </w:t>
      </w:r>
      <w:r w:rsidR="001B1ED3" w:rsidRPr="00251B2C">
        <w:rPr>
          <w:rFonts w:ascii="Times New Roman" w:hAnsi="Times New Roman" w:cs="Times New Roman"/>
          <w:sz w:val="24"/>
          <w:szCs w:val="24"/>
        </w:rPr>
        <w:t>compute,</w:t>
      </w:r>
      <w:r w:rsidR="00A755F5" w:rsidRPr="00251B2C">
        <w:rPr>
          <w:rFonts w:ascii="Times New Roman" w:hAnsi="Times New Roman" w:cs="Times New Roman"/>
          <w:sz w:val="24"/>
          <w:szCs w:val="24"/>
        </w:rPr>
        <w:t xml:space="preserve"> </w:t>
      </w:r>
      <w:r w:rsidR="009538A3" w:rsidRPr="00251B2C">
        <w:rPr>
          <w:rFonts w:ascii="Times New Roman" w:hAnsi="Times New Roman" w:cs="Times New Roman"/>
          <w:sz w:val="24"/>
          <w:szCs w:val="24"/>
        </w:rPr>
        <w:t>and system</w:t>
      </w:r>
      <w:r w:rsidR="00A755F5" w:rsidRPr="00251B2C">
        <w:rPr>
          <w:rFonts w:ascii="Times New Roman" w:hAnsi="Times New Roman" w:cs="Times New Roman"/>
          <w:sz w:val="24"/>
          <w:szCs w:val="24"/>
        </w:rPr>
        <w:t xml:space="preserve"> implementation is costly; and it relies on specific stochastic processes for the risk factors, which can lead to inaccurate results when the stochastic process used are wrong (</w:t>
      </w:r>
      <w:r w:rsidR="005E1BF6" w:rsidRPr="00251B2C">
        <w:rPr>
          <w:rFonts w:ascii="Times New Roman" w:hAnsi="Times New Roman" w:cs="Times New Roman"/>
          <w:sz w:val="24"/>
          <w:szCs w:val="24"/>
        </w:rPr>
        <w:t>Hassan, 2012</w:t>
      </w:r>
      <w:r w:rsidR="00A755F5" w:rsidRPr="00251B2C">
        <w:rPr>
          <w:rFonts w:ascii="Times New Roman" w:hAnsi="Times New Roman" w:cs="Times New Roman"/>
          <w:sz w:val="24"/>
          <w:szCs w:val="24"/>
        </w:rPr>
        <w:t xml:space="preserve">). </w:t>
      </w:r>
    </w:p>
    <w:p w14:paraId="7FD3455E" w14:textId="77777777" w:rsidR="00A755F5" w:rsidRPr="00251B2C" w:rsidRDefault="00A755F5" w:rsidP="00251B2C">
      <w:pPr>
        <w:pStyle w:val="Heading3"/>
        <w:numPr>
          <w:ilvl w:val="0"/>
          <w:numId w:val="0"/>
        </w:numPr>
        <w:rPr>
          <w:rFonts w:ascii="Times New Roman" w:hAnsi="Times New Roman" w:cs="Times New Roman"/>
          <w:sz w:val="24"/>
          <w:szCs w:val="24"/>
        </w:rPr>
      </w:pPr>
      <w:bookmarkStart w:id="36" w:name="_Toc481617404"/>
      <w:bookmarkEnd w:id="33"/>
      <w:r w:rsidRPr="00251B2C">
        <w:rPr>
          <w:rFonts w:ascii="Times New Roman" w:hAnsi="Times New Roman" w:cs="Times New Roman"/>
          <w:sz w:val="24"/>
          <w:szCs w:val="24"/>
        </w:rPr>
        <w:t>VaR Calculations</w:t>
      </w:r>
      <w:bookmarkEnd w:id="36"/>
    </w:p>
    <w:p w14:paraId="4BE37EEF" w14:textId="118455C6" w:rsidR="001A131A" w:rsidRDefault="00A755F5" w:rsidP="00A755F5">
      <w:pPr>
        <w:shd w:val="clear" w:color="auto" w:fill="FFFFFF" w:themeFill="background1"/>
        <w:spacing w:before="120" w:after="120" w:line="360" w:lineRule="auto"/>
        <w:jc w:val="both"/>
        <w:rPr>
          <w:rFonts w:ascii="Times New Roman" w:hAnsi="Times New Roman" w:cs="Times New Roman"/>
          <w:sz w:val="24"/>
          <w:szCs w:val="24"/>
        </w:rPr>
      </w:pPr>
      <w:r w:rsidRPr="00251B2C">
        <w:rPr>
          <w:rFonts w:ascii="Times New Roman" w:hAnsi="Times New Roman" w:cs="Times New Roman"/>
          <w:sz w:val="24"/>
          <w:szCs w:val="24"/>
        </w:rPr>
        <w:t xml:space="preserve">In this section, the </w:t>
      </w:r>
      <w:r w:rsidR="009538A3" w:rsidRPr="00251B2C">
        <w:rPr>
          <w:rFonts w:ascii="Times New Roman" w:hAnsi="Times New Roman" w:cs="Times New Roman"/>
          <w:sz w:val="24"/>
          <w:szCs w:val="24"/>
        </w:rPr>
        <w:t>study derives general</w:t>
      </w:r>
      <w:r w:rsidRPr="00251B2C">
        <w:rPr>
          <w:rFonts w:ascii="Times New Roman" w:hAnsi="Times New Roman" w:cs="Times New Roman"/>
          <w:sz w:val="24"/>
          <w:szCs w:val="24"/>
        </w:rPr>
        <w:t xml:space="preserve"> formulas of VaR models</w:t>
      </w:r>
      <w:r w:rsidR="002A654F">
        <w:rPr>
          <w:rFonts w:ascii="Times New Roman" w:hAnsi="Times New Roman" w:cs="Times New Roman"/>
          <w:sz w:val="24"/>
          <w:szCs w:val="24"/>
        </w:rPr>
        <w:t>, including</w:t>
      </w:r>
      <w:r w:rsidRPr="00251B2C">
        <w:rPr>
          <w:rFonts w:ascii="Times New Roman" w:hAnsi="Times New Roman" w:cs="Times New Roman"/>
          <w:sz w:val="24"/>
          <w:szCs w:val="24"/>
        </w:rPr>
        <w:t xml:space="preserve"> </w:t>
      </w:r>
      <w:r w:rsidR="00C74AEF" w:rsidRPr="00251B2C">
        <w:rPr>
          <w:rFonts w:ascii="Times New Roman" w:hAnsi="Times New Roman" w:cs="Times New Roman"/>
          <w:sz w:val="24"/>
          <w:szCs w:val="24"/>
        </w:rPr>
        <w:t>both Historical</w:t>
      </w:r>
      <w:r w:rsidRPr="00251B2C">
        <w:rPr>
          <w:rFonts w:ascii="Times New Roman" w:hAnsi="Times New Roman" w:cs="Times New Roman"/>
          <w:sz w:val="24"/>
          <w:szCs w:val="24"/>
        </w:rPr>
        <w:t xml:space="preserve"> and Monte Carlo simulation</w:t>
      </w:r>
      <w:r w:rsidR="002A654F">
        <w:rPr>
          <w:rFonts w:ascii="Times New Roman" w:hAnsi="Times New Roman" w:cs="Times New Roman"/>
          <w:sz w:val="24"/>
          <w:szCs w:val="24"/>
        </w:rPr>
        <w:t>s</w:t>
      </w:r>
      <w:r w:rsidRPr="00251B2C">
        <w:rPr>
          <w:rFonts w:ascii="Times New Roman" w:hAnsi="Times New Roman" w:cs="Times New Roman"/>
          <w:sz w:val="24"/>
          <w:szCs w:val="24"/>
        </w:rPr>
        <w:t>. The basic concept of calculating VaR a</w:t>
      </w:r>
      <w:r w:rsidR="00913312">
        <w:rPr>
          <w:rFonts w:ascii="Times New Roman" w:hAnsi="Times New Roman" w:cs="Times New Roman"/>
          <w:sz w:val="24"/>
          <w:szCs w:val="24"/>
        </w:rPr>
        <w:t>long with</w:t>
      </w:r>
      <w:r w:rsidRPr="00251B2C">
        <w:rPr>
          <w:rFonts w:ascii="Times New Roman" w:hAnsi="Times New Roman" w:cs="Times New Roman"/>
          <w:sz w:val="24"/>
          <w:szCs w:val="24"/>
        </w:rPr>
        <w:t xml:space="preserve"> its probability and densi</w:t>
      </w:r>
      <w:r w:rsidR="00251B2C">
        <w:rPr>
          <w:rFonts w:ascii="Times New Roman" w:hAnsi="Times New Roman" w:cs="Times New Roman"/>
          <w:sz w:val="24"/>
          <w:szCs w:val="24"/>
        </w:rPr>
        <w:t xml:space="preserve">ty function is shown in </w:t>
      </w:r>
      <w:r w:rsidR="00176F60">
        <w:rPr>
          <w:rFonts w:ascii="Times New Roman" w:eastAsia="Times New Roman" w:hAnsi="Times New Roman" w:cs="Times New Roman"/>
          <w:sz w:val="24"/>
          <w:szCs w:val="24"/>
        </w:rPr>
        <w:t>Table</w:t>
      </w:r>
      <w:r w:rsidR="00612FE1">
        <w:rPr>
          <w:rFonts w:ascii="Times New Roman" w:hAnsi="Times New Roman" w:cs="Times New Roman"/>
          <w:sz w:val="24"/>
          <w:szCs w:val="24"/>
        </w:rPr>
        <w:t xml:space="preserve"> 3</w:t>
      </w:r>
      <w:r w:rsidRPr="00251B2C">
        <w:rPr>
          <w:rFonts w:ascii="Times New Roman" w:hAnsi="Times New Roman" w:cs="Times New Roman"/>
          <w:sz w:val="24"/>
          <w:szCs w:val="24"/>
        </w:rPr>
        <w:t xml:space="preserve">, which demonstrates the maximum loss of portfolios over a given time span where the chosen confidence level of VaR lies on a horizontal axis in </w:t>
      </w:r>
      <w:r w:rsidR="00913312">
        <w:rPr>
          <w:rFonts w:ascii="Times New Roman" w:hAnsi="Times New Roman" w:cs="Times New Roman"/>
          <w:sz w:val="24"/>
          <w:szCs w:val="24"/>
        </w:rPr>
        <w:t>a particular</w:t>
      </w:r>
      <w:r w:rsidRPr="00251B2C">
        <w:rPr>
          <w:rFonts w:ascii="Times New Roman" w:hAnsi="Times New Roman" w:cs="Times New Roman"/>
          <w:sz w:val="24"/>
          <w:szCs w:val="24"/>
        </w:rPr>
        <w:t xml:space="preserve"> time. If the returns are normally distributed, the VaR confidence level of 95%’s Z-value is 1.645; and VaR at 99% confidence level, Z-value is 2.326. For example, the maximum loss of portfolio over a given time horizon is an amount of y-axis with a probability of 95% (see Boxed section) as shown </w:t>
      </w:r>
      <w:r w:rsidR="00251B2C">
        <w:rPr>
          <w:rFonts w:ascii="Times New Roman" w:hAnsi="Times New Roman" w:cs="Times New Roman"/>
          <w:sz w:val="24"/>
          <w:szCs w:val="24"/>
        </w:rPr>
        <w:t xml:space="preserve">in </w:t>
      </w:r>
      <w:r w:rsidR="009538A3">
        <w:rPr>
          <w:rFonts w:ascii="Times New Roman" w:hAnsi="Times New Roman" w:cs="Times New Roman"/>
          <w:sz w:val="24"/>
          <w:szCs w:val="24"/>
        </w:rPr>
        <w:t>Figure</w:t>
      </w:r>
      <w:r w:rsidR="00965789">
        <w:rPr>
          <w:rFonts w:ascii="Times New Roman" w:hAnsi="Times New Roman" w:cs="Times New Roman"/>
          <w:sz w:val="24"/>
          <w:szCs w:val="24"/>
        </w:rPr>
        <w:t xml:space="preserve"> 1</w:t>
      </w:r>
      <w:r w:rsidR="001430D4">
        <w:rPr>
          <w:rFonts w:ascii="Times New Roman" w:hAnsi="Times New Roman" w:cs="Times New Roman"/>
          <w:sz w:val="24"/>
          <w:szCs w:val="24"/>
        </w:rPr>
        <w:t xml:space="preserve"> </w:t>
      </w:r>
      <w:r w:rsidRPr="00251B2C">
        <w:rPr>
          <w:rFonts w:ascii="Times New Roman" w:hAnsi="Times New Roman" w:cs="Times New Roman"/>
          <w:sz w:val="24"/>
          <w:szCs w:val="24"/>
        </w:rPr>
        <w:t>(Ahmed and Khan, 2001, p. 43-44).</w:t>
      </w:r>
    </w:p>
    <w:tbl>
      <w:tblPr>
        <w:tblW w:w="0" w:type="auto"/>
        <w:tblInd w:w="720" w:type="dxa"/>
        <w:tblLook w:val="04A0" w:firstRow="1" w:lastRow="0" w:firstColumn="1" w:lastColumn="0" w:noHBand="0" w:noVBand="1"/>
      </w:tblPr>
      <w:tblGrid>
        <w:gridCol w:w="7113"/>
      </w:tblGrid>
      <w:tr w:rsidR="00A755F5" w:rsidRPr="00251B2C" w14:paraId="39895F4B" w14:textId="77777777" w:rsidTr="009B1361">
        <w:trPr>
          <w:trHeight w:val="2985"/>
        </w:trPr>
        <w:tc>
          <w:tcPr>
            <w:tcW w:w="7113" w:type="dxa"/>
            <w:shd w:val="clear" w:color="auto" w:fill="auto"/>
          </w:tcPr>
          <w:p w14:paraId="405B8BDB" w14:textId="4C1D9B26" w:rsidR="00612FE1" w:rsidRDefault="00612FE1" w:rsidP="001A131A">
            <w:pPr>
              <w:pStyle w:val="Caption"/>
              <w:keepNext/>
              <w:spacing w:line="240" w:lineRule="auto"/>
              <w:jc w:val="left"/>
              <w:rPr>
                <w:rFonts w:ascii="Times New Roman" w:hAnsi="Times New Roman" w:cs="Times New Roman"/>
                <w:sz w:val="24"/>
                <w:szCs w:val="24"/>
              </w:rPr>
            </w:pPr>
            <w:bookmarkStart w:id="37" w:name="_Toc481617429"/>
            <w:r w:rsidRPr="00251B2C">
              <w:rPr>
                <w:rFonts w:ascii="Times New Roman" w:hAnsi="Times New Roman" w:cs="Times New Roman"/>
                <w:noProof/>
                <w:sz w:val="24"/>
                <w:szCs w:val="24"/>
                <w:lang w:eastAsia="en-GB"/>
              </w:rPr>
              <w:lastRenderedPageBreak/>
              <w:drawing>
                <wp:anchor distT="0" distB="0" distL="114300" distR="114300" simplePos="0" relativeHeight="251726848" behindDoc="0" locked="0" layoutInCell="1" allowOverlap="1" wp14:anchorId="7607ABE6" wp14:editId="7F54C162">
                  <wp:simplePos x="0" y="0"/>
                  <wp:positionH relativeFrom="column">
                    <wp:posOffset>-5715</wp:posOffset>
                  </wp:positionH>
                  <wp:positionV relativeFrom="paragraph">
                    <wp:posOffset>284570</wp:posOffset>
                  </wp:positionV>
                  <wp:extent cx="4245610" cy="1361440"/>
                  <wp:effectExtent l="0" t="0" r="0" b="1016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9921" t="13731" r="31024" b="59097"/>
                          <a:stretch/>
                        </pic:blipFill>
                        <pic:spPr bwMode="auto">
                          <a:xfrm>
                            <a:off x="0" y="0"/>
                            <a:ext cx="4245610" cy="136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38A3">
              <w:rPr>
                <w:rFonts w:ascii="Times New Roman" w:eastAsia="Times New Roman" w:hAnsi="Times New Roman" w:cs="Times New Roman"/>
                <w:sz w:val="24"/>
                <w:szCs w:val="24"/>
              </w:rPr>
              <w:t>Figure 1</w:t>
            </w:r>
            <w:r w:rsidR="00A755F5" w:rsidRPr="00251B2C">
              <w:rPr>
                <w:rFonts w:ascii="Times New Roman" w:hAnsi="Times New Roman" w:cs="Times New Roman"/>
                <w:sz w:val="24"/>
                <w:szCs w:val="24"/>
              </w:rPr>
              <w:t>: VaR confidence level</w:t>
            </w:r>
            <w:bookmarkEnd w:id="37"/>
          </w:p>
          <w:p w14:paraId="29EE6444" w14:textId="72FE56F5" w:rsidR="00A755F5" w:rsidRPr="00251B2C" w:rsidRDefault="00A755F5" w:rsidP="00A755F5">
            <w:pPr>
              <w:spacing w:before="100" w:beforeAutospacing="1" w:after="100" w:afterAutospacing="1"/>
              <w:jc w:val="center"/>
              <w:rPr>
                <w:rFonts w:ascii="Times New Roman" w:eastAsia="Times New Roman" w:hAnsi="Times New Roman" w:cs="Times New Roman"/>
                <w:sz w:val="24"/>
                <w:szCs w:val="24"/>
                <w:lang w:eastAsia="en-GB"/>
              </w:rPr>
            </w:pPr>
            <w:r w:rsidRPr="00251B2C">
              <w:rPr>
                <w:rFonts w:ascii="Times New Roman" w:hAnsi="Times New Roman" w:cs="Times New Roman"/>
                <w:sz w:val="24"/>
                <w:szCs w:val="24"/>
              </w:rPr>
              <w:t xml:space="preserve">Sources: Ahmed </w:t>
            </w:r>
            <w:r w:rsidRPr="001A131A">
              <w:rPr>
                <w:rFonts w:ascii="Times New Roman" w:hAnsi="Times New Roman" w:cs="Times New Roman"/>
                <w:i/>
                <w:iCs/>
                <w:sz w:val="24"/>
                <w:szCs w:val="24"/>
              </w:rPr>
              <w:t>et al</w:t>
            </w:r>
            <w:r w:rsidRPr="00251B2C">
              <w:rPr>
                <w:rFonts w:ascii="Times New Roman" w:hAnsi="Times New Roman" w:cs="Times New Roman"/>
                <w:sz w:val="24"/>
                <w:szCs w:val="24"/>
              </w:rPr>
              <w:t>.,</w:t>
            </w:r>
            <w:r w:rsidR="009257A1">
              <w:rPr>
                <w:rFonts w:ascii="Times New Roman" w:hAnsi="Times New Roman" w:cs="Times New Roman"/>
                <w:sz w:val="24"/>
                <w:szCs w:val="24"/>
              </w:rPr>
              <w:t xml:space="preserve"> (</w:t>
            </w:r>
            <w:r w:rsidRPr="00251B2C">
              <w:rPr>
                <w:rFonts w:ascii="Times New Roman" w:hAnsi="Times New Roman" w:cs="Times New Roman"/>
                <w:sz w:val="24"/>
                <w:szCs w:val="24"/>
              </w:rPr>
              <w:t>20</w:t>
            </w:r>
            <w:r w:rsidR="000A4374">
              <w:rPr>
                <w:rFonts w:ascii="Times New Roman" w:hAnsi="Times New Roman" w:cs="Times New Roman"/>
                <w:sz w:val="24"/>
                <w:szCs w:val="24"/>
              </w:rPr>
              <w:t>0</w:t>
            </w:r>
            <w:r w:rsidRPr="00251B2C">
              <w:rPr>
                <w:rFonts w:ascii="Times New Roman" w:hAnsi="Times New Roman" w:cs="Times New Roman"/>
                <w:sz w:val="24"/>
                <w:szCs w:val="24"/>
              </w:rPr>
              <w:t>0, p. 44)</w:t>
            </w:r>
          </w:p>
        </w:tc>
      </w:tr>
    </w:tbl>
    <w:p w14:paraId="66198ADF" w14:textId="225AF6DB" w:rsidR="00A755F5" w:rsidRPr="00251B2C" w:rsidRDefault="00A755F5" w:rsidP="00A755F5">
      <w:pPr>
        <w:pStyle w:val="BodyText3"/>
        <w:spacing w:before="100" w:beforeAutospacing="1" w:after="100" w:afterAutospacing="1"/>
        <w:rPr>
          <w:rFonts w:ascii="Times New Roman" w:hAnsi="Times New Roman" w:cs="Times New Roman"/>
          <w:sz w:val="24"/>
          <w:szCs w:val="24"/>
        </w:rPr>
      </w:pPr>
      <w:r w:rsidRPr="00251B2C">
        <w:rPr>
          <w:rFonts w:ascii="Times New Roman" w:hAnsi="Times New Roman" w:cs="Times New Roman"/>
          <w:sz w:val="24"/>
          <w:szCs w:val="24"/>
        </w:rPr>
        <w:t xml:space="preserve">In </w:t>
      </w:r>
      <w:r w:rsidR="009538A3">
        <w:rPr>
          <w:rFonts w:ascii="Times New Roman" w:hAnsi="Times New Roman" w:cs="Times New Roman"/>
          <w:sz w:val="24"/>
          <w:szCs w:val="24"/>
        </w:rPr>
        <w:t>calculating h</w:t>
      </w:r>
      <w:r w:rsidR="009538A3" w:rsidRPr="00251B2C">
        <w:rPr>
          <w:rFonts w:ascii="Times New Roman" w:hAnsi="Times New Roman" w:cs="Times New Roman"/>
          <w:sz w:val="24"/>
          <w:szCs w:val="24"/>
        </w:rPr>
        <w:t>istorical</w:t>
      </w:r>
      <w:r w:rsidRPr="00251B2C">
        <w:rPr>
          <w:rFonts w:ascii="Times New Roman" w:hAnsi="Times New Roman" w:cs="Times New Roman"/>
          <w:sz w:val="24"/>
          <w:szCs w:val="24"/>
        </w:rPr>
        <w:t xml:space="preserve"> simulation, the model uses the calculated log-normal daily returns of </w:t>
      </w:r>
      <w:r w:rsidR="000F4C35">
        <w:rPr>
          <w:rFonts w:ascii="Times New Roman" w:hAnsi="Times New Roman" w:cs="Times New Roman"/>
          <w:sz w:val="24"/>
          <w:szCs w:val="24"/>
        </w:rPr>
        <w:t>Sukuk</w:t>
      </w:r>
      <w:r w:rsidRPr="00251B2C">
        <w:rPr>
          <w:rFonts w:ascii="Times New Roman" w:hAnsi="Times New Roman" w:cs="Times New Roman"/>
          <w:sz w:val="24"/>
          <w:szCs w:val="24"/>
        </w:rPr>
        <w:t xml:space="preserve"> and conventional bonds over the holding period of 250 trading days and the daily returns are calculated as follows:</w:t>
      </w:r>
    </w:p>
    <w:p w14:paraId="7CF189EA" w14:textId="6BE22DF3" w:rsidR="00A755F5" w:rsidRPr="00251B2C" w:rsidRDefault="00A755F5" w:rsidP="00A755F5">
      <w:pPr>
        <w:shd w:val="clear" w:color="auto" w:fill="FFFFFF" w:themeFill="background1"/>
        <w:spacing w:before="120" w:after="120" w:line="360" w:lineRule="auto"/>
        <w:ind w:left="720"/>
        <w:jc w:val="both"/>
        <w:rPr>
          <w:rFonts w:ascii="Times New Roman" w:hAnsi="Times New Roman" w:cs="Times New Roman"/>
          <w:sz w:val="24"/>
          <w:szCs w:val="24"/>
        </w:rPr>
      </w:pPr>
      <w:r w:rsidRPr="00251B2C">
        <w:rPr>
          <w:rFonts w:ascii="Times New Roman" w:hAnsi="Times New Roman" w:cs="Times New Roman"/>
          <w:sz w:val="24"/>
          <w:szCs w:val="24"/>
        </w:rPr>
        <w:t xml:space="preserve"> Daily returns = LN (P</w:t>
      </w:r>
      <w:r w:rsidRPr="00251B2C">
        <w:rPr>
          <w:rFonts w:ascii="Times New Roman" w:hAnsi="Times New Roman" w:cs="Times New Roman"/>
          <w:sz w:val="24"/>
          <w:szCs w:val="24"/>
          <w:vertAlign w:val="subscript"/>
        </w:rPr>
        <w:t>t</w:t>
      </w:r>
      <w:r w:rsidRPr="00251B2C">
        <w:rPr>
          <w:rFonts w:ascii="Times New Roman" w:hAnsi="Times New Roman" w:cs="Times New Roman"/>
          <w:sz w:val="24"/>
          <w:szCs w:val="24"/>
        </w:rPr>
        <w:t>/P</w:t>
      </w:r>
      <w:r w:rsidRPr="00251B2C">
        <w:rPr>
          <w:rFonts w:ascii="Times New Roman" w:hAnsi="Times New Roman" w:cs="Times New Roman"/>
          <w:sz w:val="24"/>
          <w:szCs w:val="24"/>
          <w:vertAlign w:val="subscript"/>
        </w:rPr>
        <w:t>t-1</w:t>
      </w:r>
      <w:r w:rsidRPr="00251B2C">
        <w:rPr>
          <w:rFonts w:ascii="Times New Roman" w:hAnsi="Times New Roman" w:cs="Times New Roman"/>
          <w:sz w:val="24"/>
          <w:szCs w:val="24"/>
        </w:rPr>
        <w:t>)</w:t>
      </w:r>
      <w:r w:rsidRPr="00251B2C">
        <w:rPr>
          <w:rFonts w:ascii="Times New Roman" w:hAnsi="Times New Roman" w:cs="Times New Roman"/>
          <w:sz w:val="24"/>
          <w:szCs w:val="24"/>
        </w:rPr>
        <w:tab/>
      </w:r>
      <w:r w:rsidRPr="00251B2C">
        <w:rPr>
          <w:rFonts w:ascii="Times New Roman" w:hAnsi="Times New Roman" w:cs="Times New Roman"/>
          <w:sz w:val="24"/>
          <w:szCs w:val="24"/>
        </w:rPr>
        <w:tab/>
      </w:r>
      <w:r w:rsidRPr="00251B2C">
        <w:rPr>
          <w:rFonts w:ascii="Times New Roman" w:hAnsi="Times New Roman" w:cs="Times New Roman"/>
          <w:sz w:val="24"/>
          <w:szCs w:val="24"/>
        </w:rPr>
        <w:tab/>
      </w:r>
      <w:r w:rsidRPr="00251B2C">
        <w:rPr>
          <w:rFonts w:ascii="Times New Roman" w:hAnsi="Times New Roman" w:cs="Times New Roman"/>
          <w:sz w:val="24"/>
          <w:szCs w:val="24"/>
        </w:rPr>
        <w:tab/>
        <w:t>(1)</w:t>
      </w:r>
    </w:p>
    <w:p w14:paraId="5944CE57" w14:textId="39EAB932" w:rsidR="00A755F5" w:rsidRPr="00251B2C" w:rsidRDefault="00ED3CC5" w:rsidP="00A755F5">
      <w:pPr>
        <w:shd w:val="clear" w:color="auto" w:fill="FFFFFF" w:themeFill="background1"/>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W</w:t>
      </w:r>
      <w:r w:rsidR="00A755F5" w:rsidRPr="00251B2C">
        <w:rPr>
          <w:rFonts w:ascii="Times New Roman" w:hAnsi="Times New Roman" w:cs="Times New Roman"/>
          <w:sz w:val="24"/>
          <w:szCs w:val="24"/>
        </w:rPr>
        <w:t>here P</w:t>
      </w:r>
      <w:r w:rsidR="00A755F5" w:rsidRPr="00251B2C">
        <w:rPr>
          <w:rFonts w:ascii="Times New Roman" w:hAnsi="Times New Roman" w:cs="Times New Roman"/>
          <w:sz w:val="24"/>
          <w:szCs w:val="24"/>
          <w:vertAlign w:val="subscript"/>
        </w:rPr>
        <w:t xml:space="preserve">1 </w:t>
      </w:r>
      <w:r w:rsidR="00A755F5" w:rsidRPr="00251B2C">
        <w:rPr>
          <w:rFonts w:ascii="Times New Roman" w:hAnsi="Times New Roman" w:cs="Times New Roman"/>
          <w:sz w:val="24"/>
          <w:szCs w:val="24"/>
        </w:rPr>
        <w:t xml:space="preserve">is the price for today on </w:t>
      </w:r>
      <w:r w:rsidR="000F4C35">
        <w:rPr>
          <w:rFonts w:ascii="Times New Roman" w:hAnsi="Times New Roman" w:cs="Times New Roman"/>
          <w:sz w:val="24"/>
          <w:szCs w:val="24"/>
        </w:rPr>
        <w:t>Sukuk</w:t>
      </w:r>
      <w:r w:rsidR="00A755F5" w:rsidRPr="00251B2C">
        <w:rPr>
          <w:rFonts w:ascii="Times New Roman" w:hAnsi="Times New Roman" w:cs="Times New Roman"/>
          <w:sz w:val="24"/>
          <w:szCs w:val="24"/>
        </w:rPr>
        <w:t xml:space="preserve"> and conventional bonds and P</w:t>
      </w:r>
      <w:r w:rsidR="00A755F5" w:rsidRPr="00251B2C">
        <w:rPr>
          <w:rFonts w:ascii="Times New Roman" w:hAnsi="Times New Roman" w:cs="Times New Roman"/>
          <w:sz w:val="24"/>
          <w:szCs w:val="24"/>
          <w:vertAlign w:val="subscript"/>
        </w:rPr>
        <w:t>0</w:t>
      </w:r>
      <w:r w:rsidR="00A755F5" w:rsidRPr="00251B2C">
        <w:rPr>
          <w:rFonts w:ascii="Times New Roman" w:hAnsi="Times New Roman" w:cs="Times New Roman"/>
          <w:sz w:val="24"/>
          <w:szCs w:val="24"/>
        </w:rPr>
        <w:t xml:space="preserve"> is the price of </w:t>
      </w:r>
      <w:r w:rsidR="000F4C35">
        <w:rPr>
          <w:rFonts w:ascii="Times New Roman" w:hAnsi="Times New Roman" w:cs="Times New Roman"/>
          <w:sz w:val="24"/>
          <w:szCs w:val="24"/>
        </w:rPr>
        <w:t>Sukuk</w:t>
      </w:r>
      <w:r w:rsidR="00A755F5" w:rsidRPr="00251B2C">
        <w:rPr>
          <w:rFonts w:ascii="Times New Roman" w:hAnsi="Times New Roman" w:cs="Times New Roman"/>
          <w:sz w:val="24"/>
          <w:szCs w:val="24"/>
        </w:rPr>
        <w:t xml:space="preserve"> and conventional bonds for day before, and 0, 1…t, is the holding period of portfolios. Here, to calculate the VaR using the Historical simulation model with 99% of confidence level, the Excel function of Percentile on daily returns are applied as follows:</w:t>
      </w:r>
    </w:p>
    <w:p w14:paraId="3FACD505" w14:textId="5F09BBFC" w:rsidR="00A755F5" w:rsidRPr="00251B2C" w:rsidRDefault="00A755F5" w:rsidP="00A755F5">
      <w:pPr>
        <w:shd w:val="clear" w:color="auto" w:fill="FFFFFF" w:themeFill="background1"/>
        <w:spacing w:before="120" w:after="120" w:line="360" w:lineRule="auto"/>
        <w:jc w:val="both"/>
        <w:rPr>
          <w:rFonts w:ascii="Times New Roman" w:hAnsi="Times New Roman" w:cs="Times New Roman"/>
          <w:sz w:val="24"/>
          <w:szCs w:val="24"/>
        </w:rPr>
      </w:pPr>
      <w:r w:rsidRPr="00251B2C">
        <w:rPr>
          <w:rFonts w:ascii="Times New Roman" w:hAnsi="Times New Roman" w:cs="Times New Roman"/>
          <w:sz w:val="24"/>
          <w:szCs w:val="24"/>
        </w:rPr>
        <w:tab/>
        <w:t>VaR</w:t>
      </w:r>
      <w:r w:rsidR="009538A3">
        <w:rPr>
          <w:rFonts w:ascii="Times New Roman" w:hAnsi="Times New Roman" w:cs="Times New Roman"/>
          <w:sz w:val="24"/>
          <w:szCs w:val="24"/>
        </w:rPr>
        <w:t xml:space="preserve"> </w:t>
      </w:r>
      <w:r w:rsidRPr="00251B2C">
        <w:rPr>
          <w:rFonts w:ascii="Times New Roman" w:hAnsi="Times New Roman" w:cs="Times New Roman"/>
          <w:sz w:val="24"/>
          <w:szCs w:val="24"/>
        </w:rPr>
        <w:t>=</w:t>
      </w:r>
      <w:r w:rsidRPr="00251B2C">
        <w:rPr>
          <w:rFonts w:ascii="Times New Roman" w:hAnsi="Times New Roman" w:cs="Times New Roman"/>
          <w:sz w:val="24"/>
          <w:szCs w:val="24"/>
        </w:rPr>
        <w:tab/>
        <w:t>PERCENTILE(r</w:t>
      </w:r>
      <w:r w:rsidRPr="00251B2C">
        <w:rPr>
          <w:rFonts w:ascii="Times New Roman" w:hAnsi="Times New Roman" w:cs="Times New Roman"/>
          <w:sz w:val="24"/>
          <w:szCs w:val="24"/>
          <w:vertAlign w:val="subscript"/>
        </w:rPr>
        <w:t>1…t</w:t>
      </w:r>
      <w:r w:rsidRPr="00251B2C">
        <w:rPr>
          <w:rFonts w:ascii="Times New Roman" w:hAnsi="Times New Roman" w:cs="Times New Roman"/>
          <w:sz w:val="24"/>
          <w:szCs w:val="24"/>
        </w:rPr>
        <w:t>), Z</w:t>
      </w:r>
      <w:r w:rsidRPr="00251B2C">
        <w:rPr>
          <w:rFonts w:ascii="Times New Roman" w:hAnsi="Times New Roman" w:cs="Times New Roman"/>
          <w:sz w:val="24"/>
          <w:szCs w:val="24"/>
          <w:vertAlign w:val="subscript"/>
        </w:rPr>
        <w:t>α</w:t>
      </w:r>
      <w:r w:rsidRPr="00251B2C">
        <w:rPr>
          <w:rFonts w:ascii="Times New Roman" w:hAnsi="Times New Roman" w:cs="Times New Roman"/>
          <w:sz w:val="24"/>
          <w:szCs w:val="24"/>
        </w:rPr>
        <w:t>)</w:t>
      </w:r>
      <w:r w:rsidRPr="00251B2C">
        <w:rPr>
          <w:rFonts w:ascii="Times New Roman" w:hAnsi="Times New Roman" w:cs="Times New Roman"/>
          <w:sz w:val="24"/>
          <w:szCs w:val="24"/>
        </w:rPr>
        <w:tab/>
      </w:r>
      <w:r w:rsidRPr="00251B2C">
        <w:rPr>
          <w:rFonts w:ascii="Times New Roman" w:hAnsi="Times New Roman" w:cs="Times New Roman"/>
          <w:sz w:val="24"/>
          <w:szCs w:val="24"/>
        </w:rPr>
        <w:tab/>
      </w:r>
      <w:r w:rsidRPr="00251B2C">
        <w:rPr>
          <w:rFonts w:ascii="Times New Roman" w:hAnsi="Times New Roman" w:cs="Times New Roman"/>
          <w:sz w:val="24"/>
          <w:szCs w:val="24"/>
        </w:rPr>
        <w:tab/>
        <w:t>(2)</w:t>
      </w:r>
    </w:p>
    <w:p w14:paraId="6474EC7E" w14:textId="137DA45E" w:rsidR="00A755F5" w:rsidRPr="00251B2C" w:rsidRDefault="00A755F5" w:rsidP="00A755F5">
      <w:pPr>
        <w:shd w:val="clear" w:color="auto" w:fill="FFFFFF" w:themeFill="background1"/>
        <w:spacing w:before="120" w:after="120" w:line="360" w:lineRule="auto"/>
        <w:ind w:firstLine="720"/>
        <w:jc w:val="both"/>
        <w:rPr>
          <w:rFonts w:ascii="Times New Roman" w:hAnsi="Times New Roman" w:cs="Times New Roman"/>
          <w:sz w:val="24"/>
          <w:szCs w:val="24"/>
        </w:rPr>
      </w:pPr>
      <w:r w:rsidRPr="00251B2C">
        <w:rPr>
          <w:rFonts w:ascii="Times New Roman" w:hAnsi="Times New Roman" w:cs="Times New Roman"/>
          <w:sz w:val="24"/>
          <w:szCs w:val="24"/>
        </w:rPr>
        <w:t>VaR</w:t>
      </w:r>
      <w:r w:rsidR="009538A3">
        <w:rPr>
          <w:rFonts w:ascii="Times New Roman" w:hAnsi="Times New Roman" w:cs="Times New Roman"/>
          <w:sz w:val="24"/>
          <w:szCs w:val="24"/>
        </w:rPr>
        <w:t xml:space="preserve"> </w:t>
      </w:r>
      <w:r w:rsidRPr="00251B2C">
        <w:rPr>
          <w:rFonts w:ascii="Times New Roman" w:hAnsi="Times New Roman" w:cs="Times New Roman"/>
          <w:sz w:val="24"/>
          <w:szCs w:val="24"/>
        </w:rPr>
        <w:t>=</w:t>
      </w:r>
      <w:r w:rsidRPr="00251B2C">
        <w:rPr>
          <w:rFonts w:ascii="Times New Roman" w:hAnsi="Times New Roman" w:cs="Times New Roman"/>
          <w:sz w:val="24"/>
          <w:szCs w:val="24"/>
        </w:rPr>
        <w:tab/>
        <w:t>PERCENTILE(RETURNS RANGE, 1%)</w:t>
      </w:r>
      <w:r w:rsidRPr="00251B2C">
        <w:rPr>
          <w:rFonts w:ascii="Times New Roman" w:hAnsi="Times New Roman" w:cs="Times New Roman"/>
          <w:sz w:val="24"/>
          <w:szCs w:val="24"/>
        </w:rPr>
        <w:tab/>
        <w:t>(3)</w:t>
      </w:r>
    </w:p>
    <w:p w14:paraId="74A18925" w14:textId="39ADF7DA" w:rsidR="00A755F5" w:rsidRPr="00251B2C" w:rsidRDefault="00A755F5" w:rsidP="00A755F5">
      <w:pPr>
        <w:shd w:val="clear" w:color="auto" w:fill="FFFFFF" w:themeFill="background1"/>
        <w:spacing w:before="120" w:after="120" w:line="360" w:lineRule="auto"/>
        <w:jc w:val="both"/>
        <w:rPr>
          <w:rFonts w:ascii="Times New Roman" w:hAnsi="Times New Roman" w:cs="Times New Roman"/>
          <w:sz w:val="24"/>
          <w:szCs w:val="24"/>
        </w:rPr>
      </w:pPr>
      <w:r w:rsidRPr="00251B2C">
        <w:rPr>
          <w:rFonts w:ascii="Times New Roman" w:hAnsi="Times New Roman" w:cs="Times New Roman"/>
          <w:sz w:val="24"/>
          <w:szCs w:val="24"/>
        </w:rPr>
        <w:t>Where r</w:t>
      </w:r>
      <w:r w:rsidRPr="00251B2C">
        <w:rPr>
          <w:rFonts w:ascii="Times New Roman" w:hAnsi="Times New Roman" w:cs="Times New Roman"/>
          <w:sz w:val="24"/>
          <w:szCs w:val="24"/>
          <w:vertAlign w:val="subscript"/>
        </w:rPr>
        <w:t xml:space="preserve">1...t </w:t>
      </w:r>
      <w:r w:rsidRPr="00251B2C">
        <w:rPr>
          <w:rFonts w:ascii="Times New Roman" w:hAnsi="Times New Roman" w:cs="Times New Roman"/>
          <w:sz w:val="24"/>
          <w:szCs w:val="24"/>
        </w:rPr>
        <w:t xml:space="preserve">is the periodic daily returns of </w:t>
      </w:r>
      <w:r w:rsidR="000F4C35">
        <w:rPr>
          <w:rFonts w:ascii="Times New Roman" w:hAnsi="Times New Roman" w:cs="Times New Roman"/>
          <w:sz w:val="24"/>
          <w:szCs w:val="24"/>
        </w:rPr>
        <w:t>Sukuk</w:t>
      </w:r>
      <w:r w:rsidRPr="00251B2C">
        <w:rPr>
          <w:rFonts w:ascii="Times New Roman" w:hAnsi="Times New Roman" w:cs="Times New Roman"/>
          <w:sz w:val="24"/>
          <w:szCs w:val="24"/>
        </w:rPr>
        <w:t xml:space="preserve"> and conventional bonds in “t” for holding period over the time, Z</w:t>
      </w:r>
      <w:r w:rsidRPr="00251B2C">
        <w:rPr>
          <w:rFonts w:ascii="Times New Roman" w:hAnsi="Times New Roman" w:cs="Times New Roman"/>
          <w:sz w:val="24"/>
          <w:szCs w:val="24"/>
          <w:vertAlign w:val="subscript"/>
        </w:rPr>
        <w:t xml:space="preserve">α </w:t>
      </w:r>
      <w:r w:rsidRPr="00251B2C">
        <w:rPr>
          <w:rFonts w:ascii="Times New Roman" w:hAnsi="Times New Roman" w:cs="Times New Roman"/>
          <w:sz w:val="24"/>
          <w:szCs w:val="24"/>
        </w:rPr>
        <w:t xml:space="preserve">is the VaR confidence level of 99%. </w:t>
      </w:r>
    </w:p>
    <w:p w14:paraId="74173571" w14:textId="3E7848BE" w:rsidR="00A755F5" w:rsidRPr="00251B2C" w:rsidRDefault="00A755F5" w:rsidP="00A755F5">
      <w:pPr>
        <w:shd w:val="clear" w:color="auto" w:fill="FFFFFF" w:themeFill="background1"/>
        <w:spacing w:before="120" w:after="120" w:line="360" w:lineRule="auto"/>
        <w:jc w:val="both"/>
        <w:rPr>
          <w:rFonts w:ascii="Times New Roman" w:hAnsi="Times New Roman" w:cs="Times New Roman"/>
          <w:sz w:val="24"/>
          <w:szCs w:val="24"/>
        </w:rPr>
      </w:pPr>
      <w:r w:rsidRPr="00251B2C">
        <w:rPr>
          <w:rFonts w:ascii="Times New Roman" w:hAnsi="Times New Roman" w:cs="Times New Roman"/>
          <w:sz w:val="24"/>
          <w:szCs w:val="24"/>
        </w:rPr>
        <w:t xml:space="preserve">In the case of Monte Carlo simulation, the study uses a geometric Brownian motion process to describe future returns on </w:t>
      </w:r>
      <w:r w:rsidR="000F4C35">
        <w:rPr>
          <w:rFonts w:ascii="Times New Roman" w:hAnsi="Times New Roman" w:cs="Times New Roman"/>
          <w:sz w:val="24"/>
          <w:szCs w:val="24"/>
        </w:rPr>
        <w:t>Sukuk</w:t>
      </w:r>
      <w:r w:rsidRPr="00251B2C">
        <w:rPr>
          <w:rFonts w:ascii="Times New Roman" w:hAnsi="Times New Roman" w:cs="Times New Roman"/>
          <w:sz w:val="24"/>
          <w:szCs w:val="24"/>
        </w:rPr>
        <w:t xml:space="preserve"> and conventional bonds. The method uses two component parameters; drift which is a constant directional movement and random shock that presents the market volatility as shown below:</w:t>
      </w:r>
    </w:p>
    <w:p w14:paraId="396A2A8F" w14:textId="56175A40" w:rsidR="00A755F5" w:rsidRPr="00251B2C" w:rsidRDefault="00A755F5" w:rsidP="00A755F5">
      <w:pPr>
        <w:shd w:val="clear" w:color="auto" w:fill="FFFFFF" w:themeFill="background1"/>
        <w:spacing w:before="120" w:after="120" w:line="360" w:lineRule="auto"/>
        <w:ind w:left="720"/>
        <w:jc w:val="both"/>
        <w:rPr>
          <w:rFonts w:ascii="Times New Roman" w:hAnsi="Times New Roman" w:cs="Times New Roman"/>
          <w:sz w:val="24"/>
          <w:szCs w:val="24"/>
        </w:rPr>
      </w:pPr>
      <w:r w:rsidRPr="00251B2C">
        <w:rPr>
          <w:rFonts w:ascii="Times New Roman" w:hAnsi="Times New Roman" w:cs="Times New Roman"/>
          <w:sz w:val="24"/>
          <w:szCs w:val="24"/>
        </w:rPr>
        <w:t xml:space="preserve">Future daily returns = </w:t>
      </w:r>
      <w:r w:rsidRPr="00251B2C">
        <w:rPr>
          <w:rFonts w:ascii="Times New Roman" w:hAnsi="Times New Roman" w:cs="Times New Roman"/>
          <w:sz w:val="24"/>
          <w:szCs w:val="24"/>
        </w:rPr>
        <w:tab/>
      </w:r>
      <w:bookmarkStart w:id="38" w:name="OLE_LINK232"/>
      <w:r w:rsidRPr="00251B2C">
        <w:rPr>
          <w:rFonts w:ascii="Times New Roman" w:hAnsi="Times New Roman" w:cs="Times New Roman"/>
          <w:sz w:val="24"/>
          <w:szCs w:val="24"/>
        </w:rPr>
        <w:t xml:space="preserve">drift + </w:t>
      </w:r>
      <w:bookmarkStart w:id="39" w:name="OLE_LINK212"/>
      <w:bookmarkStart w:id="40" w:name="OLE_LINK213"/>
      <w:r w:rsidRPr="00251B2C">
        <w:rPr>
          <w:rFonts w:ascii="Times New Roman" w:hAnsi="Times New Roman" w:cs="Times New Roman"/>
          <w:sz w:val="24"/>
          <w:szCs w:val="24"/>
        </w:rPr>
        <w:t xml:space="preserve">σ * Z </w:t>
      </w:r>
      <w:bookmarkEnd w:id="38"/>
      <w:bookmarkEnd w:id="39"/>
      <w:bookmarkEnd w:id="40"/>
      <w:r w:rsidRPr="00251B2C">
        <w:rPr>
          <w:rFonts w:ascii="Times New Roman" w:hAnsi="Times New Roman" w:cs="Times New Roman"/>
          <w:sz w:val="24"/>
          <w:szCs w:val="24"/>
        </w:rPr>
        <w:tab/>
      </w:r>
      <w:r w:rsidRPr="00251B2C">
        <w:rPr>
          <w:rFonts w:ascii="Times New Roman" w:hAnsi="Times New Roman" w:cs="Times New Roman"/>
          <w:sz w:val="24"/>
          <w:szCs w:val="24"/>
        </w:rPr>
        <w:tab/>
      </w:r>
      <w:r w:rsidRPr="00251B2C">
        <w:rPr>
          <w:rFonts w:ascii="Times New Roman" w:hAnsi="Times New Roman" w:cs="Times New Roman"/>
          <w:sz w:val="24"/>
          <w:szCs w:val="24"/>
        </w:rPr>
        <w:tab/>
      </w:r>
      <w:r w:rsidRPr="00251B2C">
        <w:rPr>
          <w:rFonts w:ascii="Times New Roman" w:hAnsi="Times New Roman" w:cs="Times New Roman"/>
          <w:sz w:val="24"/>
          <w:szCs w:val="24"/>
        </w:rPr>
        <w:tab/>
        <w:t xml:space="preserve">(4) </w:t>
      </w:r>
    </w:p>
    <w:p w14:paraId="38EF8931" w14:textId="464B926B" w:rsidR="00A755F5" w:rsidRPr="00251B2C" w:rsidRDefault="00A755F5" w:rsidP="00A755F5">
      <w:pPr>
        <w:shd w:val="clear" w:color="auto" w:fill="FFFFFF" w:themeFill="background1"/>
        <w:spacing w:before="120" w:after="120" w:line="360" w:lineRule="auto"/>
        <w:ind w:left="720"/>
        <w:jc w:val="both"/>
        <w:rPr>
          <w:rFonts w:ascii="Times New Roman" w:hAnsi="Times New Roman" w:cs="Times New Roman"/>
          <w:sz w:val="24"/>
          <w:szCs w:val="24"/>
        </w:rPr>
      </w:pPr>
      <w:r w:rsidRPr="00251B2C">
        <w:rPr>
          <w:rFonts w:ascii="Times New Roman" w:hAnsi="Times New Roman" w:cs="Times New Roman"/>
          <w:sz w:val="24"/>
          <w:szCs w:val="24"/>
        </w:rPr>
        <w:t>Future daily returns</w:t>
      </w:r>
      <w:r w:rsidR="009538A3">
        <w:rPr>
          <w:rFonts w:ascii="Times New Roman" w:hAnsi="Times New Roman" w:cs="Times New Roman"/>
          <w:sz w:val="24"/>
          <w:szCs w:val="24"/>
        </w:rPr>
        <w:t xml:space="preserve"> </w:t>
      </w:r>
      <w:r w:rsidRPr="00251B2C">
        <w:rPr>
          <w:rFonts w:ascii="Times New Roman" w:hAnsi="Times New Roman" w:cs="Times New Roman"/>
          <w:sz w:val="24"/>
          <w:szCs w:val="24"/>
        </w:rPr>
        <w:t>=  (</w:t>
      </w:r>
      <w:bookmarkStart w:id="41" w:name="OLE_LINK214"/>
      <w:bookmarkStart w:id="42" w:name="OLE_LINK215"/>
      <w:r w:rsidRPr="00251B2C">
        <w:rPr>
          <w:rFonts w:ascii="Times New Roman" w:hAnsi="Times New Roman" w:cs="Times New Roman"/>
          <w:sz w:val="24"/>
          <w:szCs w:val="24"/>
        </w:rPr>
        <w:t>µ</w:t>
      </w:r>
      <w:bookmarkEnd w:id="41"/>
      <w:bookmarkEnd w:id="42"/>
      <w:r w:rsidRPr="00251B2C">
        <w:rPr>
          <w:rFonts w:ascii="Times New Roman" w:hAnsi="Times New Roman" w:cs="Times New Roman"/>
          <w:sz w:val="24"/>
          <w:szCs w:val="24"/>
        </w:rPr>
        <w:t xml:space="preserve"> – (σ</w:t>
      </w:r>
      <w:r w:rsidRPr="00251B2C">
        <w:rPr>
          <w:rFonts w:ascii="Times New Roman" w:hAnsi="Times New Roman" w:cs="Times New Roman"/>
          <w:sz w:val="24"/>
          <w:szCs w:val="24"/>
          <w:vertAlign w:val="superscript"/>
        </w:rPr>
        <w:t>2</w:t>
      </w:r>
      <w:r w:rsidRPr="00251B2C">
        <w:rPr>
          <w:rFonts w:ascii="Times New Roman" w:hAnsi="Times New Roman" w:cs="Times New Roman"/>
          <w:sz w:val="24"/>
          <w:szCs w:val="24"/>
        </w:rPr>
        <w:t>/2)*t + σ * Z</w:t>
      </w:r>
      <w:r w:rsidRPr="00251B2C">
        <w:rPr>
          <w:rFonts w:ascii="Times New Roman" w:hAnsi="Times New Roman" w:cs="Times New Roman"/>
          <w:sz w:val="24"/>
          <w:szCs w:val="24"/>
        </w:rPr>
        <w:tab/>
      </w:r>
      <w:r w:rsidRPr="00251B2C">
        <w:rPr>
          <w:rFonts w:ascii="Times New Roman" w:hAnsi="Times New Roman" w:cs="Times New Roman"/>
          <w:sz w:val="24"/>
          <w:szCs w:val="24"/>
        </w:rPr>
        <w:tab/>
      </w:r>
      <w:r w:rsidRPr="00251B2C">
        <w:rPr>
          <w:rFonts w:ascii="Times New Roman" w:hAnsi="Times New Roman" w:cs="Times New Roman"/>
          <w:sz w:val="24"/>
          <w:szCs w:val="24"/>
        </w:rPr>
        <w:tab/>
        <w:t>(5)</w:t>
      </w:r>
    </w:p>
    <w:p w14:paraId="586EDD17" w14:textId="7CCF8907" w:rsidR="00A755F5" w:rsidRPr="00251B2C" w:rsidRDefault="00A755F5" w:rsidP="00A755F5">
      <w:pPr>
        <w:spacing w:before="120" w:after="120" w:line="360" w:lineRule="auto"/>
        <w:contextualSpacing/>
        <w:jc w:val="both"/>
        <w:rPr>
          <w:rFonts w:ascii="Times New Roman" w:hAnsi="Times New Roman" w:cs="Times New Roman"/>
          <w:sz w:val="24"/>
          <w:szCs w:val="24"/>
        </w:rPr>
      </w:pPr>
      <w:r w:rsidRPr="00251B2C">
        <w:rPr>
          <w:rFonts w:ascii="Times New Roman" w:hAnsi="Times New Roman" w:cs="Times New Roman"/>
          <w:sz w:val="24"/>
          <w:szCs w:val="24"/>
        </w:rPr>
        <w:t>The drift is calculated from the mean (µ) minus half of the variance over time as shown in equation 5, σ is the volatility, and Z is the random variable from standard normal distribution N (0.1) using Excel function of NORMSINV(RAND), which will generate a simulated value of normal random variables having the parameters of mean (</w:t>
      </w:r>
      <w:r w:rsidRPr="00251B2C">
        <w:rPr>
          <w:rFonts w:ascii="Times New Roman" w:eastAsia="+mn-ea" w:hAnsi="Times New Roman" w:cs="Times New Roman"/>
          <w:kern w:val="24"/>
          <w:sz w:val="24"/>
          <w:szCs w:val="24"/>
          <w:lang w:val="en-US" w:eastAsia="en-GB"/>
        </w:rPr>
        <w:t xml:space="preserve">μ) and standard deviation (σ). </w:t>
      </w:r>
      <w:r w:rsidRPr="00251B2C">
        <w:rPr>
          <w:rFonts w:ascii="Times New Roman" w:eastAsia="+mn-ea" w:hAnsi="Times New Roman" w:cs="Times New Roman"/>
          <w:kern w:val="24"/>
          <w:sz w:val="24"/>
          <w:szCs w:val="24"/>
          <w:lang w:val="en-US" w:eastAsia="en-GB"/>
        </w:rPr>
        <w:lastRenderedPageBreak/>
        <w:t>Hence, the future expected daily returns are calculated by employing Monte Carlo simulation as follows:</w:t>
      </w:r>
    </w:p>
    <w:p w14:paraId="30248F5A" w14:textId="5C3CF699" w:rsidR="00A755F5" w:rsidRPr="00251B2C" w:rsidRDefault="00A755F5" w:rsidP="00A755F5">
      <w:pPr>
        <w:shd w:val="clear" w:color="auto" w:fill="FFFFFF" w:themeFill="background1"/>
        <w:spacing w:before="120" w:after="120" w:line="360" w:lineRule="auto"/>
        <w:ind w:firstLine="720"/>
        <w:jc w:val="both"/>
        <w:rPr>
          <w:rFonts w:ascii="Times New Roman" w:eastAsia="Times New Roman" w:hAnsi="Times New Roman" w:cs="Times New Roman"/>
          <w:sz w:val="24"/>
          <w:szCs w:val="24"/>
          <w:lang w:eastAsia="en-GB"/>
        </w:rPr>
      </w:pPr>
      <w:r w:rsidRPr="00251B2C">
        <w:rPr>
          <w:rFonts w:ascii="Times New Roman" w:hAnsi="Times New Roman" w:cs="Times New Roman"/>
          <w:sz w:val="24"/>
          <w:szCs w:val="24"/>
        </w:rPr>
        <w:t>Future daily returns =</w:t>
      </w:r>
      <w:r w:rsidRPr="00251B2C">
        <w:rPr>
          <w:rFonts w:ascii="Times New Roman" w:hAnsi="Times New Roman" w:cs="Times New Roman"/>
          <w:sz w:val="24"/>
          <w:szCs w:val="24"/>
        </w:rPr>
        <w:tab/>
      </w:r>
      <w:r w:rsidRPr="00251B2C">
        <w:rPr>
          <w:rFonts w:ascii="Times New Roman" w:eastAsia="+mn-ea" w:hAnsi="Times New Roman" w:cs="Times New Roman"/>
          <w:kern w:val="24"/>
          <w:sz w:val="24"/>
          <w:szCs w:val="24"/>
          <w:lang w:val="en-US" w:eastAsia="en-GB"/>
        </w:rPr>
        <w:t>NORMINV(RAND(), μ, σ)</w:t>
      </w:r>
      <w:r w:rsidRPr="00251B2C">
        <w:rPr>
          <w:rFonts w:ascii="Times New Roman" w:eastAsia="+mn-ea" w:hAnsi="Times New Roman" w:cs="Times New Roman"/>
          <w:kern w:val="24"/>
          <w:sz w:val="24"/>
          <w:szCs w:val="24"/>
          <w:lang w:val="en-US" w:eastAsia="en-GB"/>
        </w:rPr>
        <w:tab/>
      </w:r>
      <w:r w:rsidRPr="00251B2C">
        <w:rPr>
          <w:rFonts w:ascii="Times New Roman" w:eastAsia="+mn-ea" w:hAnsi="Times New Roman" w:cs="Times New Roman"/>
          <w:kern w:val="24"/>
          <w:sz w:val="24"/>
          <w:szCs w:val="24"/>
          <w:lang w:val="en-US" w:eastAsia="en-GB"/>
        </w:rPr>
        <w:tab/>
      </w:r>
      <w:r w:rsidRPr="00251B2C">
        <w:rPr>
          <w:rFonts w:ascii="Times New Roman" w:eastAsia="+mn-ea" w:hAnsi="Times New Roman" w:cs="Times New Roman"/>
          <w:kern w:val="24"/>
          <w:sz w:val="24"/>
          <w:szCs w:val="24"/>
          <w:lang w:val="en-US" w:eastAsia="en-GB"/>
        </w:rPr>
        <w:tab/>
        <w:t>(6)</w:t>
      </w:r>
      <w:bookmarkStart w:id="43" w:name="_Hlk480657830"/>
    </w:p>
    <w:bookmarkEnd w:id="43"/>
    <w:p w14:paraId="059C3AED" w14:textId="254DA468" w:rsidR="00A755F5" w:rsidRPr="00251B2C" w:rsidRDefault="00A755F5" w:rsidP="00A755F5">
      <w:pPr>
        <w:shd w:val="clear" w:color="auto" w:fill="FFFFFF" w:themeFill="background1"/>
        <w:spacing w:before="120" w:after="120" w:line="360" w:lineRule="auto"/>
        <w:jc w:val="both"/>
        <w:rPr>
          <w:rFonts w:ascii="Times New Roman" w:hAnsi="Times New Roman" w:cs="Times New Roman"/>
          <w:sz w:val="24"/>
          <w:szCs w:val="24"/>
        </w:rPr>
      </w:pPr>
      <w:r w:rsidRPr="00251B2C">
        <w:rPr>
          <w:rFonts w:ascii="Times New Roman" w:hAnsi="Times New Roman" w:cs="Times New Roman"/>
          <w:sz w:val="24"/>
          <w:szCs w:val="24"/>
        </w:rPr>
        <w:t>In this study, future daily returns are simulated using the above formula and the simulated daily returns use as 10</w:t>
      </w:r>
      <w:r w:rsidRPr="00251B2C">
        <w:rPr>
          <w:rFonts w:ascii="Times New Roman" w:hAnsi="Times New Roman" w:cs="Times New Roman"/>
          <w:sz w:val="24"/>
          <w:szCs w:val="24"/>
          <w:vertAlign w:val="superscript"/>
        </w:rPr>
        <w:t xml:space="preserve"> </w:t>
      </w:r>
      <w:r w:rsidRPr="00251B2C">
        <w:rPr>
          <w:rFonts w:ascii="Times New Roman" w:hAnsi="Times New Roman" w:cs="Times New Roman"/>
          <w:sz w:val="24"/>
          <w:szCs w:val="24"/>
        </w:rPr>
        <w:t xml:space="preserve">days for </w:t>
      </w:r>
      <w:r w:rsidR="002A55CC">
        <w:rPr>
          <w:rFonts w:ascii="Times New Roman" w:hAnsi="Times New Roman" w:cs="Times New Roman"/>
          <w:sz w:val="24"/>
          <w:szCs w:val="24"/>
        </w:rPr>
        <w:t xml:space="preserve">a </w:t>
      </w:r>
      <w:r w:rsidRPr="00251B2C">
        <w:rPr>
          <w:rFonts w:ascii="Times New Roman" w:hAnsi="Times New Roman" w:cs="Times New Roman"/>
          <w:sz w:val="24"/>
          <w:szCs w:val="24"/>
        </w:rPr>
        <w:t>holding period with</w:t>
      </w:r>
      <w:r w:rsidR="002A55CC">
        <w:rPr>
          <w:rFonts w:ascii="Times New Roman" w:hAnsi="Times New Roman" w:cs="Times New Roman"/>
          <w:sz w:val="24"/>
          <w:szCs w:val="24"/>
        </w:rPr>
        <w:t xml:space="preserve"> a</w:t>
      </w:r>
      <w:r w:rsidRPr="00251B2C">
        <w:rPr>
          <w:rFonts w:ascii="Times New Roman" w:hAnsi="Times New Roman" w:cs="Times New Roman"/>
          <w:sz w:val="24"/>
          <w:szCs w:val="24"/>
        </w:rPr>
        <w:t xml:space="preserve"> 99% confidence level of VaR estimates to analyse the risk level of </w:t>
      </w:r>
      <w:r w:rsidR="000F4C35" w:rsidRPr="00176F60">
        <w:rPr>
          <w:rFonts w:ascii="Times New Roman" w:hAnsi="Times New Roman" w:cs="Times New Roman"/>
          <w:i/>
          <w:iCs/>
          <w:sz w:val="24"/>
          <w:szCs w:val="24"/>
        </w:rPr>
        <w:t>Sukuk</w:t>
      </w:r>
      <w:r w:rsidRPr="00251B2C">
        <w:rPr>
          <w:rFonts w:ascii="Times New Roman" w:hAnsi="Times New Roman" w:cs="Times New Roman"/>
          <w:sz w:val="24"/>
          <w:szCs w:val="24"/>
        </w:rPr>
        <w:t xml:space="preserve"> and conventional bonds portfolios. Also, to increase </w:t>
      </w:r>
      <w:r w:rsidR="00597176">
        <w:rPr>
          <w:rFonts w:ascii="Times New Roman" w:hAnsi="Times New Roman" w:cs="Times New Roman"/>
          <w:sz w:val="24"/>
          <w:szCs w:val="24"/>
        </w:rPr>
        <w:t xml:space="preserve">the </w:t>
      </w:r>
      <w:r w:rsidRPr="00251B2C">
        <w:rPr>
          <w:rFonts w:ascii="Times New Roman" w:hAnsi="Times New Roman" w:cs="Times New Roman"/>
          <w:sz w:val="24"/>
          <w:szCs w:val="24"/>
        </w:rPr>
        <w:t xml:space="preserve">accuracy of calculations 5000 simulations of </w:t>
      </w:r>
      <w:r w:rsidR="000F4C35" w:rsidRPr="00176F60">
        <w:rPr>
          <w:rFonts w:ascii="Times New Roman" w:hAnsi="Times New Roman" w:cs="Times New Roman"/>
          <w:i/>
          <w:iCs/>
          <w:sz w:val="24"/>
          <w:szCs w:val="24"/>
        </w:rPr>
        <w:t>Sukuk</w:t>
      </w:r>
      <w:r w:rsidRPr="00251B2C">
        <w:rPr>
          <w:rFonts w:ascii="Times New Roman" w:hAnsi="Times New Roman" w:cs="Times New Roman"/>
          <w:sz w:val="24"/>
          <w:szCs w:val="24"/>
        </w:rPr>
        <w:t xml:space="preserve"> and conventional bonds daily returns will be </w:t>
      </w:r>
      <w:r w:rsidR="0088025E">
        <w:rPr>
          <w:rFonts w:ascii="Times New Roman" w:hAnsi="Times New Roman" w:cs="Times New Roman"/>
          <w:sz w:val="24"/>
          <w:szCs w:val="24"/>
        </w:rPr>
        <w:t xml:space="preserve">run. According to Dowd (2005), </w:t>
      </w:r>
      <w:r w:rsidR="00597176">
        <w:rPr>
          <w:rFonts w:ascii="Times New Roman" w:hAnsi="Times New Roman" w:cs="Times New Roman"/>
          <w:sz w:val="24"/>
          <w:szCs w:val="24"/>
        </w:rPr>
        <w:t>‘</w:t>
      </w:r>
      <w:r w:rsidRPr="00251B2C">
        <w:rPr>
          <w:rFonts w:ascii="Times New Roman" w:hAnsi="Times New Roman" w:cs="Times New Roman"/>
          <w:sz w:val="24"/>
          <w:szCs w:val="24"/>
        </w:rPr>
        <w:t xml:space="preserve">Monte Carlo simulation procedures, accuracy will vary with square root of number of </w:t>
      </w:r>
      <w:proofErr w:type="gramStart"/>
      <w:r w:rsidRPr="00251B2C">
        <w:rPr>
          <w:rFonts w:ascii="Times New Roman" w:hAnsi="Times New Roman" w:cs="Times New Roman"/>
          <w:sz w:val="24"/>
          <w:szCs w:val="24"/>
        </w:rPr>
        <w:t>trial</w:t>
      </w:r>
      <w:proofErr w:type="gramEnd"/>
      <w:r w:rsidR="00597176">
        <w:rPr>
          <w:rFonts w:ascii="Times New Roman" w:hAnsi="Times New Roman" w:cs="Times New Roman"/>
          <w:sz w:val="24"/>
          <w:szCs w:val="24"/>
        </w:rPr>
        <w:t>’</w:t>
      </w:r>
      <w:r w:rsidR="00176F60">
        <w:rPr>
          <w:rFonts w:ascii="Times New Roman" w:hAnsi="Times New Roman" w:cs="Times New Roman"/>
          <w:sz w:val="24"/>
          <w:szCs w:val="24"/>
        </w:rPr>
        <w:t>,</w:t>
      </w:r>
      <w:r w:rsidRPr="00251B2C">
        <w:rPr>
          <w:rFonts w:ascii="Times New Roman" w:hAnsi="Times New Roman" w:cs="Times New Roman"/>
          <w:sz w:val="24"/>
          <w:szCs w:val="24"/>
        </w:rPr>
        <w:t xml:space="preserve"> so the more simulation, the better the result outcomes. In addition, the study presents the expected daily returns of </w:t>
      </w:r>
      <w:r w:rsidR="000F4C35" w:rsidRPr="00176F60">
        <w:rPr>
          <w:rFonts w:ascii="Times New Roman" w:hAnsi="Times New Roman" w:cs="Times New Roman"/>
          <w:i/>
          <w:iCs/>
          <w:sz w:val="24"/>
          <w:szCs w:val="24"/>
        </w:rPr>
        <w:t>Sukuk</w:t>
      </w:r>
      <w:r w:rsidRPr="00251B2C">
        <w:rPr>
          <w:rFonts w:ascii="Times New Roman" w:hAnsi="Times New Roman" w:cs="Times New Roman"/>
          <w:sz w:val="24"/>
          <w:szCs w:val="24"/>
        </w:rPr>
        <w:t xml:space="preserve"> and conventional bonds in line chart and frequency</w:t>
      </w:r>
      <w:r w:rsidR="00BA4AC4">
        <w:rPr>
          <w:rFonts w:ascii="Times New Roman" w:hAnsi="Times New Roman" w:cs="Times New Roman"/>
          <w:sz w:val="24"/>
          <w:szCs w:val="24"/>
        </w:rPr>
        <w:t>,</w:t>
      </w:r>
      <w:r w:rsidRPr="00251B2C">
        <w:rPr>
          <w:rFonts w:ascii="Times New Roman" w:hAnsi="Times New Roman" w:cs="Times New Roman"/>
          <w:sz w:val="24"/>
          <w:szCs w:val="24"/>
        </w:rPr>
        <w:t xml:space="preserve"> Histogram</w:t>
      </w:r>
      <w:r w:rsidR="00BA4AC4">
        <w:rPr>
          <w:rFonts w:ascii="Times New Roman" w:hAnsi="Times New Roman" w:cs="Times New Roman"/>
          <w:sz w:val="24"/>
          <w:szCs w:val="24"/>
        </w:rPr>
        <w:t>,</w:t>
      </w:r>
      <w:r w:rsidRPr="00251B2C">
        <w:rPr>
          <w:rFonts w:ascii="Times New Roman" w:hAnsi="Times New Roman" w:cs="Times New Roman"/>
          <w:sz w:val="24"/>
          <w:szCs w:val="24"/>
        </w:rPr>
        <w:t xml:space="preserve"> to plot the simulated future returns to examine the normality distribution of the expected returns both </w:t>
      </w:r>
      <w:r w:rsidR="000F4C35" w:rsidRPr="00176F60">
        <w:rPr>
          <w:rFonts w:ascii="Times New Roman" w:hAnsi="Times New Roman" w:cs="Times New Roman"/>
          <w:i/>
          <w:iCs/>
          <w:sz w:val="24"/>
          <w:szCs w:val="24"/>
        </w:rPr>
        <w:t>Sukuk</w:t>
      </w:r>
      <w:r w:rsidRPr="00251B2C">
        <w:rPr>
          <w:rFonts w:ascii="Times New Roman" w:hAnsi="Times New Roman" w:cs="Times New Roman"/>
          <w:sz w:val="24"/>
          <w:szCs w:val="24"/>
        </w:rPr>
        <w:t xml:space="preserve"> and conventional bonds.</w:t>
      </w:r>
    </w:p>
    <w:p w14:paraId="558D57A9" w14:textId="77777777" w:rsidR="00A755F5" w:rsidRPr="00251B2C" w:rsidRDefault="00A755F5" w:rsidP="00592892">
      <w:pPr>
        <w:pStyle w:val="Heading3"/>
        <w:numPr>
          <w:ilvl w:val="0"/>
          <w:numId w:val="0"/>
        </w:numPr>
        <w:rPr>
          <w:rFonts w:ascii="Times New Roman" w:hAnsi="Times New Roman" w:cs="Times New Roman"/>
          <w:sz w:val="24"/>
          <w:szCs w:val="24"/>
        </w:rPr>
      </w:pPr>
      <w:bookmarkStart w:id="44" w:name="_Toc481617405"/>
      <w:r w:rsidRPr="00251B2C">
        <w:rPr>
          <w:rFonts w:ascii="Times New Roman" w:hAnsi="Times New Roman" w:cs="Times New Roman"/>
          <w:sz w:val="24"/>
          <w:szCs w:val="24"/>
        </w:rPr>
        <w:t>F-Test Analysis</w:t>
      </w:r>
      <w:bookmarkEnd w:id="44"/>
    </w:p>
    <w:p w14:paraId="2A68C5C3" w14:textId="77777777" w:rsidR="00A755F5" w:rsidRPr="00251B2C" w:rsidRDefault="00A755F5" w:rsidP="00A755F5">
      <w:pPr>
        <w:pStyle w:val="BodyText2"/>
        <w:rPr>
          <w:rFonts w:ascii="Times New Roman" w:hAnsi="Times New Roman" w:cs="Times New Roman"/>
          <w:sz w:val="24"/>
          <w:szCs w:val="24"/>
        </w:rPr>
      </w:pPr>
      <w:r w:rsidRPr="00251B2C">
        <w:rPr>
          <w:rFonts w:ascii="Times New Roman" w:hAnsi="Times New Roman" w:cs="Times New Roman"/>
          <w:sz w:val="24"/>
          <w:szCs w:val="24"/>
        </w:rPr>
        <w:t xml:space="preserve">F-Test is used to test if the variance of two populations are equal. The test can be a two-sided test or one-tailed test. Whereas, the two-tailed version tests against the alternative hypothesis that the variances are not equal. On the other hand, the one-tailed version only tests in one </w:t>
      </w:r>
      <w:r w:rsidR="00592892" w:rsidRPr="00251B2C">
        <w:rPr>
          <w:rFonts w:ascii="Times New Roman" w:hAnsi="Times New Roman" w:cs="Times New Roman"/>
          <w:sz w:val="24"/>
          <w:szCs w:val="24"/>
        </w:rPr>
        <w:t>direction that</w:t>
      </w:r>
      <w:r w:rsidRPr="00251B2C">
        <w:rPr>
          <w:rFonts w:ascii="Times New Roman" w:hAnsi="Times New Roman" w:cs="Times New Roman"/>
          <w:sz w:val="24"/>
          <w:szCs w:val="24"/>
        </w:rPr>
        <w:t xml:space="preserve"> is the variance from the first population is either greater than or less than (but not both) the second population variance. Also, the F-test uses the Chi square test as combined method to find the p-value. Therefore, the F-test hypothesis is defined for a two-tailed test as follows (NIST, 2013): </w:t>
      </w:r>
    </w:p>
    <w:p w14:paraId="10779BBD" w14:textId="799C0AE2" w:rsidR="00A755F5" w:rsidRPr="00251B2C" w:rsidRDefault="00A755F5" w:rsidP="00A755F5">
      <w:pPr>
        <w:pStyle w:val="BodyText2"/>
        <w:rPr>
          <w:rFonts w:ascii="Times New Roman" w:hAnsi="Times New Roman" w:cs="Times New Roman"/>
          <w:sz w:val="24"/>
          <w:szCs w:val="24"/>
        </w:rPr>
      </w:pPr>
      <w:r w:rsidRPr="00251B2C">
        <w:rPr>
          <w:rFonts w:ascii="Times New Roman" w:hAnsi="Times New Roman" w:cs="Times New Roman"/>
          <w:sz w:val="24"/>
          <w:szCs w:val="24"/>
        </w:rPr>
        <w:tab/>
        <w:t>H</w:t>
      </w:r>
      <w:r w:rsidRPr="00251B2C">
        <w:rPr>
          <w:rFonts w:ascii="Times New Roman" w:hAnsi="Times New Roman" w:cs="Times New Roman"/>
          <w:sz w:val="24"/>
          <w:szCs w:val="24"/>
          <w:vertAlign w:val="subscript"/>
        </w:rPr>
        <w:t xml:space="preserve">0 </w:t>
      </w:r>
      <w:r w:rsidRPr="00251B2C">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σ</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σ</m:t>
            </m:r>
          </m:e>
          <m:sub>
            <m:r>
              <w:rPr>
                <w:rFonts w:ascii="Cambria Math" w:hAnsi="Cambria Math" w:cs="Times New Roman"/>
                <w:sz w:val="24"/>
                <w:szCs w:val="24"/>
              </w:rPr>
              <m:t>2</m:t>
            </m:r>
          </m:sub>
          <m:sup>
            <m:r>
              <w:rPr>
                <w:rFonts w:ascii="Cambria Math" w:hAnsi="Cambria Math" w:cs="Times New Roman"/>
                <w:sz w:val="24"/>
                <w:szCs w:val="24"/>
              </w:rPr>
              <m:t>2</m:t>
            </m:r>
          </m:sup>
        </m:sSubSup>
      </m:oMath>
    </w:p>
    <w:p w14:paraId="579E6997" w14:textId="3394E973" w:rsidR="00A755F5" w:rsidRPr="00251B2C" w:rsidRDefault="00A755F5" w:rsidP="00A755F5">
      <w:pPr>
        <w:pStyle w:val="BodyText2"/>
        <w:rPr>
          <w:rFonts w:ascii="Times New Roman" w:hAnsi="Times New Roman" w:cs="Times New Roman"/>
          <w:sz w:val="24"/>
          <w:szCs w:val="24"/>
        </w:rPr>
      </w:pPr>
      <w:r w:rsidRPr="00251B2C">
        <w:rPr>
          <w:rFonts w:ascii="Times New Roman" w:hAnsi="Times New Roman" w:cs="Times New Roman"/>
          <w:sz w:val="24"/>
          <w:szCs w:val="24"/>
        </w:rPr>
        <w:tab/>
        <w:t>H</w:t>
      </w:r>
      <w:r w:rsidRPr="00251B2C">
        <w:rPr>
          <w:rFonts w:ascii="Times New Roman" w:hAnsi="Times New Roman" w:cs="Times New Roman"/>
          <w:sz w:val="24"/>
          <w:szCs w:val="24"/>
          <w:vertAlign w:val="subscript"/>
        </w:rPr>
        <w:t>1</w:t>
      </w:r>
      <w:r w:rsidRPr="00251B2C">
        <w:rPr>
          <w:rFonts w:ascii="Times New Roman" w:hAnsi="Times New Roman" w:cs="Times New Roman"/>
          <w:sz w:val="24"/>
          <w:szCs w:val="24"/>
        </w:rPr>
        <w:t>=</w:t>
      </w:r>
      <w:r w:rsidR="00A21594">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σ</m:t>
            </m:r>
          </m:e>
          <m:sub>
            <m:r>
              <w:rPr>
                <w:rFonts w:ascii="Cambria Math" w:hAnsi="Cambria Math" w:cs="Times New Roman"/>
                <w:sz w:val="24"/>
                <w:szCs w:val="24"/>
              </w:rPr>
              <m:t>1</m:t>
            </m:r>
          </m:sub>
          <m:sup>
            <m:r>
              <w:rPr>
                <w:rFonts w:ascii="Cambria Math" w:hAnsi="Cambria Math" w:cs="Times New Roman"/>
                <w:sz w:val="24"/>
                <w:szCs w:val="24"/>
              </w:rPr>
              <m:t>2</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σ</m:t>
            </m:r>
          </m:e>
          <m:sub>
            <m:r>
              <w:rPr>
                <w:rFonts w:ascii="Cambria Math" w:hAnsi="Cambria Math" w:cs="Times New Roman"/>
                <w:sz w:val="24"/>
                <w:szCs w:val="24"/>
              </w:rPr>
              <m:t>2</m:t>
            </m:r>
          </m:sub>
          <m:sup>
            <m:r>
              <w:rPr>
                <w:rFonts w:ascii="Cambria Math" w:hAnsi="Cambria Math" w:cs="Times New Roman"/>
                <w:sz w:val="24"/>
                <w:szCs w:val="24"/>
              </w:rPr>
              <m:t>2</m:t>
            </m:r>
          </m:sup>
        </m:sSubSup>
      </m:oMath>
    </w:p>
    <w:p w14:paraId="7345AE14" w14:textId="3D449012" w:rsidR="00A755F5" w:rsidRPr="00251B2C" w:rsidRDefault="00A755F5" w:rsidP="00A755F5">
      <w:pPr>
        <w:pStyle w:val="BodyText2"/>
        <w:ind w:firstLine="720"/>
        <w:rPr>
          <w:rFonts w:ascii="Times New Roman" w:hAnsi="Times New Roman" w:cs="Times New Roman"/>
          <w:sz w:val="24"/>
          <w:szCs w:val="24"/>
        </w:rPr>
      </w:pPr>
      <w:r w:rsidRPr="00251B2C">
        <w:rPr>
          <w:rFonts w:ascii="Times New Roman" w:hAnsi="Times New Roman" w:cs="Times New Roman"/>
          <w:sz w:val="24"/>
          <w:szCs w:val="24"/>
        </w:rPr>
        <w:t>F</w:t>
      </w:r>
      <w:r w:rsidR="009538A3">
        <w:rPr>
          <w:rFonts w:ascii="Times New Roman" w:hAnsi="Times New Roman" w:cs="Times New Roman"/>
          <w:sz w:val="24"/>
          <w:szCs w:val="24"/>
        </w:rPr>
        <w:t xml:space="preserve"> </w:t>
      </w:r>
      <w:r w:rsidRPr="00251B2C">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s</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s</m:t>
            </m:r>
          </m:e>
          <m:sub>
            <m:r>
              <w:rPr>
                <w:rFonts w:ascii="Cambria Math" w:hAnsi="Cambria Math" w:cs="Times New Roman"/>
                <w:sz w:val="24"/>
                <w:szCs w:val="24"/>
              </w:rPr>
              <m:t>2</m:t>
            </m:r>
          </m:sub>
          <m:sup>
            <m:r>
              <w:rPr>
                <w:rFonts w:ascii="Cambria Math" w:hAnsi="Cambria Math" w:cs="Times New Roman"/>
                <w:sz w:val="24"/>
                <w:szCs w:val="24"/>
              </w:rPr>
              <m:t>2</m:t>
            </m:r>
          </m:sup>
        </m:sSubSup>
      </m:oMath>
      <w:r w:rsidRPr="00251B2C">
        <w:rPr>
          <w:rFonts w:ascii="Times New Roman" w:hAnsi="Times New Roman" w:cs="Times New Roman"/>
          <w:sz w:val="24"/>
          <w:szCs w:val="24"/>
          <w:vertAlign w:val="superscript"/>
        </w:rPr>
        <w:t xml:space="preserve"> </w:t>
      </w:r>
      <w:r w:rsidRPr="00251B2C">
        <w:rPr>
          <w:rFonts w:ascii="Times New Roman" w:hAnsi="Times New Roman" w:cs="Times New Roman"/>
          <w:sz w:val="24"/>
          <w:szCs w:val="24"/>
        </w:rPr>
        <w:tab/>
      </w:r>
      <w:r w:rsidRPr="00251B2C">
        <w:rPr>
          <w:rFonts w:ascii="Times New Roman" w:hAnsi="Times New Roman" w:cs="Times New Roman"/>
          <w:sz w:val="24"/>
          <w:szCs w:val="24"/>
        </w:rPr>
        <w:tab/>
      </w:r>
      <w:r w:rsidRPr="00251B2C">
        <w:rPr>
          <w:rFonts w:ascii="Times New Roman" w:hAnsi="Times New Roman" w:cs="Times New Roman"/>
          <w:sz w:val="24"/>
          <w:szCs w:val="24"/>
        </w:rPr>
        <w:tab/>
      </w:r>
      <w:r w:rsidRPr="00251B2C">
        <w:rPr>
          <w:rFonts w:ascii="Times New Roman" w:hAnsi="Times New Roman" w:cs="Times New Roman"/>
          <w:sz w:val="24"/>
          <w:szCs w:val="24"/>
        </w:rPr>
        <w:tab/>
      </w:r>
      <w:r w:rsidRPr="00251B2C">
        <w:rPr>
          <w:rFonts w:ascii="Times New Roman" w:hAnsi="Times New Roman" w:cs="Times New Roman"/>
          <w:sz w:val="24"/>
          <w:szCs w:val="24"/>
        </w:rPr>
        <w:tab/>
        <w:t>(7)</w:t>
      </w:r>
    </w:p>
    <w:p w14:paraId="753CC3D0" w14:textId="6B979B5F" w:rsidR="00251B2C" w:rsidRDefault="00592892" w:rsidP="00AB51F2">
      <w:pPr>
        <w:pStyle w:val="BodyText2"/>
        <w:rPr>
          <w:rFonts w:ascii="Times New Roman" w:eastAsia="Calibri" w:hAnsi="Times New Roman" w:cs="Times New Roman"/>
          <w:sz w:val="24"/>
          <w:szCs w:val="24"/>
        </w:rPr>
      </w:pPr>
      <w:r w:rsidRPr="00251B2C">
        <w:rPr>
          <w:rFonts w:ascii="Times New Roman" w:eastAsia="Times New Roman" w:hAnsi="Times New Roman" w:cs="Times New Roman"/>
          <w:sz w:val="24"/>
          <w:szCs w:val="24"/>
          <w:lang w:eastAsia="en-GB"/>
        </w:rPr>
        <w:t>Where</w:t>
      </w:r>
      <w:r w:rsidR="00A755F5" w:rsidRPr="00251B2C">
        <w:rPr>
          <w:rFonts w:ascii="Times New Roman" w:eastAsia="Times New Roman" w:hAnsi="Times New Roman" w:cs="Times New Roman"/>
          <w:sz w:val="24"/>
          <w:szCs w:val="24"/>
          <w:lang w:eastAsia="en-GB"/>
        </w:rPr>
        <w:t>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σ</m:t>
            </m:r>
          </m:e>
          <m:sub>
            <m:r>
              <w:rPr>
                <w:rFonts w:ascii="Cambria Math" w:hAnsi="Cambria Math" w:cs="Times New Roman"/>
                <w:sz w:val="24"/>
                <w:szCs w:val="24"/>
              </w:rPr>
              <m:t>1</m:t>
            </m:r>
          </m:sub>
          <m:sup>
            <m:r>
              <w:rPr>
                <w:rFonts w:ascii="Cambria Math" w:hAnsi="Cambria Math" w:cs="Times New Roman"/>
                <w:sz w:val="24"/>
                <w:szCs w:val="24"/>
              </w:rPr>
              <m:t>2</m:t>
            </m:r>
          </m:sup>
        </m:sSubSup>
      </m:oMath>
      <w:r w:rsidR="00A755F5" w:rsidRPr="00251B2C">
        <w:rPr>
          <w:rFonts w:ascii="Times New Roman" w:eastAsia="Times New Roman" w:hAnsi="Times New Roman" w:cs="Times New Roman"/>
          <w:sz w:val="24"/>
          <w:szCs w:val="24"/>
          <w:lang w:eastAsia="en-GB"/>
        </w:rPr>
        <w:t> and </w:t>
      </w:r>
      <m:oMath>
        <m:sSubSup>
          <m:sSubSupPr>
            <m:ctrlPr>
              <w:rPr>
                <w:rFonts w:ascii="Cambria Math" w:hAnsi="Cambria Math" w:cs="Times New Roman"/>
                <w:sz w:val="24"/>
                <w:szCs w:val="24"/>
              </w:rPr>
            </m:ctrlPr>
          </m:sSubSupPr>
          <m:e>
            <m:r>
              <w:rPr>
                <w:rFonts w:ascii="Cambria Math" w:hAnsi="Cambria Math" w:cs="Times New Roman"/>
                <w:sz w:val="24"/>
                <w:szCs w:val="24"/>
              </w:rPr>
              <m:t>s</m:t>
            </m:r>
          </m:e>
          <m:sub>
            <m:r>
              <w:rPr>
                <w:rFonts w:ascii="Cambria Math" w:hAnsi="Cambria Math" w:cs="Times New Roman"/>
                <w:sz w:val="24"/>
                <w:szCs w:val="24"/>
              </w:rPr>
              <m:t>2</m:t>
            </m:r>
          </m:sub>
          <m:sup>
            <m:r>
              <w:rPr>
                <w:rFonts w:ascii="Cambria Math" w:hAnsi="Cambria Math" w:cs="Times New Roman"/>
                <w:sz w:val="24"/>
                <w:szCs w:val="24"/>
              </w:rPr>
              <m:t>2</m:t>
            </m:r>
          </m:sup>
        </m:sSubSup>
      </m:oMath>
      <w:r w:rsidR="00A755F5" w:rsidRPr="00251B2C">
        <w:rPr>
          <w:rFonts w:ascii="Times New Roman" w:eastAsia="Times New Roman" w:hAnsi="Times New Roman" w:cs="Times New Roman"/>
          <w:sz w:val="24"/>
          <w:szCs w:val="24"/>
          <w:lang w:eastAsia="en-GB"/>
        </w:rPr>
        <w:t xml:space="preserve"> are the sample variances. The more this ratio deviates from 1, the stronger the evidence for unequal population variances. </w:t>
      </w:r>
      <w:r w:rsidR="00A755F5" w:rsidRPr="00251B2C">
        <w:rPr>
          <w:rFonts w:ascii="Times New Roman" w:eastAsia="Calibri" w:hAnsi="Times New Roman" w:cs="Times New Roman"/>
          <w:sz w:val="24"/>
          <w:szCs w:val="24"/>
        </w:rPr>
        <w:t xml:space="preserve">The study will apply the two-tailed test, which tests against the alternative that the variance is not equal with a 99% confidence level. Therefore, this method will test if there is </w:t>
      </w:r>
      <w:r w:rsidR="00A755F5" w:rsidRPr="00251B2C">
        <w:rPr>
          <w:rFonts w:ascii="Times New Roman" w:hAnsi="Times New Roman" w:cs="Times New Roman"/>
          <w:sz w:val="24"/>
          <w:szCs w:val="24"/>
          <w:shd w:val="clear" w:color="auto" w:fill="FFFFFF"/>
        </w:rPr>
        <w:t xml:space="preserve">difference between </w:t>
      </w:r>
      <w:r w:rsidR="000F4C35" w:rsidRPr="00176F60">
        <w:rPr>
          <w:rFonts w:ascii="Times New Roman" w:hAnsi="Times New Roman" w:cs="Times New Roman"/>
          <w:i/>
          <w:iCs/>
          <w:sz w:val="24"/>
          <w:szCs w:val="24"/>
          <w:shd w:val="clear" w:color="auto" w:fill="FFFFFF"/>
        </w:rPr>
        <w:t>Sukuk</w:t>
      </w:r>
      <w:r w:rsidR="00A755F5" w:rsidRPr="00251B2C">
        <w:rPr>
          <w:rFonts w:ascii="Times New Roman" w:hAnsi="Times New Roman" w:cs="Times New Roman"/>
          <w:sz w:val="24"/>
          <w:szCs w:val="24"/>
          <w:shd w:val="clear" w:color="auto" w:fill="FFFFFF"/>
        </w:rPr>
        <w:t xml:space="preserve"> and conventional bonds risk level.</w:t>
      </w:r>
      <w:r w:rsidR="00A755F5" w:rsidRPr="00251B2C">
        <w:rPr>
          <w:rFonts w:ascii="Times New Roman" w:eastAsia="Calibri" w:hAnsi="Times New Roman" w:cs="Times New Roman"/>
          <w:sz w:val="24"/>
          <w:szCs w:val="24"/>
        </w:rPr>
        <w:t xml:space="preserve"> </w:t>
      </w:r>
      <w:bookmarkStart w:id="45" w:name="_Toc481617406"/>
      <w:bookmarkEnd w:id="31"/>
      <w:bookmarkEnd w:id="32"/>
    </w:p>
    <w:p w14:paraId="6CFF1F8E" w14:textId="71C3E0C0" w:rsidR="00546532" w:rsidRDefault="00546532" w:rsidP="00AB51F2">
      <w:pPr>
        <w:pStyle w:val="BodyText2"/>
        <w:rPr>
          <w:rFonts w:ascii="Times New Roman" w:eastAsia="Calibri" w:hAnsi="Times New Roman" w:cs="Times New Roman"/>
          <w:sz w:val="24"/>
          <w:szCs w:val="24"/>
        </w:rPr>
      </w:pPr>
    </w:p>
    <w:p w14:paraId="02921F10" w14:textId="77777777" w:rsidR="00546532" w:rsidRDefault="00546532" w:rsidP="00AB51F2">
      <w:pPr>
        <w:pStyle w:val="BodyText2"/>
        <w:rPr>
          <w:rFonts w:ascii="Times New Roman" w:hAnsi="Times New Roman" w:cs="Times New Roman"/>
          <w:sz w:val="24"/>
          <w:szCs w:val="24"/>
        </w:rPr>
      </w:pPr>
    </w:p>
    <w:bookmarkEnd w:id="45"/>
    <w:p w14:paraId="13DAA7A6" w14:textId="6C332707" w:rsidR="00A755F5" w:rsidRPr="00251B2C" w:rsidRDefault="00E1252D" w:rsidP="00D5786B">
      <w:pPr>
        <w:pStyle w:val="BodyText2"/>
        <w:numPr>
          <w:ilvl w:val="0"/>
          <w:numId w:val="19"/>
        </w:numPr>
        <w:rPr>
          <w:rFonts w:ascii="Times New Roman" w:eastAsia="Calibri" w:hAnsi="Times New Roman" w:cs="Times New Roman"/>
          <w:b/>
          <w:sz w:val="24"/>
          <w:szCs w:val="24"/>
        </w:rPr>
      </w:pPr>
      <w:r w:rsidRPr="00251B2C">
        <w:rPr>
          <w:rFonts w:ascii="Times New Roman" w:hAnsi="Times New Roman" w:cs="Times New Roman"/>
          <w:b/>
          <w:sz w:val="24"/>
          <w:szCs w:val="24"/>
        </w:rPr>
        <w:lastRenderedPageBreak/>
        <w:t>FINDINGS</w:t>
      </w:r>
      <w:r w:rsidR="00285A29" w:rsidRPr="00285A29">
        <w:rPr>
          <w:rFonts w:ascii="Times New Roman" w:hAnsi="Times New Roman" w:cs="Times New Roman"/>
          <w:b/>
          <w:sz w:val="24"/>
          <w:szCs w:val="24"/>
        </w:rPr>
        <w:t xml:space="preserve"> </w:t>
      </w:r>
    </w:p>
    <w:p w14:paraId="465E5350" w14:textId="48D54E87" w:rsidR="00A755F5" w:rsidRPr="00251B2C" w:rsidRDefault="00251B2C" w:rsidP="00A755F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The</w:t>
      </w:r>
      <w:r w:rsidR="00A755F5" w:rsidRPr="00251B2C">
        <w:rPr>
          <w:rFonts w:ascii="Times New Roman" w:hAnsi="Times New Roman" w:cs="Times New Roman"/>
          <w:sz w:val="24"/>
          <w:szCs w:val="24"/>
        </w:rPr>
        <w:t xml:space="preserve"> study presents VaR application to </w:t>
      </w:r>
      <w:r w:rsidR="000F4C35" w:rsidRPr="00176F60">
        <w:rPr>
          <w:rFonts w:ascii="Times New Roman" w:hAnsi="Times New Roman" w:cs="Times New Roman"/>
          <w:i/>
          <w:iCs/>
          <w:sz w:val="24"/>
          <w:szCs w:val="24"/>
        </w:rPr>
        <w:t>Sukuk</w:t>
      </w:r>
      <w:r w:rsidR="00A755F5" w:rsidRPr="00251B2C">
        <w:rPr>
          <w:rFonts w:ascii="Times New Roman" w:hAnsi="Times New Roman" w:cs="Times New Roman"/>
          <w:sz w:val="24"/>
          <w:szCs w:val="24"/>
        </w:rPr>
        <w:t xml:space="preserve"> and conventional bonds and discusses the empirical results that are obtained from the Historical and Monte Carlo simulation models and then presents the assessment</w:t>
      </w:r>
      <w:bookmarkStart w:id="46" w:name="OLE_LINK146"/>
      <w:r w:rsidR="00A755F5" w:rsidRPr="00251B2C">
        <w:rPr>
          <w:rFonts w:ascii="Times New Roman" w:hAnsi="Times New Roman" w:cs="Times New Roman"/>
          <w:sz w:val="24"/>
          <w:szCs w:val="24"/>
        </w:rPr>
        <w:t xml:space="preserve"> and discussion of the results.</w:t>
      </w:r>
    </w:p>
    <w:p w14:paraId="2BAEECE5" w14:textId="12B2104F" w:rsidR="00A755F5" w:rsidRPr="00251B2C" w:rsidRDefault="00A755F5" w:rsidP="00A755F5">
      <w:pPr>
        <w:pStyle w:val="Heading2"/>
        <w:rPr>
          <w:rFonts w:ascii="Times New Roman" w:hAnsi="Times New Roman" w:cs="Times New Roman"/>
          <w:sz w:val="24"/>
          <w:szCs w:val="24"/>
        </w:rPr>
      </w:pPr>
      <w:bookmarkStart w:id="47" w:name="_Toc481617407"/>
      <w:bookmarkEnd w:id="46"/>
      <w:r w:rsidRPr="00251B2C">
        <w:rPr>
          <w:rFonts w:ascii="Times New Roman" w:hAnsi="Times New Roman" w:cs="Times New Roman"/>
          <w:sz w:val="24"/>
          <w:szCs w:val="24"/>
        </w:rPr>
        <w:t xml:space="preserve">Descriptive Statistics of </w:t>
      </w:r>
      <w:r w:rsidR="000F4C35">
        <w:rPr>
          <w:rFonts w:ascii="Times New Roman" w:hAnsi="Times New Roman" w:cs="Times New Roman"/>
          <w:sz w:val="24"/>
          <w:szCs w:val="24"/>
        </w:rPr>
        <w:t>Sukuk</w:t>
      </w:r>
      <w:r w:rsidRPr="00251B2C">
        <w:rPr>
          <w:rFonts w:ascii="Times New Roman" w:hAnsi="Times New Roman" w:cs="Times New Roman"/>
          <w:sz w:val="24"/>
          <w:szCs w:val="24"/>
        </w:rPr>
        <w:t xml:space="preserve"> and Conventiona</w:t>
      </w:r>
      <w:r w:rsidR="00546532">
        <w:rPr>
          <w:rFonts w:ascii="Times New Roman" w:hAnsi="Times New Roman" w:cs="Times New Roman"/>
          <w:sz w:val="24"/>
          <w:szCs w:val="24"/>
        </w:rPr>
        <w:t>l B</w:t>
      </w:r>
      <w:r w:rsidRPr="00251B2C">
        <w:rPr>
          <w:rFonts w:ascii="Times New Roman" w:hAnsi="Times New Roman" w:cs="Times New Roman"/>
          <w:sz w:val="24"/>
          <w:szCs w:val="24"/>
        </w:rPr>
        <w:t>onds</w:t>
      </w:r>
      <w:bookmarkEnd w:id="47"/>
    </w:p>
    <w:p w14:paraId="70C2D5F2" w14:textId="6B24AB87" w:rsidR="00A755F5" w:rsidRPr="00251B2C" w:rsidRDefault="00A755F5" w:rsidP="00A755F5">
      <w:pPr>
        <w:spacing w:before="120" w:after="120" w:line="360" w:lineRule="auto"/>
        <w:jc w:val="both"/>
        <w:rPr>
          <w:rFonts w:ascii="Times New Roman" w:hAnsi="Times New Roman" w:cs="Times New Roman"/>
          <w:sz w:val="24"/>
          <w:szCs w:val="24"/>
        </w:rPr>
      </w:pPr>
      <w:bookmarkStart w:id="48" w:name="OLE_LINK74"/>
      <w:bookmarkStart w:id="49" w:name="OLE_LINK109"/>
      <w:r w:rsidRPr="00251B2C">
        <w:rPr>
          <w:rFonts w:ascii="Times New Roman" w:hAnsi="Times New Roman" w:cs="Times New Roman"/>
          <w:color w:val="000000"/>
          <w:sz w:val="24"/>
          <w:szCs w:val="24"/>
          <w:shd w:val="clear" w:color="auto" w:fill="FFFFFF"/>
        </w:rPr>
        <w:t xml:space="preserve">As illustrated in </w:t>
      </w:r>
      <w:bookmarkStart w:id="50" w:name="OLE_LINK218"/>
      <w:bookmarkStart w:id="51" w:name="OLE_LINK219"/>
      <w:r w:rsidR="00965789">
        <w:rPr>
          <w:rFonts w:ascii="Times New Roman" w:eastAsia="Times New Roman" w:hAnsi="Times New Roman" w:cs="Times New Roman"/>
          <w:sz w:val="24"/>
          <w:szCs w:val="24"/>
        </w:rPr>
        <w:t>Table</w:t>
      </w:r>
      <w:r w:rsidR="00612FE1" w:rsidRPr="00251B2C">
        <w:rPr>
          <w:rFonts w:ascii="Times New Roman" w:eastAsia="Times New Roman" w:hAnsi="Times New Roman" w:cs="Times New Roman"/>
          <w:sz w:val="24"/>
          <w:szCs w:val="24"/>
        </w:rPr>
        <w:t xml:space="preserve"> </w:t>
      </w:r>
      <w:r w:rsidR="00965789">
        <w:rPr>
          <w:rFonts w:ascii="Times New Roman" w:eastAsia="Times New Roman" w:hAnsi="Times New Roman" w:cs="Times New Roman"/>
          <w:sz w:val="24"/>
          <w:szCs w:val="24"/>
        </w:rPr>
        <w:t>3</w:t>
      </w:r>
      <w:r w:rsidR="00612FE1">
        <w:rPr>
          <w:rFonts w:ascii="Times New Roman" w:eastAsia="Times New Roman" w:hAnsi="Times New Roman" w:cs="Times New Roman"/>
          <w:sz w:val="24"/>
          <w:szCs w:val="24"/>
        </w:rPr>
        <w:t xml:space="preserve"> </w:t>
      </w:r>
      <w:r w:rsidR="0088025E">
        <w:rPr>
          <w:rFonts w:ascii="Times New Roman" w:hAnsi="Times New Roman" w:cs="Times New Roman"/>
          <w:color w:val="000000"/>
          <w:sz w:val="24"/>
          <w:szCs w:val="24"/>
          <w:shd w:val="clear" w:color="auto" w:fill="FFFFFF"/>
        </w:rPr>
        <w:t xml:space="preserve">and </w:t>
      </w:r>
      <w:bookmarkEnd w:id="50"/>
      <w:bookmarkEnd w:id="51"/>
      <w:r w:rsidR="00965789">
        <w:rPr>
          <w:rFonts w:ascii="Times New Roman" w:hAnsi="Times New Roman" w:cs="Times New Roman"/>
          <w:color w:val="000000"/>
          <w:sz w:val="24"/>
          <w:szCs w:val="24"/>
          <w:shd w:val="clear" w:color="auto" w:fill="FFFFFF"/>
        </w:rPr>
        <w:t>Figure 4, they</w:t>
      </w:r>
      <w:r w:rsidRPr="00251B2C">
        <w:rPr>
          <w:rFonts w:ascii="Times New Roman" w:hAnsi="Times New Roman" w:cs="Times New Roman"/>
          <w:color w:val="000000"/>
          <w:sz w:val="24"/>
          <w:szCs w:val="24"/>
          <w:shd w:val="clear" w:color="auto" w:fill="FFFFFF"/>
        </w:rPr>
        <w:t xml:space="preserve"> report the descriptive statistics for the sample data of </w:t>
      </w:r>
      <w:r w:rsidR="000F4C35" w:rsidRPr="00176F60">
        <w:rPr>
          <w:rFonts w:ascii="Times New Roman" w:hAnsi="Times New Roman" w:cs="Times New Roman"/>
          <w:i/>
          <w:iCs/>
          <w:color w:val="000000"/>
          <w:sz w:val="24"/>
          <w:szCs w:val="24"/>
          <w:shd w:val="clear" w:color="auto" w:fill="FFFFFF"/>
        </w:rPr>
        <w:t>Sukuk</w:t>
      </w:r>
      <w:r w:rsidRPr="00251B2C">
        <w:rPr>
          <w:rFonts w:ascii="Times New Roman" w:hAnsi="Times New Roman" w:cs="Times New Roman"/>
          <w:color w:val="000000"/>
          <w:sz w:val="24"/>
          <w:szCs w:val="24"/>
          <w:shd w:val="clear" w:color="auto" w:fill="FFFFFF"/>
        </w:rPr>
        <w:t xml:space="preserve"> and conventional bonds, using </w:t>
      </w:r>
      <w:r w:rsidR="009257A1" w:rsidRPr="00251B2C">
        <w:rPr>
          <w:rFonts w:ascii="Times New Roman" w:hAnsi="Times New Roman" w:cs="Times New Roman"/>
          <w:color w:val="000000"/>
          <w:sz w:val="24"/>
          <w:szCs w:val="24"/>
          <w:shd w:val="clear" w:color="auto" w:fill="FFFFFF"/>
        </w:rPr>
        <w:t>the Excel</w:t>
      </w:r>
      <w:r w:rsidRPr="00251B2C">
        <w:rPr>
          <w:rFonts w:ascii="Times New Roman" w:hAnsi="Times New Roman" w:cs="Times New Roman"/>
          <w:color w:val="000000"/>
          <w:sz w:val="24"/>
          <w:szCs w:val="24"/>
          <w:shd w:val="clear" w:color="auto" w:fill="FFFFFF"/>
        </w:rPr>
        <w:t xml:space="preserve"> data tool which calculate</w:t>
      </w:r>
      <w:r w:rsidR="00FD1217">
        <w:rPr>
          <w:rFonts w:ascii="Times New Roman" w:hAnsi="Times New Roman" w:cs="Times New Roman"/>
          <w:color w:val="000000"/>
          <w:sz w:val="24"/>
          <w:szCs w:val="24"/>
          <w:shd w:val="clear" w:color="auto" w:fill="FFFFFF"/>
        </w:rPr>
        <w:t>s</w:t>
      </w:r>
      <w:r w:rsidRPr="00251B2C">
        <w:rPr>
          <w:rFonts w:ascii="Times New Roman" w:hAnsi="Times New Roman" w:cs="Times New Roman"/>
          <w:color w:val="000000"/>
          <w:sz w:val="24"/>
          <w:szCs w:val="24"/>
          <w:shd w:val="clear" w:color="auto" w:fill="FFFFFF"/>
        </w:rPr>
        <w:t xml:space="preserve"> daily returns’ mean of 250 daily returns, variance, standard deviation, and skewness of the returns distribution for </w:t>
      </w:r>
      <w:r w:rsidR="000F4C35" w:rsidRPr="00176F60">
        <w:rPr>
          <w:rFonts w:ascii="Times New Roman" w:hAnsi="Times New Roman" w:cs="Times New Roman"/>
          <w:i/>
          <w:iCs/>
          <w:color w:val="000000"/>
          <w:sz w:val="24"/>
          <w:szCs w:val="24"/>
          <w:shd w:val="clear" w:color="auto" w:fill="FFFFFF"/>
        </w:rPr>
        <w:t>Sukuk</w:t>
      </w:r>
      <w:r w:rsidRPr="00251B2C">
        <w:rPr>
          <w:rFonts w:ascii="Times New Roman" w:hAnsi="Times New Roman" w:cs="Times New Roman"/>
          <w:color w:val="000000"/>
          <w:sz w:val="24"/>
          <w:szCs w:val="24"/>
          <w:shd w:val="clear" w:color="auto" w:fill="FFFFFF"/>
        </w:rPr>
        <w:t xml:space="preserve"> and conventional bonds.</w:t>
      </w:r>
      <w:r w:rsidRPr="00251B2C">
        <w:rPr>
          <w:rFonts w:ascii="Times New Roman" w:hAnsi="Times New Roman" w:cs="Times New Roman"/>
          <w:sz w:val="24"/>
          <w:szCs w:val="24"/>
        </w:rPr>
        <w:t xml:space="preserve"> </w:t>
      </w:r>
      <w:bookmarkStart w:id="52" w:name="OLE_LINK80"/>
      <w:bookmarkEnd w:id="48"/>
      <w:bookmarkEnd w:id="49"/>
    </w:p>
    <w:p w14:paraId="7D968D10" w14:textId="295352E6" w:rsidR="00A755F5" w:rsidRPr="00251B2C" w:rsidRDefault="009257A1" w:rsidP="00A755F5">
      <w:pPr>
        <w:pStyle w:val="Caption"/>
        <w:keepNext/>
        <w:rPr>
          <w:rFonts w:ascii="Times New Roman" w:hAnsi="Times New Roman" w:cs="Times New Roman"/>
          <w:sz w:val="24"/>
          <w:szCs w:val="24"/>
        </w:rPr>
      </w:pPr>
      <w:bookmarkStart w:id="53" w:name="_Toc481617420"/>
      <w:r>
        <w:rPr>
          <w:rFonts w:ascii="Times New Roman" w:eastAsia="Times New Roman" w:hAnsi="Times New Roman" w:cs="Times New Roman"/>
          <w:sz w:val="24"/>
          <w:szCs w:val="24"/>
        </w:rPr>
        <w:t>Table 3</w:t>
      </w:r>
      <w:r w:rsidR="00104535">
        <w:rPr>
          <w:rFonts w:ascii="Times New Roman" w:hAnsi="Times New Roman" w:cs="Times New Roman"/>
          <w:sz w:val="24"/>
          <w:szCs w:val="24"/>
        </w:rPr>
        <w:t>: Descriptive C</w:t>
      </w:r>
      <w:r w:rsidR="00A755F5" w:rsidRPr="00251B2C">
        <w:rPr>
          <w:rFonts w:ascii="Times New Roman" w:hAnsi="Times New Roman" w:cs="Times New Roman"/>
          <w:sz w:val="24"/>
          <w:szCs w:val="24"/>
        </w:rPr>
        <w:t xml:space="preserve">haracteristics of </w:t>
      </w:r>
      <w:r w:rsidR="000F4C35">
        <w:rPr>
          <w:rFonts w:ascii="Times New Roman" w:hAnsi="Times New Roman" w:cs="Times New Roman"/>
          <w:sz w:val="24"/>
          <w:szCs w:val="24"/>
        </w:rPr>
        <w:t>Sukuk</w:t>
      </w:r>
      <w:r w:rsidR="00104535">
        <w:rPr>
          <w:rFonts w:ascii="Times New Roman" w:hAnsi="Times New Roman" w:cs="Times New Roman"/>
          <w:sz w:val="24"/>
          <w:szCs w:val="24"/>
        </w:rPr>
        <w:t xml:space="preserve"> Daily R</w:t>
      </w:r>
      <w:r w:rsidR="00A755F5" w:rsidRPr="00251B2C">
        <w:rPr>
          <w:rFonts w:ascii="Times New Roman" w:hAnsi="Times New Roman" w:cs="Times New Roman"/>
          <w:sz w:val="24"/>
          <w:szCs w:val="24"/>
        </w:rPr>
        <w:t>eturns</w:t>
      </w:r>
      <w:bookmarkEnd w:id="53"/>
    </w:p>
    <w:tbl>
      <w:tblPr>
        <w:tblW w:w="8495" w:type="dxa"/>
        <w:jc w:val="center"/>
        <w:tblLook w:val="04A0" w:firstRow="1" w:lastRow="0" w:firstColumn="1" w:lastColumn="0" w:noHBand="0" w:noVBand="1"/>
      </w:tblPr>
      <w:tblGrid>
        <w:gridCol w:w="2852"/>
        <w:gridCol w:w="1506"/>
        <w:gridCol w:w="1275"/>
        <w:gridCol w:w="1445"/>
        <w:gridCol w:w="1417"/>
      </w:tblGrid>
      <w:tr w:rsidR="00A755F5" w:rsidRPr="001A131A" w14:paraId="48AFF3C7" w14:textId="77777777" w:rsidTr="00A755F5">
        <w:trPr>
          <w:trHeight w:val="541"/>
          <w:jc w:val="center"/>
        </w:trPr>
        <w:tc>
          <w:tcPr>
            <w:tcW w:w="2852" w:type="dxa"/>
            <w:tcBorders>
              <w:top w:val="single" w:sz="8" w:space="0" w:color="auto"/>
              <w:left w:val="single" w:sz="8" w:space="0" w:color="auto"/>
              <w:bottom w:val="single" w:sz="8" w:space="0" w:color="auto"/>
              <w:right w:val="single" w:sz="4" w:space="0" w:color="auto"/>
            </w:tcBorders>
            <w:shd w:val="clear" w:color="auto" w:fill="auto"/>
            <w:noWrap/>
            <w:vAlign w:val="center"/>
            <w:hideMark/>
          </w:tcPr>
          <w:bookmarkEnd w:id="52"/>
          <w:p w14:paraId="13AE8B3D" w14:textId="36FF86FB" w:rsidR="00A755F5" w:rsidRPr="001A131A" w:rsidRDefault="00A755F5" w:rsidP="00A755F5">
            <w:pPr>
              <w:spacing w:before="60" w:after="60" w:line="240" w:lineRule="auto"/>
              <w:jc w:val="both"/>
              <w:rPr>
                <w:rFonts w:ascii="Times New Roman" w:eastAsia="Times New Roman" w:hAnsi="Times New Roman" w:cs="Times New Roman"/>
                <w:b/>
                <w:bCs/>
                <w:color w:val="000000"/>
                <w:sz w:val="20"/>
                <w:szCs w:val="20"/>
                <w:lang w:eastAsia="en-GB"/>
              </w:rPr>
            </w:pPr>
            <w:r w:rsidRPr="001A131A">
              <w:rPr>
                <w:rFonts w:ascii="Times New Roman" w:eastAsia="Times New Roman" w:hAnsi="Times New Roman" w:cs="Times New Roman"/>
                <w:b/>
                <w:bCs/>
                <w:color w:val="000000"/>
                <w:sz w:val="20"/>
                <w:szCs w:val="20"/>
                <w:lang w:eastAsia="en-GB"/>
              </w:rPr>
              <w:t xml:space="preserve">List of </w:t>
            </w:r>
            <w:r w:rsidR="000F4C35" w:rsidRPr="001A131A">
              <w:rPr>
                <w:rFonts w:ascii="Times New Roman" w:eastAsia="Times New Roman" w:hAnsi="Times New Roman" w:cs="Times New Roman"/>
                <w:b/>
                <w:bCs/>
                <w:color w:val="000000"/>
                <w:sz w:val="20"/>
                <w:szCs w:val="20"/>
                <w:lang w:eastAsia="en-GB"/>
              </w:rPr>
              <w:t>Sukuk</w:t>
            </w:r>
          </w:p>
        </w:tc>
        <w:tc>
          <w:tcPr>
            <w:tcW w:w="1506" w:type="dxa"/>
            <w:tcBorders>
              <w:top w:val="single" w:sz="8" w:space="0" w:color="auto"/>
              <w:left w:val="nil"/>
              <w:bottom w:val="single" w:sz="8" w:space="0" w:color="auto"/>
              <w:right w:val="single" w:sz="4" w:space="0" w:color="auto"/>
            </w:tcBorders>
            <w:shd w:val="clear" w:color="auto" w:fill="auto"/>
            <w:noWrap/>
            <w:vAlign w:val="center"/>
            <w:hideMark/>
          </w:tcPr>
          <w:p w14:paraId="2A205058" w14:textId="77777777" w:rsidR="00A755F5" w:rsidRPr="001A131A" w:rsidRDefault="00A755F5" w:rsidP="00A755F5">
            <w:pPr>
              <w:spacing w:before="60" w:after="60" w:line="240" w:lineRule="auto"/>
              <w:jc w:val="center"/>
              <w:rPr>
                <w:rFonts w:ascii="Times New Roman" w:eastAsia="Times New Roman" w:hAnsi="Times New Roman" w:cs="Times New Roman"/>
                <w:b/>
                <w:bCs/>
                <w:color w:val="000000"/>
                <w:sz w:val="20"/>
                <w:szCs w:val="20"/>
                <w:lang w:eastAsia="en-GB"/>
              </w:rPr>
            </w:pPr>
            <w:r w:rsidRPr="001A131A">
              <w:rPr>
                <w:rFonts w:ascii="Times New Roman" w:eastAsia="Times New Roman" w:hAnsi="Times New Roman" w:cs="Times New Roman"/>
                <w:b/>
                <w:bCs/>
                <w:color w:val="000000"/>
                <w:sz w:val="20"/>
                <w:szCs w:val="20"/>
                <w:lang w:eastAsia="en-GB"/>
              </w:rPr>
              <w:t>Mean of daily returns</w:t>
            </w:r>
          </w:p>
        </w:tc>
        <w:tc>
          <w:tcPr>
            <w:tcW w:w="1275" w:type="dxa"/>
            <w:tcBorders>
              <w:top w:val="single" w:sz="8" w:space="0" w:color="auto"/>
              <w:left w:val="nil"/>
              <w:bottom w:val="single" w:sz="8" w:space="0" w:color="auto"/>
              <w:right w:val="single" w:sz="4" w:space="0" w:color="auto"/>
            </w:tcBorders>
            <w:shd w:val="clear" w:color="auto" w:fill="auto"/>
            <w:noWrap/>
            <w:vAlign w:val="center"/>
            <w:hideMark/>
          </w:tcPr>
          <w:p w14:paraId="34B707C0" w14:textId="77777777" w:rsidR="00A755F5" w:rsidRPr="001A131A" w:rsidRDefault="00A755F5" w:rsidP="00A755F5">
            <w:pPr>
              <w:spacing w:before="60" w:after="60" w:line="240" w:lineRule="auto"/>
              <w:jc w:val="center"/>
              <w:rPr>
                <w:rFonts w:ascii="Times New Roman" w:eastAsia="Times New Roman" w:hAnsi="Times New Roman" w:cs="Times New Roman"/>
                <w:b/>
                <w:bCs/>
                <w:color w:val="000000"/>
                <w:sz w:val="20"/>
                <w:szCs w:val="20"/>
                <w:lang w:eastAsia="en-GB"/>
              </w:rPr>
            </w:pPr>
            <w:r w:rsidRPr="001A131A">
              <w:rPr>
                <w:rFonts w:ascii="Times New Roman" w:eastAsia="Times New Roman" w:hAnsi="Times New Roman" w:cs="Times New Roman"/>
                <w:b/>
                <w:bCs/>
                <w:color w:val="000000"/>
                <w:sz w:val="20"/>
                <w:szCs w:val="20"/>
                <w:lang w:eastAsia="en-GB"/>
              </w:rPr>
              <w:t>Variance</w:t>
            </w:r>
          </w:p>
        </w:tc>
        <w:tc>
          <w:tcPr>
            <w:tcW w:w="1445" w:type="dxa"/>
            <w:tcBorders>
              <w:top w:val="single" w:sz="8" w:space="0" w:color="auto"/>
              <w:left w:val="nil"/>
              <w:bottom w:val="single" w:sz="8" w:space="0" w:color="auto"/>
              <w:right w:val="single" w:sz="8" w:space="0" w:color="auto"/>
            </w:tcBorders>
            <w:shd w:val="clear" w:color="auto" w:fill="auto"/>
            <w:noWrap/>
            <w:vAlign w:val="center"/>
            <w:hideMark/>
          </w:tcPr>
          <w:p w14:paraId="6CB12B09" w14:textId="77777777" w:rsidR="00A755F5" w:rsidRPr="001A131A" w:rsidRDefault="00A755F5" w:rsidP="00A755F5">
            <w:pPr>
              <w:spacing w:before="60" w:after="60" w:line="240" w:lineRule="auto"/>
              <w:jc w:val="center"/>
              <w:rPr>
                <w:rFonts w:ascii="Times New Roman" w:eastAsia="Times New Roman" w:hAnsi="Times New Roman" w:cs="Times New Roman"/>
                <w:b/>
                <w:bCs/>
                <w:color w:val="000000"/>
                <w:sz w:val="20"/>
                <w:szCs w:val="20"/>
                <w:lang w:eastAsia="en-GB"/>
              </w:rPr>
            </w:pPr>
            <w:r w:rsidRPr="001A131A">
              <w:rPr>
                <w:rFonts w:ascii="Times New Roman" w:eastAsia="Times New Roman" w:hAnsi="Times New Roman" w:cs="Times New Roman"/>
                <w:b/>
                <w:bCs/>
                <w:color w:val="000000"/>
                <w:sz w:val="20"/>
                <w:szCs w:val="20"/>
                <w:lang w:eastAsia="en-GB"/>
              </w:rPr>
              <w:t>Standard deviation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3CCF3C0" w14:textId="77777777" w:rsidR="00A755F5" w:rsidRPr="001A131A" w:rsidRDefault="00A755F5" w:rsidP="00A755F5">
            <w:pPr>
              <w:spacing w:before="60" w:after="60" w:line="240" w:lineRule="auto"/>
              <w:jc w:val="center"/>
              <w:rPr>
                <w:rFonts w:ascii="Times New Roman" w:eastAsia="Times New Roman" w:hAnsi="Times New Roman" w:cs="Times New Roman"/>
                <w:b/>
                <w:bCs/>
                <w:color w:val="000000"/>
                <w:sz w:val="20"/>
                <w:szCs w:val="20"/>
                <w:lang w:eastAsia="en-GB"/>
              </w:rPr>
            </w:pPr>
            <w:r w:rsidRPr="001A131A">
              <w:rPr>
                <w:rFonts w:ascii="Times New Roman" w:hAnsi="Times New Roman" w:cs="Times New Roman"/>
                <w:b/>
                <w:bCs/>
                <w:color w:val="000000"/>
                <w:sz w:val="20"/>
                <w:szCs w:val="20"/>
              </w:rPr>
              <w:t>Skewness</w:t>
            </w:r>
          </w:p>
        </w:tc>
      </w:tr>
      <w:tr w:rsidR="00A755F5" w:rsidRPr="001A131A" w14:paraId="6F12582C" w14:textId="77777777" w:rsidTr="00A755F5">
        <w:trPr>
          <w:trHeight w:val="221"/>
          <w:jc w:val="center"/>
        </w:trPr>
        <w:tc>
          <w:tcPr>
            <w:tcW w:w="2852" w:type="dxa"/>
            <w:tcBorders>
              <w:top w:val="nil"/>
              <w:left w:val="single" w:sz="8" w:space="0" w:color="auto"/>
              <w:bottom w:val="single" w:sz="4" w:space="0" w:color="auto"/>
              <w:right w:val="single" w:sz="4" w:space="0" w:color="auto"/>
            </w:tcBorders>
            <w:shd w:val="clear" w:color="auto" w:fill="auto"/>
            <w:noWrap/>
            <w:vAlign w:val="bottom"/>
            <w:hideMark/>
          </w:tcPr>
          <w:p w14:paraId="2127E9C5" w14:textId="482DEDC4" w:rsidR="00A755F5" w:rsidRPr="001A131A" w:rsidRDefault="00A755F5" w:rsidP="00A755F5">
            <w:pPr>
              <w:spacing w:before="60" w:after="60" w:line="240" w:lineRule="auto"/>
              <w:jc w:val="both"/>
              <w:rPr>
                <w:rFonts w:ascii="Times New Roman" w:eastAsia="Times New Roman" w:hAnsi="Times New Roman" w:cs="Times New Roman"/>
                <w:color w:val="000000"/>
                <w:sz w:val="20"/>
                <w:szCs w:val="20"/>
                <w:lang w:eastAsia="en-GB"/>
              </w:rPr>
            </w:pPr>
            <w:bookmarkStart w:id="54" w:name="_Hlk481086701"/>
            <w:r w:rsidRPr="001A131A">
              <w:rPr>
                <w:rFonts w:ascii="Times New Roman" w:eastAsia="Times New Roman" w:hAnsi="Times New Roman" w:cs="Times New Roman"/>
                <w:color w:val="000000"/>
                <w:sz w:val="20"/>
                <w:szCs w:val="20"/>
                <w:lang w:eastAsia="en-GB"/>
              </w:rPr>
              <w:t xml:space="preserve">Dar Al </w:t>
            </w:r>
            <w:proofErr w:type="spellStart"/>
            <w:r w:rsidRPr="001A131A">
              <w:rPr>
                <w:rFonts w:ascii="Times New Roman" w:eastAsia="Times New Roman" w:hAnsi="Times New Roman" w:cs="Times New Roman"/>
                <w:color w:val="000000"/>
                <w:sz w:val="20"/>
                <w:szCs w:val="20"/>
                <w:lang w:eastAsia="en-GB"/>
              </w:rPr>
              <w:t>Arkan</w:t>
            </w:r>
            <w:proofErr w:type="spellEnd"/>
            <w:r w:rsidRPr="001A131A">
              <w:rPr>
                <w:rFonts w:ascii="Times New Roman" w:eastAsia="Times New Roman" w:hAnsi="Times New Roman" w:cs="Times New Roman"/>
                <w:color w:val="000000"/>
                <w:sz w:val="20"/>
                <w:szCs w:val="20"/>
                <w:lang w:eastAsia="en-GB"/>
              </w:rPr>
              <w:t xml:space="preserve"> </w:t>
            </w:r>
            <w:r w:rsidR="000F4C35" w:rsidRPr="001A131A">
              <w:rPr>
                <w:rFonts w:ascii="Times New Roman" w:eastAsia="Times New Roman" w:hAnsi="Times New Roman" w:cs="Times New Roman"/>
                <w:color w:val="000000"/>
                <w:sz w:val="20"/>
                <w:szCs w:val="20"/>
                <w:lang w:eastAsia="en-GB"/>
              </w:rPr>
              <w:t>Sukuk</w:t>
            </w:r>
            <w:r w:rsidRPr="001A131A">
              <w:rPr>
                <w:rFonts w:ascii="Times New Roman" w:eastAsia="Times New Roman" w:hAnsi="Times New Roman" w:cs="Times New Roman"/>
                <w:color w:val="000000"/>
                <w:sz w:val="20"/>
                <w:szCs w:val="20"/>
                <w:lang w:eastAsia="en-GB"/>
              </w:rPr>
              <w:t xml:space="preserve"> Co</w:t>
            </w:r>
          </w:p>
        </w:tc>
        <w:tc>
          <w:tcPr>
            <w:tcW w:w="1506" w:type="dxa"/>
            <w:tcBorders>
              <w:top w:val="nil"/>
              <w:left w:val="nil"/>
              <w:bottom w:val="single" w:sz="4" w:space="0" w:color="auto"/>
              <w:right w:val="single" w:sz="4" w:space="0" w:color="auto"/>
            </w:tcBorders>
            <w:shd w:val="clear" w:color="auto" w:fill="auto"/>
            <w:noWrap/>
            <w:vAlign w:val="bottom"/>
            <w:hideMark/>
          </w:tcPr>
          <w:p w14:paraId="133FE131"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0.035%</w:t>
            </w:r>
          </w:p>
        </w:tc>
        <w:tc>
          <w:tcPr>
            <w:tcW w:w="1275" w:type="dxa"/>
            <w:tcBorders>
              <w:top w:val="nil"/>
              <w:left w:val="nil"/>
              <w:bottom w:val="single" w:sz="4" w:space="0" w:color="auto"/>
              <w:right w:val="single" w:sz="4" w:space="0" w:color="auto"/>
            </w:tcBorders>
            <w:shd w:val="clear" w:color="auto" w:fill="auto"/>
            <w:noWrap/>
            <w:vAlign w:val="bottom"/>
            <w:hideMark/>
          </w:tcPr>
          <w:p w14:paraId="14AED83D"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0.008%</w:t>
            </w:r>
          </w:p>
        </w:tc>
        <w:tc>
          <w:tcPr>
            <w:tcW w:w="1445" w:type="dxa"/>
            <w:tcBorders>
              <w:top w:val="nil"/>
              <w:left w:val="nil"/>
              <w:bottom w:val="single" w:sz="4" w:space="0" w:color="auto"/>
              <w:right w:val="single" w:sz="8" w:space="0" w:color="auto"/>
            </w:tcBorders>
            <w:shd w:val="clear" w:color="auto" w:fill="auto"/>
            <w:noWrap/>
            <w:vAlign w:val="bottom"/>
            <w:hideMark/>
          </w:tcPr>
          <w:p w14:paraId="12AA61EC" w14:textId="77777777" w:rsidR="00A755F5" w:rsidRPr="001A131A" w:rsidRDefault="00A755F5" w:rsidP="00A755F5">
            <w:pPr>
              <w:spacing w:before="60" w:after="60" w:line="240" w:lineRule="auto"/>
              <w:jc w:val="center"/>
              <w:rPr>
                <w:rFonts w:ascii="Times New Roman" w:eastAsia="Times New Roman" w:hAnsi="Times New Roman" w:cs="Times New Roman"/>
                <w:b/>
                <w:color w:val="000000"/>
                <w:sz w:val="20"/>
                <w:szCs w:val="20"/>
                <w:lang w:eastAsia="en-GB"/>
              </w:rPr>
            </w:pPr>
            <w:r w:rsidRPr="001A131A">
              <w:rPr>
                <w:rFonts w:ascii="Times New Roman" w:eastAsia="Times New Roman" w:hAnsi="Times New Roman" w:cs="Times New Roman"/>
                <w:b/>
                <w:color w:val="000000"/>
                <w:sz w:val="20"/>
                <w:szCs w:val="20"/>
                <w:lang w:eastAsia="en-GB"/>
              </w:rPr>
              <w:t>0.899%</w:t>
            </w:r>
          </w:p>
        </w:tc>
        <w:tc>
          <w:tcPr>
            <w:tcW w:w="1417" w:type="dxa"/>
            <w:tcBorders>
              <w:top w:val="nil"/>
              <w:left w:val="single" w:sz="4" w:space="0" w:color="auto"/>
              <w:bottom w:val="single" w:sz="4" w:space="0" w:color="auto"/>
              <w:right w:val="single" w:sz="4" w:space="0" w:color="auto"/>
            </w:tcBorders>
            <w:shd w:val="clear" w:color="auto" w:fill="auto"/>
            <w:vAlign w:val="bottom"/>
          </w:tcPr>
          <w:p w14:paraId="2D7B5255" w14:textId="77777777" w:rsidR="00A755F5" w:rsidRPr="001A131A" w:rsidRDefault="00A755F5" w:rsidP="00A755F5">
            <w:pPr>
              <w:spacing w:before="60" w:after="60" w:line="240" w:lineRule="auto"/>
              <w:jc w:val="center"/>
              <w:rPr>
                <w:rFonts w:ascii="Times New Roman" w:eastAsia="Times New Roman" w:hAnsi="Times New Roman" w:cs="Times New Roman"/>
                <w:b/>
                <w:color w:val="000000"/>
                <w:sz w:val="20"/>
                <w:szCs w:val="20"/>
                <w:lang w:eastAsia="en-GB"/>
              </w:rPr>
            </w:pPr>
            <w:r w:rsidRPr="001A131A">
              <w:rPr>
                <w:rFonts w:ascii="Times New Roman" w:hAnsi="Times New Roman" w:cs="Times New Roman"/>
                <w:color w:val="000000"/>
                <w:sz w:val="20"/>
                <w:szCs w:val="20"/>
              </w:rPr>
              <w:t>-124%</w:t>
            </w:r>
          </w:p>
        </w:tc>
      </w:tr>
      <w:tr w:rsidR="00A755F5" w:rsidRPr="001A131A" w14:paraId="038E689C" w14:textId="77777777" w:rsidTr="00A755F5">
        <w:trPr>
          <w:trHeight w:val="221"/>
          <w:jc w:val="center"/>
        </w:trPr>
        <w:tc>
          <w:tcPr>
            <w:tcW w:w="2852" w:type="dxa"/>
            <w:tcBorders>
              <w:top w:val="nil"/>
              <w:left w:val="single" w:sz="8" w:space="0" w:color="auto"/>
              <w:bottom w:val="single" w:sz="4" w:space="0" w:color="auto"/>
              <w:right w:val="single" w:sz="4" w:space="0" w:color="auto"/>
            </w:tcBorders>
            <w:shd w:val="clear" w:color="auto" w:fill="auto"/>
            <w:noWrap/>
            <w:vAlign w:val="bottom"/>
            <w:hideMark/>
          </w:tcPr>
          <w:p w14:paraId="2DCD9343" w14:textId="254ABD04" w:rsidR="00A755F5" w:rsidRPr="001A131A" w:rsidRDefault="00A755F5" w:rsidP="00A755F5">
            <w:pPr>
              <w:spacing w:before="60" w:after="60" w:line="240" w:lineRule="auto"/>
              <w:jc w:val="both"/>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 xml:space="preserve">DIB </w:t>
            </w:r>
            <w:r w:rsidR="000F4C35" w:rsidRPr="001A131A">
              <w:rPr>
                <w:rFonts w:ascii="Times New Roman" w:eastAsia="Times New Roman" w:hAnsi="Times New Roman" w:cs="Times New Roman"/>
                <w:color w:val="000000"/>
                <w:sz w:val="20"/>
                <w:szCs w:val="20"/>
                <w:lang w:eastAsia="en-GB"/>
              </w:rPr>
              <w:t>Sukuk</w:t>
            </w:r>
            <w:r w:rsidRPr="001A131A">
              <w:rPr>
                <w:rFonts w:ascii="Times New Roman" w:eastAsia="Times New Roman" w:hAnsi="Times New Roman" w:cs="Times New Roman"/>
                <w:color w:val="000000"/>
                <w:sz w:val="20"/>
                <w:szCs w:val="20"/>
                <w:lang w:eastAsia="en-GB"/>
              </w:rPr>
              <w:t xml:space="preserve"> Ltd</w:t>
            </w:r>
          </w:p>
        </w:tc>
        <w:tc>
          <w:tcPr>
            <w:tcW w:w="1506" w:type="dxa"/>
            <w:tcBorders>
              <w:top w:val="nil"/>
              <w:left w:val="nil"/>
              <w:bottom w:val="single" w:sz="4" w:space="0" w:color="auto"/>
              <w:right w:val="single" w:sz="4" w:space="0" w:color="auto"/>
            </w:tcBorders>
            <w:shd w:val="clear" w:color="auto" w:fill="auto"/>
            <w:noWrap/>
            <w:vAlign w:val="bottom"/>
            <w:hideMark/>
          </w:tcPr>
          <w:p w14:paraId="42972DCF"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0.030%</w:t>
            </w:r>
          </w:p>
        </w:tc>
        <w:tc>
          <w:tcPr>
            <w:tcW w:w="1275" w:type="dxa"/>
            <w:tcBorders>
              <w:top w:val="nil"/>
              <w:left w:val="nil"/>
              <w:bottom w:val="single" w:sz="4" w:space="0" w:color="auto"/>
              <w:right w:val="single" w:sz="4" w:space="0" w:color="auto"/>
            </w:tcBorders>
            <w:shd w:val="clear" w:color="auto" w:fill="auto"/>
            <w:noWrap/>
            <w:vAlign w:val="bottom"/>
            <w:hideMark/>
          </w:tcPr>
          <w:p w14:paraId="3CC52814"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0.005%</w:t>
            </w:r>
          </w:p>
        </w:tc>
        <w:tc>
          <w:tcPr>
            <w:tcW w:w="1445" w:type="dxa"/>
            <w:tcBorders>
              <w:top w:val="nil"/>
              <w:left w:val="nil"/>
              <w:bottom w:val="single" w:sz="4" w:space="0" w:color="auto"/>
              <w:right w:val="single" w:sz="8" w:space="0" w:color="auto"/>
            </w:tcBorders>
            <w:shd w:val="clear" w:color="auto" w:fill="auto"/>
            <w:noWrap/>
            <w:vAlign w:val="bottom"/>
            <w:hideMark/>
          </w:tcPr>
          <w:p w14:paraId="729F64D9" w14:textId="77777777" w:rsidR="00A755F5" w:rsidRPr="001A131A" w:rsidRDefault="00A755F5" w:rsidP="00A755F5">
            <w:pPr>
              <w:spacing w:before="60" w:after="60" w:line="240" w:lineRule="auto"/>
              <w:jc w:val="center"/>
              <w:rPr>
                <w:rFonts w:ascii="Times New Roman" w:eastAsia="Times New Roman" w:hAnsi="Times New Roman" w:cs="Times New Roman"/>
                <w:b/>
                <w:color w:val="000000"/>
                <w:sz w:val="20"/>
                <w:szCs w:val="20"/>
                <w:lang w:eastAsia="en-GB"/>
              </w:rPr>
            </w:pPr>
            <w:r w:rsidRPr="001A131A">
              <w:rPr>
                <w:rFonts w:ascii="Times New Roman" w:eastAsia="Times New Roman" w:hAnsi="Times New Roman" w:cs="Times New Roman"/>
                <w:b/>
                <w:color w:val="000000"/>
                <w:sz w:val="20"/>
                <w:szCs w:val="20"/>
                <w:lang w:eastAsia="en-GB"/>
              </w:rPr>
              <w:t>0.722%</w:t>
            </w:r>
          </w:p>
        </w:tc>
        <w:tc>
          <w:tcPr>
            <w:tcW w:w="1417" w:type="dxa"/>
            <w:tcBorders>
              <w:top w:val="nil"/>
              <w:left w:val="single" w:sz="4" w:space="0" w:color="auto"/>
              <w:bottom w:val="single" w:sz="4" w:space="0" w:color="auto"/>
              <w:right w:val="single" w:sz="4" w:space="0" w:color="auto"/>
            </w:tcBorders>
            <w:shd w:val="clear" w:color="auto" w:fill="auto"/>
            <w:vAlign w:val="bottom"/>
          </w:tcPr>
          <w:p w14:paraId="67ECD403" w14:textId="77777777" w:rsidR="00A755F5" w:rsidRPr="001A131A" w:rsidRDefault="00A755F5" w:rsidP="00A755F5">
            <w:pPr>
              <w:spacing w:before="60" w:after="60" w:line="240" w:lineRule="auto"/>
              <w:jc w:val="center"/>
              <w:rPr>
                <w:rFonts w:ascii="Times New Roman" w:eastAsia="Times New Roman" w:hAnsi="Times New Roman" w:cs="Times New Roman"/>
                <w:b/>
                <w:color w:val="000000"/>
                <w:sz w:val="20"/>
                <w:szCs w:val="20"/>
                <w:lang w:eastAsia="en-GB"/>
              </w:rPr>
            </w:pPr>
            <w:r w:rsidRPr="001A131A">
              <w:rPr>
                <w:rFonts w:ascii="Times New Roman" w:hAnsi="Times New Roman" w:cs="Times New Roman"/>
                <w:color w:val="000000"/>
                <w:sz w:val="20"/>
                <w:szCs w:val="20"/>
              </w:rPr>
              <w:t>156%</w:t>
            </w:r>
          </w:p>
        </w:tc>
      </w:tr>
      <w:tr w:rsidR="00A755F5" w:rsidRPr="001A131A" w14:paraId="47BD804C" w14:textId="77777777" w:rsidTr="00A755F5">
        <w:trPr>
          <w:trHeight w:val="221"/>
          <w:jc w:val="center"/>
        </w:trPr>
        <w:tc>
          <w:tcPr>
            <w:tcW w:w="2852" w:type="dxa"/>
            <w:tcBorders>
              <w:top w:val="nil"/>
              <w:left w:val="single" w:sz="8" w:space="0" w:color="auto"/>
              <w:bottom w:val="single" w:sz="4" w:space="0" w:color="auto"/>
              <w:right w:val="single" w:sz="4" w:space="0" w:color="auto"/>
            </w:tcBorders>
            <w:shd w:val="clear" w:color="auto" w:fill="auto"/>
            <w:noWrap/>
            <w:vAlign w:val="bottom"/>
            <w:hideMark/>
          </w:tcPr>
          <w:p w14:paraId="094FE345" w14:textId="6136B51D" w:rsidR="00A755F5" w:rsidRPr="001A131A" w:rsidRDefault="00A755F5" w:rsidP="00A755F5">
            <w:pPr>
              <w:spacing w:before="60" w:after="60" w:line="240" w:lineRule="auto"/>
              <w:jc w:val="both"/>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 xml:space="preserve">DIB Tier 1 </w:t>
            </w:r>
            <w:r w:rsidR="000F4C35" w:rsidRPr="001A131A">
              <w:rPr>
                <w:rFonts w:ascii="Times New Roman" w:eastAsia="Times New Roman" w:hAnsi="Times New Roman" w:cs="Times New Roman"/>
                <w:color w:val="000000"/>
                <w:sz w:val="20"/>
                <w:szCs w:val="20"/>
                <w:lang w:eastAsia="en-GB"/>
              </w:rPr>
              <w:t>Sukuk</w:t>
            </w:r>
            <w:r w:rsidRPr="001A131A">
              <w:rPr>
                <w:rFonts w:ascii="Times New Roman" w:eastAsia="Times New Roman" w:hAnsi="Times New Roman" w:cs="Times New Roman"/>
                <w:color w:val="000000"/>
                <w:sz w:val="20"/>
                <w:szCs w:val="20"/>
                <w:lang w:eastAsia="en-GB"/>
              </w:rPr>
              <w:t xml:space="preserve"> Ltd </w:t>
            </w:r>
          </w:p>
        </w:tc>
        <w:tc>
          <w:tcPr>
            <w:tcW w:w="1506" w:type="dxa"/>
            <w:tcBorders>
              <w:top w:val="nil"/>
              <w:left w:val="nil"/>
              <w:bottom w:val="single" w:sz="4" w:space="0" w:color="auto"/>
              <w:right w:val="single" w:sz="4" w:space="0" w:color="auto"/>
            </w:tcBorders>
            <w:shd w:val="clear" w:color="auto" w:fill="auto"/>
            <w:noWrap/>
            <w:vAlign w:val="bottom"/>
            <w:hideMark/>
          </w:tcPr>
          <w:p w14:paraId="58CE8330"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0.025%</w:t>
            </w:r>
          </w:p>
        </w:tc>
        <w:tc>
          <w:tcPr>
            <w:tcW w:w="1275" w:type="dxa"/>
            <w:tcBorders>
              <w:top w:val="nil"/>
              <w:left w:val="nil"/>
              <w:bottom w:val="single" w:sz="4" w:space="0" w:color="auto"/>
              <w:right w:val="single" w:sz="4" w:space="0" w:color="auto"/>
            </w:tcBorders>
            <w:shd w:val="clear" w:color="auto" w:fill="auto"/>
            <w:noWrap/>
            <w:vAlign w:val="bottom"/>
            <w:hideMark/>
          </w:tcPr>
          <w:p w14:paraId="058BC054"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0.002%</w:t>
            </w:r>
          </w:p>
        </w:tc>
        <w:tc>
          <w:tcPr>
            <w:tcW w:w="1445" w:type="dxa"/>
            <w:tcBorders>
              <w:top w:val="nil"/>
              <w:left w:val="nil"/>
              <w:bottom w:val="single" w:sz="4" w:space="0" w:color="auto"/>
              <w:right w:val="single" w:sz="8" w:space="0" w:color="auto"/>
            </w:tcBorders>
            <w:shd w:val="clear" w:color="auto" w:fill="auto"/>
            <w:noWrap/>
            <w:vAlign w:val="bottom"/>
            <w:hideMark/>
          </w:tcPr>
          <w:p w14:paraId="5D5DFB9B"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0.445%</w:t>
            </w:r>
          </w:p>
        </w:tc>
        <w:tc>
          <w:tcPr>
            <w:tcW w:w="1417" w:type="dxa"/>
            <w:tcBorders>
              <w:top w:val="nil"/>
              <w:left w:val="single" w:sz="4" w:space="0" w:color="auto"/>
              <w:bottom w:val="single" w:sz="4" w:space="0" w:color="auto"/>
              <w:right w:val="single" w:sz="4" w:space="0" w:color="auto"/>
            </w:tcBorders>
            <w:shd w:val="clear" w:color="auto" w:fill="auto"/>
            <w:vAlign w:val="bottom"/>
          </w:tcPr>
          <w:p w14:paraId="798A3FC6"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hAnsi="Times New Roman" w:cs="Times New Roman"/>
                <w:color w:val="000000"/>
                <w:sz w:val="20"/>
                <w:szCs w:val="20"/>
              </w:rPr>
              <w:t>57%</w:t>
            </w:r>
          </w:p>
        </w:tc>
      </w:tr>
      <w:tr w:rsidR="00A755F5" w:rsidRPr="001A131A" w14:paraId="3CA546F7" w14:textId="77777777" w:rsidTr="00A755F5">
        <w:trPr>
          <w:trHeight w:val="221"/>
          <w:jc w:val="center"/>
        </w:trPr>
        <w:tc>
          <w:tcPr>
            <w:tcW w:w="2852" w:type="dxa"/>
            <w:tcBorders>
              <w:top w:val="nil"/>
              <w:left w:val="single" w:sz="8" w:space="0" w:color="auto"/>
              <w:bottom w:val="single" w:sz="4" w:space="0" w:color="auto"/>
              <w:right w:val="single" w:sz="4" w:space="0" w:color="auto"/>
            </w:tcBorders>
            <w:shd w:val="clear" w:color="auto" w:fill="auto"/>
            <w:noWrap/>
            <w:vAlign w:val="bottom"/>
            <w:hideMark/>
          </w:tcPr>
          <w:p w14:paraId="4BEFB6B4" w14:textId="423E65D2" w:rsidR="00A755F5" w:rsidRPr="001A131A" w:rsidRDefault="00A755F5" w:rsidP="00A755F5">
            <w:pPr>
              <w:spacing w:before="60" w:after="60" w:line="240" w:lineRule="auto"/>
              <w:jc w:val="both"/>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 xml:space="preserve">DIB Tier 1 </w:t>
            </w:r>
            <w:r w:rsidR="000F4C35" w:rsidRPr="001A131A">
              <w:rPr>
                <w:rFonts w:ascii="Times New Roman" w:eastAsia="Times New Roman" w:hAnsi="Times New Roman" w:cs="Times New Roman"/>
                <w:color w:val="000000"/>
                <w:sz w:val="20"/>
                <w:szCs w:val="20"/>
                <w:lang w:eastAsia="en-GB"/>
              </w:rPr>
              <w:t>Sukuk</w:t>
            </w:r>
            <w:r w:rsidRPr="001A131A">
              <w:rPr>
                <w:rFonts w:ascii="Times New Roman" w:eastAsia="Times New Roman" w:hAnsi="Times New Roman" w:cs="Times New Roman"/>
                <w:color w:val="000000"/>
                <w:sz w:val="20"/>
                <w:szCs w:val="20"/>
                <w:lang w:eastAsia="en-GB"/>
              </w:rPr>
              <w:t xml:space="preserve"> 2 Ltd </w:t>
            </w:r>
          </w:p>
        </w:tc>
        <w:tc>
          <w:tcPr>
            <w:tcW w:w="1506" w:type="dxa"/>
            <w:tcBorders>
              <w:top w:val="nil"/>
              <w:left w:val="nil"/>
              <w:bottom w:val="single" w:sz="4" w:space="0" w:color="auto"/>
              <w:right w:val="single" w:sz="4" w:space="0" w:color="auto"/>
            </w:tcBorders>
            <w:shd w:val="clear" w:color="auto" w:fill="auto"/>
            <w:noWrap/>
            <w:vAlign w:val="bottom"/>
            <w:hideMark/>
          </w:tcPr>
          <w:p w14:paraId="46410217"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0.017%</w:t>
            </w:r>
          </w:p>
        </w:tc>
        <w:tc>
          <w:tcPr>
            <w:tcW w:w="1275" w:type="dxa"/>
            <w:tcBorders>
              <w:top w:val="nil"/>
              <w:left w:val="nil"/>
              <w:bottom w:val="single" w:sz="4" w:space="0" w:color="auto"/>
              <w:right w:val="single" w:sz="4" w:space="0" w:color="auto"/>
            </w:tcBorders>
            <w:shd w:val="clear" w:color="auto" w:fill="auto"/>
            <w:noWrap/>
            <w:vAlign w:val="bottom"/>
            <w:hideMark/>
          </w:tcPr>
          <w:p w14:paraId="46F9F902"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0.004%</w:t>
            </w:r>
          </w:p>
        </w:tc>
        <w:tc>
          <w:tcPr>
            <w:tcW w:w="1445" w:type="dxa"/>
            <w:tcBorders>
              <w:top w:val="nil"/>
              <w:left w:val="nil"/>
              <w:bottom w:val="single" w:sz="4" w:space="0" w:color="auto"/>
              <w:right w:val="single" w:sz="8" w:space="0" w:color="auto"/>
            </w:tcBorders>
            <w:shd w:val="clear" w:color="auto" w:fill="auto"/>
            <w:noWrap/>
            <w:vAlign w:val="bottom"/>
            <w:hideMark/>
          </w:tcPr>
          <w:p w14:paraId="7ED29498" w14:textId="77777777" w:rsidR="00A755F5" w:rsidRPr="001A131A" w:rsidRDefault="00A755F5" w:rsidP="00A755F5">
            <w:pPr>
              <w:spacing w:before="60" w:after="60" w:line="240" w:lineRule="auto"/>
              <w:jc w:val="center"/>
              <w:rPr>
                <w:rFonts w:ascii="Times New Roman" w:eastAsia="Times New Roman" w:hAnsi="Times New Roman" w:cs="Times New Roman"/>
                <w:b/>
                <w:color w:val="000000"/>
                <w:sz w:val="20"/>
                <w:szCs w:val="20"/>
                <w:lang w:eastAsia="en-GB"/>
              </w:rPr>
            </w:pPr>
            <w:r w:rsidRPr="001A131A">
              <w:rPr>
                <w:rFonts w:ascii="Times New Roman" w:eastAsia="Times New Roman" w:hAnsi="Times New Roman" w:cs="Times New Roman"/>
                <w:b/>
                <w:color w:val="000000"/>
                <w:sz w:val="20"/>
                <w:szCs w:val="20"/>
                <w:lang w:eastAsia="en-GB"/>
              </w:rPr>
              <w:t>0.643%</w:t>
            </w:r>
          </w:p>
        </w:tc>
        <w:tc>
          <w:tcPr>
            <w:tcW w:w="1417" w:type="dxa"/>
            <w:tcBorders>
              <w:top w:val="nil"/>
              <w:left w:val="single" w:sz="4" w:space="0" w:color="auto"/>
              <w:bottom w:val="single" w:sz="4" w:space="0" w:color="auto"/>
              <w:right w:val="single" w:sz="4" w:space="0" w:color="auto"/>
            </w:tcBorders>
            <w:shd w:val="clear" w:color="auto" w:fill="auto"/>
            <w:vAlign w:val="bottom"/>
          </w:tcPr>
          <w:p w14:paraId="6F9B875F" w14:textId="77777777" w:rsidR="00A755F5" w:rsidRPr="001A131A" w:rsidRDefault="00A755F5" w:rsidP="00A755F5">
            <w:pPr>
              <w:spacing w:before="60" w:after="60" w:line="240" w:lineRule="auto"/>
              <w:jc w:val="center"/>
              <w:rPr>
                <w:rFonts w:ascii="Times New Roman" w:eastAsia="Times New Roman" w:hAnsi="Times New Roman" w:cs="Times New Roman"/>
                <w:b/>
                <w:color w:val="000000"/>
                <w:sz w:val="20"/>
                <w:szCs w:val="20"/>
                <w:lang w:eastAsia="en-GB"/>
              </w:rPr>
            </w:pPr>
            <w:r w:rsidRPr="001A131A">
              <w:rPr>
                <w:rFonts w:ascii="Times New Roman" w:hAnsi="Times New Roman" w:cs="Times New Roman"/>
                <w:color w:val="000000"/>
                <w:sz w:val="20"/>
                <w:szCs w:val="20"/>
              </w:rPr>
              <w:t>-1%</w:t>
            </w:r>
          </w:p>
        </w:tc>
      </w:tr>
      <w:tr w:rsidR="00A755F5" w:rsidRPr="001A131A" w14:paraId="71E57A7A" w14:textId="77777777" w:rsidTr="00A755F5">
        <w:trPr>
          <w:trHeight w:val="221"/>
          <w:jc w:val="center"/>
        </w:trPr>
        <w:tc>
          <w:tcPr>
            <w:tcW w:w="2852" w:type="dxa"/>
            <w:tcBorders>
              <w:top w:val="nil"/>
              <w:left w:val="single" w:sz="8" w:space="0" w:color="auto"/>
              <w:bottom w:val="single" w:sz="4" w:space="0" w:color="auto"/>
              <w:right w:val="single" w:sz="4" w:space="0" w:color="auto"/>
            </w:tcBorders>
            <w:shd w:val="clear" w:color="auto" w:fill="auto"/>
            <w:noWrap/>
            <w:vAlign w:val="bottom"/>
            <w:hideMark/>
          </w:tcPr>
          <w:p w14:paraId="2BA04A86" w14:textId="7C8F9E89" w:rsidR="00A755F5" w:rsidRPr="001A131A" w:rsidRDefault="00A755F5" w:rsidP="00A755F5">
            <w:pPr>
              <w:spacing w:before="60" w:after="60" w:line="240" w:lineRule="auto"/>
              <w:jc w:val="both"/>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 xml:space="preserve">DIP </w:t>
            </w:r>
            <w:r w:rsidR="000F4C35" w:rsidRPr="001A131A">
              <w:rPr>
                <w:rFonts w:ascii="Times New Roman" w:eastAsia="Times New Roman" w:hAnsi="Times New Roman" w:cs="Times New Roman"/>
                <w:color w:val="000000"/>
                <w:sz w:val="20"/>
                <w:szCs w:val="20"/>
                <w:lang w:eastAsia="en-GB"/>
              </w:rPr>
              <w:t>Sukuk</w:t>
            </w:r>
            <w:r w:rsidRPr="001A131A">
              <w:rPr>
                <w:rFonts w:ascii="Times New Roman" w:eastAsia="Times New Roman" w:hAnsi="Times New Roman" w:cs="Times New Roman"/>
                <w:color w:val="000000"/>
                <w:sz w:val="20"/>
                <w:szCs w:val="20"/>
                <w:lang w:eastAsia="en-GB"/>
              </w:rPr>
              <w:t xml:space="preserve"> Ltd </w:t>
            </w:r>
          </w:p>
        </w:tc>
        <w:tc>
          <w:tcPr>
            <w:tcW w:w="1506" w:type="dxa"/>
            <w:tcBorders>
              <w:top w:val="nil"/>
              <w:left w:val="nil"/>
              <w:bottom w:val="single" w:sz="4" w:space="0" w:color="auto"/>
              <w:right w:val="single" w:sz="4" w:space="0" w:color="auto"/>
            </w:tcBorders>
            <w:shd w:val="clear" w:color="auto" w:fill="auto"/>
            <w:noWrap/>
            <w:vAlign w:val="bottom"/>
            <w:hideMark/>
          </w:tcPr>
          <w:p w14:paraId="3F57B386"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0.006%</w:t>
            </w:r>
          </w:p>
        </w:tc>
        <w:tc>
          <w:tcPr>
            <w:tcW w:w="1275" w:type="dxa"/>
            <w:tcBorders>
              <w:top w:val="nil"/>
              <w:left w:val="nil"/>
              <w:bottom w:val="single" w:sz="4" w:space="0" w:color="auto"/>
              <w:right w:val="single" w:sz="4" w:space="0" w:color="auto"/>
            </w:tcBorders>
            <w:shd w:val="clear" w:color="auto" w:fill="auto"/>
            <w:noWrap/>
            <w:vAlign w:val="bottom"/>
            <w:hideMark/>
          </w:tcPr>
          <w:p w14:paraId="228EE20A"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0.000%</w:t>
            </w:r>
          </w:p>
        </w:tc>
        <w:tc>
          <w:tcPr>
            <w:tcW w:w="1445" w:type="dxa"/>
            <w:tcBorders>
              <w:top w:val="nil"/>
              <w:left w:val="nil"/>
              <w:bottom w:val="single" w:sz="4" w:space="0" w:color="auto"/>
              <w:right w:val="single" w:sz="8" w:space="0" w:color="auto"/>
            </w:tcBorders>
            <w:shd w:val="clear" w:color="auto" w:fill="auto"/>
            <w:noWrap/>
            <w:vAlign w:val="bottom"/>
            <w:hideMark/>
          </w:tcPr>
          <w:p w14:paraId="5E82629D"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0.123%</w:t>
            </w:r>
          </w:p>
        </w:tc>
        <w:tc>
          <w:tcPr>
            <w:tcW w:w="1417" w:type="dxa"/>
            <w:tcBorders>
              <w:top w:val="nil"/>
              <w:left w:val="single" w:sz="4" w:space="0" w:color="auto"/>
              <w:bottom w:val="single" w:sz="4" w:space="0" w:color="auto"/>
              <w:right w:val="single" w:sz="4" w:space="0" w:color="auto"/>
            </w:tcBorders>
            <w:shd w:val="clear" w:color="auto" w:fill="auto"/>
            <w:vAlign w:val="bottom"/>
          </w:tcPr>
          <w:p w14:paraId="4B0DF7BA"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hAnsi="Times New Roman" w:cs="Times New Roman"/>
                <w:color w:val="000000"/>
                <w:sz w:val="20"/>
                <w:szCs w:val="20"/>
              </w:rPr>
              <w:t>-231%</w:t>
            </w:r>
          </w:p>
        </w:tc>
      </w:tr>
      <w:tr w:rsidR="00A755F5" w:rsidRPr="001A131A" w14:paraId="351C2E29" w14:textId="77777777" w:rsidTr="00A755F5">
        <w:trPr>
          <w:trHeight w:val="221"/>
          <w:jc w:val="center"/>
        </w:trPr>
        <w:tc>
          <w:tcPr>
            <w:tcW w:w="2852" w:type="dxa"/>
            <w:tcBorders>
              <w:top w:val="nil"/>
              <w:left w:val="single" w:sz="8" w:space="0" w:color="auto"/>
              <w:bottom w:val="single" w:sz="4" w:space="0" w:color="auto"/>
              <w:right w:val="single" w:sz="4" w:space="0" w:color="auto"/>
            </w:tcBorders>
            <w:shd w:val="clear" w:color="auto" w:fill="auto"/>
            <w:noWrap/>
            <w:vAlign w:val="bottom"/>
            <w:hideMark/>
          </w:tcPr>
          <w:p w14:paraId="0B988758" w14:textId="2809AD3D" w:rsidR="00A755F5" w:rsidRPr="001A131A" w:rsidRDefault="00A755F5" w:rsidP="00A755F5">
            <w:pPr>
              <w:spacing w:before="60" w:after="60" w:line="240" w:lineRule="auto"/>
              <w:jc w:val="both"/>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 xml:space="preserve">DP World </w:t>
            </w:r>
            <w:r w:rsidR="000F4C35" w:rsidRPr="001A131A">
              <w:rPr>
                <w:rFonts w:ascii="Times New Roman" w:eastAsia="Times New Roman" w:hAnsi="Times New Roman" w:cs="Times New Roman"/>
                <w:color w:val="000000"/>
                <w:sz w:val="20"/>
                <w:szCs w:val="20"/>
                <w:lang w:eastAsia="en-GB"/>
              </w:rPr>
              <w:t>Sukuk</w:t>
            </w:r>
            <w:r w:rsidRPr="001A131A">
              <w:rPr>
                <w:rFonts w:ascii="Times New Roman" w:eastAsia="Times New Roman" w:hAnsi="Times New Roman" w:cs="Times New Roman"/>
                <w:color w:val="000000"/>
                <w:sz w:val="20"/>
                <w:szCs w:val="20"/>
                <w:lang w:eastAsia="en-GB"/>
              </w:rPr>
              <w:t xml:space="preserve"> Ltd </w:t>
            </w:r>
          </w:p>
        </w:tc>
        <w:tc>
          <w:tcPr>
            <w:tcW w:w="1506" w:type="dxa"/>
            <w:tcBorders>
              <w:top w:val="nil"/>
              <w:left w:val="nil"/>
              <w:bottom w:val="single" w:sz="4" w:space="0" w:color="auto"/>
              <w:right w:val="single" w:sz="4" w:space="0" w:color="auto"/>
            </w:tcBorders>
            <w:shd w:val="clear" w:color="auto" w:fill="auto"/>
            <w:noWrap/>
            <w:vAlign w:val="bottom"/>
            <w:hideMark/>
          </w:tcPr>
          <w:p w14:paraId="758CF988"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-0.010%</w:t>
            </w:r>
          </w:p>
        </w:tc>
        <w:tc>
          <w:tcPr>
            <w:tcW w:w="1275" w:type="dxa"/>
            <w:tcBorders>
              <w:top w:val="nil"/>
              <w:left w:val="nil"/>
              <w:bottom w:val="single" w:sz="4" w:space="0" w:color="auto"/>
              <w:right w:val="single" w:sz="4" w:space="0" w:color="auto"/>
            </w:tcBorders>
            <w:shd w:val="clear" w:color="auto" w:fill="auto"/>
            <w:noWrap/>
            <w:vAlign w:val="bottom"/>
            <w:hideMark/>
          </w:tcPr>
          <w:p w14:paraId="3C4DC9F2"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0.000%</w:t>
            </w:r>
          </w:p>
        </w:tc>
        <w:tc>
          <w:tcPr>
            <w:tcW w:w="1445" w:type="dxa"/>
            <w:tcBorders>
              <w:top w:val="nil"/>
              <w:left w:val="nil"/>
              <w:bottom w:val="single" w:sz="4" w:space="0" w:color="auto"/>
              <w:right w:val="single" w:sz="8" w:space="0" w:color="auto"/>
            </w:tcBorders>
            <w:shd w:val="clear" w:color="auto" w:fill="auto"/>
            <w:noWrap/>
            <w:vAlign w:val="bottom"/>
            <w:hideMark/>
          </w:tcPr>
          <w:p w14:paraId="0F49265A"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0.221%</w:t>
            </w:r>
          </w:p>
        </w:tc>
        <w:tc>
          <w:tcPr>
            <w:tcW w:w="1417" w:type="dxa"/>
            <w:tcBorders>
              <w:top w:val="nil"/>
              <w:left w:val="single" w:sz="4" w:space="0" w:color="auto"/>
              <w:bottom w:val="single" w:sz="4" w:space="0" w:color="auto"/>
              <w:right w:val="single" w:sz="4" w:space="0" w:color="auto"/>
            </w:tcBorders>
            <w:shd w:val="clear" w:color="auto" w:fill="auto"/>
            <w:vAlign w:val="bottom"/>
          </w:tcPr>
          <w:p w14:paraId="04511195"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hAnsi="Times New Roman" w:cs="Times New Roman"/>
                <w:color w:val="000000"/>
                <w:sz w:val="20"/>
                <w:szCs w:val="20"/>
              </w:rPr>
              <w:t>-59%</w:t>
            </w:r>
          </w:p>
        </w:tc>
      </w:tr>
      <w:tr w:rsidR="00A755F5" w:rsidRPr="001A131A" w14:paraId="45E36DF8" w14:textId="77777777" w:rsidTr="00A755F5">
        <w:trPr>
          <w:trHeight w:val="221"/>
          <w:jc w:val="center"/>
        </w:trPr>
        <w:tc>
          <w:tcPr>
            <w:tcW w:w="2852" w:type="dxa"/>
            <w:tcBorders>
              <w:top w:val="nil"/>
              <w:left w:val="single" w:sz="8" w:space="0" w:color="auto"/>
              <w:bottom w:val="single" w:sz="4" w:space="0" w:color="auto"/>
              <w:right w:val="single" w:sz="4" w:space="0" w:color="auto"/>
            </w:tcBorders>
            <w:shd w:val="clear" w:color="auto" w:fill="auto"/>
            <w:noWrap/>
            <w:vAlign w:val="bottom"/>
            <w:hideMark/>
          </w:tcPr>
          <w:p w14:paraId="1523BB1B" w14:textId="5A94A940" w:rsidR="00A755F5" w:rsidRPr="001A131A" w:rsidRDefault="00A755F5" w:rsidP="00A755F5">
            <w:pPr>
              <w:spacing w:before="60" w:after="60" w:line="240" w:lineRule="auto"/>
              <w:jc w:val="both"/>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 xml:space="preserve">EMG </w:t>
            </w:r>
            <w:r w:rsidR="000F4C35" w:rsidRPr="001A131A">
              <w:rPr>
                <w:rFonts w:ascii="Times New Roman" w:eastAsia="Times New Roman" w:hAnsi="Times New Roman" w:cs="Times New Roman"/>
                <w:color w:val="000000"/>
                <w:sz w:val="20"/>
                <w:szCs w:val="20"/>
                <w:lang w:eastAsia="en-GB"/>
              </w:rPr>
              <w:t>Sukuk</w:t>
            </w:r>
            <w:r w:rsidRPr="001A131A">
              <w:rPr>
                <w:rFonts w:ascii="Times New Roman" w:eastAsia="Times New Roman" w:hAnsi="Times New Roman" w:cs="Times New Roman"/>
                <w:color w:val="000000"/>
                <w:sz w:val="20"/>
                <w:szCs w:val="20"/>
                <w:lang w:eastAsia="en-GB"/>
              </w:rPr>
              <w:t xml:space="preserve"> Limited </w:t>
            </w:r>
          </w:p>
        </w:tc>
        <w:tc>
          <w:tcPr>
            <w:tcW w:w="1506" w:type="dxa"/>
            <w:tcBorders>
              <w:top w:val="nil"/>
              <w:left w:val="nil"/>
              <w:bottom w:val="single" w:sz="4" w:space="0" w:color="auto"/>
              <w:right w:val="single" w:sz="4" w:space="0" w:color="auto"/>
            </w:tcBorders>
            <w:shd w:val="clear" w:color="auto" w:fill="auto"/>
            <w:noWrap/>
            <w:vAlign w:val="bottom"/>
            <w:hideMark/>
          </w:tcPr>
          <w:p w14:paraId="16CDB6FB"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0.021%</w:t>
            </w:r>
          </w:p>
        </w:tc>
        <w:tc>
          <w:tcPr>
            <w:tcW w:w="1275" w:type="dxa"/>
            <w:tcBorders>
              <w:top w:val="nil"/>
              <w:left w:val="nil"/>
              <w:bottom w:val="single" w:sz="4" w:space="0" w:color="auto"/>
              <w:right w:val="single" w:sz="4" w:space="0" w:color="auto"/>
            </w:tcBorders>
            <w:shd w:val="clear" w:color="auto" w:fill="auto"/>
            <w:noWrap/>
            <w:vAlign w:val="bottom"/>
            <w:hideMark/>
          </w:tcPr>
          <w:p w14:paraId="6CF16930"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0.004%</w:t>
            </w:r>
          </w:p>
        </w:tc>
        <w:tc>
          <w:tcPr>
            <w:tcW w:w="1445" w:type="dxa"/>
            <w:tcBorders>
              <w:top w:val="nil"/>
              <w:left w:val="nil"/>
              <w:bottom w:val="single" w:sz="4" w:space="0" w:color="auto"/>
              <w:right w:val="single" w:sz="8" w:space="0" w:color="auto"/>
            </w:tcBorders>
            <w:shd w:val="clear" w:color="auto" w:fill="auto"/>
            <w:noWrap/>
            <w:vAlign w:val="bottom"/>
            <w:hideMark/>
          </w:tcPr>
          <w:p w14:paraId="045D4483"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0.603%</w:t>
            </w:r>
          </w:p>
        </w:tc>
        <w:tc>
          <w:tcPr>
            <w:tcW w:w="1417" w:type="dxa"/>
            <w:tcBorders>
              <w:top w:val="nil"/>
              <w:left w:val="single" w:sz="4" w:space="0" w:color="auto"/>
              <w:bottom w:val="single" w:sz="4" w:space="0" w:color="auto"/>
              <w:right w:val="single" w:sz="4" w:space="0" w:color="auto"/>
            </w:tcBorders>
            <w:shd w:val="clear" w:color="auto" w:fill="auto"/>
            <w:vAlign w:val="bottom"/>
          </w:tcPr>
          <w:p w14:paraId="091A02A0"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hAnsi="Times New Roman" w:cs="Times New Roman"/>
                <w:color w:val="000000"/>
                <w:sz w:val="20"/>
                <w:szCs w:val="20"/>
              </w:rPr>
              <w:t>-73%</w:t>
            </w:r>
          </w:p>
        </w:tc>
      </w:tr>
      <w:tr w:rsidR="00A755F5" w:rsidRPr="001A131A" w14:paraId="2C1B136A" w14:textId="77777777" w:rsidTr="00A755F5">
        <w:trPr>
          <w:trHeight w:val="221"/>
          <w:jc w:val="center"/>
        </w:trPr>
        <w:tc>
          <w:tcPr>
            <w:tcW w:w="2852" w:type="dxa"/>
            <w:tcBorders>
              <w:top w:val="nil"/>
              <w:left w:val="single" w:sz="8" w:space="0" w:color="auto"/>
              <w:bottom w:val="single" w:sz="4" w:space="0" w:color="auto"/>
              <w:right w:val="single" w:sz="4" w:space="0" w:color="auto"/>
            </w:tcBorders>
            <w:shd w:val="clear" w:color="auto" w:fill="auto"/>
            <w:noWrap/>
            <w:vAlign w:val="bottom"/>
            <w:hideMark/>
          </w:tcPr>
          <w:p w14:paraId="40FEA5A0" w14:textId="41AB31CA" w:rsidR="00A755F5" w:rsidRPr="001A131A" w:rsidRDefault="00A755F5" w:rsidP="00A755F5">
            <w:pPr>
              <w:spacing w:before="60" w:after="60" w:line="240" w:lineRule="auto"/>
              <w:jc w:val="both"/>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 xml:space="preserve">ICD </w:t>
            </w:r>
            <w:r w:rsidR="000F4C35" w:rsidRPr="001A131A">
              <w:rPr>
                <w:rFonts w:ascii="Times New Roman" w:eastAsia="Times New Roman" w:hAnsi="Times New Roman" w:cs="Times New Roman"/>
                <w:color w:val="000000"/>
                <w:sz w:val="20"/>
                <w:szCs w:val="20"/>
                <w:lang w:eastAsia="en-GB"/>
              </w:rPr>
              <w:t>Sukuk</w:t>
            </w:r>
            <w:r w:rsidRPr="001A131A">
              <w:rPr>
                <w:rFonts w:ascii="Times New Roman" w:eastAsia="Times New Roman" w:hAnsi="Times New Roman" w:cs="Times New Roman"/>
                <w:color w:val="000000"/>
                <w:sz w:val="20"/>
                <w:szCs w:val="20"/>
                <w:lang w:eastAsia="en-GB"/>
              </w:rPr>
              <w:t xml:space="preserve"> Co. Ltd </w:t>
            </w:r>
          </w:p>
        </w:tc>
        <w:tc>
          <w:tcPr>
            <w:tcW w:w="1506" w:type="dxa"/>
            <w:tcBorders>
              <w:top w:val="nil"/>
              <w:left w:val="nil"/>
              <w:bottom w:val="single" w:sz="4" w:space="0" w:color="auto"/>
              <w:right w:val="single" w:sz="4" w:space="0" w:color="auto"/>
            </w:tcBorders>
            <w:shd w:val="clear" w:color="auto" w:fill="auto"/>
            <w:noWrap/>
            <w:vAlign w:val="bottom"/>
            <w:hideMark/>
          </w:tcPr>
          <w:p w14:paraId="0424BF80"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0.002%</w:t>
            </w:r>
          </w:p>
        </w:tc>
        <w:tc>
          <w:tcPr>
            <w:tcW w:w="1275" w:type="dxa"/>
            <w:tcBorders>
              <w:top w:val="nil"/>
              <w:left w:val="nil"/>
              <w:bottom w:val="single" w:sz="4" w:space="0" w:color="auto"/>
              <w:right w:val="single" w:sz="4" w:space="0" w:color="auto"/>
            </w:tcBorders>
            <w:shd w:val="clear" w:color="auto" w:fill="auto"/>
            <w:noWrap/>
            <w:vAlign w:val="bottom"/>
            <w:hideMark/>
          </w:tcPr>
          <w:p w14:paraId="10D332D9"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0.000%</w:t>
            </w:r>
          </w:p>
        </w:tc>
        <w:tc>
          <w:tcPr>
            <w:tcW w:w="1445" w:type="dxa"/>
            <w:tcBorders>
              <w:top w:val="nil"/>
              <w:left w:val="nil"/>
              <w:bottom w:val="single" w:sz="4" w:space="0" w:color="auto"/>
              <w:right w:val="single" w:sz="8" w:space="0" w:color="auto"/>
            </w:tcBorders>
            <w:shd w:val="clear" w:color="auto" w:fill="auto"/>
            <w:noWrap/>
            <w:vAlign w:val="bottom"/>
            <w:hideMark/>
          </w:tcPr>
          <w:p w14:paraId="11525BCB"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0.169%</w:t>
            </w:r>
          </w:p>
        </w:tc>
        <w:tc>
          <w:tcPr>
            <w:tcW w:w="1417" w:type="dxa"/>
            <w:tcBorders>
              <w:top w:val="nil"/>
              <w:left w:val="single" w:sz="4" w:space="0" w:color="auto"/>
              <w:bottom w:val="single" w:sz="4" w:space="0" w:color="auto"/>
              <w:right w:val="single" w:sz="4" w:space="0" w:color="auto"/>
            </w:tcBorders>
            <w:shd w:val="clear" w:color="auto" w:fill="auto"/>
            <w:vAlign w:val="bottom"/>
          </w:tcPr>
          <w:p w14:paraId="1F982DA0"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hAnsi="Times New Roman" w:cs="Times New Roman"/>
                <w:color w:val="000000"/>
                <w:sz w:val="20"/>
                <w:szCs w:val="20"/>
              </w:rPr>
              <w:t>-30%</w:t>
            </w:r>
          </w:p>
        </w:tc>
      </w:tr>
      <w:tr w:rsidR="00A755F5" w:rsidRPr="001A131A" w14:paraId="50249FFE" w14:textId="77777777" w:rsidTr="00A755F5">
        <w:trPr>
          <w:trHeight w:val="221"/>
          <w:jc w:val="center"/>
        </w:trPr>
        <w:tc>
          <w:tcPr>
            <w:tcW w:w="2852" w:type="dxa"/>
            <w:tcBorders>
              <w:top w:val="nil"/>
              <w:left w:val="single" w:sz="8" w:space="0" w:color="auto"/>
              <w:bottom w:val="single" w:sz="4" w:space="0" w:color="auto"/>
              <w:right w:val="single" w:sz="4" w:space="0" w:color="auto"/>
            </w:tcBorders>
            <w:shd w:val="clear" w:color="auto" w:fill="auto"/>
            <w:noWrap/>
            <w:vAlign w:val="bottom"/>
            <w:hideMark/>
          </w:tcPr>
          <w:p w14:paraId="25C49D81" w14:textId="77777777" w:rsidR="00A755F5" w:rsidRPr="001A131A" w:rsidRDefault="00A755F5" w:rsidP="00A755F5">
            <w:pPr>
              <w:spacing w:before="60" w:after="60" w:line="240" w:lineRule="auto"/>
              <w:jc w:val="both"/>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 xml:space="preserve">IDB Trust Services Ltd </w:t>
            </w:r>
          </w:p>
        </w:tc>
        <w:tc>
          <w:tcPr>
            <w:tcW w:w="1506" w:type="dxa"/>
            <w:tcBorders>
              <w:top w:val="nil"/>
              <w:left w:val="nil"/>
              <w:bottom w:val="single" w:sz="4" w:space="0" w:color="auto"/>
              <w:right w:val="single" w:sz="4" w:space="0" w:color="auto"/>
            </w:tcBorders>
            <w:shd w:val="clear" w:color="auto" w:fill="auto"/>
            <w:noWrap/>
            <w:vAlign w:val="bottom"/>
            <w:hideMark/>
          </w:tcPr>
          <w:p w14:paraId="02DB2918"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-0.002%</w:t>
            </w:r>
          </w:p>
        </w:tc>
        <w:tc>
          <w:tcPr>
            <w:tcW w:w="1275" w:type="dxa"/>
            <w:tcBorders>
              <w:top w:val="nil"/>
              <w:left w:val="nil"/>
              <w:bottom w:val="single" w:sz="4" w:space="0" w:color="auto"/>
              <w:right w:val="single" w:sz="4" w:space="0" w:color="auto"/>
            </w:tcBorders>
            <w:shd w:val="clear" w:color="auto" w:fill="auto"/>
            <w:noWrap/>
            <w:vAlign w:val="bottom"/>
            <w:hideMark/>
          </w:tcPr>
          <w:p w14:paraId="2CC43F48"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0.000%</w:t>
            </w:r>
          </w:p>
        </w:tc>
        <w:tc>
          <w:tcPr>
            <w:tcW w:w="1445" w:type="dxa"/>
            <w:tcBorders>
              <w:top w:val="nil"/>
              <w:left w:val="nil"/>
              <w:bottom w:val="single" w:sz="4" w:space="0" w:color="auto"/>
              <w:right w:val="single" w:sz="8" w:space="0" w:color="auto"/>
            </w:tcBorders>
            <w:shd w:val="clear" w:color="auto" w:fill="auto"/>
            <w:noWrap/>
            <w:vAlign w:val="bottom"/>
            <w:hideMark/>
          </w:tcPr>
          <w:p w14:paraId="7FBC8485"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0.083%</w:t>
            </w:r>
          </w:p>
        </w:tc>
        <w:tc>
          <w:tcPr>
            <w:tcW w:w="1417" w:type="dxa"/>
            <w:tcBorders>
              <w:top w:val="nil"/>
              <w:left w:val="single" w:sz="4" w:space="0" w:color="auto"/>
              <w:bottom w:val="single" w:sz="4" w:space="0" w:color="auto"/>
              <w:right w:val="single" w:sz="4" w:space="0" w:color="auto"/>
            </w:tcBorders>
            <w:shd w:val="clear" w:color="auto" w:fill="auto"/>
            <w:vAlign w:val="bottom"/>
          </w:tcPr>
          <w:p w14:paraId="7E34F193"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hAnsi="Times New Roman" w:cs="Times New Roman"/>
                <w:color w:val="000000"/>
                <w:sz w:val="20"/>
                <w:szCs w:val="20"/>
              </w:rPr>
              <w:t>199%</w:t>
            </w:r>
          </w:p>
        </w:tc>
      </w:tr>
      <w:tr w:rsidR="00A755F5" w:rsidRPr="001A131A" w14:paraId="4D62D5C4" w14:textId="77777777" w:rsidTr="00A755F5">
        <w:trPr>
          <w:trHeight w:val="221"/>
          <w:jc w:val="center"/>
        </w:trPr>
        <w:tc>
          <w:tcPr>
            <w:tcW w:w="2852" w:type="dxa"/>
            <w:tcBorders>
              <w:top w:val="nil"/>
              <w:left w:val="single" w:sz="8" w:space="0" w:color="auto"/>
              <w:bottom w:val="single" w:sz="4" w:space="0" w:color="auto"/>
              <w:right w:val="single" w:sz="4" w:space="0" w:color="auto"/>
            </w:tcBorders>
            <w:shd w:val="clear" w:color="auto" w:fill="auto"/>
            <w:noWrap/>
            <w:vAlign w:val="bottom"/>
            <w:hideMark/>
          </w:tcPr>
          <w:p w14:paraId="281ABC66" w14:textId="77777777" w:rsidR="00A755F5" w:rsidRPr="001A131A" w:rsidRDefault="00A755F5" w:rsidP="00A755F5">
            <w:pPr>
              <w:spacing w:before="60" w:after="60" w:line="240" w:lineRule="auto"/>
              <w:jc w:val="both"/>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INDONESIA III -144A</w:t>
            </w:r>
          </w:p>
        </w:tc>
        <w:tc>
          <w:tcPr>
            <w:tcW w:w="1506" w:type="dxa"/>
            <w:tcBorders>
              <w:top w:val="nil"/>
              <w:left w:val="nil"/>
              <w:bottom w:val="single" w:sz="4" w:space="0" w:color="auto"/>
              <w:right w:val="single" w:sz="4" w:space="0" w:color="auto"/>
            </w:tcBorders>
            <w:shd w:val="clear" w:color="auto" w:fill="auto"/>
            <w:noWrap/>
            <w:vAlign w:val="bottom"/>
            <w:hideMark/>
          </w:tcPr>
          <w:p w14:paraId="24BA68D4"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0.011%</w:t>
            </w:r>
          </w:p>
        </w:tc>
        <w:tc>
          <w:tcPr>
            <w:tcW w:w="1275" w:type="dxa"/>
            <w:tcBorders>
              <w:top w:val="nil"/>
              <w:left w:val="nil"/>
              <w:bottom w:val="single" w:sz="4" w:space="0" w:color="auto"/>
              <w:right w:val="single" w:sz="4" w:space="0" w:color="auto"/>
            </w:tcBorders>
            <w:shd w:val="clear" w:color="auto" w:fill="auto"/>
            <w:noWrap/>
            <w:vAlign w:val="bottom"/>
            <w:hideMark/>
          </w:tcPr>
          <w:p w14:paraId="1E544357"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0.003%</w:t>
            </w:r>
          </w:p>
        </w:tc>
        <w:tc>
          <w:tcPr>
            <w:tcW w:w="1445" w:type="dxa"/>
            <w:tcBorders>
              <w:top w:val="nil"/>
              <w:left w:val="nil"/>
              <w:bottom w:val="single" w:sz="4" w:space="0" w:color="auto"/>
              <w:right w:val="single" w:sz="8" w:space="0" w:color="auto"/>
            </w:tcBorders>
            <w:shd w:val="clear" w:color="auto" w:fill="auto"/>
            <w:noWrap/>
            <w:vAlign w:val="bottom"/>
            <w:hideMark/>
          </w:tcPr>
          <w:p w14:paraId="21A82E88"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0.553%</w:t>
            </w:r>
          </w:p>
        </w:tc>
        <w:tc>
          <w:tcPr>
            <w:tcW w:w="1417" w:type="dxa"/>
            <w:tcBorders>
              <w:top w:val="nil"/>
              <w:left w:val="single" w:sz="4" w:space="0" w:color="auto"/>
              <w:bottom w:val="single" w:sz="4" w:space="0" w:color="auto"/>
              <w:right w:val="single" w:sz="4" w:space="0" w:color="auto"/>
            </w:tcBorders>
            <w:shd w:val="clear" w:color="auto" w:fill="auto"/>
            <w:vAlign w:val="bottom"/>
          </w:tcPr>
          <w:p w14:paraId="4C0DEDA6"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hAnsi="Times New Roman" w:cs="Times New Roman"/>
                <w:color w:val="000000"/>
                <w:sz w:val="20"/>
                <w:szCs w:val="20"/>
              </w:rPr>
              <w:t>-275%</w:t>
            </w:r>
          </w:p>
        </w:tc>
      </w:tr>
      <w:tr w:rsidR="00A755F5" w:rsidRPr="001A131A" w14:paraId="0816FC45" w14:textId="77777777" w:rsidTr="00A755F5">
        <w:trPr>
          <w:trHeight w:val="221"/>
          <w:jc w:val="center"/>
        </w:trPr>
        <w:tc>
          <w:tcPr>
            <w:tcW w:w="2852" w:type="dxa"/>
            <w:tcBorders>
              <w:top w:val="nil"/>
              <w:left w:val="single" w:sz="8" w:space="0" w:color="auto"/>
              <w:bottom w:val="single" w:sz="4" w:space="0" w:color="auto"/>
              <w:right w:val="single" w:sz="4" w:space="0" w:color="auto"/>
            </w:tcBorders>
            <w:shd w:val="clear" w:color="auto" w:fill="auto"/>
            <w:noWrap/>
            <w:vAlign w:val="bottom"/>
            <w:hideMark/>
          </w:tcPr>
          <w:p w14:paraId="63AF9F96" w14:textId="77777777" w:rsidR="00A755F5" w:rsidRPr="001A131A" w:rsidRDefault="00A755F5" w:rsidP="00A755F5">
            <w:pPr>
              <w:spacing w:before="60" w:after="60" w:line="240" w:lineRule="auto"/>
              <w:jc w:val="both"/>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 xml:space="preserve">INDONESIA III </w:t>
            </w:r>
          </w:p>
        </w:tc>
        <w:tc>
          <w:tcPr>
            <w:tcW w:w="1506" w:type="dxa"/>
            <w:tcBorders>
              <w:top w:val="nil"/>
              <w:left w:val="nil"/>
              <w:bottom w:val="single" w:sz="4" w:space="0" w:color="auto"/>
              <w:right w:val="single" w:sz="4" w:space="0" w:color="auto"/>
            </w:tcBorders>
            <w:shd w:val="clear" w:color="auto" w:fill="auto"/>
            <w:noWrap/>
            <w:vAlign w:val="bottom"/>
            <w:hideMark/>
          </w:tcPr>
          <w:p w14:paraId="638A2019"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0.029%</w:t>
            </w:r>
          </w:p>
        </w:tc>
        <w:tc>
          <w:tcPr>
            <w:tcW w:w="1275" w:type="dxa"/>
            <w:tcBorders>
              <w:top w:val="nil"/>
              <w:left w:val="nil"/>
              <w:bottom w:val="single" w:sz="4" w:space="0" w:color="auto"/>
              <w:right w:val="single" w:sz="4" w:space="0" w:color="auto"/>
            </w:tcBorders>
            <w:shd w:val="clear" w:color="auto" w:fill="auto"/>
            <w:noWrap/>
            <w:vAlign w:val="bottom"/>
            <w:hideMark/>
          </w:tcPr>
          <w:p w14:paraId="44FE3A6B"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0.001%</w:t>
            </w:r>
          </w:p>
        </w:tc>
        <w:tc>
          <w:tcPr>
            <w:tcW w:w="1445" w:type="dxa"/>
            <w:tcBorders>
              <w:top w:val="nil"/>
              <w:left w:val="nil"/>
              <w:bottom w:val="single" w:sz="4" w:space="0" w:color="auto"/>
              <w:right w:val="single" w:sz="8" w:space="0" w:color="auto"/>
            </w:tcBorders>
            <w:shd w:val="clear" w:color="auto" w:fill="auto"/>
            <w:noWrap/>
            <w:vAlign w:val="bottom"/>
            <w:hideMark/>
          </w:tcPr>
          <w:p w14:paraId="681404D1"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0.374%</w:t>
            </w:r>
          </w:p>
        </w:tc>
        <w:tc>
          <w:tcPr>
            <w:tcW w:w="1417" w:type="dxa"/>
            <w:tcBorders>
              <w:top w:val="nil"/>
              <w:left w:val="single" w:sz="4" w:space="0" w:color="auto"/>
              <w:bottom w:val="single" w:sz="4" w:space="0" w:color="auto"/>
              <w:right w:val="single" w:sz="4" w:space="0" w:color="auto"/>
            </w:tcBorders>
            <w:shd w:val="clear" w:color="auto" w:fill="auto"/>
            <w:vAlign w:val="bottom"/>
          </w:tcPr>
          <w:p w14:paraId="6309BFFB"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hAnsi="Times New Roman" w:cs="Times New Roman"/>
                <w:color w:val="000000"/>
                <w:sz w:val="20"/>
                <w:szCs w:val="20"/>
              </w:rPr>
              <w:t>-19%</w:t>
            </w:r>
          </w:p>
        </w:tc>
      </w:tr>
      <w:tr w:rsidR="00A755F5" w:rsidRPr="001A131A" w14:paraId="52F4D9D3" w14:textId="77777777" w:rsidTr="00A755F5">
        <w:trPr>
          <w:trHeight w:val="221"/>
          <w:jc w:val="center"/>
        </w:trPr>
        <w:tc>
          <w:tcPr>
            <w:tcW w:w="2852" w:type="dxa"/>
            <w:tcBorders>
              <w:top w:val="nil"/>
              <w:left w:val="single" w:sz="8" w:space="0" w:color="auto"/>
              <w:bottom w:val="single" w:sz="4" w:space="0" w:color="auto"/>
              <w:right w:val="single" w:sz="4" w:space="0" w:color="auto"/>
            </w:tcBorders>
            <w:shd w:val="clear" w:color="auto" w:fill="auto"/>
            <w:noWrap/>
            <w:vAlign w:val="bottom"/>
            <w:hideMark/>
          </w:tcPr>
          <w:p w14:paraId="74D88EBF" w14:textId="617A3DAE" w:rsidR="00A755F5" w:rsidRPr="001A131A" w:rsidRDefault="00A755F5" w:rsidP="00A755F5">
            <w:pPr>
              <w:spacing w:before="60" w:after="60" w:line="240" w:lineRule="auto"/>
              <w:jc w:val="both"/>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 xml:space="preserve">JAFZ </w:t>
            </w:r>
            <w:r w:rsidR="000F4C35" w:rsidRPr="001A131A">
              <w:rPr>
                <w:rFonts w:ascii="Times New Roman" w:eastAsia="Times New Roman" w:hAnsi="Times New Roman" w:cs="Times New Roman"/>
                <w:color w:val="000000"/>
                <w:sz w:val="20"/>
                <w:szCs w:val="20"/>
                <w:lang w:eastAsia="en-GB"/>
              </w:rPr>
              <w:t>Sukuk</w:t>
            </w:r>
            <w:r w:rsidRPr="001A131A">
              <w:rPr>
                <w:rFonts w:ascii="Times New Roman" w:eastAsia="Times New Roman" w:hAnsi="Times New Roman" w:cs="Times New Roman"/>
                <w:color w:val="000000"/>
                <w:sz w:val="20"/>
                <w:szCs w:val="20"/>
                <w:lang w:eastAsia="en-GB"/>
              </w:rPr>
              <w:t xml:space="preserve"> Ltd </w:t>
            </w:r>
          </w:p>
        </w:tc>
        <w:tc>
          <w:tcPr>
            <w:tcW w:w="1506" w:type="dxa"/>
            <w:tcBorders>
              <w:top w:val="nil"/>
              <w:left w:val="nil"/>
              <w:bottom w:val="single" w:sz="4" w:space="0" w:color="auto"/>
              <w:right w:val="single" w:sz="4" w:space="0" w:color="auto"/>
            </w:tcBorders>
            <w:shd w:val="clear" w:color="auto" w:fill="auto"/>
            <w:noWrap/>
            <w:vAlign w:val="bottom"/>
            <w:hideMark/>
          </w:tcPr>
          <w:p w14:paraId="32E9319E"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0.001%</w:t>
            </w:r>
          </w:p>
        </w:tc>
        <w:tc>
          <w:tcPr>
            <w:tcW w:w="1275" w:type="dxa"/>
            <w:tcBorders>
              <w:top w:val="nil"/>
              <w:left w:val="nil"/>
              <w:bottom w:val="single" w:sz="4" w:space="0" w:color="auto"/>
              <w:right w:val="single" w:sz="4" w:space="0" w:color="auto"/>
            </w:tcBorders>
            <w:shd w:val="clear" w:color="auto" w:fill="auto"/>
            <w:noWrap/>
            <w:vAlign w:val="bottom"/>
            <w:hideMark/>
          </w:tcPr>
          <w:p w14:paraId="37215A88"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0.008%</w:t>
            </w:r>
          </w:p>
        </w:tc>
        <w:tc>
          <w:tcPr>
            <w:tcW w:w="1445" w:type="dxa"/>
            <w:tcBorders>
              <w:top w:val="nil"/>
              <w:left w:val="nil"/>
              <w:bottom w:val="single" w:sz="4" w:space="0" w:color="auto"/>
              <w:right w:val="single" w:sz="8" w:space="0" w:color="auto"/>
            </w:tcBorders>
            <w:shd w:val="clear" w:color="auto" w:fill="auto"/>
            <w:noWrap/>
            <w:vAlign w:val="bottom"/>
            <w:hideMark/>
          </w:tcPr>
          <w:p w14:paraId="159AEEF9" w14:textId="77777777" w:rsidR="00A755F5" w:rsidRPr="001A131A" w:rsidRDefault="00A755F5" w:rsidP="00A755F5">
            <w:pPr>
              <w:spacing w:before="60" w:after="60" w:line="240" w:lineRule="auto"/>
              <w:jc w:val="center"/>
              <w:rPr>
                <w:rFonts w:ascii="Times New Roman" w:eastAsia="Times New Roman" w:hAnsi="Times New Roman" w:cs="Times New Roman"/>
                <w:b/>
                <w:color w:val="000000"/>
                <w:sz w:val="20"/>
                <w:szCs w:val="20"/>
                <w:lang w:eastAsia="en-GB"/>
              </w:rPr>
            </w:pPr>
            <w:r w:rsidRPr="001A131A">
              <w:rPr>
                <w:rFonts w:ascii="Times New Roman" w:eastAsia="Times New Roman" w:hAnsi="Times New Roman" w:cs="Times New Roman"/>
                <w:b/>
                <w:color w:val="000000"/>
                <w:sz w:val="20"/>
                <w:szCs w:val="20"/>
                <w:lang w:eastAsia="en-GB"/>
              </w:rPr>
              <w:t>0.882%</w:t>
            </w:r>
          </w:p>
        </w:tc>
        <w:tc>
          <w:tcPr>
            <w:tcW w:w="1417" w:type="dxa"/>
            <w:tcBorders>
              <w:top w:val="nil"/>
              <w:left w:val="single" w:sz="4" w:space="0" w:color="auto"/>
              <w:bottom w:val="single" w:sz="4" w:space="0" w:color="auto"/>
              <w:right w:val="single" w:sz="4" w:space="0" w:color="auto"/>
            </w:tcBorders>
            <w:shd w:val="clear" w:color="auto" w:fill="auto"/>
            <w:vAlign w:val="bottom"/>
          </w:tcPr>
          <w:p w14:paraId="73CE7895" w14:textId="77777777" w:rsidR="00A755F5" w:rsidRPr="001A131A" w:rsidRDefault="00A755F5" w:rsidP="00A755F5">
            <w:pPr>
              <w:spacing w:before="60" w:after="60" w:line="240" w:lineRule="auto"/>
              <w:jc w:val="center"/>
              <w:rPr>
                <w:rFonts w:ascii="Times New Roman" w:eastAsia="Times New Roman" w:hAnsi="Times New Roman" w:cs="Times New Roman"/>
                <w:b/>
                <w:color w:val="000000"/>
                <w:sz w:val="20"/>
                <w:szCs w:val="20"/>
                <w:lang w:eastAsia="en-GB"/>
              </w:rPr>
            </w:pPr>
            <w:r w:rsidRPr="001A131A">
              <w:rPr>
                <w:rFonts w:ascii="Times New Roman" w:hAnsi="Times New Roman" w:cs="Times New Roman"/>
                <w:color w:val="000000"/>
                <w:sz w:val="20"/>
                <w:szCs w:val="20"/>
              </w:rPr>
              <w:t>-3%</w:t>
            </w:r>
          </w:p>
        </w:tc>
      </w:tr>
      <w:tr w:rsidR="00A755F5" w:rsidRPr="001A131A" w14:paraId="08E6C666" w14:textId="77777777" w:rsidTr="00A755F5">
        <w:trPr>
          <w:trHeight w:val="221"/>
          <w:jc w:val="center"/>
        </w:trPr>
        <w:tc>
          <w:tcPr>
            <w:tcW w:w="2852" w:type="dxa"/>
            <w:tcBorders>
              <w:top w:val="nil"/>
              <w:left w:val="single" w:sz="8" w:space="0" w:color="auto"/>
              <w:bottom w:val="single" w:sz="4" w:space="0" w:color="auto"/>
              <w:right w:val="single" w:sz="4" w:space="0" w:color="auto"/>
            </w:tcBorders>
            <w:shd w:val="clear" w:color="auto" w:fill="auto"/>
            <w:noWrap/>
            <w:vAlign w:val="bottom"/>
            <w:hideMark/>
          </w:tcPr>
          <w:p w14:paraId="16554A7F" w14:textId="0CA58867" w:rsidR="00A755F5" w:rsidRPr="001A131A" w:rsidRDefault="00A755F5" w:rsidP="00A755F5">
            <w:pPr>
              <w:spacing w:before="60" w:after="60" w:line="240" w:lineRule="auto"/>
              <w:jc w:val="both"/>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 xml:space="preserve">Hong Kong </w:t>
            </w:r>
            <w:r w:rsidR="000F4C35" w:rsidRPr="001A131A">
              <w:rPr>
                <w:rFonts w:ascii="Times New Roman" w:eastAsia="Times New Roman" w:hAnsi="Times New Roman" w:cs="Times New Roman"/>
                <w:color w:val="000000"/>
                <w:sz w:val="20"/>
                <w:szCs w:val="20"/>
                <w:lang w:eastAsia="en-GB"/>
              </w:rPr>
              <w:t>Sukuk</w:t>
            </w:r>
            <w:r w:rsidRPr="001A131A">
              <w:rPr>
                <w:rFonts w:ascii="Times New Roman" w:eastAsia="Times New Roman" w:hAnsi="Times New Roman" w:cs="Times New Roman"/>
                <w:color w:val="000000"/>
                <w:sz w:val="20"/>
                <w:szCs w:val="20"/>
                <w:lang w:eastAsia="en-GB"/>
              </w:rPr>
              <w:t xml:space="preserve"> Ltd </w:t>
            </w:r>
          </w:p>
        </w:tc>
        <w:tc>
          <w:tcPr>
            <w:tcW w:w="1506" w:type="dxa"/>
            <w:tcBorders>
              <w:top w:val="nil"/>
              <w:left w:val="nil"/>
              <w:bottom w:val="single" w:sz="4" w:space="0" w:color="auto"/>
              <w:right w:val="single" w:sz="4" w:space="0" w:color="auto"/>
            </w:tcBorders>
            <w:shd w:val="clear" w:color="auto" w:fill="auto"/>
            <w:noWrap/>
            <w:vAlign w:val="bottom"/>
            <w:hideMark/>
          </w:tcPr>
          <w:p w14:paraId="6117B19E"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-0.005%</w:t>
            </w:r>
          </w:p>
        </w:tc>
        <w:tc>
          <w:tcPr>
            <w:tcW w:w="1275" w:type="dxa"/>
            <w:tcBorders>
              <w:top w:val="nil"/>
              <w:left w:val="nil"/>
              <w:bottom w:val="single" w:sz="4" w:space="0" w:color="auto"/>
              <w:right w:val="single" w:sz="4" w:space="0" w:color="auto"/>
            </w:tcBorders>
            <w:shd w:val="clear" w:color="auto" w:fill="auto"/>
            <w:noWrap/>
            <w:vAlign w:val="bottom"/>
            <w:hideMark/>
          </w:tcPr>
          <w:p w14:paraId="6505DF2D"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0.000%</w:t>
            </w:r>
          </w:p>
        </w:tc>
        <w:tc>
          <w:tcPr>
            <w:tcW w:w="1445" w:type="dxa"/>
            <w:tcBorders>
              <w:top w:val="nil"/>
              <w:left w:val="nil"/>
              <w:bottom w:val="single" w:sz="4" w:space="0" w:color="auto"/>
              <w:right w:val="single" w:sz="8" w:space="0" w:color="auto"/>
            </w:tcBorders>
            <w:shd w:val="clear" w:color="auto" w:fill="auto"/>
            <w:noWrap/>
            <w:vAlign w:val="bottom"/>
            <w:hideMark/>
          </w:tcPr>
          <w:p w14:paraId="2D4FA6F4"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0.164%</w:t>
            </w:r>
          </w:p>
        </w:tc>
        <w:tc>
          <w:tcPr>
            <w:tcW w:w="1417" w:type="dxa"/>
            <w:tcBorders>
              <w:top w:val="nil"/>
              <w:left w:val="single" w:sz="4" w:space="0" w:color="auto"/>
              <w:bottom w:val="single" w:sz="4" w:space="0" w:color="auto"/>
              <w:right w:val="single" w:sz="4" w:space="0" w:color="auto"/>
            </w:tcBorders>
            <w:shd w:val="clear" w:color="auto" w:fill="auto"/>
            <w:vAlign w:val="bottom"/>
          </w:tcPr>
          <w:p w14:paraId="63C49DCE"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hAnsi="Times New Roman" w:cs="Times New Roman"/>
                <w:color w:val="000000"/>
                <w:sz w:val="20"/>
                <w:szCs w:val="20"/>
              </w:rPr>
              <w:t>-76%</w:t>
            </w:r>
          </w:p>
        </w:tc>
      </w:tr>
      <w:tr w:rsidR="00A755F5" w:rsidRPr="001A131A" w14:paraId="4CB4CBDF" w14:textId="77777777" w:rsidTr="00A755F5">
        <w:trPr>
          <w:trHeight w:val="221"/>
          <w:jc w:val="center"/>
        </w:trPr>
        <w:tc>
          <w:tcPr>
            <w:tcW w:w="2852" w:type="dxa"/>
            <w:tcBorders>
              <w:top w:val="nil"/>
              <w:left w:val="single" w:sz="8" w:space="0" w:color="auto"/>
              <w:bottom w:val="single" w:sz="4" w:space="0" w:color="auto"/>
              <w:right w:val="single" w:sz="4" w:space="0" w:color="auto"/>
            </w:tcBorders>
            <w:shd w:val="clear" w:color="auto" w:fill="auto"/>
            <w:noWrap/>
            <w:vAlign w:val="bottom"/>
            <w:hideMark/>
          </w:tcPr>
          <w:p w14:paraId="1855F360" w14:textId="3F1ACA9C" w:rsidR="00A755F5" w:rsidRPr="001A131A" w:rsidRDefault="00A755F5" w:rsidP="00A755F5">
            <w:pPr>
              <w:spacing w:before="60" w:after="60" w:line="240" w:lineRule="auto"/>
              <w:jc w:val="both"/>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 xml:space="preserve">Hong Kong </w:t>
            </w:r>
            <w:r w:rsidR="000F4C35" w:rsidRPr="001A131A">
              <w:rPr>
                <w:rFonts w:ascii="Times New Roman" w:eastAsia="Times New Roman" w:hAnsi="Times New Roman" w:cs="Times New Roman"/>
                <w:color w:val="000000"/>
                <w:sz w:val="20"/>
                <w:szCs w:val="20"/>
                <w:lang w:eastAsia="en-GB"/>
              </w:rPr>
              <w:t>Sukuk</w:t>
            </w:r>
            <w:r w:rsidRPr="001A131A">
              <w:rPr>
                <w:rFonts w:ascii="Times New Roman" w:eastAsia="Times New Roman" w:hAnsi="Times New Roman" w:cs="Times New Roman"/>
                <w:color w:val="000000"/>
                <w:sz w:val="20"/>
                <w:szCs w:val="20"/>
                <w:lang w:eastAsia="en-GB"/>
              </w:rPr>
              <w:t xml:space="preserve"> Ltd -Reg S</w:t>
            </w:r>
          </w:p>
        </w:tc>
        <w:tc>
          <w:tcPr>
            <w:tcW w:w="1506" w:type="dxa"/>
            <w:tcBorders>
              <w:top w:val="nil"/>
              <w:left w:val="nil"/>
              <w:bottom w:val="single" w:sz="4" w:space="0" w:color="auto"/>
              <w:right w:val="single" w:sz="4" w:space="0" w:color="auto"/>
            </w:tcBorders>
            <w:shd w:val="clear" w:color="auto" w:fill="auto"/>
            <w:noWrap/>
            <w:vAlign w:val="bottom"/>
            <w:hideMark/>
          </w:tcPr>
          <w:p w14:paraId="346665D2"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0.000%</w:t>
            </w:r>
          </w:p>
        </w:tc>
        <w:tc>
          <w:tcPr>
            <w:tcW w:w="1275" w:type="dxa"/>
            <w:tcBorders>
              <w:top w:val="nil"/>
              <w:left w:val="nil"/>
              <w:bottom w:val="single" w:sz="4" w:space="0" w:color="auto"/>
              <w:right w:val="single" w:sz="4" w:space="0" w:color="auto"/>
            </w:tcBorders>
            <w:shd w:val="clear" w:color="auto" w:fill="auto"/>
            <w:noWrap/>
            <w:vAlign w:val="bottom"/>
            <w:hideMark/>
          </w:tcPr>
          <w:p w14:paraId="575CE8C1"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0.001%</w:t>
            </w:r>
          </w:p>
        </w:tc>
        <w:tc>
          <w:tcPr>
            <w:tcW w:w="1445" w:type="dxa"/>
            <w:tcBorders>
              <w:top w:val="nil"/>
              <w:left w:val="nil"/>
              <w:bottom w:val="single" w:sz="4" w:space="0" w:color="auto"/>
              <w:right w:val="single" w:sz="8" w:space="0" w:color="auto"/>
            </w:tcBorders>
            <w:shd w:val="clear" w:color="auto" w:fill="auto"/>
            <w:noWrap/>
            <w:vAlign w:val="bottom"/>
            <w:hideMark/>
          </w:tcPr>
          <w:p w14:paraId="225A082F"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0.276%</w:t>
            </w:r>
          </w:p>
        </w:tc>
        <w:tc>
          <w:tcPr>
            <w:tcW w:w="1417" w:type="dxa"/>
            <w:tcBorders>
              <w:top w:val="nil"/>
              <w:left w:val="single" w:sz="4" w:space="0" w:color="auto"/>
              <w:bottom w:val="single" w:sz="4" w:space="0" w:color="auto"/>
              <w:right w:val="single" w:sz="4" w:space="0" w:color="auto"/>
            </w:tcBorders>
            <w:shd w:val="clear" w:color="auto" w:fill="auto"/>
            <w:vAlign w:val="bottom"/>
          </w:tcPr>
          <w:p w14:paraId="72F8C545"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hAnsi="Times New Roman" w:cs="Times New Roman"/>
                <w:color w:val="000000"/>
                <w:sz w:val="20"/>
                <w:szCs w:val="20"/>
              </w:rPr>
              <w:t>17%</w:t>
            </w:r>
          </w:p>
        </w:tc>
      </w:tr>
      <w:tr w:rsidR="00A755F5" w:rsidRPr="001A131A" w14:paraId="1810F888" w14:textId="77777777" w:rsidTr="00A755F5">
        <w:trPr>
          <w:trHeight w:val="221"/>
          <w:jc w:val="center"/>
        </w:trPr>
        <w:tc>
          <w:tcPr>
            <w:tcW w:w="2852" w:type="dxa"/>
            <w:tcBorders>
              <w:top w:val="nil"/>
              <w:left w:val="single" w:sz="8" w:space="0" w:color="auto"/>
              <w:bottom w:val="nil"/>
              <w:right w:val="single" w:sz="4" w:space="0" w:color="auto"/>
            </w:tcBorders>
            <w:shd w:val="clear" w:color="auto" w:fill="auto"/>
            <w:noWrap/>
            <w:vAlign w:val="bottom"/>
            <w:hideMark/>
          </w:tcPr>
          <w:p w14:paraId="4EFE01C1" w14:textId="77777777" w:rsidR="00A755F5" w:rsidRPr="001A131A" w:rsidRDefault="00A755F5" w:rsidP="00A755F5">
            <w:pPr>
              <w:spacing w:before="60" w:after="60" w:line="240" w:lineRule="auto"/>
              <w:jc w:val="both"/>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 xml:space="preserve">RAK Capital </w:t>
            </w:r>
          </w:p>
        </w:tc>
        <w:tc>
          <w:tcPr>
            <w:tcW w:w="1506" w:type="dxa"/>
            <w:tcBorders>
              <w:top w:val="nil"/>
              <w:left w:val="nil"/>
              <w:bottom w:val="nil"/>
              <w:right w:val="single" w:sz="4" w:space="0" w:color="auto"/>
            </w:tcBorders>
            <w:shd w:val="clear" w:color="auto" w:fill="auto"/>
            <w:noWrap/>
            <w:vAlign w:val="bottom"/>
            <w:hideMark/>
          </w:tcPr>
          <w:p w14:paraId="0196177E"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0.016%</w:t>
            </w:r>
          </w:p>
        </w:tc>
        <w:tc>
          <w:tcPr>
            <w:tcW w:w="1275" w:type="dxa"/>
            <w:tcBorders>
              <w:top w:val="nil"/>
              <w:left w:val="nil"/>
              <w:bottom w:val="nil"/>
              <w:right w:val="single" w:sz="4" w:space="0" w:color="auto"/>
            </w:tcBorders>
            <w:shd w:val="clear" w:color="auto" w:fill="auto"/>
            <w:noWrap/>
            <w:vAlign w:val="bottom"/>
            <w:hideMark/>
          </w:tcPr>
          <w:p w14:paraId="760FF019"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0.001%</w:t>
            </w:r>
          </w:p>
        </w:tc>
        <w:tc>
          <w:tcPr>
            <w:tcW w:w="1445" w:type="dxa"/>
            <w:tcBorders>
              <w:top w:val="nil"/>
              <w:left w:val="nil"/>
              <w:bottom w:val="nil"/>
              <w:right w:val="single" w:sz="8" w:space="0" w:color="auto"/>
            </w:tcBorders>
            <w:shd w:val="clear" w:color="auto" w:fill="auto"/>
            <w:noWrap/>
            <w:vAlign w:val="bottom"/>
            <w:hideMark/>
          </w:tcPr>
          <w:p w14:paraId="5C7AD92E"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0.321%</w:t>
            </w:r>
          </w:p>
        </w:tc>
        <w:tc>
          <w:tcPr>
            <w:tcW w:w="1417" w:type="dxa"/>
            <w:tcBorders>
              <w:top w:val="nil"/>
              <w:left w:val="single" w:sz="4" w:space="0" w:color="auto"/>
              <w:bottom w:val="single" w:sz="4" w:space="0" w:color="auto"/>
              <w:right w:val="single" w:sz="4" w:space="0" w:color="auto"/>
            </w:tcBorders>
            <w:shd w:val="clear" w:color="auto" w:fill="auto"/>
            <w:vAlign w:val="bottom"/>
          </w:tcPr>
          <w:p w14:paraId="6FEAA6E1"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hAnsi="Times New Roman" w:cs="Times New Roman"/>
                <w:color w:val="000000"/>
                <w:sz w:val="20"/>
                <w:szCs w:val="20"/>
              </w:rPr>
              <w:t>-64%</w:t>
            </w:r>
          </w:p>
        </w:tc>
      </w:tr>
      <w:tr w:rsidR="00A755F5" w:rsidRPr="001A131A" w14:paraId="6D031121" w14:textId="77777777" w:rsidTr="00A755F5">
        <w:trPr>
          <w:trHeight w:val="221"/>
          <w:jc w:val="center"/>
        </w:trPr>
        <w:tc>
          <w:tcPr>
            <w:tcW w:w="285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E1B375F" w14:textId="77777777" w:rsidR="00A755F5" w:rsidRPr="001A131A" w:rsidRDefault="00A755F5" w:rsidP="00A755F5">
            <w:pPr>
              <w:pStyle w:val="Heading6"/>
              <w:spacing w:before="60" w:after="60"/>
              <w:rPr>
                <w:rFonts w:ascii="Times New Roman" w:hAnsi="Times New Roman" w:cs="Times New Roman"/>
                <w:sz w:val="20"/>
                <w:szCs w:val="20"/>
              </w:rPr>
            </w:pPr>
            <w:r w:rsidRPr="001A131A">
              <w:rPr>
                <w:rFonts w:ascii="Times New Roman" w:hAnsi="Times New Roman" w:cs="Times New Roman"/>
                <w:sz w:val="20"/>
                <w:szCs w:val="20"/>
              </w:rPr>
              <w:t>Average</w:t>
            </w:r>
          </w:p>
        </w:tc>
        <w:tc>
          <w:tcPr>
            <w:tcW w:w="1506" w:type="dxa"/>
            <w:tcBorders>
              <w:top w:val="single" w:sz="8" w:space="0" w:color="auto"/>
              <w:left w:val="nil"/>
              <w:bottom w:val="single" w:sz="8" w:space="0" w:color="auto"/>
              <w:right w:val="single" w:sz="4" w:space="0" w:color="auto"/>
            </w:tcBorders>
            <w:shd w:val="clear" w:color="auto" w:fill="auto"/>
            <w:noWrap/>
            <w:vAlign w:val="bottom"/>
            <w:hideMark/>
          </w:tcPr>
          <w:p w14:paraId="552819AB" w14:textId="77777777" w:rsidR="00A755F5" w:rsidRPr="001A131A" w:rsidRDefault="00A755F5" w:rsidP="00A755F5">
            <w:pPr>
              <w:spacing w:before="60" w:after="60" w:line="240" w:lineRule="auto"/>
              <w:jc w:val="center"/>
              <w:rPr>
                <w:rFonts w:ascii="Times New Roman" w:eastAsia="Times New Roman" w:hAnsi="Times New Roman" w:cs="Times New Roman"/>
                <w:b/>
                <w:bCs/>
                <w:color w:val="000000"/>
                <w:sz w:val="20"/>
                <w:szCs w:val="20"/>
                <w:lang w:eastAsia="en-GB"/>
              </w:rPr>
            </w:pPr>
            <w:bookmarkStart w:id="55" w:name="OLE_LINK95"/>
            <w:bookmarkStart w:id="56" w:name="OLE_LINK101"/>
            <w:r w:rsidRPr="001A131A">
              <w:rPr>
                <w:rFonts w:ascii="Times New Roman" w:eastAsia="Times New Roman" w:hAnsi="Times New Roman" w:cs="Times New Roman"/>
                <w:b/>
                <w:bCs/>
                <w:color w:val="000000"/>
                <w:sz w:val="20"/>
                <w:szCs w:val="20"/>
                <w:lang w:eastAsia="en-GB"/>
              </w:rPr>
              <w:t>0.012%</w:t>
            </w:r>
            <w:bookmarkEnd w:id="55"/>
            <w:bookmarkEnd w:id="56"/>
          </w:p>
        </w:tc>
        <w:tc>
          <w:tcPr>
            <w:tcW w:w="1275" w:type="dxa"/>
            <w:tcBorders>
              <w:top w:val="single" w:sz="8" w:space="0" w:color="auto"/>
              <w:left w:val="nil"/>
              <w:bottom w:val="single" w:sz="8" w:space="0" w:color="auto"/>
              <w:right w:val="single" w:sz="4" w:space="0" w:color="auto"/>
            </w:tcBorders>
            <w:shd w:val="clear" w:color="auto" w:fill="auto"/>
            <w:noWrap/>
            <w:vAlign w:val="bottom"/>
            <w:hideMark/>
          </w:tcPr>
          <w:p w14:paraId="7E6D8D02" w14:textId="77777777" w:rsidR="00A755F5" w:rsidRPr="001A131A" w:rsidRDefault="00A755F5" w:rsidP="00A755F5">
            <w:pPr>
              <w:spacing w:before="60" w:after="60" w:line="240" w:lineRule="auto"/>
              <w:jc w:val="center"/>
              <w:rPr>
                <w:rFonts w:ascii="Times New Roman" w:eastAsia="Times New Roman" w:hAnsi="Times New Roman" w:cs="Times New Roman"/>
                <w:b/>
                <w:bCs/>
                <w:color w:val="000000"/>
                <w:sz w:val="20"/>
                <w:szCs w:val="20"/>
                <w:lang w:eastAsia="en-GB"/>
              </w:rPr>
            </w:pPr>
            <w:r w:rsidRPr="001A131A">
              <w:rPr>
                <w:rFonts w:ascii="Times New Roman" w:eastAsia="Times New Roman" w:hAnsi="Times New Roman" w:cs="Times New Roman"/>
                <w:b/>
                <w:bCs/>
                <w:color w:val="000000"/>
                <w:sz w:val="20"/>
                <w:szCs w:val="20"/>
                <w:lang w:eastAsia="en-GB"/>
              </w:rPr>
              <w:t>0.003%</w:t>
            </w:r>
          </w:p>
        </w:tc>
        <w:tc>
          <w:tcPr>
            <w:tcW w:w="1445" w:type="dxa"/>
            <w:tcBorders>
              <w:top w:val="single" w:sz="8" w:space="0" w:color="auto"/>
              <w:left w:val="nil"/>
              <w:bottom w:val="single" w:sz="8" w:space="0" w:color="auto"/>
              <w:right w:val="single" w:sz="8" w:space="0" w:color="auto"/>
            </w:tcBorders>
            <w:shd w:val="clear" w:color="auto" w:fill="auto"/>
            <w:noWrap/>
            <w:vAlign w:val="bottom"/>
            <w:hideMark/>
          </w:tcPr>
          <w:p w14:paraId="4BC78867" w14:textId="77777777" w:rsidR="00A755F5" w:rsidRPr="001A131A" w:rsidRDefault="00A755F5" w:rsidP="00A755F5">
            <w:pPr>
              <w:spacing w:before="60" w:after="60" w:line="240" w:lineRule="auto"/>
              <w:jc w:val="center"/>
              <w:rPr>
                <w:rFonts w:ascii="Times New Roman" w:eastAsia="Times New Roman" w:hAnsi="Times New Roman" w:cs="Times New Roman"/>
                <w:b/>
                <w:bCs/>
                <w:color w:val="000000"/>
                <w:sz w:val="20"/>
                <w:szCs w:val="20"/>
                <w:lang w:eastAsia="en-GB"/>
              </w:rPr>
            </w:pPr>
            <w:r w:rsidRPr="001A131A">
              <w:rPr>
                <w:rFonts w:ascii="Times New Roman" w:eastAsia="Times New Roman" w:hAnsi="Times New Roman" w:cs="Times New Roman"/>
                <w:b/>
                <w:bCs/>
                <w:color w:val="000000"/>
                <w:sz w:val="20"/>
                <w:szCs w:val="20"/>
                <w:lang w:eastAsia="en-GB"/>
              </w:rPr>
              <w:t>0.432%</w:t>
            </w:r>
          </w:p>
        </w:tc>
        <w:tc>
          <w:tcPr>
            <w:tcW w:w="1417" w:type="dxa"/>
            <w:tcBorders>
              <w:top w:val="nil"/>
              <w:left w:val="nil"/>
              <w:bottom w:val="single" w:sz="4" w:space="0" w:color="auto"/>
              <w:right w:val="single" w:sz="4" w:space="0" w:color="auto"/>
            </w:tcBorders>
            <w:shd w:val="clear" w:color="auto" w:fill="auto"/>
            <w:vAlign w:val="bottom"/>
          </w:tcPr>
          <w:p w14:paraId="40C8A8DE" w14:textId="77777777" w:rsidR="00A755F5" w:rsidRPr="001A131A" w:rsidRDefault="00A755F5" w:rsidP="00A755F5">
            <w:pPr>
              <w:spacing w:before="60" w:after="60" w:line="240" w:lineRule="auto"/>
              <w:jc w:val="center"/>
              <w:rPr>
                <w:rFonts w:ascii="Times New Roman" w:eastAsia="Times New Roman" w:hAnsi="Times New Roman" w:cs="Times New Roman"/>
                <w:b/>
                <w:bCs/>
                <w:color w:val="000000"/>
                <w:sz w:val="20"/>
                <w:szCs w:val="20"/>
                <w:lang w:eastAsia="en-GB"/>
              </w:rPr>
            </w:pPr>
            <w:r w:rsidRPr="001A131A">
              <w:rPr>
                <w:rFonts w:ascii="Times New Roman" w:hAnsi="Times New Roman" w:cs="Times New Roman"/>
                <w:b/>
                <w:bCs/>
                <w:color w:val="000000"/>
                <w:sz w:val="20"/>
                <w:szCs w:val="20"/>
              </w:rPr>
              <w:t>-35%</w:t>
            </w:r>
          </w:p>
        </w:tc>
      </w:tr>
      <w:bookmarkEnd w:id="54"/>
    </w:tbl>
    <w:p w14:paraId="747A68D2" w14:textId="77777777" w:rsidR="009257A1" w:rsidRDefault="009257A1" w:rsidP="00A755F5">
      <w:pPr>
        <w:spacing w:before="120" w:after="120" w:line="360" w:lineRule="auto"/>
        <w:jc w:val="both"/>
        <w:rPr>
          <w:rFonts w:ascii="Times New Roman" w:hAnsi="Times New Roman" w:cs="Times New Roman"/>
          <w:color w:val="000000"/>
          <w:sz w:val="24"/>
          <w:szCs w:val="24"/>
          <w:shd w:val="clear" w:color="auto" w:fill="FFFFFF"/>
        </w:rPr>
      </w:pPr>
    </w:p>
    <w:p w14:paraId="24972B42" w14:textId="3A20F879" w:rsidR="00A755F5" w:rsidRPr="00251B2C" w:rsidRDefault="00A755F5" w:rsidP="00A755F5">
      <w:pPr>
        <w:spacing w:before="120" w:after="120" w:line="360" w:lineRule="auto"/>
        <w:jc w:val="both"/>
        <w:rPr>
          <w:rStyle w:val="mceitemhidden"/>
          <w:rFonts w:ascii="Times New Roman" w:hAnsi="Times New Roman" w:cs="Times New Roman"/>
          <w:color w:val="000000"/>
          <w:sz w:val="24"/>
          <w:szCs w:val="24"/>
          <w:shd w:val="clear" w:color="auto" w:fill="FFFFFF"/>
        </w:rPr>
      </w:pPr>
      <w:bookmarkStart w:id="57" w:name="OLE_LINK94"/>
      <w:bookmarkStart w:id="58" w:name="OLE_LINK131"/>
      <w:r w:rsidRPr="00251B2C">
        <w:rPr>
          <w:rFonts w:ascii="Times New Roman" w:hAnsi="Times New Roman" w:cs="Times New Roman"/>
          <w:color w:val="000000"/>
          <w:sz w:val="24"/>
          <w:szCs w:val="24"/>
          <w:shd w:val="clear" w:color="auto" w:fill="FFFFFF"/>
        </w:rPr>
        <w:t xml:space="preserve">As shown in the </w:t>
      </w:r>
      <w:r w:rsidR="009257A1">
        <w:rPr>
          <w:rFonts w:ascii="Times New Roman" w:hAnsi="Times New Roman" w:cs="Times New Roman"/>
          <w:sz w:val="24"/>
          <w:szCs w:val="24"/>
        </w:rPr>
        <w:t>Table 3</w:t>
      </w:r>
      <w:r w:rsidRPr="00251B2C">
        <w:rPr>
          <w:rFonts w:ascii="Times New Roman" w:hAnsi="Times New Roman" w:cs="Times New Roman"/>
          <w:color w:val="000000"/>
          <w:sz w:val="24"/>
          <w:szCs w:val="24"/>
          <w:shd w:val="clear" w:color="auto" w:fill="FFFFFF"/>
        </w:rPr>
        <w:t xml:space="preserve">, most of the </w:t>
      </w:r>
      <w:r w:rsidR="000F4C35">
        <w:rPr>
          <w:rFonts w:ascii="Times New Roman" w:hAnsi="Times New Roman" w:cs="Times New Roman"/>
          <w:color w:val="000000"/>
          <w:sz w:val="24"/>
          <w:szCs w:val="24"/>
          <w:shd w:val="clear" w:color="auto" w:fill="FFFFFF"/>
        </w:rPr>
        <w:t>Sukuk</w:t>
      </w:r>
      <w:r w:rsidRPr="00251B2C">
        <w:rPr>
          <w:rFonts w:ascii="Times New Roman" w:hAnsi="Times New Roman" w:cs="Times New Roman"/>
          <w:color w:val="000000"/>
          <w:sz w:val="24"/>
          <w:szCs w:val="24"/>
          <w:shd w:val="clear" w:color="auto" w:fill="FFFFFF"/>
        </w:rPr>
        <w:t xml:space="preserve"> issuances have a positive mean </w:t>
      </w:r>
      <w:r w:rsidRPr="00251B2C">
        <w:rPr>
          <w:rFonts w:ascii="Times New Roman" w:eastAsia="Times New Roman" w:hAnsi="Times New Roman" w:cs="Times New Roman"/>
          <w:bCs/>
          <w:color w:val="000000"/>
          <w:sz w:val="24"/>
          <w:szCs w:val="24"/>
          <w:lang w:eastAsia="en-GB"/>
        </w:rPr>
        <w:t>0.012%</w:t>
      </w:r>
      <w:r w:rsidRPr="00251B2C">
        <w:rPr>
          <w:rFonts w:ascii="Times New Roman" w:hAnsi="Times New Roman" w:cs="Times New Roman"/>
          <w:color w:val="000000"/>
          <w:sz w:val="24"/>
          <w:szCs w:val="24"/>
          <w:shd w:val="clear" w:color="auto" w:fill="FFFFFF"/>
        </w:rPr>
        <w:t xml:space="preserve">, except for DP World </w:t>
      </w:r>
      <w:r w:rsidR="000F4C35" w:rsidRPr="00176F60">
        <w:rPr>
          <w:rFonts w:ascii="Times New Roman" w:hAnsi="Times New Roman" w:cs="Times New Roman"/>
          <w:i/>
          <w:iCs/>
          <w:color w:val="000000"/>
          <w:sz w:val="24"/>
          <w:szCs w:val="24"/>
          <w:shd w:val="clear" w:color="auto" w:fill="FFFFFF"/>
        </w:rPr>
        <w:t>Sukuk</w:t>
      </w:r>
      <w:r w:rsidRPr="00251B2C">
        <w:rPr>
          <w:rFonts w:ascii="Times New Roman" w:hAnsi="Times New Roman" w:cs="Times New Roman"/>
          <w:color w:val="000000"/>
          <w:sz w:val="24"/>
          <w:szCs w:val="24"/>
          <w:shd w:val="clear" w:color="auto" w:fill="FFFFFF"/>
        </w:rPr>
        <w:t xml:space="preserve"> Ltd IDB Trust Services Ltd, and Hong Kong </w:t>
      </w:r>
      <w:r w:rsidR="000F4C35" w:rsidRPr="00176F60">
        <w:rPr>
          <w:rFonts w:ascii="Times New Roman" w:hAnsi="Times New Roman" w:cs="Times New Roman"/>
          <w:i/>
          <w:iCs/>
          <w:color w:val="000000"/>
          <w:sz w:val="24"/>
          <w:szCs w:val="24"/>
          <w:shd w:val="clear" w:color="auto" w:fill="FFFFFF"/>
        </w:rPr>
        <w:t>Sukuk</w:t>
      </w:r>
      <w:r w:rsidRPr="00251B2C">
        <w:rPr>
          <w:rFonts w:ascii="Times New Roman" w:hAnsi="Times New Roman" w:cs="Times New Roman"/>
          <w:color w:val="000000"/>
          <w:sz w:val="24"/>
          <w:szCs w:val="24"/>
          <w:shd w:val="clear" w:color="auto" w:fill="FFFFFF"/>
        </w:rPr>
        <w:t xml:space="preserve"> Ltd which shows a negative of expected daily returns. Also, </w:t>
      </w:r>
      <w:r w:rsidRPr="00251B2C">
        <w:rPr>
          <w:rStyle w:val="mceitemhidden"/>
          <w:rFonts w:ascii="Times New Roman" w:hAnsi="Times New Roman" w:cs="Times New Roman"/>
          <w:color w:val="000000"/>
          <w:sz w:val="24"/>
          <w:szCs w:val="24"/>
          <w:shd w:val="clear" w:color="auto" w:fill="FFFFFF"/>
        </w:rPr>
        <w:t>Dar</w:t>
      </w:r>
      <w:r w:rsidRPr="00251B2C">
        <w:rPr>
          <w:rStyle w:val="apple-converted-space"/>
          <w:rFonts w:ascii="Times New Roman" w:hAnsi="Times New Roman" w:cs="Times New Roman"/>
          <w:color w:val="000000"/>
          <w:sz w:val="24"/>
          <w:szCs w:val="24"/>
          <w:shd w:val="clear" w:color="auto" w:fill="FFFFFF"/>
        </w:rPr>
        <w:t> </w:t>
      </w:r>
      <w:r w:rsidRPr="00251B2C">
        <w:rPr>
          <w:rStyle w:val="hiddenspellerror"/>
          <w:rFonts w:ascii="Times New Roman" w:hAnsi="Times New Roman" w:cs="Times New Roman"/>
          <w:color w:val="000000"/>
          <w:sz w:val="24"/>
          <w:szCs w:val="24"/>
          <w:shd w:val="clear" w:color="auto" w:fill="FFFFFF"/>
        </w:rPr>
        <w:t>Al-</w:t>
      </w:r>
      <w:proofErr w:type="spellStart"/>
      <w:r w:rsidRPr="00251B2C">
        <w:rPr>
          <w:rStyle w:val="hiddenspellerror"/>
          <w:rFonts w:ascii="Times New Roman" w:hAnsi="Times New Roman" w:cs="Times New Roman"/>
          <w:color w:val="000000"/>
          <w:sz w:val="24"/>
          <w:szCs w:val="24"/>
          <w:shd w:val="clear" w:color="auto" w:fill="FFFFFF"/>
        </w:rPr>
        <w:t>Arkam</w:t>
      </w:r>
      <w:proofErr w:type="spellEnd"/>
      <w:r w:rsidRPr="00251B2C">
        <w:rPr>
          <w:rStyle w:val="apple-converted-space"/>
          <w:rFonts w:ascii="Times New Roman" w:hAnsi="Times New Roman" w:cs="Times New Roman"/>
          <w:color w:val="000000"/>
          <w:sz w:val="24"/>
          <w:szCs w:val="24"/>
          <w:shd w:val="clear" w:color="auto" w:fill="FFFFFF"/>
        </w:rPr>
        <w:t> </w:t>
      </w:r>
      <w:r w:rsidR="000F4C35" w:rsidRPr="00176F60">
        <w:rPr>
          <w:rStyle w:val="hiddenspellerror"/>
          <w:rFonts w:ascii="Times New Roman" w:hAnsi="Times New Roman" w:cs="Times New Roman"/>
          <w:i/>
          <w:iCs/>
          <w:color w:val="000000"/>
          <w:sz w:val="24"/>
          <w:szCs w:val="24"/>
          <w:shd w:val="clear" w:color="auto" w:fill="FFFFFF"/>
        </w:rPr>
        <w:t>Sukuk</w:t>
      </w:r>
      <w:r w:rsidRPr="00251B2C">
        <w:rPr>
          <w:rStyle w:val="hiddenspellerror"/>
          <w:rFonts w:ascii="Times New Roman" w:hAnsi="Times New Roman" w:cs="Times New Roman"/>
          <w:color w:val="000000"/>
          <w:sz w:val="24"/>
          <w:szCs w:val="24"/>
          <w:shd w:val="clear" w:color="auto" w:fill="FFFFFF"/>
        </w:rPr>
        <w:t xml:space="preserve"> and JAFZ</w:t>
      </w:r>
      <w:r w:rsidRPr="00251B2C">
        <w:rPr>
          <w:rStyle w:val="apple-converted-space"/>
          <w:rFonts w:ascii="Times New Roman" w:hAnsi="Times New Roman" w:cs="Times New Roman"/>
          <w:color w:val="000000"/>
          <w:sz w:val="24"/>
          <w:szCs w:val="24"/>
          <w:shd w:val="clear" w:color="auto" w:fill="FFFFFF"/>
        </w:rPr>
        <w:t> </w:t>
      </w:r>
      <w:r w:rsidR="000F4C35" w:rsidRPr="00176F60">
        <w:rPr>
          <w:rStyle w:val="hiddenspellerror"/>
          <w:rFonts w:ascii="Times New Roman" w:hAnsi="Times New Roman" w:cs="Times New Roman"/>
          <w:i/>
          <w:iCs/>
          <w:color w:val="000000"/>
          <w:sz w:val="24"/>
          <w:szCs w:val="24"/>
          <w:shd w:val="clear" w:color="auto" w:fill="FFFFFF"/>
        </w:rPr>
        <w:t>Sukuk</w:t>
      </w:r>
      <w:r w:rsidRPr="00251B2C">
        <w:rPr>
          <w:rStyle w:val="apple-converted-space"/>
          <w:rFonts w:ascii="Times New Roman" w:hAnsi="Times New Roman" w:cs="Times New Roman"/>
          <w:color w:val="000000"/>
          <w:sz w:val="24"/>
          <w:szCs w:val="24"/>
          <w:shd w:val="clear" w:color="auto" w:fill="FFFFFF"/>
        </w:rPr>
        <w:t> </w:t>
      </w:r>
      <w:r w:rsidRPr="00251B2C">
        <w:rPr>
          <w:rStyle w:val="mceitemhidden"/>
          <w:rFonts w:ascii="Times New Roman" w:hAnsi="Times New Roman" w:cs="Times New Roman"/>
          <w:color w:val="000000"/>
          <w:sz w:val="24"/>
          <w:szCs w:val="24"/>
          <w:shd w:val="clear" w:color="auto" w:fill="FFFFFF"/>
        </w:rPr>
        <w:t xml:space="preserve">Ltd dispense the highest volatility of 0.899% and 0.882% in which their daily returns are more volatile than the others. In addition, DIB </w:t>
      </w:r>
      <w:r w:rsidR="000F4C35" w:rsidRPr="00176F60">
        <w:rPr>
          <w:rStyle w:val="mceitemhidden"/>
          <w:rFonts w:ascii="Times New Roman" w:hAnsi="Times New Roman" w:cs="Times New Roman"/>
          <w:i/>
          <w:iCs/>
          <w:color w:val="000000"/>
          <w:sz w:val="24"/>
          <w:szCs w:val="24"/>
          <w:shd w:val="clear" w:color="auto" w:fill="FFFFFF"/>
        </w:rPr>
        <w:t>Sukuk</w:t>
      </w:r>
      <w:r w:rsidRPr="00251B2C">
        <w:rPr>
          <w:rStyle w:val="mceitemhidden"/>
          <w:rFonts w:ascii="Times New Roman" w:hAnsi="Times New Roman" w:cs="Times New Roman"/>
          <w:color w:val="000000"/>
          <w:sz w:val="24"/>
          <w:szCs w:val="24"/>
          <w:shd w:val="clear" w:color="auto" w:fill="FFFFFF"/>
        </w:rPr>
        <w:t xml:space="preserve"> Ltd has a higher volatility of 0.722% too. </w:t>
      </w:r>
    </w:p>
    <w:p w14:paraId="56633A1F" w14:textId="1DE91DC4" w:rsidR="00A755F5" w:rsidRPr="00251B2C" w:rsidRDefault="009257A1" w:rsidP="00A755F5">
      <w:pPr>
        <w:pStyle w:val="Caption"/>
        <w:keepNext/>
        <w:rPr>
          <w:rFonts w:ascii="Times New Roman" w:hAnsi="Times New Roman" w:cs="Times New Roman"/>
          <w:sz w:val="24"/>
          <w:szCs w:val="24"/>
        </w:rPr>
      </w:pPr>
      <w:bookmarkStart w:id="59" w:name="_Toc481617433"/>
      <w:bookmarkEnd w:id="57"/>
      <w:r>
        <w:rPr>
          <w:rFonts w:ascii="Times New Roman" w:hAnsi="Times New Roman" w:cs="Times New Roman"/>
          <w:sz w:val="24"/>
          <w:szCs w:val="24"/>
        </w:rPr>
        <w:lastRenderedPageBreak/>
        <w:t>Figure 2</w:t>
      </w:r>
      <w:r w:rsidR="00104535">
        <w:rPr>
          <w:rFonts w:ascii="Times New Roman" w:hAnsi="Times New Roman" w:cs="Times New Roman"/>
          <w:sz w:val="24"/>
          <w:szCs w:val="24"/>
        </w:rPr>
        <w:t>: Distribution of Average Daily R</w:t>
      </w:r>
      <w:r w:rsidR="00A755F5" w:rsidRPr="00251B2C">
        <w:rPr>
          <w:rFonts w:ascii="Times New Roman" w:hAnsi="Times New Roman" w:cs="Times New Roman"/>
          <w:sz w:val="24"/>
          <w:szCs w:val="24"/>
        </w:rPr>
        <w:t xml:space="preserve">eturns for </w:t>
      </w:r>
      <w:r w:rsidR="000F4C35">
        <w:rPr>
          <w:rFonts w:ascii="Times New Roman" w:hAnsi="Times New Roman" w:cs="Times New Roman"/>
          <w:sz w:val="24"/>
          <w:szCs w:val="24"/>
        </w:rPr>
        <w:t>Sukuk</w:t>
      </w:r>
      <w:bookmarkEnd w:id="59"/>
    </w:p>
    <w:p w14:paraId="37B9AB7A" w14:textId="77777777" w:rsidR="00A755F5" w:rsidRPr="00251B2C" w:rsidRDefault="00A755F5" w:rsidP="00A755F5">
      <w:pPr>
        <w:spacing w:before="120" w:after="120" w:line="360" w:lineRule="auto"/>
        <w:jc w:val="both"/>
        <w:rPr>
          <w:rStyle w:val="mceitemhidden"/>
          <w:rFonts w:ascii="Times New Roman" w:hAnsi="Times New Roman" w:cs="Times New Roman"/>
          <w:color w:val="000000"/>
          <w:sz w:val="24"/>
          <w:szCs w:val="24"/>
          <w:shd w:val="clear" w:color="auto" w:fill="FFFFFF"/>
        </w:rPr>
      </w:pPr>
      <w:r w:rsidRPr="00251B2C">
        <w:rPr>
          <w:rFonts w:ascii="Times New Roman" w:hAnsi="Times New Roman" w:cs="Times New Roman"/>
          <w:noProof/>
          <w:sz w:val="24"/>
          <w:szCs w:val="24"/>
          <w:lang w:eastAsia="en-GB"/>
        </w:rPr>
        <w:drawing>
          <wp:inline distT="0" distB="0" distL="0" distR="0" wp14:anchorId="10DB6F46" wp14:editId="43A5B773">
            <wp:extent cx="4943475" cy="2235200"/>
            <wp:effectExtent l="0" t="0" r="9525" b="12700"/>
            <wp:docPr id="5" name="Chart 5">
              <a:extLst xmlns:a="http://schemas.openxmlformats.org/drawingml/2006/main">
                <a:ext uri="{FF2B5EF4-FFF2-40B4-BE49-F238E27FC236}">
                  <a16:creationId xmlns:a16="http://schemas.microsoft.com/office/drawing/2014/main" id="{D8A8AE5A-DDE8-4832-88B9-0B267411B6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8F43698" w14:textId="2FB2F322" w:rsidR="00A755F5" w:rsidRPr="00251B2C" w:rsidRDefault="00A755F5" w:rsidP="00A755F5">
      <w:pPr>
        <w:spacing w:before="120" w:after="120" w:line="360" w:lineRule="auto"/>
        <w:jc w:val="both"/>
        <w:rPr>
          <w:rFonts w:ascii="Times New Roman" w:hAnsi="Times New Roman" w:cs="Times New Roman"/>
          <w:sz w:val="24"/>
          <w:szCs w:val="24"/>
        </w:rPr>
      </w:pPr>
      <w:bookmarkStart w:id="60" w:name="_Hlk481092472"/>
      <w:r w:rsidRPr="00251B2C">
        <w:rPr>
          <w:rFonts w:ascii="Times New Roman" w:hAnsi="Times New Roman" w:cs="Times New Roman"/>
          <w:sz w:val="24"/>
          <w:szCs w:val="24"/>
        </w:rPr>
        <w:t xml:space="preserve">Furthermore, </w:t>
      </w:r>
      <w:r w:rsidR="005E1BF6">
        <w:rPr>
          <w:rFonts w:ascii="Times New Roman" w:hAnsi="Times New Roman" w:cs="Times New Roman"/>
          <w:sz w:val="24"/>
          <w:szCs w:val="24"/>
        </w:rPr>
        <w:t xml:space="preserve">the above </w:t>
      </w:r>
      <w:r w:rsidR="009257A1">
        <w:rPr>
          <w:rFonts w:ascii="Times New Roman" w:hAnsi="Times New Roman" w:cs="Times New Roman"/>
          <w:sz w:val="24"/>
          <w:szCs w:val="24"/>
        </w:rPr>
        <w:t>Figure 2</w:t>
      </w:r>
      <w:r w:rsidRPr="00251B2C">
        <w:rPr>
          <w:rFonts w:ascii="Times New Roman" w:hAnsi="Times New Roman" w:cs="Times New Roman"/>
          <w:sz w:val="24"/>
          <w:szCs w:val="24"/>
        </w:rPr>
        <w:t xml:space="preserve"> indicates that the expected daily returns are not normally distributed around the </w:t>
      </w:r>
      <w:r w:rsidR="00894B89" w:rsidRPr="00251B2C">
        <w:rPr>
          <w:rFonts w:ascii="Times New Roman" w:hAnsi="Times New Roman" w:cs="Times New Roman"/>
          <w:sz w:val="24"/>
          <w:szCs w:val="24"/>
        </w:rPr>
        <w:t>mean but</w:t>
      </w:r>
      <w:r w:rsidRPr="00251B2C">
        <w:rPr>
          <w:rFonts w:ascii="Times New Roman" w:hAnsi="Times New Roman" w:cs="Times New Roman"/>
          <w:sz w:val="24"/>
          <w:szCs w:val="24"/>
        </w:rPr>
        <w:t xml:space="preserve"> inclined more towards negative values in</w:t>
      </w:r>
      <w:r w:rsidR="007E4E77">
        <w:rPr>
          <w:rFonts w:ascii="Times New Roman" w:hAnsi="Times New Roman" w:cs="Times New Roman"/>
          <w:sz w:val="24"/>
          <w:szCs w:val="24"/>
        </w:rPr>
        <w:t xml:space="preserve"> the</w:t>
      </w:r>
      <w:r w:rsidRPr="00251B2C">
        <w:rPr>
          <w:rFonts w:ascii="Times New Roman" w:hAnsi="Times New Roman" w:cs="Times New Roman"/>
          <w:sz w:val="24"/>
          <w:szCs w:val="24"/>
        </w:rPr>
        <w:t xml:space="preserve"> left tail. </w:t>
      </w:r>
      <w:bookmarkStart w:id="61" w:name="OLE_LINK220"/>
      <w:r w:rsidRPr="00251B2C">
        <w:rPr>
          <w:rFonts w:ascii="Times New Roman" w:hAnsi="Times New Roman" w:cs="Times New Roman"/>
          <w:sz w:val="24"/>
          <w:szCs w:val="24"/>
        </w:rPr>
        <w:t xml:space="preserve">Whereas, the return distribution of </w:t>
      </w:r>
      <w:r w:rsidR="000F4C35" w:rsidRPr="00176F60">
        <w:rPr>
          <w:rFonts w:ascii="Times New Roman" w:hAnsi="Times New Roman" w:cs="Times New Roman"/>
          <w:i/>
          <w:iCs/>
          <w:sz w:val="24"/>
          <w:szCs w:val="24"/>
        </w:rPr>
        <w:t>Sukuk</w:t>
      </w:r>
      <w:r w:rsidRPr="00251B2C">
        <w:rPr>
          <w:rFonts w:ascii="Times New Roman" w:hAnsi="Times New Roman" w:cs="Times New Roman"/>
          <w:sz w:val="24"/>
          <w:szCs w:val="24"/>
        </w:rPr>
        <w:t xml:space="preserve"> are skewed and falls in the left tail. Also, there are some extreme daily return outliers that effects overall daily return distributions. More precisely, the expected returns of </w:t>
      </w:r>
      <w:r w:rsidR="000F4C35" w:rsidRPr="00176F60">
        <w:rPr>
          <w:rFonts w:ascii="Times New Roman" w:hAnsi="Times New Roman" w:cs="Times New Roman"/>
          <w:i/>
          <w:iCs/>
          <w:sz w:val="24"/>
          <w:szCs w:val="24"/>
        </w:rPr>
        <w:t>Sukuk</w:t>
      </w:r>
      <w:r w:rsidRPr="00251B2C">
        <w:rPr>
          <w:rFonts w:ascii="Times New Roman" w:hAnsi="Times New Roman" w:cs="Times New Roman"/>
          <w:sz w:val="24"/>
          <w:szCs w:val="24"/>
        </w:rPr>
        <w:t xml:space="preserve"> are more left </w:t>
      </w:r>
      <w:r w:rsidR="005E1BF6">
        <w:rPr>
          <w:rFonts w:ascii="Times New Roman" w:hAnsi="Times New Roman" w:cs="Times New Roman"/>
          <w:sz w:val="24"/>
          <w:szCs w:val="24"/>
        </w:rPr>
        <w:t xml:space="preserve">skewed as presented in </w:t>
      </w:r>
      <w:r w:rsidR="00176F60">
        <w:rPr>
          <w:rFonts w:ascii="Times New Roman" w:hAnsi="Times New Roman" w:cs="Times New Roman"/>
          <w:sz w:val="24"/>
          <w:szCs w:val="24"/>
        </w:rPr>
        <w:t>Figure 2</w:t>
      </w:r>
      <w:r w:rsidRPr="00251B2C">
        <w:rPr>
          <w:rFonts w:ascii="Times New Roman" w:hAnsi="Times New Roman" w:cs="Times New Roman"/>
          <w:sz w:val="24"/>
          <w:szCs w:val="24"/>
        </w:rPr>
        <w:t xml:space="preserve">. </w:t>
      </w:r>
      <w:bookmarkStart w:id="62" w:name="OLE_LINK11"/>
      <w:r w:rsidRPr="00251B2C">
        <w:rPr>
          <w:rFonts w:ascii="Times New Roman" w:hAnsi="Times New Roman" w:cs="Times New Roman"/>
          <w:sz w:val="24"/>
          <w:szCs w:val="24"/>
        </w:rPr>
        <w:t xml:space="preserve">This means that daily returns of </w:t>
      </w:r>
      <w:r w:rsidR="000F4C35" w:rsidRPr="00176F60">
        <w:rPr>
          <w:rFonts w:ascii="Times New Roman" w:hAnsi="Times New Roman" w:cs="Times New Roman"/>
          <w:i/>
          <w:iCs/>
          <w:sz w:val="24"/>
          <w:szCs w:val="24"/>
        </w:rPr>
        <w:t>Sukuk</w:t>
      </w:r>
      <w:r w:rsidRPr="00251B2C">
        <w:rPr>
          <w:rFonts w:ascii="Times New Roman" w:hAnsi="Times New Roman" w:cs="Times New Roman"/>
          <w:sz w:val="24"/>
          <w:szCs w:val="24"/>
        </w:rPr>
        <w:t xml:space="preserve"> are in negative outcome which clusters more in left tail. </w:t>
      </w:r>
      <w:bookmarkEnd w:id="60"/>
    </w:p>
    <w:bookmarkEnd w:id="61"/>
    <w:bookmarkEnd w:id="62"/>
    <w:p w14:paraId="7BDF45CC" w14:textId="336707CF" w:rsidR="00A755F5" w:rsidRPr="00251B2C" w:rsidRDefault="0088025E" w:rsidP="00AB51F2">
      <w:pPr>
        <w:spacing w:before="120" w:after="12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As shown in </w:t>
      </w:r>
      <w:r w:rsidR="00965789">
        <w:rPr>
          <w:rFonts w:ascii="Times New Roman" w:hAnsi="Times New Roman" w:cs="Times New Roman"/>
          <w:color w:val="000000"/>
          <w:sz w:val="24"/>
          <w:szCs w:val="24"/>
          <w:shd w:val="clear" w:color="auto" w:fill="FFFFFF"/>
        </w:rPr>
        <w:t>Table 4</w:t>
      </w:r>
      <w:r w:rsidR="00A755F5" w:rsidRPr="00251B2C">
        <w:rPr>
          <w:rFonts w:ascii="Times New Roman" w:hAnsi="Times New Roman" w:cs="Times New Roman"/>
          <w:color w:val="000000"/>
          <w:sz w:val="24"/>
          <w:szCs w:val="24"/>
          <w:shd w:val="clear" w:color="auto" w:fill="FFFFFF"/>
        </w:rPr>
        <w:t xml:space="preserve">, most of the conventional bonds also have a positive mean, except for Dubai Holding C.o. Ltd, Emirates NBD PJSC 2015, and ICD Funding Ltd that shows a negative mean of daily returns as well as ICD Funding Ltd which provides a higher standard deviation of 0.760%, this shows that the expected of ICD Funding has a higher spread of returns when compared to other bonds. In general, conventional bonds daily returns are less volatile compared to </w:t>
      </w:r>
      <w:r w:rsidR="000F4C35">
        <w:rPr>
          <w:rFonts w:ascii="Times New Roman" w:hAnsi="Times New Roman" w:cs="Times New Roman"/>
          <w:color w:val="000000"/>
          <w:sz w:val="24"/>
          <w:szCs w:val="24"/>
          <w:shd w:val="clear" w:color="auto" w:fill="FFFFFF"/>
        </w:rPr>
        <w:t>Sukuk</w:t>
      </w:r>
      <w:r w:rsidR="00A755F5" w:rsidRPr="00251B2C">
        <w:rPr>
          <w:rFonts w:ascii="Times New Roman" w:hAnsi="Times New Roman" w:cs="Times New Roman"/>
          <w:color w:val="000000"/>
          <w:sz w:val="24"/>
          <w:szCs w:val="24"/>
          <w:shd w:val="clear" w:color="auto" w:fill="FFFFFF"/>
        </w:rPr>
        <w:t xml:space="preserve"> except ICD Funding Ltd and MAF Global Securities 2014. </w:t>
      </w:r>
      <w:bookmarkStart w:id="63" w:name="OLE_LINK10"/>
    </w:p>
    <w:p w14:paraId="3F85A87B" w14:textId="713BB780" w:rsidR="00A755F5" w:rsidRPr="00251B2C" w:rsidRDefault="009257A1" w:rsidP="00A755F5">
      <w:pPr>
        <w:pStyle w:val="Caption"/>
        <w:keepNext/>
        <w:rPr>
          <w:rFonts w:ascii="Times New Roman" w:hAnsi="Times New Roman" w:cs="Times New Roman"/>
          <w:sz w:val="24"/>
          <w:szCs w:val="24"/>
        </w:rPr>
      </w:pPr>
      <w:bookmarkStart w:id="64" w:name="_Toc481617421"/>
      <w:bookmarkEnd w:id="58"/>
      <w:bookmarkEnd w:id="63"/>
      <w:r>
        <w:rPr>
          <w:rFonts w:ascii="Times New Roman" w:hAnsi="Times New Roman" w:cs="Times New Roman"/>
          <w:sz w:val="24"/>
          <w:szCs w:val="24"/>
        </w:rPr>
        <w:t>Table 4</w:t>
      </w:r>
      <w:r w:rsidR="00104535">
        <w:rPr>
          <w:rFonts w:ascii="Times New Roman" w:hAnsi="Times New Roman" w:cs="Times New Roman"/>
          <w:sz w:val="24"/>
          <w:szCs w:val="24"/>
        </w:rPr>
        <w:t>: Descriptive Characteristics of Conventional Bonds D</w:t>
      </w:r>
      <w:r w:rsidR="00A755F5" w:rsidRPr="00251B2C">
        <w:rPr>
          <w:rFonts w:ascii="Times New Roman" w:hAnsi="Times New Roman" w:cs="Times New Roman"/>
          <w:sz w:val="24"/>
          <w:szCs w:val="24"/>
        </w:rPr>
        <w:t xml:space="preserve">aily </w:t>
      </w:r>
      <w:r w:rsidR="00104535">
        <w:rPr>
          <w:rFonts w:ascii="Times New Roman" w:hAnsi="Times New Roman" w:cs="Times New Roman"/>
          <w:sz w:val="24"/>
          <w:szCs w:val="24"/>
        </w:rPr>
        <w:t>R</w:t>
      </w:r>
      <w:r w:rsidR="00A755F5" w:rsidRPr="00251B2C">
        <w:rPr>
          <w:rFonts w:ascii="Times New Roman" w:hAnsi="Times New Roman" w:cs="Times New Roman"/>
          <w:sz w:val="24"/>
          <w:szCs w:val="24"/>
        </w:rPr>
        <w:t>eturns</w:t>
      </w:r>
      <w:bookmarkEnd w:id="64"/>
    </w:p>
    <w:tbl>
      <w:tblPr>
        <w:tblW w:w="8345" w:type="dxa"/>
        <w:jc w:val="center"/>
        <w:tblLook w:val="04A0" w:firstRow="1" w:lastRow="0" w:firstColumn="1" w:lastColumn="0" w:noHBand="0" w:noVBand="1"/>
      </w:tblPr>
      <w:tblGrid>
        <w:gridCol w:w="2825"/>
        <w:gridCol w:w="1418"/>
        <w:gridCol w:w="1417"/>
        <w:gridCol w:w="1342"/>
        <w:gridCol w:w="1343"/>
      </w:tblGrid>
      <w:tr w:rsidR="00A755F5" w:rsidRPr="001A131A" w14:paraId="3B7091EE" w14:textId="77777777" w:rsidTr="00A755F5">
        <w:trPr>
          <w:trHeight w:val="591"/>
          <w:jc w:val="center"/>
        </w:trPr>
        <w:tc>
          <w:tcPr>
            <w:tcW w:w="2825" w:type="dxa"/>
            <w:tcBorders>
              <w:top w:val="single" w:sz="8" w:space="0" w:color="auto"/>
              <w:left w:val="single" w:sz="8" w:space="0" w:color="auto"/>
              <w:bottom w:val="single" w:sz="8" w:space="0" w:color="auto"/>
              <w:right w:val="nil"/>
            </w:tcBorders>
            <w:shd w:val="clear" w:color="auto" w:fill="auto"/>
            <w:noWrap/>
            <w:vAlign w:val="center"/>
            <w:hideMark/>
          </w:tcPr>
          <w:p w14:paraId="059D5CD1" w14:textId="77777777" w:rsidR="00A755F5" w:rsidRPr="001A131A" w:rsidRDefault="00A755F5" w:rsidP="00A755F5">
            <w:pPr>
              <w:spacing w:before="60" w:after="60" w:line="240" w:lineRule="auto"/>
              <w:jc w:val="both"/>
              <w:rPr>
                <w:rFonts w:ascii="Times New Roman" w:eastAsia="Times New Roman" w:hAnsi="Times New Roman" w:cs="Times New Roman"/>
                <w:b/>
                <w:bCs/>
                <w:color w:val="000000"/>
                <w:sz w:val="20"/>
                <w:szCs w:val="20"/>
                <w:lang w:eastAsia="en-GB"/>
              </w:rPr>
            </w:pPr>
            <w:r w:rsidRPr="001A131A">
              <w:rPr>
                <w:rFonts w:ascii="Times New Roman" w:eastAsia="Times New Roman" w:hAnsi="Times New Roman" w:cs="Times New Roman"/>
                <w:b/>
                <w:bCs/>
                <w:color w:val="000000"/>
                <w:sz w:val="20"/>
                <w:szCs w:val="20"/>
                <w:lang w:eastAsia="en-GB"/>
              </w:rPr>
              <w:t>List of Bonds</w:t>
            </w:r>
          </w:p>
        </w:tc>
        <w:tc>
          <w:tcPr>
            <w:tcW w:w="141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0FE6125" w14:textId="77777777" w:rsidR="00A755F5" w:rsidRPr="001A131A" w:rsidRDefault="00A755F5" w:rsidP="00A755F5">
            <w:pPr>
              <w:spacing w:before="60" w:after="60" w:line="240" w:lineRule="auto"/>
              <w:jc w:val="center"/>
              <w:rPr>
                <w:rFonts w:ascii="Times New Roman" w:eastAsia="Times New Roman" w:hAnsi="Times New Roman" w:cs="Times New Roman"/>
                <w:b/>
                <w:bCs/>
                <w:color w:val="000000"/>
                <w:sz w:val="20"/>
                <w:szCs w:val="20"/>
                <w:lang w:eastAsia="en-GB"/>
              </w:rPr>
            </w:pPr>
            <w:r w:rsidRPr="001A131A">
              <w:rPr>
                <w:rFonts w:ascii="Times New Roman" w:eastAsia="Times New Roman" w:hAnsi="Times New Roman" w:cs="Times New Roman"/>
                <w:b/>
                <w:bCs/>
                <w:color w:val="000000"/>
                <w:sz w:val="20"/>
                <w:szCs w:val="20"/>
                <w:lang w:eastAsia="en-GB"/>
              </w:rPr>
              <w:t>Mean of daily returns</w:t>
            </w:r>
          </w:p>
        </w:tc>
        <w:tc>
          <w:tcPr>
            <w:tcW w:w="1417" w:type="dxa"/>
            <w:tcBorders>
              <w:top w:val="single" w:sz="8" w:space="0" w:color="auto"/>
              <w:left w:val="nil"/>
              <w:bottom w:val="single" w:sz="8" w:space="0" w:color="auto"/>
              <w:right w:val="single" w:sz="4" w:space="0" w:color="auto"/>
            </w:tcBorders>
            <w:shd w:val="clear" w:color="auto" w:fill="auto"/>
            <w:noWrap/>
            <w:vAlign w:val="center"/>
            <w:hideMark/>
          </w:tcPr>
          <w:p w14:paraId="39E18A27" w14:textId="77777777" w:rsidR="00A755F5" w:rsidRPr="001A131A" w:rsidRDefault="00A755F5" w:rsidP="00A755F5">
            <w:pPr>
              <w:spacing w:before="60" w:after="60" w:line="240" w:lineRule="auto"/>
              <w:jc w:val="center"/>
              <w:rPr>
                <w:rFonts w:ascii="Times New Roman" w:eastAsia="Times New Roman" w:hAnsi="Times New Roman" w:cs="Times New Roman"/>
                <w:b/>
                <w:bCs/>
                <w:color w:val="000000"/>
                <w:sz w:val="20"/>
                <w:szCs w:val="20"/>
                <w:lang w:eastAsia="en-GB"/>
              </w:rPr>
            </w:pPr>
            <w:r w:rsidRPr="001A131A">
              <w:rPr>
                <w:rFonts w:ascii="Times New Roman" w:eastAsia="Times New Roman" w:hAnsi="Times New Roman" w:cs="Times New Roman"/>
                <w:b/>
                <w:bCs/>
                <w:color w:val="000000"/>
                <w:sz w:val="20"/>
                <w:szCs w:val="20"/>
                <w:lang w:eastAsia="en-GB"/>
              </w:rPr>
              <w:t>Variance</w:t>
            </w:r>
          </w:p>
        </w:tc>
        <w:tc>
          <w:tcPr>
            <w:tcW w:w="1342" w:type="dxa"/>
            <w:tcBorders>
              <w:top w:val="single" w:sz="8" w:space="0" w:color="auto"/>
              <w:left w:val="nil"/>
              <w:bottom w:val="single" w:sz="8" w:space="0" w:color="auto"/>
              <w:right w:val="single" w:sz="4" w:space="0" w:color="auto"/>
            </w:tcBorders>
            <w:shd w:val="clear" w:color="auto" w:fill="auto"/>
            <w:noWrap/>
            <w:vAlign w:val="center"/>
            <w:hideMark/>
          </w:tcPr>
          <w:p w14:paraId="1C7DDF7A" w14:textId="77777777" w:rsidR="00A755F5" w:rsidRPr="001A131A" w:rsidRDefault="00A755F5" w:rsidP="00A755F5">
            <w:pPr>
              <w:spacing w:before="60" w:after="60" w:line="240" w:lineRule="auto"/>
              <w:jc w:val="center"/>
              <w:rPr>
                <w:rFonts w:ascii="Times New Roman" w:eastAsia="Times New Roman" w:hAnsi="Times New Roman" w:cs="Times New Roman"/>
                <w:b/>
                <w:bCs/>
                <w:color w:val="000000"/>
                <w:sz w:val="20"/>
                <w:szCs w:val="20"/>
                <w:lang w:eastAsia="en-GB"/>
              </w:rPr>
            </w:pPr>
            <w:r w:rsidRPr="001A131A">
              <w:rPr>
                <w:rFonts w:ascii="Times New Roman" w:eastAsia="Times New Roman" w:hAnsi="Times New Roman" w:cs="Times New Roman"/>
                <w:b/>
                <w:bCs/>
                <w:color w:val="000000"/>
                <w:sz w:val="20"/>
                <w:szCs w:val="20"/>
                <w:lang w:eastAsia="en-GB"/>
              </w:rPr>
              <w:t>Standard deviation</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bottom"/>
          </w:tcPr>
          <w:p w14:paraId="23F2FA14" w14:textId="77777777" w:rsidR="00A755F5" w:rsidRPr="001A131A" w:rsidRDefault="00A755F5" w:rsidP="00A755F5">
            <w:pPr>
              <w:spacing w:before="60" w:after="60" w:line="240" w:lineRule="auto"/>
              <w:jc w:val="center"/>
              <w:rPr>
                <w:rFonts w:ascii="Times New Roman" w:eastAsia="Times New Roman" w:hAnsi="Times New Roman" w:cs="Times New Roman"/>
                <w:b/>
                <w:bCs/>
                <w:color w:val="000000"/>
                <w:sz w:val="20"/>
                <w:szCs w:val="20"/>
                <w:lang w:eastAsia="en-GB"/>
              </w:rPr>
            </w:pPr>
            <w:r w:rsidRPr="001A131A">
              <w:rPr>
                <w:rFonts w:ascii="Times New Roman" w:hAnsi="Times New Roman" w:cs="Times New Roman"/>
                <w:b/>
                <w:bCs/>
                <w:color w:val="000000"/>
                <w:sz w:val="20"/>
                <w:szCs w:val="20"/>
              </w:rPr>
              <w:t>Skewness</w:t>
            </w:r>
          </w:p>
        </w:tc>
      </w:tr>
      <w:tr w:rsidR="00A755F5" w:rsidRPr="001A131A" w14:paraId="62A759DB" w14:textId="77777777" w:rsidTr="00A755F5">
        <w:trPr>
          <w:trHeight w:val="316"/>
          <w:jc w:val="center"/>
        </w:trPr>
        <w:tc>
          <w:tcPr>
            <w:tcW w:w="2825" w:type="dxa"/>
            <w:tcBorders>
              <w:top w:val="nil"/>
              <w:left w:val="single" w:sz="8" w:space="0" w:color="auto"/>
              <w:bottom w:val="single" w:sz="4" w:space="0" w:color="auto"/>
              <w:right w:val="nil"/>
            </w:tcBorders>
            <w:shd w:val="clear" w:color="auto" w:fill="auto"/>
            <w:noWrap/>
            <w:vAlign w:val="center"/>
            <w:hideMark/>
          </w:tcPr>
          <w:p w14:paraId="689B27EF" w14:textId="77777777" w:rsidR="00A755F5" w:rsidRPr="001A131A" w:rsidRDefault="00A755F5" w:rsidP="00A755F5">
            <w:pPr>
              <w:spacing w:before="60" w:after="60" w:line="240" w:lineRule="auto"/>
              <w:jc w:val="both"/>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 xml:space="preserve">Agri Bank of China </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2357D8D0"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0.002%</w:t>
            </w:r>
          </w:p>
        </w:tc>
        <w:tc>
          <w:tcPr>
            <w:tcW w:w="1417" w:type="dxa"/>
            <w:tcBorders>
              <w:top w:val="nil"/>
              <w:left w:val="nil"/>
              <w:bottom w:val="single" w:sz="4" w:space="0" w:color="auto"/>
              <w:right w:val="single" w:sz="4" w:space="0" w:color="auto"/>
            </w:tcBorders>
            <w:shd w:val="clear" w:color="auto" w:fill="auto"/>
            <w:noWrap/>
            <w:vAlign w:val="center"/>
            <w:hideMark/>
          </w:tcPr>
          <w:p w14:paraId="7C2566FF"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0.000%</w:t>
            </w:r>
          </w:p>
        </w:tc>
        <w:tc>
          <w:tcPr>
            <w:tcW w:w="1342" w:type="dxa"/>
            <w:tcBorders>
              <w:top w:val="nil"/>
              <w:left w:val="nil"/>
              <w:bottom w:val="single" w:sz="4" w:space="0" w:color="auto"/>
              <w:right w:val="single" w:sz="4" w:space="0" w:color="auto"/>
            </w:tcBorders>
            <w:shd w:val="clear" w:color="auto" w:fill="auto"/>
            <w:noWrap/>
            <w:vAlign w:val="center"/>
            <w:hideMark/>
          </w:tcPr>
          <w:p w14:paraId="41ED30C2"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0.105%</w:t>
            </w:r>
          </w:p>
        </w:tc>
        <w:tc>
          <w:tcPr>
            <w:tcW w:w="1343" w:type="dxa"/>
            <w:tcBorders>
              <w:top w:val="nil"/>
              <w:left w:val="single" w:sz="4" w:space="0" w:color="auto"/>
              <w:bottom w:val="single" w:sz="4" w:space="0" w:color="auto"/>
              <w:right w:val="single" w:sz="4" w:space="0" w:color="auto"/>
            </w:tcBorders>
            <w:shd w:val="clear" w:color="auto" w:fill="auto"/>
            <w:vAlign w:val="bottom"/>
          </w:tcPr>
          <w:p w14:paraId="43746083"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hAnsi="Times New Roman" w:cs="Times New Roman"/>
                <w:color w:val="000000"/>
                <w:sz w:val="20"/>
                <w:szCs w:val="20"/>
              </w:rPr>
              <w:t>-68%</w:t>
            </w:r>
          </w:p>
        </w:tc>
      </w:tr>
      <w:tr w:rsidR="00A755F5" w:rsidRPr="001A131A" w14:paraId="57E692BE" w14:textId="77777777" w:rsidTr="00A755F5">
        <w:trPr>
          <w:trHeight w:val="316"/>
          <w:jc w:val="center"/>
        </w:trPr>
        <w:tc>
          <w:tcPr>
            <w:tcW w:w="2825" w:type="dxa"/>
            <w:tcBorders>
              <w:top w:val="nil"/>
              <w:left w:val="single" w:sz="8" w:space="0" w:color="auto"/>
              <w:bottom w:val="single" w:sz="4" w:space="0" w:color="auto"/>
              <w:right w:val="nil"/>
            </w:tcBorders>
            <w:shd w:val="clear" w:color="auto" w:fill="auto"/>
            <w:noWrap/>
            <w:vAlign w:val="center"/>
            <w:hideMark/>
          </w:tcPr>
          <w:p w14:paraId="492EFF59" w14:textId="77777777" w:rsidR="00A755F5" w:rsidRPr="001A131A" w:rsidRDefault="00A755F5" w:rsidP="00A755F5">
            <w:pPr>
              <w:spacing w:before="60" w:after="60" w:line="240" w:lineRule="auto"/>
              <w:jc w:val="both"/>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 xml:space="preserve">Bank of China Ltd </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2B06DC8A"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0.004%</w:t>
            </w:r>
          </w:p>
        </w:tc>
        <w:tc>
          <w:tcPr>
            <w:tcW w:w="1417" w:type="dxa"/>
            <w:tcBorders>
              <w:top w:val="nil"/>
              <w:left w:val="nil"/>
              <w:bottom w:val="single" w:sz="4" w:space="0" w:color="auto"/>
              <w:right w:val="single" w:sz="4" w:space="0" w:color="auto"/>
            </w:tcBorders>
            <w:shd w:val="clear" w:color="auto" w:fill="auto"/>
            <w:noWrap/>
            <w:vAlign w:val="center"/>
            <w:hideMark/>
          </w:tcPr>
          <w:p w14:paraId="4147607E"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0.000%</w:t>
            </w:r>
          </w:p>
        </w:tc>
        <w:tc>
          <w:tcPr>
            <w:tcW w:w="1342" w:type="dxa"/>
            <w:tcBorders>
              <w:top w:val="nil"/>
              <w:left w:val="nil"/>
              <w:bottom w:val="single" w:sz="4" w:space="0" w:color="auto"/>
              <w:right w:val="single" w:sz="4" w:space="0" w:color="auto"/>
            </w:tcBorders>
            <w:shd w:val="clear" w:color="auto" w:fill="auto"/>
            <w:noWrap/>
            <w:vAlign w:val="center"/>
            <w:hideMark/>
          </w:tcPr>
          <w:p w14:paraId="6A4D8AC0"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0.090%</w:t>
            </w:r>
          </w:p>
        </w:tc>
        <w:tc>
          <w:tcPr>
            <w:tcW w:w="1343" w:type="dxa"/>
            <w:tcBorders>
              <w:top w:val="nil"/>
              <w:left w:val="single" w:sz="4" w:space="0" w:color="auto"/>
              <w:bottom w:val="single" w:sz="4" w:space="0" w:color="auto"/>
              <w:right w:val="single" w:sz="4" w:space="0" w:color="auto"/>
            </w:tcBorders>
            <w:shd w:val="clear" w:color="auto" w:fill="auto"/>
            <w:vAlign w:val="bottom"/>
          </w:tcPr>
          <w:p w14:paraId="3BD0E4CE"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hAnsi="Times New Roman" w:cs="Times New Roman"/>
                <w:color w:val="000000"/>
                <w:sz w:val="20"/>
                <w:szCs w:val="20"/>
              </w:rPr>
              <w:t>22%</w:t>
            </w:r>
          </w:p>
        </w:tc>
      </w:tr>
      <w:tr w:rsidR="00A755F5" w:rsidRPr="001A131A" w14:paraId="771521A6" w14:textId="77777777" w:rsidTr="00A755F5">
        <w:trPr>
          <w:trHeight w:val="316"/>
          <w:jc w:val="center"/>
        </w:trPr>
        <w:tc>
          <w:tcPr>
            <w:tcW w:w="2825" w:type="dxa"/>
            <w:tcBorders>
              <w:top w:val="nil"/>
              <w:left w:val="single" w:sz="8" w:space="0" w:color="auto"/>
              <w:bottom w:val="single" w:sz="4" w:space="0" w:color="auto"/>
              <w:right w:val="nil"/>
            </w:tcBorders>
            <w:shd w:val="clear" w:color="auto" w:fill="auto"/>
            <w:noWrap/>
            <w:vAlign w:val="center"/>
            <w:hideMark/>
          </w:tcPr>
          <w:p w14:paraId="4398700B" w14:textId="77777777" w:rsidR="00A755F5" w:rsidRPr="001A131A" w:rsidRDefault="00A755F5" w:rsidP="00A755F5">
            <w:pPr>
              <w:spacing w:before="60" w:after="60" w:line="240" w:lineRule="auto"/>
              <w:jc w:val="both"/>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 xml:space="preserve">DP World Ltd GMTN- </w:t>
            </w:r>
            <w:proofErr w:type="spellStart"/>
            <w:r w:rsidRPr="001A131A">
              <w:rPr>
                <w:rFonts w:ascii="Times New Roman" w:eastAsia="Times New Roman" w:hAnsi="Times New Roman" w:cs="Times New Roman"/>
                <w:color w:val="000000"/>
                <w:sz w:val="20"/>
                <w:szCs w:val="20"/>
                <w:lang w:eastAsia="en-GB"/>
              </w:rPr>
              <w:t>RegS</w:t>
            </w:r>
            <w:proofErr w:type="spellEnd"/>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4A0F3AD9"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0.018%</w:t>
            </w:r>
          </w:p>
        </w:tc>
        <w:tc>
          <w:tcPr>
            <w:tcW w:w="1417" w:type="dxa"/>
            <w:tcBorders>
              <w:top w:val="nil"/>
              <w:left w:val="nil"/>
              <w:bottom w:val="single" w:sz="4" w:space="0" w:color="auto"/>
              <w:right w:val="single" w:sz="4" w:space="0" w:color="auto"/>
            </w:tcBorders>
            <w:shd w:val="clear" w:color="auto" w:fill="auto"/>
            <w:noWrap/>
            <w:vAlign w:val="center"/>
            <w:hideMark/>
          </w:tcPr>
          <w:p w14:paraId="45518367"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0.000%</w:t>
            </w:r>
          </w:p>
        </w:tc>
        <w:tc>
          <w:tcPr>
            <w:tcW w:w="1342" w:type="dxa"/>
            <w:tcBorders>
              <w:top w:val="nil"/>
              <w:left w:val="nil"/>
              <w:bottom w:val="single" w:sz="4" w:space="0" w:color="auto"/>
              <w:right w:val="single" w:sz="4" w:space="0" w:color="auto"/>
            </w:tcBorders>
            <w:shd w:val="clear" w:color="auto" w:fill="auto"/>
            <w:noWrap/>
            <w:vAlign w:val="center"/>
            <w:hideMark/>
          </w:tcPr>
          <w:p w14:paraId="632AE7D3"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0.198%</w:t>
            </w:r>
          </w:p>
        </w:tc>
        <w:tc>
          <w:tcPr>
            <w:tcW w:w="1343" w:type="dxa"/>
            <w:tcBorders>
              <w:top w:val="nil"/>
              <w:left w:val="single" w:sz="4" w:space="0" w:color="auto"/>
              <w:bottom w:val="single" w:sz="4" w:space="0" w:color="auto"/>
              <w:right w:val="single" w:sz="4" w:space="0" w:color="auto"/>
            </w:tcBorders>
            <w:shd w:val="clear" w:color="auto" w:fill="auto"/>
            <w:vAlign w:val="bottom"/>
          </w:tcPr>
          <w:p w14:paraId="000C6897"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hAnsi="Times New Roman" w:cs="Times New Roman"/>
                <w:color w:val="000000"/>
                <w:sz w:val="20"/>
                <w:szCs w:val="20"/>
              </w:rPr>
              <w:t>172%</w:t>
            </w:r>
          </w:p>
        </w:tc>
      </w:tr>
      <w:tr w:rsidR="00A755F5" w:rsidRPr="001A131A" w14:paraId="2FE16550" w14:textId="77777777" w:rsidTr="00A755F5">
        <w:trPr>
          <w:trHeight w:val="316"/>
          <w:jc w:val="center"/>
        </w:trPr>
        <w:tc>
          <w:tcPr>
            <w:tcW w:w="2825" w:type="dxa"/>
            <w:tcBorders>
              <w:top w:val="nil"/>
              <w:left w:val="single" w:sz="8" w:space="0" w:color="auto"/>
              <w:bottom w:val="single" w:sz="4" w:space="0" w:color="auto"/>
              <w:right w:val="nil"/>
            </w:tcBorders>
            <w:shd w:val="clear" w:color="auto" w:fill="auto"/>
            <w:noWrap/>
            <w:vAlign w:val="center"/>
            <w:hideMark/>
          </w:tcPr>
          <w:p w14:paraId="00B8D160" w14:textId="77777777" w:rsidR="00A755F5" w:rsidRPr="001A131A" w:rsidRDefault="00A755F5" w:rsidP="00A755F5">
            <w:pPr>
              <w:spacing w:before="60" w:after="60" w:line="240" w:lineRule="auto"/>
              <w:jc w:val="both"/>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DP World Ltd- 144A</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4D44F890"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0.008%</w:t>
            </w:r>
          </w:p>
        </w:tc>
        <w:tc>
          <w:tcPr>
            <w:tcW w:w="1417" w:type="dxa"/>
            <w:tcBorders>
              <w:top w:val="nil"/>
              <w:left w:val="nil"/>
              <w:bottom w:val="single" w:sz="4" w:space="0" w:color="auto"/>
              <w:right w:val="single" w:sz="4" w:space="0" w:color="auto"/>
            </w:tcBorders>
            <w:shd w:val="clear" w:color="auto" w:fill="auto"/>
            <w:noWrap/>
            <w:vAlign w:val="center"/>
            <w:hideMark/>
          </w:tcPr>
          <w:p w14:paraId="6A0077FD"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0.001%</w:t>
            </w:r>
          </w:p>
        </w:tc>
        <w:tc>
          <w:tcPr>
            <w:tcW w:w="1342" w:type="dxa"/>
            <w:tcBorders>
              <w:top w:val="nil"/>
              <w:left w:val="nil"/>
              <w:bottom w:val="single" w:sz="4" w:space="0" w:color="auto"/>
              <w:right w:val="single" w:sz="4" w:space="0" w:color="auto"/>
            </w:tcBorders>
            <w:shd w:val="clear" w:color="auto" w:fill="auto"/>
            <w:noWrap/>
            <w:vAlign w:val="center"/>
            <w:hideMark/>
          </w:tcPr>
          <w:p w14:paraId="2F081BBF"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0.245%</w:t>
            </w:r>
          </w:p>
        </w:tc>
        <w:tc>
          <w:tcPr>
            <w:tcW w:w="1343" w:type="dxa"/>
            <w:tcBorders>
              <w:top w:val="nil"/>
              <w:left w:val="single" w:sz="4" w:space="0" w:color="auto"/>
              <w:bottom w:val="single" w:sz="4" w:space="0" w:color="auto"/>
              <w:right w:val="single" w:sz="4" w:space="0" w:color="auto"/>
            </w:tcBorders>
            <w:shd w:val="clear" w:color="auto" w:fill="auto"/>
            <w:vAlign w:val="bottom"/>
          </w:tcPr>
          <w:p w14:paraId="651D4B5F"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hAnsi="Times New Roman" w:cs="Times New Roman"/>
                <w:color w:val="000000"/>
                <w:sz w:val="20"/>
                <w:szCs w:val="20"/>
              </w:rPr>
              <w:t>-48%</w:t>
            </w:r>
          </w:p>
        </w:tc>
      </w:tr>
      <w:tr w:rsidR="00A755F5" w:rsidRPr="001A131A" w14:paraId="5B12693B" w14:textId="77777777" w:rsidTr="00A755F5">
        <w:trPr>
          <w:trHeight w:val="316"/>
          <w:jc w:val="center"/>
        </w:trPr>
        <w:tc>
          <w:tcPr>
            <w:tcW w:w="2825" w:type="dxa"/>
            <w:tcBorders>
              <w:top w:val="nil"/>
              <w:left w:val="single" w:sz="8" w:space="0" w:color="auto"/>
              <w:bottom w:val="single" w:sz="4" w:space="0" w:color="auto"/>
              <w:right w:val="nil"/>
            </w:tcBorders>
            <w:shd w:val="clear" w:color="auto" w:fill="auto"/>
            <w:noWrap/>
            <w:vAlign w:val="center"/>
            <w:hideMark/>
          </w:tcPr>
          <w:p w14:paraId="74F873D1" w14:textId="77777777" w:rsidR="00A755F5" w:rsidRPr="001A131A" w:rsidRDefault="00A755F5" w:rsidP="00A755F5">
            <w:pPr>
              <w:spacing w:before="60" w:after="60" w:line="240" w:lineRule="auto"/>
              <w:jc w:val="both"/>
              <w:rPr>
                <w:rFonts w:ascii="Times New Roman" w:eastAsia="Times New Roman" w:hAnsi="Times New Roman" w:cs="Times New Roman"/>
                <w:color w:val="000000"/>
                <w:sz w:val="20"/>
                <w:szCs w:val="20"/>
                <w:lang w:eastAsia="en-GB"/>
              </w:rPr>
            </w:pPr>
            <w:bookmarkStart w:id="65" w:name="_Hlk481090921"/>
            <w:r w:rsidRPr="001A131A">
              <w:rPr>
                <w:rFonts w:ascii="Times New Roman" w:eastAsia="Times New Roman" w:hAnsi="Times New Roman" w:cs="Times New Roman"/>
                <w:color w:val="000000"/>
                <w:sz w:val="20"/>
                <w:szCs w:val="20"/>
                <w:lang w:eastAsia="en-GB"/>
              </w:rPr>
              <w:t xml:space="preserve">Dubai Holding C.O. Ltd </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7A801D3F"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-0.002%</w:t>
            </w:r>
          </w:p>
        </w:tc>
        <w:tc>
          <w:tcPr>
            <w:tcW w:w="1417" w:type="dxa"/>
            <w:tcBorders>
              <w:top w:val="nil"/>
              <w:left w:val="nil"/>
              <w:bottom w:val="single" w:sz="4" w:space="0" w:color="auto"/>
              <w:right w:val="single" w:sz="4" w:space="0" w:color="auto"/>
            </w:tcBorders>
            <w:shd w:val="clear" w:color="auto" w:fill="auto"/>
            <w:noWrap/>
            <w:vAlign w:val="center"/>
            <w:hideMark/>
          </w:tcPr>
          <w:p w14:paraId="1FEEF1B3"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0.001%</w:t>
            </w:r>
          </w:p>
        </w:tc>
        <w:tc>
          <w:tcPr>
            <w:tcW w:w="1342" w:type="dxa"/>
            <w:tcBorders>
              <w:top w:val="nil"/>
              <w:left w:val="nil"/>
              <w:bottom w:val="single" w:sz="4" w:space="0" w:color="auto"/>
              <w:right w:val="single" w:sz="4" w:space="0" w:color="auto"/>
            </w:tcBorders>
            <w:shd w:val="clear" w:color="auto" w:fill="auto"/>
            <w:noWrap/>
            <w:vAlign w:val="center"/>
            <w:hideMark/>
          </w:tcPr>
          <w:p w14:paraId="2CBB2497"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0.273%</w:t>
            </w:r>
          </w:p>
        </w:tc>
        <w:tc>
          <w:tcPr>
            <w:tcW w:w="1343" w:type="dxa"/>
            <w:tcBorders>
              <w:top w:val="nil"/>
              <w:left w:val="single" w:sz="4" w:space="0" w:color="auto"/>
              <w:bottom w:val="single" w:sz="4" w:space="0" w:color="auto"/>
              <w:right w:val="single" w:sz="4" w:space="0" w:color="auto"/>
            </w:tcBorders>
            <w:shd w:val="clear" w:color="auto" w:fill="auto"/>
            <w:vAlign w:val="bottom"/>
          </w:tcPr>
          <w:p w14:paraId="2277700D"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hAnsi="Times New Roman" w:cs="Times New Roman"/>
                <w:color w:val="000000"/>
                <w:sz w:val="20"/>
                <w:szCs w:val="20"/>
              </w:rPr>
              <w:t>16%</w:t>
            </w:r>
          </w:p>
        </w:tc>
      </w:tr>
      <w:bookmarkEnd w:id="65"/>
      <w:tr w:rsidR="00A755F5" w:rsidRPr="001A131A" w14:paraId="0508DAAA" w14:textId="77777777" w:rsidTr="00A755F5">
        <w:trPr>
          <w:trHeight w:val="316"/>
          <w:jc w:val="center"/>
        </w:trPr>
        <w:tc>
          <w:tcPr>
            <w:tcW w:w="2825" w:type="dxa"/>
            <w:tcBorders>
              <w:top w:val="nil"/>
              <w:left w:val="single" w:sz="8" w:space="0" w:color="auto"/>
              <w:bottom w:val="single" w:sz="4" w:space="0" w:color="auto"/>
              <w:right w:val="nil"/>
            </w:tcBorders>
            <w:shd w:val="clear" w:color="auto" w:fill="auto"/>
            <w:noWrap/>
            <w:vAlign w:val="center"/>
            <w:hideMark/>
          </w:tcPr>
          <w:p w14:paraId="6C5BD359" w14:textId="77777777" w:rsidR="00A755F5" w:rsidRPr="001A131A" w:rsidRDefault="00A755F5" w:rsidP="00A755F5">
            <w:pPr>
              <w:spacing w:before="60" w:after="60" w:line="240" w:lineRule="auto"/>
              <w:jc w:val="both"/>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 xml:space="preserve">Emirates NBD PJSC2015 </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19C7F226"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0.011%</w:t>
            </w:r>
          </w:p>
        </w:tc>
        <w:tc>
          <w:tcPr>
            <w:tcW w:w="1417" w:type="dxa"/>
            <w:tcBorders>
              <w:top w:val="nil"/>
              <w:left w:val="nil"/>
              <w:bottom w:val="single" w:sz="4" w:space="0" w:color="auto"/>
              <w:right w:val="single" w:sz="4" w:space="0" w:color="auto"/>
            </w:tcBorders>
            <w:shd w:val="clear" w:color="auto" w:fill="auto"/>
            <w:noWrap/>
            <w:vAlign w:val="center"/>
            <w:hideMark/>
          </w:tcPr>
          <w:p w14:paraId="26A1562D"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0.000%</w:t>
            </w:r>
          </w:p>
        </w:tc>
        <w:tc>
          <w:tcPr>
            <w:tcW w:w="1342" w:type="dxa"/>
            <w:tcBorders>
              <w:top w:val="nil"/>
              <w:left w:val="nil"/>
              <w:bottom w:val="single" w:sz="4" w:space="0" w:color="auto"/>
              <w:right w:val="single" w:sz="4" w:space="0" w:color="auto"/>
            </w:tcBorders>
            <w:shd w:val="clear" w:color="auto" w:fill="auto"/>
            <w:noWrap/>
            <w:vAlign w:val="center"/>
            <w:hideMark/>
          </w:tcPr>
          <w:p w14:paraId="1673C2EF"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0.148%</w:t>
            </w:r>
          </w:p>
        </w:tc>
        <w:tc>
          <w:tcPr>
            <w:tcW w:w="1343" w:type="dxa"/>
            <w:tcBorders>
              <w:top w:val="nil"/>
              <w:left w:val="single" w:sz="4" w:space="0" w:color="auto"/>
              <w:bottom w:val="single" w:sz="4" w:space="0" w:color="auto"/>
              <w:right w:val="single" w:sz="4" w:space="0" w:color="auto"/>
            </w:tcBorders>
            <w:shd w:val="clear" w:color="auto" w:fill="auto"/>
            <w:vAlign w:val="bottom"/>
          </w:tcPr>
          <w:p w14:paraId="720A0258"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hAnsi="Times New Roman" w:cs="Times New Roman"/>
                <w:color w:val="000000"/>
                <w:sz w:val="20"/>
                <w:szCs w:val="20"/>
              </w:rPr>
              <w:t>-150%</w:t>
            </w:r>
          </w:p>
        </w:tc>
      </w:tr>
      <w:tr w:rsidR="00A755F5" w:rsidRPr="001A131A" w14:paraId="1B0A46A6" w14:textId="77777777" w:rsidTr="00A755F5">
        <w:trPr>
          <w:trHeight w:val="316"/>
          <w:jc w:val="center"/>
        </w:trPr>
        <w:tc>
          <w:tcPr>
            <w:tcW w:w="2825" w:type="dxa"/>
            <w:tcBorders>
              <w:top w:val="nil"/>
              <w:left w:val="single" w:sz="8" w:space="0" w:color="auto"/>
              <w:bottom w:val="single" w:sz="4" w:space="0" w:color="auto"/>
              <w:right w:val="nil"/>
            </w:tcBorders>
            <w:shd w:val="clear" w:color="auto" w:fill="auto"/>
            <w:noWrap/>
            <w:vAlign w:val="center"/>
            <w:hideMark/>
          </w:tcPr>
          <w:p w14:paraId="3FB9666D" w14:textId="77777777" w:rsidR="00A755F5" w:rsidRPr="001A131A" w:rsidRDefault="00A755F5" w:rsidP="00A755F5">
            <w:pPr>
              <w:spacing w:before="60" w:after="60" w:line="240" w:lineRule="auto"/>
              <w:jc w:val="both"/>
              <w:rPr>
                <w:rFonts w:ascii="Times New Roman" w:eastAsia="Times New Roman" w:hAnsi="Times New Roman" w:cs="Times New Roman"/>
                <w:color w:val="000000"/>
                <w:sz w:val="20"/>
                <w:szCs w:val="20"/>
                <w:lang w:eastAsia="en-GB"/>
              </w:rPr>
            </w:pPr>
            <w:bookmarkStart w:id="66" w:name="_Hlk481090950"/>
            <w:r w:rsidRPr="001A131A">
              <w:rPr>
                <w:rFonts w:ascii="Times New Roman" w:eastAsia="Times New Roman" w:hAnsi="Times New Roman" w:cs="Times New Roman"/>
                <w:color w:val="000000"/>
                <w:sz w:val="20"/>
                <w:szCs w:val="20"/>
                <w:lang w:eastAsia="en-GB"/>
              </w:rPr>
              <w:t>Emirates NBD PJSC 2015</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469B460E"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-0.004%</w:t>
            </w:r>
          </w:p>
        </w:tc>
        <w:tc>
          <w:tcPr>
            <w:tcW w:w="1417" w:type="dxa"/>
            <w:tcBorders>
              <w:top w:val="nil"/>
              <w:left w:val="nil"/>
              <w:bottom w:val="single" w:sz="4" w:space="0" w:color="auto"/>
              <w:right w:val="single" w:sz="4" w:space="0" w:color="auto"/>
            </w:tcBorders>
            <w:shd w:val="clear" w:color="auto" w:fill="auto"/>
            <w:noWrap/>
            <w:vAlign w:val="center"/>
            <w:hideMark/>
          </w:tcPr>
          <w:p w14:paraId="4DDB547D"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0.000%</w:t>
            </w:r>
          </w:p>
        </w:tc>
        <w:tc>
          <w:tcPr>
            <w:tcW w:w="1342" w:type="dxa"/>
            <w:tcBorders>
              <w:top w:val="nil"/>
              <w:left w:val="nil"/>
              <w:bottom w:val="single" w:sz="4" w:space="0" w:color="auto"/>
              <w:right w:val="single" w:sz="4" w:space="0" w:color="auto"/>
            </w:tcBorders>
            <w:shd w:val="clear" w:color="auto" w:fill="auto"/>
            <w:noWrap/>
            <w:vAlign w:val="center"/>
            <w:hideMark/>
          </w:tcPr>
          <w:p w14:paraId="72450B3C"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0.131%</w:t>
            </w:r>
          </w:p>
        </w:tc>
        <w:tc>
          <w:tcPr>
            <w:tcW w:w="1343" w:type="dxa"/>
            <w:tcBorders>
              <w:top w:val="nil"/>
              <w:left w:val="single" w:sz="4" w:space="0" w:color="auto"/>
              <w:bottom w:val="single" w:sz="4" w:space="0" w:color="auto"/>
              <w:right w:val="single" w:sz="4" w:space="0" w:color="auto"/>
            </w:tcBorders>
            <w:shd w:val="clear" w:color="auto" w:fill="auto"/>
            <w:vAlign w:val="bottom"/>
          </w:tcPr>
          <w:p w14:paraId="5DCCF61B"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hAnsi="Times New Roman" w:cs="Times New Roman"/>
                <w:color w:val="000000"/>
                <w:sz w:val="20"/>
                <w:szCs w:val="20"/>
              </w:rPr>
              <w:t>-23%</w:t>
            </w:r>
          </w:p>
        </w:tc>
      </w:tr>
      <w:bookmarkEnd w:id="66"/>
      <w:tr w:rsidR="00A755F5" w:rsidRPr="001A131A" w14:paraId="5292D9D6" w14:textId="77777777" w:rsidTr="00A755F5">
        <w:trPr>
          <w:trHeight w:val="316"/>
          <w:jc w:val="center"/>
        </w:trPr>
        <w:tc>
          <w:tcPr>
            <w:tcW w:w="2825" w:type="dxa"/>
            <w:tcBorders>
              <w:top w:val="nil"/>
              <w:left w:val="single" w:sz="8" w:space="0" w:color="auto"/>
              <w:bottom w:val="single" w:sz="4" w:space="0" w:color="auto"/>
              <w:right w:val="nil"/>
            </w:tcBorders>
            <w:shd w:val="clear" w:color="auto" w:fill="auto"/>
            <w:noWrap/>
            <w:vAlign w:val="center"/>
            <w:hideMark/>
          </w:tcPr>
          <w:p w14:paraId="744503CD" w14:textId="77777777" w:rsidR="00A755F5" w:rsidRPr="001A131A" w:rsidRDefault="00A755F5" w:rsidP="00A755F5">
            <w:pPr>
              <w:spacing w:before="60" w:after="60" w:line="240" w:lineRule="auto"/>
              <w:jc w:val="both"/>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Emirates NBD PJSC 2014</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16AFC3D7"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0.028%</w:t>
            </w:r>
          </w:p>
        </w:tc>
        <w:tc>
          <w:tcPr>
            <w:tcW w:w="1417" w:type="dxa"/>
            <w:tcBorders>
              <w:top w:val="nil"/>
              <w:left w:val="nil"/>
              <w:bottom w:val="single" w:sz="4" w:space="0" w:color="auto"/>
              <w:right w:val="single" w:sz="4" w:space="0" w:color="auto"/>
            </w:tcBorders>
            <w:shd w:val="clear" w:color="auto" w:fill="auto"/>
            <w:noWrap/>
            <w:vAlign w:val="center"/>
            <w:hideMark/>
          </w:tcPr>
          <w:p w14:paraId="6FF8C606"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0.000%</w:t>
            </w:r>
          </w:p>
        </w:tc>
        <w:tc>
          <w:tcPr>
            <w:tcW w:w="1342" w:type="dxa"/>
            <w:tcBorders>
              <w:top w:val="nil"/>
              <w:left w:val="nil"/>
              <w:bottom w:val="single" w:sz="4" w:space="0" w:color="auto"/>
              <w:right w:val="single" w:sz="4" w:space="0" w:color="auto"/>
            </w:tcBorders>
            <w:shd w:val="clear" w:color="auto" w:fill="auto"/>
            <w:noWrap/>
            <w:vAlign w:val="center"/>
            <w:hideMark/>
          </w:tcPr>
          <w:p w14:paraId="35D1D9DA"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0.203%</w:t>
            </w:r>
          </w:p>
        </w:tc>
        <w:tc>
          <w:tcPr>
            <w:tcW w:w="1343" w:type="dxa"/>
            <w:tcBorders>
              <w:top w:val="nil"/>
              <w:left w:val="single" w:sz="4" w:space="0" w:color="auto"/>
              <w:bottom w:val="single" w:sz="4" w:space="0" w:color="auto"/>
              <w:right w:val="single" w:sz="4" w:space="0" w:color="auto"/>
            </w:tcBorders>
            <w:shd w:val="clear" w:color="auto" w:fill="auto"/>
            <w:vAlign w:val="bottom"/>
          </w:tcPr>
          <w:p w14:paraId="4E9F5BD5"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hAnsi="Times New Roman" w:cs="Times New Roman"/>
                <w:color w:val="000000"/>
                <w:sz w:val="20"/>
                <w:szCs w:val="20"/>
              </w:rPr>
              <w:t>-31%</w:t>
            </w:r>
          </w:p>
        </w:tc>
      </w:tr>
      <w:tr w:rsidR="00A755F5" w:rsidRPr="001A131A" w14:paraId="78C38D5F" w14:textId="77777777" w:rsidTr="00A755F5">
        <w:trPr>
          <w:trHeight w:val="316"/>
          <w:jc w:val="center"/>
        </w:trPr>
        <w:tc>
          <w:tcPr>
            <w:tcW w:w="2825" w:type="dxa"/>
            <w:tcBorders>
              <w:top w:val="nil"/>
              <w:left w:val="single" w:sz="8" w:space="0" w:color="auto"/>
              <w:bottom w:val="single" w:sz="4" w:space="0" w:color="auto"/>
              <w:right w:val="nil"/>
            </w:tcBorders>
            <w:shd w:val="clear" w:color="auto" w:fill="auto"/>
            <w:noWrap/>
            <w:vAlign w:val="center"/>
            <w:hideMark/>
          </w:tcPr>
          <w:p w14:paraId="66BBD050" w14:textId="77777777" w:rsidR="00A755F5" w:rsidRPr="001A131A" w:rsidRDefault="00A755F5" w:rsidP="00A755F5">
            <w:pPr>
              <w:spacing w:before="60" w:after="60" w:line="240" w:lineRule="auto"/>
              <w:jc w:val="both"/>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Emirates NBD PJSC 2013</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4E338AA4"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0.008%</w:t>
            </w:r>
          </w:p>
        </w:tc>
        <w:tc>
          <w:tcPr>
            <w:tcW w:w="1417" w:type="dxa"/>
            <w:tcBorders>
              <w:top w:val="nil"/>
              <w:left w:val="nil"/>
              <w:bottom w:val="single" w:sz="4" w:space="0" w:color="auto"/>
              <w:right w:val="single" w:sz="4" w:space="0" w:color="auto"/>
            </w:tcBorders>
            <w:shd w:val="clear" w:color="auto" w:fill="auto"/>
            <w:noWrap/>
            <w:vAlign w:val="center"/>
            <w:hideMark/>
          </w:tcPr>
          <w:p w14:paraId="2A5A9FE7"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0.000%</w:t>
            </w:r>
          </w:p>
        </w:tc>
        <w:tc>
          <w:tcPr>
            <w:tcW w:w="1342" w:type="dxa"/>
            <w:tcBorders>
              <w:top w:val="nil"/>
              <w:left w:val="nil"/>
              <w:bottom w:val="single" w:sz="4" w:space="0" w:color="auto"/>
              <w:right w:val="single" w:sz="4" w:space="0" w:color="auto"/>
            </w:tcBorders>
            <w:shd w:val="clear" w:color="auto" w:fill="auto"/>
            <w:noWrap/>
            <w:vAlign w:val="center"/>
            <w:hideMark/>
          </w:tcPr>
          <w:p w14:paraId="71B53117"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0.084%</w:t>
            </w:r>
          </w:p>
        </w:tc>
        <w:tc>
          <w:tcPr>
            <w:tcW w:w="1343" w:type="dxa"/>
            <w:tcBorders>
              <w:top w:val="nil"/>
              <w:left w:val="single" w:sz="4" w:space="0" w:color="auto"/>
              <w:bottom w:val="single" w:sz="4" w:space="0" w:color="auto"/>
              <w:right w:val="single" w:sz="4" w:space="0" w:color="auto"/>
            </w:tcBorders>
            <w:shd w:val="clear" w:color="auto" w:fill="auto"/>
            <w:vAlign w:val="bottom"/>
          </w:tcPr>
          <w:p w14:paraId="4F2926D5"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hAnsi="Times New Roman" w:cs="Times New Roman"/>
                <w:color w:val="000000"/>
                <w:sz w:val="20"/>
                <w:szCs w:val="20"/>
              </w:rPr>
              <w:t>-78%</w:t>
            </w:r>
          </w:p>
        </w:tc>
      </w:tr>
      <w:tr w:rsidR="00A755F5" w:rsidRPr="001A131A" w14:paraId="626A65AD" w14:textId="77777777" w:rsidTr="00A755F5">
        <w:trPr>
          <w:trHeight w:val="316"/>
          <w:jc w:val="center"/>
        </w:trPr>
        <w:tc>
          <w:tcPr>
            <w:tcW w:w="2825" w:type="dxa"/>
            <w:tcBorders>
              <w:top w:val="nil"/>
              <w:left w:val="single" w:sz="8" w:space="0" w:color="auto"/>
              <w:bottom w:val="single" w:sz="4" w:space="0" w:color="auto"/>
              <w:right w:val="nil"/>
            </w:tcBorders>
            <w:shd w:val="clear" w:color="auto" w:fill="auto"/>
            <w:noWrap/>
            <w:vAlign w:val="center"/>
            <w:hideMark/>
          </w:tcPr>
          <w:p w14:paraId="0113671B" w14:textId="77777777" w:rsidR="00A755F5" w:rsidRPr="001A131A" w:rsidRDefault="00A755F5" w:rsidP="00A755F5">
            <w:pPr>
              <w:spacing w:before="60" w:after="60" w:line="240" w:lineRule="auto"/>
              <w:jc w:val="both"/>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lastRenderedPageBreak/>
              <w:t>Emirates NBD PJSC 2014</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6067385F"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0.009%</w:t>
            </w:r>
          </w:p>
        </w:tc>
        <w:tc>
          <w:tcPr>
            <w:tcW w:w="1417" w:type="dxa"/>
            <w:tcBorders>
              <w:top w:val="nil"/>
              <w:left w:val="nil"/>
              <w:bottom w:val="single" w:sz="4" w:space="0" w:color="auto"/>
              <w:right w:val="single" w:sz="4" w:space="0" w:color="auto"/>
            </w:tcBorders>
            <w:shd w:val="clear" w:color="auto" w:fill="auto"/>
            <w:noWrap/>
            <w:vAlign w:val="center"/>
            <w:hideMark/>
          </w:tcPr>
          <w:p w14:paraId="72EA6BE0"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0.000%</w:t>
            </w:r>
          </w:p>
        </w:tc>
        <w:tc>
          <w:tcPr>
            <w:tcW w:w="1342" w:type="dxa"/>
            <w:tcBorders>
              <w:top w:val="nil"/>
              <w:left w:val="nil"/>
              <w:bottom w:val="single" w:sz="4" w:space="0" w:color="auto"/>
              <w:right w:val="single" w:sz="4" w:space="0" w:color="auto"/>
            </w:tcBorders>
            <w:shd w:val="clear" w:color="auto" w:fill="auto"/>
            <w:noWrap/>
            <w:vAlign w:val="center"/>
            <w:hideMark/>
          </w:tcPr>
          <w:p w14:paraId="2639741A"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0.101%</w:t>
            </w:r>
          </w:p>
        </w:tc>
        <w:tc>
          <w:tcPr>
            <w:tcW w:w="1343" w:type="dxa"/>
            <w:tcBorders>
              <w:top w:val="nil"/>
              <w:left w:val="single" w:sz="4" w:space="0" w:color="auto"/>
              <w:bottom w:val="single" w:sz="4" w:space="0" w:color="auto"/>
              <w:right w:val="single" w:sz="4" w:space="0" w:color="auto"/>
            </w:tcBorders>
            <w:shd w:val="clear" w:color="auto" w:fill="auto"/>
            <w:vAlign w:val="bottom"/>
          </w:tcPr>
          <w:p w14:paraId="0527C983"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hAnsi="Times New Roman" w:cs="Times New Roman"/>
                <w:color w:val="000000"/>
                <w:sz w:val="20"/>
                <w:szCs w:val="20"/>
              </w:rPr>
              <w:t>-264%</w:t>
            </w:r>
          </w:p>
        </w:tc>
      </w:tr>
      <w:tr w:rsidR="00A755F5" w:rsidRPr="001A131A" w14:paraId="7C0F65BC" w14:textId="77777777" w:rsidTr="00A755F5">
        <w:trPr>
          <w:trHeight w:val="316"/>
          <w:jc w:val="center"/>
        </w:trPr>
        <w:tc>
          <w:tcPr>
            <w:tcW w:w="2825" w:type="dxa"/>
            <w:tcBorders>
              <w:top w:val="nil"/>
              <w:left w:val="single" w:sz="8" w:space="0" w:color="auto"/>
              <w:bottom w:val="single" w:sz="4" w:space="0" w:color="auto"/>
              <w:right w:val="nil"/>
            </w:tcBorders>
            <w:shd w:val="clear" w:color="auto" w:fill="auto"/>
            <w:noWrap/>
            <w:vAlign w:val="center"/>
            <w:hideMark/>
          </w:tcPr>
          <w:p w14:paraId="26CB9BCE" w14:textId="77777777" w:rsidR="00A755F5" w:rsidRPr="001A131A" w:rsidRDefault="00A755F5" w:rsidP="00A755F5">
            <w:pPr>
              <w:spacing w:before="60" w:after="60" w:line="240" w:lineRule="auto"/>
              <w:jc w:val="both"/>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Emirates NBD Tier 1 Ltd- PRP</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6C24EE46"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0.012%</w:t>
            </w:r>
          </w:p>
        </w:tc>
        <w:tc>
          <w:tcPr>
            <w:tcW w:w="1417" w:type="dxa"/>
            <w:tcBorders>
              <w:top w:val="nil"/>
              <w:left w:val="nil"/>
              <w:bottom w:val="single" w:sz="4" w:space="0" w:color="auto"/>
              <w:right w:val="single" w:sz="4" w:space="0" w:color="auto"/>
            </w:tcBorders>
            <w:shd w:val="clear" w:color="auto" w:fill="auto"/>
            <w:noWrap/>
            <w:vAlign w:val="center"/>
            <w:hideMark/>
          </w:tcPr>
          <w:p w14:paraId="5FD5D55C"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0.000%</w:t>
            </w:r>
          </w:p>
        </w:tc>
        <w:tc>
          <w:tcPr>
            <w:tcW w:w="1342" w:type="dxa"/>
            <w:tcBorders>
              <w:top w:val="nil"/>
              <w:left w:val="nil"/>
              <w:bottom w:val="single" w:sz="4" w:space="0" w:color="auto"/>
              <w:right w:val="single" w:sz="4" w:space="0" w:color="auto"/>
            </w:tcBorders>
            <w:shd w:val="clear" w:color="auto" w:fill="auto"/>
            <w:noWrap/>
            <w:vAlign w:val="center"/>
            <w:hideMark/>
          </w:tcPr>
          <w:p w14:paraId="296713D9"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0.165%</w:t>
            </w:r>
          </w:p>
        </w:tc>
        <w:tc>
          <w:tcPr>
            <w:tcW w:w="1343" w:type="dxa"/>
            <w:tcBorders>
              <w:top w:val="nil"/>
              <w:left w:val="single" w:sz="4" w:space="0" w:color="auto"/>
              <w:bottom w:val="single" w:sz="4" w:space="0" w:color="auto"/>
              <w:right w:val="single" w:sz="4" w:space="0" w:color="auto"/>
            </w:tcBorders>
            <w:shd w:val="clear" w:color="auto" w:fill="auto"/>
            <w:vAlign w:val="bottom"/>
          </w:tcPr>
          <w:p w14:paraId="7271351C"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hAnsi="Times New Roman" w:cs="Times New Roman"/>
                <w:color w:val="000000"/>
                <w:sz w:val="20"/>
                <w:szCs w:val="20"/>
              </w:rPr>
              <w:t>-90%</w:t>
            </w:r>
          </w:p>
        </w:tc>
      </w:tr>
      <w:tr w:rsidR="00A755F5" w:rsidRPr="001A131A" w14:paraId="198631FE" w14:textId="77777777" w:rsidTr="00A755F5">
        <w:trPr>
          <w:trHeight w:val="316"/>
          <w:jc w:val="center"/>
        </w:trPr>
        <w:tc>
          <w:tcPr>
            <w:tcW w:w="2825" w:type="dxa"/>
            <w:tcBorders>
              <w:top w:val="nil"/>
              <w:left w:val="single" w:sz="8" w:space="0" w:color="auto"/>
              <w:bottom w:val="single" w:sz="4" w:space="0" w:color="auto"/>
              <w:right w:val="nil"/>
            </w:tcBorders>
            <w:shd w:val="clear" w:color="auto" w:fill="auto"/>
            <w:noWrap/>
            <w:vAlign w:val="center"/>
            <w:hideMark/>
          </w:tcPr>
          <w:p w14:paraId="75BED328" w14:textId="77777777" w:rsidR="00A755F5" w:rsidRPr="001A131A" w:rsidRDefault="00A755F5" w:rsidP="00A755F5">
            <w:pPr>
              <w:spacing w:before="60" w:after="60" w:line="240" w:lineRule="auto"/>
              <w:jc w:val="both"/>
              <w:rPr>
                <w:rFonts w:ascii="Times New Roman" w:eastAsia="Times New Roman" w:hAnsi="Times New Roman" w:cs="Times New Roman"/>
                <w:color w:val="000000"/>
                <w:sz w:val="20"/>
                <w:szCs w:val="20"/>
                <w:lang w:eastAsia="en-GB"/>
              </w:rPr>
            </w:pPr>
            <w:bookmarkStart w:id="67" w:name="_Hlk481090975"/>
            <w:r w:rsidRPr="001A131A">
              <w:rPr>
                <w:rFonts w:ascii="Times New Roman" w:eastAsia="Times New Roman" w:hAnsi="Times New Roman" w:cs="Times New Roman"/>
                <w:color w:val="000000"/>
                <w:sz w:val="20"/>
                <w:szCs w:val="20"/>
                <w:lang w:eastAsia="en-GB"/>
              </w:rPr>
              <w:t xml:space="preserve">ICD Funding Ltd </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34B79B18"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-0.004%</w:t>
            </w:r>
          </w:p>
        </w:tc>
        <w:tc>
          <w:tcPr>
            <w:tcW w:w="1417" w:type="dxa"/>
            <w:tcBorders>
              <w:top w:val="nil"/>
              <w:left w:val="nil"/>
              <w:bottom w:val="single" w:sz="4" w:space="0" w:color="auto"/>
              <w:right w:val="single" w:sz="4" w:space="0" w:color="auto"/>
            </w:tcBorders>
            <w:shd w:val="clear" w:color="auto" w:fill="auto"/>
            <w:noWrap/>
            <w:vAlign w:val="center"/>
            <w:hideMark/>
          </w:tcPr>
          <w:p w14:paraId="02C5C169"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0.006%</w:t>
            </w:r>
          </w:p>
        </w:tc>
        <w:tc>
          <w:tcPr>
            <w:tcW w:w="1342" w:type="dxa"/>
            <w:tcBorders>
              <w:top w:val="nil"/>
              <w:left w:val="nil"/>
              <w:bottom w:val="single" w:sz="4" w:space="0" w:color="auto"/>
              <w:right w:val="single" w:sz="4" w:space="0" w:color="auto"/>
            </w:tcBorders>
            <w:shd w:val="clear" w:color="auto" w:fill="auto"/>
            <w:noWrap/>
            <w:vAlign w:val="center"/>
            <w:hideMark/>
          </w:tcPr>
          <w:p w14:paraId="77999CE0" w14:textId="77777777" w:rsidR="00A755F5" w:rsidRPr="001A131A" w:rsidRDefault="00A755F5" w:rsidP="00A755F5">
            <w:pPr>
              <w:spacing w:before="60" w:after="60" w:line="240" w:lineRule="auto"/>
              <w:jc w:val="center"/>
              <w:rPr>
                <w:rFonts w:ascii="Times New Roman" w:eastAsia="Times New Roman" w:hAnsi="Times New Roman" w:cs="Times New Roman"/>
                <w:b/>
                <w:bCs/>
                <w:color w:val="000000"/>
                <w:sz w:val="20"/>
                <w:szCs w:val="20"/>
                <w:lang w:eastAsia="en-GB"/>
              </w:rPr>
            </w:pPr>
            <w:r w:rsidRPr="001A131A">
              <w:rPr>
                <w:rFonts w:ascii="Times New Roman" w:eastAsia="Times New Roman" w:hAnsi="Times New Roman" w:cs="Times New Roman"/>
                <w:b/>
                <w:bCs/>
                <w:color w:val="000000"/>
                <w:sz w:val="20"/>
                <w:szCs w:val="20"/>
                <w:lang w:eastAsia="en-GB"/>
              </w:rPr>
              <w:t>0.760%</w:t>
            </w:r>
          </w:p>
        </w:tc>
        <w:tc>
          <w:tcPr>
            <w:tcW w:w="1343" w:type="dxa"/>
            <w:tcBorders>
              <w:top w:val="nil"/>
              <w:left w:val="single" w:sz="4" w:space="0" w:color="auto"/>
              <w:bottom w:val="single" w:sz="4" w:space="0" w:color="auto"/>
              <w:right w:val="single" w:sz="4" w:space="0" w:color="auto"/>
            </w:tcBorders>
            <w:shd w:val="clear" w:color="auto" w:fill="auto"/>
            <w:vAlign w:val="bottom"/>
          </w:tcPr>
          <w:p w14:paraId="5B24455F" w14:textId="77777777" w:rsidR="00A755F5" w:rsidRPr="001A131A" w:rsidRDefault="00A755F5" w:rsidP="00A755F5">
            <w:pPr>
              <w:spacing w:before="60" w:after="60" w:line="240" w:lineRule="auto"/>
              <w:jc w:val="center"/>
              <w:rPr>
                <w:rFonts w:ascii="Times New Roman" w:eastAsia="Times New Roman" w:hAnsi="Times New Roman" w:cs="Times New Roman"/>
                <w:b/>
                <w:bCs/>
                <w:color w:val="000000"/>
                <w:sz w:val="20"/>
                <w:szCs w:val="20"/>
                <w:lang w:eastAsia="en-GB"/>
              </w:rPr>
            </w:pPr>
            <w:r w:rsidRPr="001A131A">
              <w:rPr>
                <w:rFonts w:ascii="Times New Roman" w:hAnsi="Times New Roman" w:cs="Times New Roman"/>
                <w:color w:val="000000"/>
                <w:sz w:val="20"/>
                <w:szCs w:val="20"/>
              </w:rPr>
              <w:t>-9%</w:t>
            </w:r>
          </w:p>
        </w:tc>
      </w:tr>
      <w:bookmarkEnd w:id="67"/>
      <w:tr w:rsidR="00A755F5" w:rsidRPr="001A131A" w14:paraId="192A95F8" w14:textId="77777777" w:rsidTr="00A755F5">
        <w:trPr>
          <w:trHeight w:val="316"/>
          <w:jc w:val="center"/>
        </w:trPr>
        <w:tc>
          <w:tcPr>
            <w:tcW w:w="2825" w:type="dxa"/>
            <w:tcBorders>
              <w:top w:val="nil"/>
              <w:left w:val="single" w:sz="8" w:space="0" w:color="auto"/>
              <w:bottom w:val="single" w:sz="4" w:space="0" w:color="auto"/>
              <w:right w:val="nil"/>
            </w:tcBorders>
            <w:shd w:val="clear" w:color="auto" w:fill="auto"/>
            <w:noWrap/>
            <w:vAlign w:val="center"/>
            <w:hideMark/>
          </w:tcPr>
          <w:p w14:paraId="4C38A701" w14:textId="77777777" w:rsidR="00A755F5" w:rsidRPr="001A131A" w:rsidRDefault="00A755F5" w:rsidP="00A755F5">
            <w:pPr>
              <w:spacing w:before="60" w:after="60" w:line="240" w:lineRule="auto"/>
              <w:jc w:val="both"/>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 xml:space="preserve">Ind. &amp; Com. Bank of China </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346BA103"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0.035%</w:t>
            </w:r>
          </w:p>
        </w:tc>
        <w:tc>
          <w:tcPr>
            <w:tcW w:w="1417" w:type="dxa"/>
            <w:tcBorders>
              <w:top w:val="nil"/>
              <w:left w:val="nil"/>
              <w:bottom w:val="single" w:sz="4" w:space="0" w:color="auto"/>
              <w:right w:val="single" w:sz="4" w:space="0" w:color="auto"/>
            </w:tcBorders>
            <w:shd w:val="clear" w:color="auto" w:fill="auto"/>
            <w:noWrap/>
            <w:vAlign w:val="center"/>
            <w:hideMark/>
          </w:tcPr>
          <w:p w14:paraId="200CCD27"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0.001%</w:t>
            </w:r>
          </w:p>
        </w:tc>
        <w:tc>
          <w:tcPr>
            <w:tcW w:w="1342" w:type="dxa"/>
            <w:tcBorders>
              <w:top w:val="nil"/>
              <w:left w:val="nil"/>
              <w:bottom w:val="single" w:sz="4" w:space="0" w:color="auto"/>
              <w:right w:val="single" w:sz="4" w:space="0" w:color="auto"/>
            </w:tcBorders>
            <w:shd w:val="clear" w:color="auto" w:fill="auto"/>
            <w:noWrap/>
            <w:vAlign w:val="center"/>
            <w:hideMark/>
          </w:tcPr>
          <w:p w14:paraId="26271B93"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0.309%</w:t>
            </w:r>
          </w:p>
        </w:tc>
        <w:tc>
          <w:tcPr>
            <w:tcW w:w="1343" w:type="dxa"/>
            <w:tcBorders>
              <w:top w:val="nil"/>
              <w:left w:val="single" w:sz="4" w:space="0" w:color="auto"/>
              <w:bottom w:val="single" w:sz="4" w:space="0" w:color="auto"/>
              <w:right w:val="single" w:sz="4" w:space="0" w:color="auto"/>
            </w:tcBorders>
            <w:shd w:val="clear" w:color="auto" w:fill="auto"/>
            <w:vAlign w:val="bottom"/>
          </w:tcPr>
          <w:p w14:paraId="4559980A"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hAnsi="Times New Roman" w:cs="Times New Roman"/>
                <w:color w:val="000000"/>
                <w:sz w:val="20"/>
                <w:szCs w:val="20"/>
              </w:rPr>
              <w:t>514%</w:t>
            </w:r>
          </w:p>
        </w:tc>
      </w:tr>
      <w:tr w:rsidR="00A755F5" w:rsidRPr="001A131A" w14:paraId="0FEA7634" w14:textId="77777777" w:rsidTr="00A755F5">
        <w:trPr>
          <w:trHeight w:val="316"/>
          <w:jc w:val="center"/>
        </w:trPr>
        <w:tc>
          <w:tcPr>
            <w:tcW w:w="2825" w:type="dxa"/>
            <w:tcBorders>
              <w:top w:val="nil"/>
              <w:left w:val="single" w:sz="8" w:space="0" w:color="auto"/>
              <w:bottom w:val="single" w:sz="4" w:space="0" w:color="auto"/>
              <w:right w:val="nil"/>
            </w:tcBorders>
            <w:shd w:val="clear" w:color="auto" w:fill="auto"/>
            <w:noWrap/>
            <w:vAlign w:val="center"/>
            <w:hideMark/>
          </w:tcPr>
          <w:p w14:paraId="11C818DF" w14:textId="77777777" w:rsidR="00A755F5" w:rsidRPr="001A131A" w:rsidRDefault="00A755F5" w:rsidP="00A755F5">
            <w:pPr>
              <w:spacing w:before="60" w:after="60" w:line="240" w:lineRule="auto"/>
              <w:jc w:val="both"/>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MAF Global Securities 2014</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14:paraId="446EEB51"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0.017%</w:t>
            </w:r>
          </w:p>
        </w:tc>
        <w:tc>
          <w:tcPr>
            <w:tcW w:w="1417" w:type="dxa"/>
            <w:tcBorders>
              <w:top w:val="nil"/>
              <w:left w:val="nil"/>
              <w:bottom w:val="single" w:sz="4" w:space="0" w:color="auto"/>
              <w:right w:val="single" w:sz="4" w:space="0" w:color="auto"/>
            </w:tcBorders>
            <w:shd w:val="clear" w:color="auto" w:fill="auto"/>
            <w:noWrap/>
            <w:vAlign w:val="center"/>
            <w:hideMark/>
          </w:tcPr>
          <w:p w14:paraId="6E466720"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0.004%</w:t>
            </w:r>
          </w:p>
        </w:tc>
        <w:tc>
          <w:tcPr>
            <w:tcW w:w="1342" w:type="dxa"/>
            <w:tcBorders>
              <w:top w:val="nil"/>
              <w:left w:val="nil"/>
              <w:bottom w:val="single" w:sz="4" w:space="0" w:color="auto"/>
              <w:right w:val="single" w:sz="4" w:space="0" w:color="auto"/>
            </w:tcBorders>
            <w:shd w:val="clear" w:color="auto" w:fill="auto"/>
            <w:noWrap/>
            <w:vAlign w:val="center"/>
            <w:hideMark/>
          </w:tcPr>
          <w:p w14:paraId="1DEF3BA0"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0.606%</w:t>
            </w:r>
          </w:p>
        </w:tc>
        <w:tc>
          <w:tcPr>
            <w:tcW w:w="1343" w:type="dxa"/>
            <w:tcBorders>
              <w:top w:val="nil"/>
              <w:left w:val="single" w:sz="4" w:space="0" w:color="auto"/>
              <w:bottom w:val="single" w:sz="4" w:space="0" w:color="auto"/>
              <w:right w:val="single" w:sz="4" w:space="0" w:color="auto"/>
            </w:tcBorders>
            <w:shd w:val="clear" w:color="auto" w:fill="auto"/>
            <w:vAlign w:val="bottom"/>
          </w:tcPr>
          <w:p w14:paraId="7DCF2C7B"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hAnsi="Times New Roman" w:cs="Times New Roman"/>
                <w:color w:val="000000"/>
                <w:sz w:val="20"/>
                <w:szCs w:val="20"/>
              </w:rPr>
              <w:t>-26%</w:t>
            </w:r>
          </w:p>
        </w:tc>
      </w:tr>
      <w:tr w:rsidR="00A755F5" w:rsidRPr="001A131A" w14:paraId="4688C5A0" w14:textId="77777777" w:rsidTr="00A755F5">
        <w:trPr>
          <w:trHeight w:val="316"/>
          <w:jc w:val="center"/>
        </w:trPr>
        <w:tc>
          <w:tcPr>
            <w:tcW w:w="2825" w:type="dxa"/>
            <w:tcBorders>
              <w:top w:val="nil"/>
              <w:left w:val="single" w:sz="8" w:space="0" w:color="auto"/>
              <w:bottom w:val="nil"/>
              <w:right w:val="nil"/>
            </w:tcBorders>
            <w:shd w:val="clear" w:color="auto" w:fill="auto"/>
            <w:noWrap/>
            <w:vAlign w:val="center"/>
            <w:hideMark/>
          </w:tcPr>
          <w:p w14:paraId="30C564C2" w14:textId="77777777" w:rsidR="00A755F5" w:rsidRPr="001A131A" w:rsidRDefault="00A755F5" w:rsidP="00A755F5">
            <w:pPr>
              <w:spacing w:before="60" w:after="60" w:line="240" w:lineRule="auto"/>
              <w:jc w:val="both"/>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MAF Global Securities 2013</w:t>
            </w:r>
          </w:p>
        </w:tc>
        <w:tc>
          <w:tcPr>
            <w:tcW w:w="1418" w:type="dxa"/>
            <w:tcBorders>
              <w:top w:val="nil"/>
              <w:left w:val="single" w:sz="8" w:space="0" w:color="auto"/>
              <w:bottom w:val="nil"/>
              <w:right w:val="single" w:sz="4" w:space="0" w:color="auto"/>
            </w:tcBorders>
            <w:shd w:val="clear" w:color="auto" w:fill="auto"/>
            <w:noWrap/>
            <w:vAlign w:val="center"/>
            <w:hideMark/>
          </w:tcPr>
          <w:p w14:paraId="1FB74557"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0.004%</w:t>
            </w:r>
          </w:p>
        </w:tc>
        <w:tc>
          <w:tcPr>
            <w:tcW w:w="1417" w:type="dxa"/>
            <w:tcBorders>
              <w:top w:val="nil"/>
              <w:left w:val="nil"/>
              <w:bottom w:val="nil"/>
              <w:right w:val="single" w:sz="4" w:space="0" w:color="auto"/>
            </w:tcBorders>
            <w:shd w:val="clear" w:color="auto" w:fill="auto"/>
            <w:noWrap/>
            <w:vAlign w:val="center"/>
            <w:hideMark/>
          </w:tcPr>
          <w:p w14:paraId="54EBCC6F"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0.000%</w:t>
            </w:r>
          </w:p>
        </w:tc>
        <w:tc>
          <w:tcPr>
            <w:tcW w:w="1342" w:type="dxa"/>
            <w:tcBorders>
              <w:top w:val="nil"/>
              <w:left w:val="nil"/>
              <w:bottom w:val="nil"/>
              <w:right w:val="single" w:sz="4" w:space="0" w:color="auto"/>
            </w:tcBorders>
            <w:shd w:val="clear" w:color="auto" w:fill="auto"/>
            <w:noWrap/>
            <w:vAlign w:val="center"/>
            <w:hideMark/>
          </w:tcPr>
          <w:p w14:paraId="750E9025"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eastAsia="Times New Roman" w:hAnsi="Times New Roman" w:cs="Times New Roman"/>
                <w:color w:val="000000"/>
                <w:sz w:val="20"/>
                <w:szCs w:val="20"/>
                <w:lang w:eastAsia="en-GB"/>
              </w:rPr>
              <w:t>0.098%</w:t>
            </w:r>
          </w:p>
        </w:tc>
        <w:tc>
          <w:tcPr>
            <w:tcW w:w="1343" w:type="dxa"/>
            <w:tcBorders>
              <w:top w:val="nil"/>
              <w:left w:val="single" w:sz="4" w:space="0" w:color="auto"/>
              <w:bottom w:val="single" w:sz="4" w:space="0" w:color="auto"/>
              <w:right w:val="single" w:sz="4" w:space="0" w:color="auto"/>
            </w:tcBorders>
            <w:shd w:val="clear" w:color="auto" w:fill="auto"/>
            <w:vAlign w:val="bottom"/>
          </w:tcPr>
          <w:p w14:paraId="4ABCC2C4" w14:textId="77777777" w:rsidR="00A755F5" w:rsidRPr="001A131A" w:rsidRDefault="00A755F5" w:rsidP="00A755F5">
            <w:pPr>
              <w:spacing w:before="60" w:after="60" w:line="240" w:lineRule="auto"/>
              <w:jc w:val="center"/>
              <w:rPr>
                <w:rFonts w:ascii="Times New Roman" w:eastAsia="Times New Roman" w:hAnsi="Times New Roman" w:cs="Times New Roman"/>
                <w:color w:val="000000"/>
                <w:sz w:val="20"/>
                <w:szCs w:val="20"/>
                <w:lang w:eastAsia="en-GB"/>
              </w:rPr>
            </w:pPr>
            <w:r w:rsidRPr="001A131A">
              <w:rPr>
                <w:rFonts w:ascii="Times New Roman" w:hAnsi="Times New Roman" w:cs="Times New Roman"/>
                <w:color w:val="000000"/>
                <w:sz w:val="20"/>
                <w:szCs w:val="20"/>
              </w:rPr>
              <w:t>-122%</w:t>
            </w:r>
          </w:p>
        </w:tc>
      </w:tr>
      <w:tr w:rsidR="00A755F5" w:rsidRPr="001A131A" w14:paraId="25769AA1" w14:textId="77777777" w:rsidTr="00A755F5">
        <w:trPr>
          <w:trHeight w:val="316"/>
          <w:jc w:val="center"/>
        </w:trPr>
        <w:tc>
          <w:tcPr>
            <w:tcW w:w="2825" w:type="dxa"/>
            <w:tcBorders>
              <w:top w:val="single" w:sz="8" w:space="0" w:color="auto"/>
              <w:left w:val="single" w:sz="8" w:space="0" w:color="auto"/>
              <w:bottom w:val="single" w:sz="8" w:space="0" w:color="auto"/>
              <w:right w:val="nil"/>
            </w:tcBorders>
            <w:shd w:val="clear" w:color="auto" w:fill="auto"/>
            <w:noWrap/>
            <w:vAlign w:val="center"/>
            <w:hideMark/>
          </w:tcPr>
          <w:p w14:paraId="08125E99" w14:textId="77777777" w:rsidR="00A755F5" w:rsidRPr="001A131A" w:rsidRDefault="00A755F5" w:rsidP="00A755F5">
            <w:pPr>
              <w:spacing w:before="60" w:after="60" w:line="240" w:lineRule="auto"/>
              <w:jc w:val="both"/>
              <w:rPr>
                <w:rFonts w:ascii="Times New Roman" w:eastAsia="Times New Roman" w:hAnsi="Times New Roman" w:cs="Times New Roman"/>
                <w:b/>
                <w:bCs/>
                <w:color w:val="000000"/>
                <w:sz w:val="20"/>
                <w:szCs w:val="20"/>
                <w:lang w:eastAsia="en-GB"/>
              </w:rPr>
            </w:pPr>
            <w:r w:rsidRPr="001A131A">
              <w:rPr>
                <w:rFonts w:ascii="Times New Roman" w:eastAsia="Times New Roman" w:hAnsi="Times New Roman" w:cs="Times New Roman"/>
                <w:b/>
                <w:bCs/>
                <w:color w:val="000000"/>
                <w:sz w:val="20"/>
                <w:szCs w:val="20"/>
                <w:lang w:eastAsia="en-GB"/>
              </w:rPr>
              <w:t>Average</w:t>
            </w:r>
          </w:p>
        </w:tc>
        <w:tc>
          <w:tcPr>
            <w:tcW w:w="141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3C3D465" w14:textId="77777777" w:rsidR="00A755F5" w:rsidRPr="001A131A" w:rsidRDefault="00A755F5" w:rsidP="00A755F5">
            <w:pPr>
              <w:spacing w:before="60" w:after="60" w:line="240" w:lineRule="auto"/>
              <w:jc w:val="center"/>
              <w:rPr>
                <w:rFonts w:ascii="Times New Roman" w:eastAsia="Times New Roman" w:hAnsi="Times New Roman" w:cs="Times New Roman"/>
                <w:b/>
                <w:bCs/>
                <w:color w:val="000000"/>
                <w:sz w:val="20"/>
                <w:szCs w:val="20"/>
                <w:lang w:eastAsia="en-GB"/>
              </w:rPr>
            </w:pPr>
            <w:r w:rsidRPr="001A131A">
              <w:rPr>
                <w:rFonts w:ascii="Times New Roman" w:eastAsia="Times New Roman" w:hAnsi="Times New Roman" w:cs="Times New Roman"/>
                <w:b/>
                <w:bCs/>
                <w:color w:val="000000"/>
                <w:sz w:val="20"/>
                <w:szCs w:val="20"/>
                <w:lang w:eastAsia="en-GB"/>
              </w:rPr>
              <w:t>0.010%</w:t>
            </w:r>
          </w:p>
        </w:tc>
        <w:tc>
          <w:tcPr>
            <w:tcW w:w="1417" w:type="dxa"/>
            <w:tcBorders>
              <w:top w:val="single" w:sz="8" w:space="0" w:color="auto"/>
              <w:left w:val="nil"/>
              <w:bottom w:val="single" w:sz="8" w:space="0" w:color="auto"/>
              <w:right w:val="single" w:sz="4" w:space="0" w:color="auto"/>
            </w:tcBorders>
            <w:shd w:val="clear" w:color="auto" w:fill="auto"/>
            <w:noWrap/>
            <w:vAlign w:val="center"/>
            <w:hideMark/>
          </w:tcPr>
          <w:p w14:paraId="4AB8051A" w14:textId="77777777" w:rsidR="00A755F5" w:rsidRPr="001A131A" w:rsidRDefault="00A755F5" w:rsidP="00A755F5">
            <w:pPr>
              <w:spacing w:before="60" w:after="60" w:line="240" w:lineRule="auto"/>
              <w:jc w:val="center"/>
              <w:rPr>
                <w:rFonts w:ascii="Times New Roman" w:eastAsia="Times New Roman" w:hAnsi="Times New Roman" w:cs="Times New Roman"/>
                <w:b/>
                <w:bCs/>
                <w:color w:val="000000"/>
                <w:sz w:val="20"/>
                <w:szCs w:val="20"/>
                <w:lang w:eastAsia="en-GB"/>
              </w:rPr>
            </w:pPr>
            <w:r w:rsidRPr="001A131A">
              <w:rPr>
                <w:rFonts w:ascii="Times New Roman" w:eastAsia="Times New Roman" w:hAnsi="Times New Roman" w:cs="Times New Roman"/>
                <w:b/>
                <w:bCs/>
                <w:color w:val="000000"/>
                <w:sz w:val="20"/>
                <w:szCs w:val="20"/>
                <w:lang w:eastAsia="en-GB"/>
              </w:rPr>
              <w:t>0.001%</w:t>
            </w:r>
          </w:p>
        </w:tc>
        <w:tc>
          <w:tcPr>
            <w:tcW w:w="1342" w:type="dxa"/>
            <w:tcBorders>
              <w:top w:val="single" w:sz="8" w:space="0" w:color="auto"/>
              <w:left w:val="nil"/>
              <w:bottom w:val="single" w:sz="4" w:space="0" w:color="auto"/>
              <w:right w:val="single" w:sz="4" w:space="0" w:color="auto"/>
            </w:tcBorders>
            <w:shd w:val="clear" w:color="auto" w:fill="auto"/>
            <w:noWrap/>
            <w:vAlign w:val="center"/>
            <w:hideMark/>
          </w:tcPr>
          <w:p w14:paraId="10A88B31" w14:textId="77777777" w:rsidR="00A755F5" w:rsidRPr="001A131A" w:rsidRDefault="00A755F5" w:rsidP="00A755F5">
            <w:pPr>
              <w:spacing w:before="60" w:after="60" w:line="240" w:lineRule="auto"/>
              <w:jc w:val="center"/>
              <w:rPr>
                <w:rFonts w:ascii="Times New Roman" w:eastAsia="Times New Roman" w:hAnsi="Times New Roman" w:cs="Times New Roman"/>
                <w:b/>
                <w:bCs/>
                <w:color w:val="000000"/>
                <w:sz w:val="20"/>
                <w:szCs w:val="20"/>
                <w:lang w:eastAsia="en-GB"/>
              </w:rPr>
            </w:pPr>
            <w:r w:rsidRPr="001A131A">
              <w:rPr>
                <w:rFonts w:ascii="Times New Roman" w:eastAsia="Times New Roman" w:hAnsi="Times New Roman" w:cs="Times New Roman"/>
                <w:b/>
                <w:bCs/>
                <w:color w:val="000000"/>
                <w:sz w:val="20"/>
                <w:szCs w:val="20"/>
                <w:lang w:eastAsia="en-GB"/>
              </w:rPr>
              <w:t>0.235%</w:t>
            </w:r>
          </w:p>
        </w:tc>
        <w:tc>
          <w:tcPr>
            <w:tcW w:w="1343" w:type="dxa"/>
            <w:tcBorders>
              <w:top w:val="nil"/>
              <w:left w:val="nil"/>
              <w:bottom w:val="single" w:sz="4" w:space="0" w:color="auto"/>
              <w:right w:val="single" w:sz="4" w:space="0" w:color="auto"/>
            </w:tcBorders>
            <w:shd w:val="clear" w:color="auto" w:fill="auto"/>
            <w:vAlign w:val="bottom"/>
          </w:tcPr>
          <w:p w14:paraId="2CF09AFD" w14:textId="77777777" w:rsidR="00A755F5" w:rsidRPr="001A131A" w:rsidRDefault="00A755F5" w:rsidP="00A755F5">
            <w:pPr>
              <w:spacing w:before="60" w:after="60" w:line="240" w:lineRule="auto"/>
              <w:jc w:val="center"/>
              <w:rPr>
                <w:rFonts w:ascii="Times New Roman" w:eastAsia="Times New Roman" w:hAnsi="Times New Roman" w:cs="Times New Roman"/>
                <w:b/>
                <w:bCs/>
                <w:color w:val="000000"/>
                <w:sz w:val="20"/>
                <w:szCs w:val="20"/>
                <w:lang w:eastAsia="en-GB"/>
              </w:rPr>
            </w:pPr>
            <w:r w:rsidRPr="001A131A">
              <w:rPr>
                <w:rFonts w:ascii="Times New Roman" w:hAnsi="Times New Roman" w:cs="Times New Roman"/>
                <w:b/>
                <w:bCs/>
                <w:color w:val="000000"/>
                <w:sz w:val="20"/>
                <w:szCs w:val="20"/>
              </w:rPr>
              <w:t>-12%</w:t>
            </w:r>
          </w:p>
        </w:tc>
      </w:tr>
    </w:tbl>
    <w:p w14:paraId="16FC269F" w14:textId="77777777" w:rsidR="009257A1" w:rsidRDefault="009257A1" w:rsidP="00A755F5">
      <w:pPr>
        <w:spacing w:before="120" w:after="120" w:line="360" w:lineRule="auto"/>
        <w:jc w:val="both"/>
        <w:rPr>
          <w:rFonts w:ascii="Times New Roman" w:hAnsi="Times New Roman" w:cs="Times New Roman"/>
          <w:sz w:val="24"/>
          <w:szCs w:val="24"/>
        </w:rPr>
      </w:pPr>
      <w:bookmarkStart w:id="68" w:name="OLE_LINK12"/>
    </w:p>
    <w:bookmarkEnd w:id="68"/>
    <w:p w14:paraId="4EE64434" w14:textId="389C432B" w:rsidR="00A755F5" w:rsidRPr="00251B2C" w:rsidRDefault="00A755F5" w:rsidP="00A755F5">
      <w:pPr>
        <w:spacing w:before="120" w:after="120" w:line="360" w:lineRule="auto"/>
        <w:jc w:val="both"/>
        <w:rPr>
          <w:rFonts w:ascii="Times New Roman" w:hAnsi="Times New Roman" w:cs="Times New Roman"/>
          <w:color w:val="000000"/>
          <w:sz w:val="24"/>
          <w:szCs w:val="24"/>
          <w:shd w:val="clear" w:color="auto" w:fill="FFFFFF"/>
        </w:rPr>
      </w:pPr>
      <w:r w:rsidRPr="00251B2C">
        <w:rPr>
          <w:rFonts w:ascii="Times New Roman" w:hAnsi="Times New Roman" w:cs="Times New Roman"/>
          <w:color w:val="000000"/>
          <w:sz w:val="24"/>
          <w:szCs w:val="24"/>
          <w:shd w:val="clear" w:color="auto" w:fill="FFFFFF"/>
        </w:rPr>
        <w:t xml:space="preserve">On the other hand, the overall mean of returns on </w:t>
      </w:r>
      <w:r w:rsidR="000F4C35">
        <w:rPr>
          <w:rFonts w:ascii="Times New Roman" w:hAnsi="Times New Roman" w:cs="Times New Roman"/>
          <w:color w:val="000000"/>
          <w:sz w:val="24"/>
          <w:szCs w:val="24"/>
          <w:shd w:val="clear" w:color="auto" w:fill="FFFFFF"/>
        </w:rPr>
        <w:t>Sukuk</w:t>
      </w:r>
      <w:r w:rsidRPr="00251B2C">
        <w:rPr>
          <w:rFonts w:ascii="Times New Roman" w:hAnsi="Times New Roman" w:cs="Times New Roman"/>
          <w:color w:val="000000"/>
          <w:sz w:val="24"/>
          <w:szCs w:val="24"/>
          <w:shd w:val="clear" w:color="auto" w:fill="FFFFFF"/>
        </w:rPr>
        <w:t xml:space="preserve"> is 0.012% is slightly higher than conventional bonds’ mean of 0.010% were</w:t>
      </w:r>
      <w:r w:rsidR="00F351D9">
        <w:rPr>
          <w:rFonts w:ascii="Times New Roman" w:hAnsi="Times New Roman" w:cs="Times New Roman"/>
          <w:color w:val="000000"/>
          <w:sz w:val="24"/>
          <w:szCs w:val="24"/>
          <w:shd w:val="clear" w:color="auto" w:fill="FFFFFF"/>
        </w:rPr>
        <w:t xml:space="preserve"> </w:t>
      </w:r>
      <w:r w:rsidRPr="00251B2C">
        <w:rPr>
          <w:rFonts w:ascii="Times New Roman" w:hAnsi="Times New Roman" w:cs="Times New Roman"/>
          <w:color w:val="000000"/>
          <w:sz w:val="24"/>
          <w:szCs w:val="24"/>
          <w:shd w:val="clear" w:color="auto" w:fill="FFFFFF"/>
        </w:rPr>
        <w:t xml:space="preserve">as the descriptive statistics result points out that </w:t>
      </w:r>
      <w:r w:rsidR="000F4C35" w:rsidRPr="00F351D9">
        <w:rPr>
          <w:rFonts w:ascii="Times New Roman" w:hAnsi="Times New Roman" w:cs="Times New Roman"/>
          <w:i/>
          <w:iCs/>
          <w:color w:val="000000"/>
          <w:sz w:val="24"/>
          <w:szCs w:val="24"/>
          <w:shd w:val="clear" w:color="auto" w:fill="FFFFFF"/>
        </w:rPr>
        <w:t>Sukuk</w:t>
      </w:r>
      <w:r w:rsidRPr="00251B2C">
        <w:rPr>
          <w:rFonts w:ascii="Times New Roman" w:hAnsi="Times New Roman" w:cs="Times New Roman"/>
          <w:color w:val="000000"/>
          <w:sz w:val="24"/>
          <w:szCs w:val="24"/>
          <w:shd w:val="clear" w:color="auto" w:fill="FFFFFF"/>
        </w:rPr>
        <w:t xml:space="preserve"> instruments are more volatile and riskier than conventional bonds. </w:t>
      </w:r>
    </w:p>
    <w:p w14:paraId="72D35EF2" w14:textId="732AA4D3" w:rsidR="00A755F5" w:rsidRPr="00251B2C" w:rsidRDefault="009257A1" w:rsidP="00A755F5">
      <w:pPr>
        <w:pStyle w:val="Caption"/>
        <w:keepNext/>
        <w:spacing w:line="240" w:lineRule="auto"/>
        <w:rPr>
          <w:rFonts w:ascii="Times New Roman" w:hAnsi="Times New Roman" w:cs="Times New Roman"/>
          <w:sz w:val="24"/>
          <w:szCs w:val="24"/>
        </w:rPr>
      </w:pPr>
      <w:bookmarkStart w:id="69" w:name="_Toc481617434"/>
      <w:r>
        <w:rPr>
          <w:rFonts w:ascii="Times New Roman" w:hAnsi="Times New Roman" w:cs="Times New Roman"/>
          <w:sz w:val="24"/>
          <w:szCs w:val="24"/>
        </w:rPr>
        <w:t>Figure 3</w:t>
      </w:r>
      <w:r w:rsidR="00104535">
        <w:rPr>
          <w:rFonts w:ascii="Times New Roman" w:hAnsi="Times New Roman" w:cs="Times New Roman"/>
          <w:sz w:val="24"/>
          <w:szCs w:val="24"/>
        </w:rPr>
        <w:t>: Distribution of Average Daily Returns for Conventional B</w:t>
      </w:r>
      <w:r w:rsidR="00A755F5" w:rsidRPr="00251B2C">
        <w:rPr>
          <w:rFonts w:ascii="Times New Roman" w:hAnsi="Times New Roman" w:cs="Times New Roman"/>
          <w:sz w:val="24"/>
          <w:szCs w:val="24"/>
        </w:rPr>
        <w:t>onds</w:t>
      </w:r>
      <w:bookmarkEnd w:id="69"/>
    </w:p>
    <w:p w14:paraId="31EE64DF" w14:textId="77777777" w:rsidR="00A755F5" w:rsidRPr="00251B2C" w:rsidRDefault="00A755F5" w:rsidP="00A755F5">
      <w:pPr>
        <w:spacing w:before="120" w:after="120" w:line="240" w:lineRule="auto"/>
        <w:jc w:val="both"/>
        <w:rPr>
          <w:rFonts w:ascii="Times New Roman" w:hAnsi="Times New Roman" w:cs="Times New Roman"/>
          <w:sz w:val="24"/>
          <w:szCs w:val="24"/>
        </w:rPr>
      </w:pPr>
      <w:r w:rsidRPr="00251B2C">
        <w:rPr>
          <w:rFonts w:ascii="Times New Roman" w:hAnsi="Times New Roman" w:cs="Times New Roman"/>
          <w:noProof/>
          <w:sz w:val="24"/>
          <w:szCs w:val="24"/>
          <w:lang w:eastAsia="en-GB"/>
        </w:rPr>
        <w:drawing>
          <wp:inline distT="0" distB="0" distL="0" distR="0" wp14:anchorId="722FCA7E" wp14:editId="2E7841F4">
            <wp:extent cx="5191125" cy="2362200"/>
            <wp:effectExtent l="0" t="0" r="9525" b="0"/>
            <wp:docPr id="7" name="Chart 7">
              <a:extLst xmlns:a="http://schemas.openxmlformats.org/drawingml/2006/main">
                <a:ext uri="{FF2B5EF4-FFF2-40B4-BE49-F238E27FC236}">
                  <a16:creationId xmlns:a16="http://schemas.microsoft.com/office/drawing/2014/main" id="{57506C26-6E8B-4807-9E65-A81D9D495F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13A346D" w14:textId="77777777" w:rsidR="009257A1" w:rsidRDefault="009257A1" w:rsidP="00A755F5">
      <w:pPr>
        <w:spacing w:before="120" w:after="120" w:line="360" w:lineRule="auto"/>
        <w:jc w:val="both"/>
        <w:rPr>
          <w:rFonts w:ascii="Times New Roman" w:hAnsi="Times New Roman" w:cs="Times New Roman"/>
          <w:sz w:val="24"/>
          <w:szCs w:val="24"/>
        </w:rPr>
      </w:pPr>
    </w:p>
    <w:p w14:paraId="2981EFF4" w14:textId="34786F48" w:rsidR="00A755F5" w:rsidRPr="00251B2C" w:rsidRDefault="00A755F5" w:rsidP="00A755F5">
      <w:pPr>
        <w:spacing w:before="120" w:after="120" w:line="360" w:lineRule="auto"/>
        <w:jc w:val="both"/>
        <w:rPr>
          <w:rFonts w:ascii="Times New Roman" w:hAnsi="Times New Roman" w:cs="Times New Roman"/>
          <w:sz w:val="24"/>
          <w:szCs w:val="24"/>
        </w:rPr>
      </w:pPr>
      <w:r w:rsidRPr="00251B2C">
        <w:rPr>
          <w:rFonts w:ascii="Times New Roman" w:hAnsi="Times New Roman" w:cs="Times New Roman"/>
          <w:sz w:val="24"/>
          <w:szCs w:val="24"/>
        </w:rPr>
        <w:t xml:space="preserve">The sample skewness of conventional bonds shows that daily returns are not distributed equally around the mean and there are </w:t>
      </w:r>
      <w:r w:rsidR="00F351D9" w:rsidRPr="00251B2C">
        <w:rPr>
          <w:rFonts w:ascii="Times New Roman" w:hAnsi="Times New Roman" w:cs="Times New Roman"/>
          <w:sz w:val="24"/>
          <w:szCs w:val="24"/>
        </w:rPr>
        <w:t>s</w:t>
      </w:r>
      <w:r w:rsidR="00F351D9">
        <w:rPr>
          <w:rFonts w:ascii="Times New Roman" w:hAnsi="Times New Roman" w:cs="Times New Roman"/>
          <w:sz w:val="24"/>
          <w:szCs w:val="24"/>
        </w:rPr>
        <w:t>ome</w:t>
      </w:r>
      <w:r w:rsidRPr="00251B2C">
        <w:rPr>
          <w:rFonts w:ascii="Times New Roman" w:hAnsi="Times New Roman" w:cs="Times New Roman"/>
          <w:sz w:val="24"/>
          <w:szCs w:val="24"/>
        </w:rPr>
        <w:t xml:space="preserve"> outliers of daily returns </w:t>
      </w:r>
      <w:r w:rsidR="0088025E">
        <w:rPr>
          <w:rFonts w:ascii="Times New Roman" w:hAnsi="Times New Roman" w:cs="Times New Roman"/>
          <w:sz w:val="24"/>
          <w:szCs w:val="24"/>
        </w:rPr>
        <w:t xml:space="preserve">as illustrated the above </w:t>
      </w:r>
      <w:r w:rsidR="00F351D9">
        <w:rPr>
          <w:rFonts w:ascii="Times New Roman" w:hAnsi="Times New Roman" w:cs="Times New Roman"/>
          <w:sz w:val="24"/>
          <w:szCs w:val="24"/>
        </w:rPr>
        <w:t>Figure 3</w:t>
      </w:r>
      <w:r w:rsidRPr="00251B2C">
        <w:rPr>
          <w:rFonts w:ascii="Times New Roman" w:hAnsi="Times New Roman" w:cs="Times New Roman"/>
          <w:sz w:val="24"/>
          <w:szCs w:val="24"/>
        </w:rPr>
        <w:t xml:space="preserve">. Also, the chart shows that the average daily returns of conventional bonds are skewed to the left tail. However, the expected daily returns are more skewed to the left tail but it shows that they are slightly less skewed compared to </w:t>
      </w:r>
      <w:r w:rsidR="000F4C35">
        <w:rPr>
          <w:rFonts w:ascii="Times New Roman" w:hAnsi="Times New Roman" w:cs="Times New Roman"/>
          <w:sz w:val="24"/>
          <w:szCs w:val="24"/>
        </w:rPr>
        <w:t>Sukuk</w:t>
      </w:r>
      <w:r w:rsidRPr="00251B2C">
        <w:rPr>
          <w:rFonts w:ascii="Times New Roman" w:hAnsi="Times New Roman" w:cs="Times New Roman"/>
          <w:sz w:val="24"/>
          <w:szCs w:val="24"/>
        </w:rPr>
        <w:t xml:space="preserve"> daily average returns as presen</w:t>
      </w:r>
      <w:r w:rsidR="0088025E">
        <w:rPr>
          <w:rFonts w:ascii="Times New Roman" w:hAnsi="Times New Roman" w:cs="Times New Roman"/>
          <w:sz w:val="24"/>
          <w:szCs w:val="24"/>
        </w:rPr>
        <w:t xml:space="preserve">ted in the histogram charts </w:t>
      </w:r>
      <w:r w:rsidR="009257A1" w:rsidRPr="00965789">
        <w:rPr>
          <w:rFonts w:ascii="Times New Roman" w:hAnsi="Times New Roman" w:cs="Times New Roman"/>
          <w:sz w:val="24"/>
          <w:szCs w:val="24"/>
        </w:rPr>
        <w:t xml:space="preserve">of </w:t>
      </w:r>
      <w:r w:rsidR="00965789" w:rsidRPr="00965789">
        <w:rPr>
          <w:rFonts w:ascii="Times New Roman" w:hAnsi="Times New Roman" w:cs="Times New Roman"/>
          <w:sz w:val="24"/>
          <w:szCs w:val="24"/>
        </w:rPr>
        <w:t>Figures  2</w:t>
      </w:r>
      <w:r w:rsidR="00612FE1" w:rsidRPr="00965789">
        <w:rPr>
          <w:rFonts w:ascii="Times New Roman" w:hAnsi="Times New Roman" w:cs="Times New Roman"/>
          <w:sz w:val="24"/>
          <w:szCs w:val="24"/>
        </w:rPr>
        <w:t xml:space="preserve"> </w:t>
      </w:r>
      <w:r w:rsidRPr="00965789">
        <w:rPr>
          <w:rFonts w:ascii="Times New Roman" w:hAnsi="Times New Roman" w:cs="Times New Roman"/>
          <w:sz w:val="24"/>
          <w:szCs w:val="24"/>
        </w:rPr>
        <w:t xml:space="preserve">and </w:t>
      </w:r>
      <w:r w:rsidR="00965789">
        <w:rPr>
          <w:rFonts w:ascii="Times New Roman" w:hAnsi="Times New Roman" w:cs="Times New Roman"/>
          <w:sz w:val="24"/>
          <w:szCs w:val="24"/>
        </w:rPr>
        <w:t>3</w:t>
      </w:r>
      <w:r w:rsidRPr="00251B2C">
        <w:rPr>
          <w:rFonts w:ascii="Times New Roman" w:hAnsi="Times New Roman" w:cs="Times New Roman"/>
          <w:sz w:val="24"/>
          <w:szCs w:val="24"/>
        </w:rPr>
        <w:t xml:space="preserve">. This means that daily returns of </w:t>
      </w:r>
      <w:r w:rsidR="000F4C35" w:rsidRPr="00F351D9">
        <w:rPr>
          <w:rFonts w:ascii="Times New Roman" w:hAnsi="Times New Roman" w:cs="Times New Roman"/>
          <w:i/>
          <w:iCs/>
          <w:sz w:val="24"/>
          <w:szCs w:val="24"/>
        </w:rPr>
        <w:t>Sukuk</w:t>
      </w:r>
      <w:r w:rsidRPr="00251B2C">
        <w:rPr>
          <w:rFonts w:ascii="Times New Roman" w:hAnsi="Times New Roman" w:cs="Times New Roman"/>
          <w:sz w:val="24"/>
          <w:szCs w:val="24"/>
        </w:rPr>
        <w:t xml:space="preserve"> are in negative outcome which clusters more in left tail. </w:t>
      </w:r>
    </w:p>
    <w:p w14:paraId="78DF39E1" w14:textId="77777777" w:rsidR="00A755F5" w:rsidRPr="00251B2C" w:rsidRDefault="00A755F5" w:rsidP="00A755F5">
      <w:pPr>
        <w:pStyle w:val="Heading2"/>
        <w:rPr>
          <w:rFonts w:ascii="Times New Roman" w:hAnsi="Times New Roman" w:cs="Times New Roman"/>
          <w:sz w:val="24"/>
          <w:szCs w:val="24"/>
        </w:rPr>
      </w:pPr>
      <w:bookmarkStart w:id="70" w:name="_Toc481617408"/>
      <w:r w:rsidRPr="00251B2C">
        <w:rPr>
          <w:rFonts w:ascii="Times New Roman" w:hAnsi="Times New Roman" w:cs="Times New Roman"/>
          <w:sz w:val="24"/>
          <w:szCs w:val="24"/>
        </w:rPr>
        <w:t>Historical Simulation Results</w:t>
      </w:r>
      <w:bookmarkEnd w:id="70"/>
    </w:p>
    <w:p w14:paraId="26BC6F91" w14:textId="25BE1730" w:rsidR="00A755F5" w:rsidRPr="00251B2C" w:rsidRDefault="00A755F5" w:rsidP="00A755F5">
      <w:pPr>
        <w:pStyle w:val="ListParagraph"/>
        <w:spacing w:before="180" w:after="120" w:line="360" w:lineRule="auto"/>
        <w:ind w:left="0"/>
        <w:jc w:val="both"/>
        <w:rPr>
          <w:rFonts w:ascii="Times New Roman" w:hAnsi="Times New Roman" w:cs="Times New Roman"/>
          <w:color w:val="000000"/>
          <w:sz w:val="24"/>
          <w:szCs w:val="24"/>
          <w:shd w:val="clear" w:color="auto" w:fill="FFFFFF"/>
        </w:rPr>
      </w:pPr>
      <w:r w:rsidRPr="00251B2C">
        <w:rPr>
          <w:rFonts w:ascii="Times New Roman" w:hAnsi="Times New Roman" w:cs="Times New Roman"/>
          <w:sz w:val="24"/>
          <w:szCs w:val="24"/>
        </w:rPr>
        <w:t xml:space="preserve">Historical simulation is implemented by using log-normal daily returns of </w:t>
      </w:r>
      <w:r w:rsidR="000F4C35" w:rsidRPr="00F351D9">
        <w:rPr>
          <w:rFonts w:ascii="Times New Roman" w:hAnsi="Times New Roman" w:cs="Times New Roman"/>
          <w:i/>
          <w:iCs/>
          <w:sz w:val="24"/>
          <w:szCs w:val="24"/>
        </w:rPr>
        <w:t>Sukuk</w:t>
      </w:r>
      <w:r w:rsidRPr="00251B2C">
        <w:rPr>
          <w:rFonts w:ascii="Times New Roman" w:hAnsi="Times New Roman" w:cs="Times New Roman"/>
          <w:sz w:val="24"/>
          <w:szCs w:val="24"/>
        </w:rPr>
        <w:t xml:space="preserve"> and bonds issuances taking 250 trading days in a year. The VaR with confidence of 99% is simply </w:t>
      </w:r>
      <w:r w:rsidRPr="00251B2C">
        <w:rPr>
          <w:rFonts w:ascii="Times New Roman" w:hAnsi="Times New Roman" w:cs="Times New Roman"/>
          <w:sz w:val="24"/>
          <w:szCs w:val="24"/>
        </w:rPr>
        <w:lastRenderedPageBreak/>
        <w:t xml:space="preserve">calculated as 1% percentile of hypothetical loss or gain of probability density function, but mainly we concern the left tail of the bell curve values which </w:t>
      </w:r>
      <w:bookmarkStart w:id="71" w:name="OLE_LINK137"/>
      <w:r w:rsidRPr="00251B2C">
        <w:rPr>
          <w:rFonts w:ascii="Times New Roman" w:hAnsi="Times New Roman" w:cs="Times New Roman"/>
          <w:sz w:val="24"/>
          <w:szCs w:val="24"/>
        </w:rPr>
        <w:t xml:space="preserve">are the worst loss in a time. </w:t>
      </w:r>
      <w:bookmarkEnd w:id="71"/>
    </w:p>
    <w:p w14:paraId="2610C6D9" w14:textId="7D46F86A" w:rsidR="00A755F5" w:rsidRPr="00251B2C" w:rsidRDefault="00965789" w:rsidP="00A755F5">
      <w:pPr>
        <w:pStyle w:val="Caption"/>
        <w:keepNext/>
        <w:rPr>
          <w:rFonts w:ascii="Times New Roman" w:hAnsi="Times New Roman" w:cs="Times New Roman"/>
          <w:sz w:val="24"/>
          <w:szCs w:val="24"/>
        </w:rPr>
      </w:pPr>
      <w:bookmarkStart w:id="72" w:name="_Toc481617422"/>
      <w:bookmarkStart w:id="73" w:name="OLE_LINK153"/>
      <w:r w:rsidRPr="009B1361">
        <w:rPr>
          <w:rFonts w:ascii="Times New Roman" w:hAnsi="Times New Roman" w:cs="Times New Roman"/>
          <w:sz w:val="24"/>
          <w:szCs w:val="24"/>
        </w:rPr>
        <w:t>Table</w:t>
      </w:r>
      <w:r w:rsidR="00612FE1" w:rsidRPr="009B1361">
        <w:rPr>
          <w:rFonts w:ascii="Times New Roman" w:hAnsi="Times New Roman" w:cs="Times New Roman"/>
          <w:sz w:val="24"/>
          <w:szCs w:val="24"/>
        </w:rPr>
        <w:t xml:space="preserve"> </w:t>
      </w:r>
      <w:r>
        <w:rPr>
          <w:rFonts w:ascii="Times New Roman" w:hAnsi="Times New Roman" w:cs="Times New Roman"/>
          <w:sz w:val="24"/>
          <w:szCs w:val="24"/>
        </w:rPr>
        <w:t>4</w:t>
      </w:r>
      <w:r w:rsidR="00104535">
        <w:rPr>
          <w:rFonts w:ascii="Times New Roman" w:hAnsi="Times New Roman" w:cs="Times New Roman"/>
          <w:sz w:val="24"/>
          <w:szCs w:val="24"/>
        </w:rPr>
        <w:t>: Historical S</w:t>
      </w:r>
      <w:r w:rsidR="00A755F5" w:rsidRPr="00251B2C">
        <w:rPr>
          <w:rFonts w:ascii="Times New Roman" w:hAnsi="Times New Roman" w:cs="Times New Roman"/>
          <w:sz w:val="24"/>
          <w:szCs w:val="24"/>
        </w:rPr>
        <w:t xml:space="preserve">imulation for </w:t>
      </w:r>
      <w:r w:rsidR="000F4C35">
        <w:rPr>
          <w:rFonts w:ascii="Times New Roman" w:hAnsi="Times New Roman" w:cs="Times New Roman"/>
          <w:sz w:val="24"/>
          <w:szCs w:val="24"/>
        </w:rPr>
        <w:t>Sukuk</w:t>
      </w:r>
      <w:r w:rsidR="00104535">
        <w:rPr>
          <w:rFonts w:ascii="Times New Roman" w:hAnsi="Times New Roman" w:cs="Times New Roman"/>
          <w:sz w:val="24"/>
          <w:szCs w:val="24"/>
        </w:rPr>
        <w:t xml:space="preserve"> and Conventional Bonds at 99% of VaR C</w:t>
      </w:r>
      <w:r w:rsidR="00A755F5" w:rsidRPr="00251B2C">
        <w:rPr>
          <w:rFonts w:ascii="Times New Roman" w:hAnsi="Times New Roman" w:cs="Times New Roman"/>
          <w:sz w:val="24"/>
          <w:szCs w:val="24"/>
        </w:rPr>
        <w:t>onfidence</w:t>
      </w:r>
      <w:bookmarkEnd w:id="72"/>
    </w:p>
    <w:tbl>
      <w:tblPr>
        <w:tblW w:w="8576" w:type="dxa"/>
        <w:jc w:val="center"/>
        <w:tblLayout w:type="fixed"/>
        <w:tblCellMar>
          <w:left w:w="30" w:type="dxa"/>
          <w:right w:w="30" w:type="dxa"/>
        </w:tblCellMar>
        <w:tblLook w:val="04A0" w:firstRow="1" w:lastRow="0" w:firstColumn="1" w:lastColumn="0" w:noHBand="0" w:noVBand="1"/>
      </w:tblPr>
      <w:tblGrid>
        <w:gridCol w:w="3041"/>
        <w:gridCol w:w="1265"/>
        <w:gridCol w:w="3022"/>
        <w:gridCol w:w="1248"/>
      </w:tblGrid>
      <w:tr w:rsidR="00A755F5" w:rsidRPr="001A131A" w14:paraId="04DBB0E5" w14:textId="77777777" w:rsidTr="00A755F5">
        <w:trPr>
          <w:trHeight w:val="360"/>
          <w:jc w:val="center"/>
        </w:trPr>
        <w:tc>
          <w:tcPr>
            <w:tcW w:w="3041" w:type="dxa"/>
            <w:tcBorders>
              <w:top w:val="single" w:sz="12" w:space="0" w:color="auto"/>
              <w:left w:val="single" w:sz="12" w:space="0" w:color="auto"/>
              <w:bottom w:val="single" w:sz="12" w:space="0" w:color="auto"/>
              <w:right w:val="nil"/>
            </w:tcBorders>
            <w:shd w:val="clear" w:color="auto" w:fill="auto"/>
            <w:hideMark/>
          </w:tcPr>
          <w:p w14:paraId="6CA93D02" w14:textId="57501B7C"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
                <w:bCs/>
                <w:color w:val="000000"/>
                <w:sz w:val="20"/>
                <w:szCs w:val="20"/>
              </w:rPr>
            </w:pPr>
            <w:bookmarkStart w:id="74" w:name="OLE_LINK151"/>
            <w:bookmarkStart w:id="75" w:name="OLE_LINK152"/>
            <w:bookmarkEnd w:id="73"/>
            <w:r w:rsidRPr="001A131A">
              <w:rPr>
                <w:rFonts w:ascii="Times New Roman" w:eastAsia="Calibri" w:hAnsi="Times New Roman" w:cs="Times New Roman"/>
                <w:b/>
                <w:bCs/>
                <w:color w:val="000000"/>
                <w:sz w:val="20"/>
                <w:szCs w:val="20"/>
              </w:rPr>
              <w:t xml:space="preserve">List of </w:t>
            </w:r>
            <w:r w:rsidR="000F4C35" w:rsidRPr="001A131A">
              <w:rPr>
                <w:rFonts w:ascii="Times New Roman" w:eastAsia="Calibri" w:hAnsi="Times New Roman" w:cs="Times New Roman"/>
                <w:b/>
                <w:bCs/>
                <w:color w:val="000000"/>
                <w:sz w:val="20"/>
                <w:szCs w:val="20"/>
              </w:rPr>
              <w:t>Sukuk</w:t>
            </w:r>
          </w:p>
        </w:tc>
        <w:tc>
          <w:tcPr>
            <w:tcW w:w="1265" w:type="dxa"/>
            <w:tcBorders>
              <w:top w:val="single" w:sz="12" w:space="0" w:color="auto"/>
              <w:left w:val="single" w:sz="12" w:space="0" w:color="auto"/>
              <w:bottom w:val="single" w:sz="12" w:space="0" w:color="auto"/>
              <w:right w:val="single" w:sz="12" w:space="0" w:color="auto"/>
            </w:tcBorders>
            <w:shd w:val="clear" w:color="auto" w:fill="auto"/>
            <w:hideMark/>
          </w:tcPr>
          <w:p w14:paraId="33966F30"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b/>
                <w:bCs/>
                <w:color w:val="000000"/>
                <w:sz w:val="20"/>
                <w:szCs w:val="20"/>
              </w:rPr>
            </w:pPr>
            <w:r w:rsidRPr="001A131A">
              <w:rPr>
                <w:rFonts w:ascii="Times New Roman" w:eastAsia="Calibri" w:hAnsi="Times New Roman" w:cs="Times New Roman"/>
                <w:b/>
                <w:bCs/>
                <w:color w:val="000000"/>
                <w:sz w:val="20"/>
                <w:szCs w:val="20"/>
              </w:rPr>
              <w:t>VaR</w:t>
            </w:r>
          </w:p>
        </w:tc>
        <w:tc>
          <w:tcPr>
            <w:tcW w:w="3022" w:type="dxa"/>
            <w:tcBorders>
              <w:top w:val="single" w:sz="12" w:space="0" w:color="auto"/>
              <w:left w:val="nil"/>
              <w:bottom w:val="single" w:sz="12" w:space="0" w:color="auto"/>
              <w:right w:val="nil"/>
            </w:tcBorders>
            <w:shd w:val="clear" w:color="auto" w:fill="auto"/>
            <w:hideMark/>
          </w:tcPr>
          <w:p w14:paraId="2D3448D9" w14:textId="77777777" w:rsidR="00A755F5" w:rsidRPr="001A131A" w:rsidRDefault="00A755F5" w:rsidP="00A755F5">
            <w:pPr>
              <w:pStyle w:val="Heading6"/>
              <w:autoSpaceDE w:val="0"/>
              <w:autoSpaceDN w:val="0"/>
              <w:adjustRightInd w:val="0"/>
              <w:spacing w:before="60" w:after="60"/>
              <w:jc w:val="left"/>
              <w:rPr>
                <w:rFonts w:ascii="Times New Roman" w:eastAsia="Calibri" w:hAnsi="Times New Roman" w:cs="Times New Roman"/>
                <w:bCs/>
                <w:sz w:val="20"/>
                <w:szCs w:val="20"/>
                <w:lang w:eastAsia="en-US"/>
              </w:rPr>
            </w:pPr>
            <w:r w:rsidRPr="001A131A">
              <w:rPr>
                <w:rFonts w:ascii="Times New Roman" w:eastAsia="Calibri" w:hAnsi="Times New Roman" w:cs="Times New Roman"/>
                <w:bCs/>
                <w:sz w:val="20"/>
                <w:szCs w:val="20"/>
                <w:lang w:eastAsia="en-US"/>
              </w:rPr>
              <w:t>List of Bonds</w:t>
            </w:r>
          </w:p>
        </w:tc>
        <w:tc>
          <w:tcPr>
            <w:tcW w:w="1248" w:type="dxa"/>
            <w:tcBorders>
              <w:top w:val="single" w:sz="12" w:space="0" w:color="auto"/>
              <w:left w:val="single" w:sz="12" w:space="0" w:color="auto"/>
              <w:bottom w:val="single" w:sz="12" w:space="0" w:color="auto"/>
              <w:right w:val="single" w:sz="12" w:space="0" w:color="auto"/>
            </w:tcBorders>
            <w:shd w:val="clear" w:color="auto" w:fill="auto"/>
            <w:hideMark/>
          </w:tcPr>
          <w:p w14:paraId="49DB8074"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b/>
                <w:bCs/>
                <w:color w:val="000000"/>
                <w:sz w:val="20"/>
                <w:szCs w:val="20"/>
              </w:rPr>
            </w:pPr>
            <w:r w:rsidRPr="001A131A">
              <w:rPr>
                <w:rFonts w:ascii="Times New Roman" w:eastAsia="Calibri" w:hAnsi="Times New Roman" w:cs="Times New Roman"/>
                <w:b/>
                <w:bCs/>
                <w:color w:val="000000"/>
                <w:sz w:val="20"/>
                <w:szCs w:val="20"/>
              </w:rPr>
              <w:t>VaR</w:t>
            </w:r>
          </w:p>
        </w:tc>
      </w:tr>
      <w:tr w:rsidR="00A755F5" w:rsidRPr="001A131A" w14:paraId="4D970C1D" w14:textId="77777777" w:rsidTr="00A755F5">
        <w:trPr>
          <w:trHeight w:val="294"/>
          <w:jc w:val="center"/>
        </w:trPr>
        <w:tc>
          <w:tcPr>
            <w:tcW w:w="3041" w:type="dxa"/>
            <w:tcBorders>
              <w:top w:val="nil"/>
              <w:left w:val="single" w:sz="4" w:space="0" w:color="auto"/>
              <w:bottom w:val="single" w:sz="6" w:space="0" w:color="auto"/>
              <w:right w:val="single" w:sz="4" w:space="0" w:color="auto"/>
            </w:tcBorders>
            <w:hideMark/>
          </w:tcPr>
          <w:p w14:paraId="7B1DF0FE" w14:textId="76EFFD10"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Dar Al </w:t>
            </w:r>
            <w:proofErr w:type="spellStart"/>
            <w:r w:rsidRPr="001A131A">
              <w:rPr>
                <w:rFonts w:ascii="Times New Roman" w:eastAsia="Calibri" w:hAnsi="Times New Roman" w:cs="Times New Roman"/>
                <w:color w:val="000000"/>
                <w:sz w:val="20"/>
                <w:szCs w:val="20"/>
              </w:rPr>
              <w:t>Arkam</w:t>
            </w:r>
            <w:proofErr w:type="spellEnd"/>
            <w:r w:rsidRPr="001A131A">
              <w:rPr>
                <w:rFonts w:ascii="Times New Roman" w:eastAsia="Calibri" w:hAnsi="Times New Roman" w:cs="Times New Roman"/>
                <w:color w:val="000000"/>
                <w:sz w:val="20"/>
                <w:szCs w:val="20"/>
              </w:rPr>
              <w:t xml:space="preserve"> </w:t>
            </w:r>
            <w:r w:rsidR="000F4C35" w:rsidRPr="001A131A">
              <w:rPr>
                <w:rFonts w:ascii="Times New Roman" w:eastAsia="Calibri" w:hAnsi="Times New Roman" w:cs="Times New Roman"/>
                <w:color w:val="000000"/>
                <w:sz w:val="20"/>
                <w:szCs w:val="20"/>
              </w:rPr>
              <w:t>Sukuk</w:t>
            </w:r>
            <w:r w:rsidRPr="001A131A">
              <w:rPr>
                <w:rFonts w:ascii="Times New Roman" w:eastAsia="Calibri" w:hAnsi="Times New Roman" w:cs="Times New Roman"/>
                <w:color w:val="000000"/>
                <w:sz w:val="20"/>
                <w:szCs w:val="20"/>
              </w:rPr>
              <w:t xml:space="preserve"> Co</w:t>
            </w:r>
          </w:p>
        </w:tc>
        <w:tc>
          <w:tcPr>
            <w:tcW w:w="1265" w:type="dxa"/>
            <w:tcBorders>
              <w:top w:val="single" w:sz="12" w:space="0" w:color="auto"/>
              <w:left w:val="single" w:sz="4" w:space="0" w:color="auto"/>
              <w:bottom w:val="single" w:sz="6" w:space="0" w:color="auto"/>
              <w:right w:val="single" w:sz="6" w:space="0" w:color="auto"/>
            </w:tcBorders>
            <w:hideMark/>
          </w:tcPr>
          <w:p w14:paraId="46B33C21"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b/>
                <w:color w:val="000000"/>
                <w:sz w:val="20"/>
                <w:szCs w:val="20"/>
              </w:rPr>
            </w:pPr>
            <w:r w:rsidRPr="001A131A">
              <w:rPr>
                <w:rFonts w:ascii="Times New Roman" w:eastAsia="Calibri" w:hAnsi="Times New Roman" w:cs="Times New Roman"/>
                <w:b/>
                <w:color w:val="000000"/>
                <w:sz w:val="20"/>
                <w:szCs w:val="20"/>
              </w:rPr>
              <w:t>-3.54%</w:t>
            </w:r>
          </w:p>
        </w:tc>
        <w:tc>
          <w:tcPr>
            <w:tcW w:w="3022" w:type="dxa"/>
            <w:tcBorders>
              <w:top w:val="single" w:sz="12" w:space="0" w:color="auto"/>
              <w:left w:val="single" w:sz="12" w:space="0" w:color="auto"/>
              <w:bottom w:val="single" w:sz="6" w:space="0" w:color="auto"/>
              <w:right w:val="single" w:sz="4" w:space="0" w:color="auto"/>
            </w:tcBorders>
            <w:hideMark/>
          </w:tcPr>
          <w:p w14:paraId="6516A191"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Agri Bank of China </w:t>
            </w:r>
          </w:p>
        </w:tc>
        <w:tc>
          <w:tcPr>
            <w:tcW w:w="1248" w:type="dxa"/>
            <w:tcBorders>
              <w:top w:val="single" w:sz="12" w:space="0" w:color="auto"/>
              <w:left w:val="single" w:sz="4" w:space="0" w:color="auto"/>
              <w:bottom w:val="single" w:sz="6" w:space="0" w:color="auto"/>
              <w:right w:val="single" w:sz="6" w:space="0" w:color="auto"/>
            </w:tcBorders>
            <w:hideMark/>
          </w:tcPr>
          <w:p w14:paraId="304120E0"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-0.35%</w:t>
            </w:r>
          </w:p>
        </w:tc>
      </w:tr>
      <w:tr w:rsidR="00A755F5" w:rsidRPr="001A131A" w14:paraId="199ADDCD" w14:textId="77777777" w:rsidTr="00A755F5">
        <w:trPr>
          <w:trHeight w:val="294"/>
          <w:jc w:val="center"/>
        </w:trPr>
        <w:tc>
          <w:tcPr>
            <w:tcW w:w="3041" w:type="dxa"/>
            <w:tcBorders>
              <w:top w:val="single" w:sz="6" w:space="0" w:color="auto"/>
              <w:left w:val="single" w:sz="4" w:space="0" w:color="auto"/>
              <w:bottom w:val="single" w:sz="6" w:space="0" w:color="auto"/>
              <w:right w:val="single" w:sz="4" w:space="0" w:color="auto"/>
            </w:tcBorders>
            <w:hideMark/>
          </w:tcPr>
          <w:p w14:paraId="36B88D1A" w14:textId="0D8CCC5B"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DIB </w:t>
            </w:r>
            <w:r w:rsidR="000F4C35" w:rsidRPr="001A131A">
              <w:rPr>
                <w:rFonts w:ascii="Times New Roman" w:eastAsia="Calibri" w:hAnsi="Times New Roman" w:cs="Times New Roman"/>
                <w:color w:val="000000"/>
                <w:sz w:val="20"/>
                <w:szCs w:val="20"/>
              </w:rPr>
              <w:t>Sukuk</w:t>
            </w:r>
            <w:r w:rsidRPr="001A131A">
              <w:rPr>
                <w:rFonts w:ascii="Times New Roman" w:eastAsia="Calibri" w:hAnsi="Times New Roman" w:cs="Times New Roman"/>
                <w:color w:val="000000"/>
                <w:sz w:val="20"/>
                <w:szCs w:val="20"/>
              </w:rPr>
              <w:t xml:space="preserve"> Limited </w:t>
            </w:r>
          </w:p>
        </w:tc>
        <w:tc>
          <w:tcPr>
            <w:tcW w:w="1265" w:type="dxa"/>
            <w:tcBorders>
              <w:top w:val="single" w:sz="6" w:space="0" w:color="auto"/>
              <w:left w:val="single" w:sz="4" w:space="0" w:color="auto"/>
              <w:bottom w:val="single" w:sz="6" w:space="0" w:color="auto"/>
              <w:right w:val="single" w:sz="6" w:space="0" w:color="auto"/>
            </w:tcBorders>
            <w:hideMark/>
          </w:tcPr>
          <w:p w14:paraId="6109ECBE"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-1.17%</w:t>
            </w:r>
          </w:p>
        </w:tc>
        <w:tc>
          <w:tcPr>
            <w:tcW w:w="3022" w:type="dxa"/>
            <w:tcBorders>
              <w:top w:val="single" w:sz="6" w:space="0" w:color="auto"/>
              <w:left w:val="single" w:sz="12" w:space="0" w:color="auto"/>
              <w:bottom w:val="single" w:sz="6" w:space="0" w:color="auto"/>
              <w:right w:val="single" w:sz="4" w:space="0" w:color="auto"/>
            </w:tcBorders>
            <w:hideMark/>
          </w:tcPr>
          <w:p w14:paraId="54CC2E1B"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Bank of China Ltd AD</w:t>
            </w:r>
          </w:p>
        </w:tc>
        <w:tc>
          <w:tcPr>
            <w:tcW w:w="1248" w:type="dxa"/>
            <w:tcBorders>
              <w:top w:val="single" w:sz="6" w:space="0" w:color="auto"/>
              <w:left w:val="single" w:sz="4" w:space="0" w:color="auto"/>
              <w:bottom w:val="single" w:sz="6" w:space="0" w:color="auto"/>
              <w:right w:val="single" w:sz="6" w:space="0" w:color="auto"/>
            </w:tcBorders>
            <w:hideMark/>
          </w:tcPr>
          <w:p w14:paraId="3811B007"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-0.22%</w:t>
            </w:r>
          </w:p>
        </w:tc>
      </w:tr>
      <w:tr w:rsidR="00A755F5" w:rsidRPr="001A131A" w14:paraId="5F4C4578" w14:textId="77777777" w:rsidTr="00A755F5">
        <w:trPr>
          <w:trHeight w:val="294"/>
          <w:jc w:val="center"/>
        </w:trPr>
        <w:tc>
          <w:tcPr>
            <w:tcW w:w="3041" w:type="dxa"/>
            <w:tcBorders>
              <w:top w:val="single" w:sz="6" w:space="0" w:color="auto"/>
              <w:left w:val="single" w:sz="4" w:space="0" w:color="auto"/>
              <w:bottom w:val="single" w:sz="6" w:space="0" w:color="auto"/>
              <w:right w:val="single" w:sz="4" w:space="0" w:color="auto"/>
            </w:tcBorders>
            <w:hideMark/>
          </w:tcPr>
          <w:p w14:paraId="653BD278" w14:textId="289E6C6C"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DIB Tier 1 </w:t>
            </w:r>
            <w:r w:rsidR="000F4C35" w:rsidRPr="001A131A">
              <w:rPr>
                <w:rFonts w:ascii="Times New Roman" w:eastAsia="Calibri" w:hAnsi="Times New Roman" w:cs="Times New Roman"/>
                <w:color w:val="000000"/>
                <w:sz w:val="20"/>
                <w:szCs w:val="20"/>
              </w:rPr>
              <w:t>Sukuk</w:t>
            </w:r>
            <w:r w:rsidRPr="001A131A">
              <w:rPr>
                <w:rFonts w:ascii="Times New Roman" w:eastAsia="Calibri" w:hAnsi="Times New Roman" w:cs="Times New Roman"/>
                <w:color w:val="000000"/>
                <w:sz w:val="20"/>
                <w:szCs w:val="20"/>
              </w:rPr>
              <w:t xml:space="preserve"> Ltd </w:t>
            </w:r>
          </w:p>
        </w:tc>
        <w:tc>
          <w:tcPr>
            <w:tcW w:w="1265" w:type="dxa"/>
            <w:tcBorders>
              <w:top w:val="single" w:sz="6" w:space="0" w:color="auto"/>
              <w:left w:val="single" w:sz="4" w:space="0" w:color="auto"/>
              <w:bottom w:val="single" w:sz="6" w:space="0" w:color="auto"/>
              <w:right w:val="single" w:sz="6" w:space="0" w:color="auto"/>
            </w:tcBorders>
            <w:hideMark/>
          </w:tcPr>
          <w:p w14:paraId="43062CFF"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-0.62%</w:t>
            </w:r>
          </w:p>
        </w:tc>
        <w:tc>
          <w:tcPr>
            <w:tcW w:w="3022" w:type="dxa"/>
            <w:tcBorders>
              <w:top w:val="single" w:sz="6" w:space="0" w:color="auto"/>
              <w:left w:val="single" w:sz="12" w:space="0" w:color="auto"/>
              <w:bottom w:val="single" w:sz="6" w:space="0" w:color="auto"/>
              <w:right w:val="single" w:sz="4" w:space="0" w:color="auto"/>
            </w:tcBorders>
            <w:hideMark/>
          </w:tcPr>
          <w:p w14:paraId="5EF8FF96"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DP World Ltd GMTN- </w:t>
            </w:r>
            <w:proofErr w:type="spellStart"/>
            <w:r w:rsidRPr="001A131A">
              <w:rPr>
                <w:rFonts w:ascii="Times New Roman" w:eastAsia="Calibri" w:hAnsi="Times New Roman" w:cs="Times New Roman"/>
                <w:color w:val="000000"/>
                <w:sz w:val="20"/>
                <w:szCs w:val="20"/>
              </w:rPr>
              <w:t>RegS</w:t>
            </w:r>
            <w:proofErr w:type="spellEnd"/>
          </w:p>
        </w:tc>
        <w:tc>
          <w:tcPr>
            <w:tcW w:w="1248" w:type="dxa"/>
            <w:tcBorders>
              <w:top w:val="single" w:sz="6" w:space="0" w:color="auto"/>
              <w:left w:val="single" w:sz="4" w:space="0" w:color="auto"/>
              <w:bottom w:val="single" w:sz="6" w:space="0" w:color="auto"/>
              <w:right w:val="single" w:sz="6" w:space="0" w:color="auto"/>
            </w:tcBorders>
            <w:hideMark/>
          </w:tcPr>
          <w:p w14:paraId="11720C3D"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-0.60%</w:t>
            </w:r>
          </w:p>
        </w:tc>
      </w:tr>
      <w:tr w:rsidR="00A755F5" w:rsidRPr="001A131A" w14:paraId="57AFAAB7" w14:textId="77777777" w:rsidTr="00A755F5">
        <w:trPr>
          <w:trHeight w:val="294"/>
          <w:jc w:val="center"/>
        </w:trPr>
        <w:tc>
          <w:tcPr>
            <w:tcW w:w="3041" w:type="dxa"/>
            <w:tcBorders>
              <w:top w:val="single" w:sz="6" w:space="0" w:color="auto"/>
              <w:left w:val="single" w:sz="4" w:space="0" w:color="auto"/>
              <w:bottom w:val="single" w:sz="6" w:space="0" w:color="auto"/>
              <w:right w:val="single" w:sz="4" w:space="0" w:color="auto"/>
            </w:tcBorders>
            <w:hideMark/>
          </w:tcPr>
          <w:p w14:paraId="0C11E71C" w14:textId="314D445F"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DIB Tier 1 </w:t>
            </w:r>
            <w:r w:rsidR="000F4C35" w:rsidRPr="001A131A">
              <w:rPr>
                <w:rFonts w:ascii="Times New Roman" w:eastAsia="Calibri" w:hAnsi="Times New Roman" w:cs="Times New Roman"/>
                <w:color w:val="000000"/>
                <w:sz w:val="20"/>
                <w:szCs w:val="20"/>
              </w:rPr>
              <w:t>Sukuk</w:t>
            </w:r>
            <w:r w:rsidRPr="001A131A">
              <w:rPr>
                <w:rFonts w:ascii="Times New Roman" w:eastAsia="Calibri" w:hAnsi="Times New Roman" w:cs="Times New Roman"/>
                <w:color w:val="000000"/>
                <w:sz w:val="20"/>
                <w:szCs w:val="20"/>
              </w:rPr>
              <w:t xml:space="preserve"> 2 Ltd </w:t>
            </w:r>
          </w:p>
        </w:tc>
        <w:tc>
          <w:tcPr>
            <w:tcW w:w="1265" w:type="dxa"/>
            <w:tcBorders>
              <w:top w:val="single" w:sz="6" w:space="0" w:color="auto"/>
              <w:left w:val="single" w:sz="4" w:space="0" w:color="auto"/>
              <w:bottom w:val="single" w:sz="6" w:space="0" w:color="auto"/>
              <w:right w:val="single" w:sz="6" w:space="0" w:color="auto"/>
            </w:tcBorders>
            <w:hideMark/>
          </w:tcPr>
          <w:p w14:paraId="25DBE0D6"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-1.27%</w:t>
            </w:r>
          </w:p>
        </w:tc>
        <w:tc>
          <w:tcPr>
            <w:tcW w:w="3022" w:type="dxa"/>
            <w:tcBorders>
              <w:top w:val="single" w:sz="6" w:space="0" w:color="auto"/>
              <w:left w:val="single" w:sz="12" w:space="0" w:color="auto"/>
              <w:bottom w:val="single" w:sz="6" w:space="0" w:color="auto"/>
              <w:right w:val="single" w:sz="4" w:space="0" w:color="auto"/>
            </w:tcBorders>
            <w:hideMark/>
          </w:tcPr>
          <w:p w14:paraId="7F4D260A"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DP World Ltd- 144A</w:t>
            </w:r>
          </w:p>
        </w:tc>
        <w:tc>
          <w:tcPr>
            <w:tcW w:w="1248" w:type="dxa"/>
            <w:tcBorders>
              <w:top w:val="single" w:sz="6" w:space="0" w:color="auto"/>
              <w:left w:val="single" w:sz="4" w:space="0" w:color="auto"/>
              <w:bottom w:val="single" w:sz="6" w:space="0" w:color="auto"/>
              <w:right w:val="single" w:sz="6" w:space="0" w:color="auto"/>
            </w:tcBorders>
            <w:hideMark/>
          </w:tcPr>
          <w:p w14:paraId="4DB94598"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-0.41%</w:t>
            </w:r>
          </w:p>
        </w:tc>
      </w:tr>
      <w:tr w:rsidR="00A755F5" w:rsidRPr="001A131A" w14:paraId="2FD33410" w14:textId="77777777" w:rsidTr="00A755F5">
        <w:trPr>
          <w:trHeight w:val="294"/>
          <w:jc w:val="center"/>
        </w:trPr>
        <w:tc>
          <w:tcPr>
            <w:tcW w:w="3041" w:type="dxa"/>
            <w:tcBorders>
              <w:top w:val="single" w:sz="6" w:space="0" w:color="auto"/>
              <w:left w:val="single" w:sz="4" w:space="0" w:color="auto"/>
              <w:bottom w:val="single" w:sz="6" w:space="0" w:color="auto"/>
              <w:right w:val="single" w:sz="4" w:space="0" w:color="auto"/>
            </w:tcBorders>
            <w:hideMark/>
          </w:tcPr>
          <w:p w14:paraId="093507CC" w14:textId="72031F2E"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DIP </w:t>
            </w:r>
            <w:r w:rsidR="000F4C35" w:rsidRPr="001A131A">
              <w:rPr>
                <w:rFonts w:ascii="Times New Roman" w:eastAsia="Calibri" w:hAnsi="Times New Roman" w:cs="Times New Roman"/>
                <w:color w:val="000000"/>
                <w:sz w:val="20"/>
                <w:szCs w:val="20"/>
              </w:rPr>
              <w:t>Sukuk</w:t>
            </w:r>
            <w:r w:rsidRPr="001A131A">
              <w:rPr>
                <w:rFonts w:ascii="Times New Roman" w:eastAsia="Calibri" w:hAnsi="Times New Roman" w:cs="Times New Roman"/>
                <w:color w:val="000000"/>
                <w:sz w:val="20"/>
                <w:szCs w:val="20"/>
              </w:rPr>
              <w:t xml:space="preserve"> Ltd </w:t>
            </w:r>
          </w:p>
        </w:tc>
        <w:tc>
          <w:tcPr>
            <w:tcW w:w="1265" w:type="dxa"/>
            <w:tcBorders>
              <w:top w:val="single" w:sz="6" w:space="0" w:color="auto"/>
              <w:left w:val="single" w:sz="4" w:space="0" w:color="auto"/>
              <w:bottom w:val="single" w:sz="6" w:space="0" w:color="auto"/>
              <w:right w:val="single" w:sz="6" w:space="0" w:color="auto"/>
            </w:tcBorders>
            <w:hideMark/>
          </w:tcPr>
          <w:p w14:paraId="5278E45E"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-0.33%</w:t>
            </w:r>
          </w:p>
        </w:tc>
        <w:tc>
          <w:tcPr>
            <w:tcW w:w="3022" w:type="dxa"/>
            <w:tcBorders>
              <w:top w:val="single" w:sz="6" w:space="0" w:color="auto"/>
              <w:left w:val="single" w:sz="12" w:space="0" w:color="auto"/>
              <w:bottom w:val="single" w:sz="6" w:space="0" w:color="auto"/>
              <w:right w:val="single" w:sz="4" w:space="0" w:color="auto"/>
            </w:tcBorders>
            <w:hideMark/>
          </w:tcPr>
          <w:p w14:paraId="02DDBA07"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Dubai Holding C.O. Ltd </w:t>
            </w:r>
          </w:p>
        </w:tc>
        <w:tc>
          <w:tcPr>
            <w:tcW w:w="1248" w:type="dxa"/>
            <w:tcBorders>
              <w:top w:val="single" w:sz="6" w:space="0" w:color="auto"/>
              <w:left w:val="single" w:sz="4" w:space="0" w:color="auto"/>
              <w:bottom w:val="single" w:sz="6" w:space="0" w:color="auto"/>
              <w:right w:val="single" w:sz="6" w:space="0" w:color="auto"/>
            </w:tcBorders>
            <w:hideMark/>
          </w:tcPr>
          <w:p w14:paraId="0F3643C9"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-0.75%</w:t>
            </w:r>
          </w:p>
        </w:tc>
      </w:tr>
      <w:tr w:rsidR="00A755F5" w:rsidRPr="001A131A" w14:paraId="7CD9C3BD" w14:textId="77777777" w:rsidTr="00A755F5">
        <w:trPr>
          <w:trHeight w:val="294"/>
          <w:jc w:val="center"/>
        </w:trPr>
        <w:tc>
          <w:tcPr>
            <w:tcW w:w="3041" w:type="dxa"/>
            <w:tcBorders>
              <w:top w:val="single" w:sz="6" w:space="0" w:color="auto"/>
              <w:left w:val="single" w:sz="4" w:space="0" w:color="auto"/>
              <w:bottom w:val="single" w:sz="6" w:space="0" w:color="auto"/>
              <w:right w:val="single" w:sz="4" w:space="0" w:color="auto"/>
            </w:tcBorders>
            <w:hideMark/>
          </w:tcPr>
          <w:p w14:paraId="54812393" w14:textId="57E01608"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bookmarkStart w:id="76" w:name="OLE_LINK129"/>
            <w:bookmarkStart w:id="77" w:name="OLE_LINK130"/>
            <w:r w:rsidRPr="001A131A">
              <w:rPr>
                <w:rFonts w:ascii="Times New Roman" w:eastAsia="Calibri" w:hAnsi="Times New Roman" w:cs="Times New Roman"/>
                <w:color w:val="000000"/>
                <w:sz w:val="20"/>
                <w:szCs w:val="20"/>
              </w:rPr>
              <w:t xml:space="preserve">DP World </w:t>
            </w:r>
            <w:r w:rsidR="000F4C35" w:rsidRPr="001A131A">
              <w:rPr>
                <w:rFonts w:ascii="Times New Roman" w:eastAsia="Calibri" w:hAnsi="Times New Roman" w:cs="Times New Roman"/>
                <w:color w:val="000000"/>
                <w:sz w:val="20"/>
                <w:szCs w:val="20"/>
              </w:rPr>
              <w:t>Sukuk</w:t>
            </w:r>
            <w:r w:rsidRPr="001A131A">
              <w:rPr>
                <w:rFonts w:ascii="Times New Roman" w:eastAsia="Calibri" w:hAnsi="Times New Roman" w:cs="Times New Roman"/>
                <w:color w:val="000000"/>
                <w:sz w:val="20"/>
                <w:szCs w:val="20"/>
              </w:rPr>
              <w:t xml:space="preserve"> Ltd </w:t>
            </w:r>
            <w:bookmarkEnd w:id="76"/>
            <w:bookmarkEnd w:id="77"/>
          </w:p>
        </w:tc>
        <w:tc>
          <w:tcPr>
            <w:tcW w:w="1265" w:type="dxa"/>
            <w:tcBorders>
              <w:top w:val="single" w:sz="6" w:space="0" w:color="auto"/>
              <w:left w:val="single" w:sz="4" w:space="0" w:color="auto"/>
              <w:bottom w:val="single" w:sz="6" w:space="0" w:color="auto"/>
              <w:right w:val="single" w:sz="6" w:space="0" w:color="auto"/>
            </w:tcBorders>
            <w:hideMark/>
          </w:tcPr>
          <w:p w14:paraId="793EAF77"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b/>
                <w:color w:val="000000"/>
                <w:sz w:val="20"/>
                <w:szCs w:val="20"/>
              </w:rPr>
            </w:pPr>
            <w:r w:rsidRPr="001A131A">
              <w:rPr>
                <w:rFonts w:ascii="Times New Roman" w:eastAsia="Calibri" w:hAnsi="Times New Roman" w:cs="Times New Roman"/>
                <w:b/>
                <w:color w:val="000000"/>
                <w:sz w:val="20"/>
                <w:szCs w:val="20"/>
              </w:rPr>
              <w:t>-0.20%</w:t>
            </w:r>
          </w:p>
        </w:tc>
        <w:tc>
          <w:tcPr>
            <w:tcW w:w="3022" w:type="dxa"/>
            <w:tcBorders>
              <w:top w:val="single" w:sz="6" w:space="0" w:color="auto"/>
              <w:left w:val="single" w:sz="12" w:space="0" w:color="auto"/>
              <w:bottom w:val="single" w:sz="6" w:space="0" w:color="auto"/>
              <w:right w:val="single" w:sz="4" w:space="0" w:color="auto"/>
            </w:tcBorders>
            <w:hideMark/>
          </w:tcPr>
          <w:p w14:paraId="74DE6C1A"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Emirates NBD PJSC2015 </w:t>
            </w:r>
          </w:p>
        </w:tc>
        <w:tc>
          <w:tcPr>
            <w:tcW w:w="1248" w:type="dxa"/>
            <w:tcBorders>
              <w:top w:val="single" w:sz="6" w:space="0" w:color="auto"/>
              <w:left w:val="single" w:sz="4" w:space="0" w:color="auto"/>
              <w:bottom w:val="single" w:sz="6" w:space="0" w:color="auto"/>
              <w:right w:val="single" w:sz="6" w:space="0" w:color="auto"/>
            </w:tcBorders>
            <w:hideMark/>
          </w:tcPr>
          <w:p w14:paraId="13E615AA"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-0.53%</w:t>
            </w:r>
          </w:p>
        </w:tc>
      </w:tr>
      <w:tr w:rsidR="00A755F5" w:rsidRPr="001A131A" w14:paraId="3DE7FC21" w14:textId="77777777" w:rsidTr="00A755F5">
        <w:trPr>
          <w:trHeight w:val="294"/>
          <w:jc w:val="center"/>
        </w:trPr>
        <w:tc>
          <w:tcPr>
            <w:tcW w:w="3041" w:type="dxa"/>
            <w:tcBorders>
              <w:top w:val="single" w:sz="6" w:space="0" w:color="auto"/>
              <w:left w:val="single" w:sz="4" w:space="0" w:color="auto"/>
              <w:bottom w:val="single" w:sz="6" w:space="0" w:color="auto"/>
              <w:right w:val="single" w:sz="4" w:space="0" w:color="auto"/>
            </w:tcBorders>
            <w:hideMark/>
          </w:tcPr>
          <w:p w14:paraId="49373793" w14:textId="5E800FF4"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bookmarkStart w:id="78" w:name="_Hlk480500767"/>
            <w:r w:rsidRPr="001A131A">
              <w:rPr>
                <w:rFonts w:ascii="Times New Roman" w:eastAsia="Calibri" w:hAnsi="Times New Roman" w:cs="Times New Roman"/>
                <w:color w:val="000000"/>
                <w:sz w:val="20"/>
                <w:szCs w:val="20"/>
              </w:rPr>
              <w:t xml:space="preserve">EMG </w:t>
            </w:r>
            <w:r w:rsidR="000F4C35" w:rsidRPr="001A131A">
              <w:rPr>
                <w:rFonts w:ascii="Times New Roman" w:eastAsia="Calibri" w:hAnsi="Times New Roman" w:cs="Times New Roman"/>
                <w:color w:val="000000"/>
                <w:sz w:val="20"/>
                <w:szCs w:val="20"/>
              </w:rPr>
              <w:t>Sukuk</w:t>
            </w:r>
            <w:r w:rsidRPr="001A131A">
              <w:rPr>
                <w:rFonts w:ascii="Times New Roman" w:eastAsia="Calibri" w:hAnsi="Times New Roman" w:cs="Times New Roman"/>
                <w:color w:val="000000"/>
                <w:sz w:val="20"/>
                <w:szCs w:val="20"/>
              </w:rPr>
              <w:t xml:space="preserve"> Limited </w:t>
            </w:r>
          </w:p>
        </w:tc>
        <w:tc>
          <w:tcPr>
            <w:tcW w:w="1265" w:type="dxa"/>
            <w:tcBorders>
              <w:top w:val="single" w:sz="6" w:space="0" w:color="auto"/>
              <w:left w:val="single" w:sz="4" w:space="0" w:color="auto"/>
              <w:bottom w:val="single" w:sz="6" w:space="0" w:color="auto"/>
              <w:right w:val="single" w:sz="6" w:space="0" w:color="auto"/>
            </w:tcBorders>
            <w:hideMark/>
          </w:tcPr>
          <w:p w14:paraId="665BDD70"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-0.62%</w:t>
            </w:r>
          </w:p>
        </w:tc>
        <w:tc>
          <w:tcPr>
            <w:tcW w:w="3022" w:type="dxa"/>
            <w:tcBorders>
              <w:top w:val="single" w:sz="6" w:space="0" w:color="auto"/>
              <w:left w:val="single" w:sz="12" w:space="0" w:color="auto"/>
              <w:bottom w:val="single" w:sz="6" w:space="0" w:color="auto"/>
              <w:right w:val="single" w:sz="4" w:space="0" w:color="auto"/>
            </w:tcBorders>
            <w:hideMark/>
          </w:tcPr>
          <w:p w14:paraId="6D4B0620"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Emirates NBD PJSC 2015</w:t>
            </w:r>
          </w:p>
        </w:tc>
        <w:tc>
          <w:tcPr>
            <w:tcW w:w="1248" w:type="dxa"/>
            <w:tcBorders>
              <w:top w:val="single" w:sz="6" w:space="0" w:color="auto"/>
              <w:left w:val="single" w:sz="4" w:space="0" w:color="auto"/>
              <w:bottom w:val="single" w:sz="6" w:space="0" w:color="auto"/>
              <w:right w:val="single" w:sz="6" w:space="0" w:color="auto"/>
            </w:tcBorders>
            <w:hideMark/>
          </w:tcPr>
          <w:p w14:paraId="7236DDCD"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-0.19%</w:t>
            </w:r>
          </w:p>
        </w:tc>
      </w:tr>
      <w:bookmarkEnd w:id="78"/>
      <w:tr w:rsidR="00A755F5" w:rsidRPr="001A131A" w14:paraId="380AEE54" w14:textId="77777777" w:rsidTr="00A755F5">
        <w:trPr>
          <w:trHeight w:val="294"/>
          <w:jc w:val="center"/>
        </w:trPr>
        <w:tc>
          <w:tcPr>
            <w:tcW w:w="3041" w:type="dxa"/>
            <w:tcBorders>
              <w:top w:val="single" w:sz="6" w:space="0" w:color="auto"/>
              <w:left w:val="single" w:sz="4" w:space="0" w:color="auto"/>
              <w:bottom w:val="single" w:sz="6" w:space="0" w:color="auto"/>
              <w:right w:val="single" w:sz="4" w:space="0" w:color="auto"/>
            </w:tcBorders>
            <w:hideMark/>
          </w:tcPr>
          <w:p w14:paraId="07C0652B" w14:textId="42C92E32"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ICD </w:t>
            </w:r>
            <w:r w:rsidR="000F4C35" w:rsidRPr="001A131A">
              <w:rPr>
                <w:rFonts w:ascii="Times New Roman" w:eastAsia="Calibri" w:hAnsi="Times New Roman" w:cs="Times New Roman"/>
                <w:color w:val="000000"/>
                <w:sz w:val="20"/>
                <w:szCs w:val="20"/>
              </w:rPr>
              <w:t>Sukuk</w:t>
            </w:r>
            <w:r w:rsidRPr="001A131A">
              <w:rPr>
                <w:rFonts w:ascii="Times New Roman" w:eastAsia="Calibri" w:hAnsi="Times New Roman" w:cs="Times New Roman"/>
                <w:color w:val="000000"/>
                <w:sz w:val="20"/>
                <w:szCs w:val="20"/>
              </w:rPr>
              <w:t xml:space="preserve"> Co. Ltd </w:t>
            </w:r>
          </w:p>
        </w:tc>
        <w:tc>
          <w:tcPr>
            <w:tcW w:w="1265" w:type="dxa"/>
            <w:tcBorders>
              <w:top w:val="single" w:sz="6" w:space="0" w:color="auto"/>
              <w:left w:val="single" w:sz="4" w:space="0" w:color="auto"/>
              <w:bottom w:val="single" w:sz="6" w:space="0" w:color="auto"/>
              <w:right w:val="single" w:sz="6" w:space="0" w:color="auto"/>
            </w:tcBorders>
            <w:hideMark/>
          </w:tcPr>
          <w:p w14:paraId="7AF5DAAA"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-0.28%</w:t>
            </w:r>
          </w:p>
        </w:tc>
        <w:tc>
          <w:tcPr>
            <w:tcW w:w="3022" w:type="dxa"/>
            <w:tcBorders>
              <w:top w:val="single" w:sz="6" w:space="0" w:color="auto"/>
              <w:left w:val="single" w:sz="12" w:space="0" w:color="auto"/>
              <w:bottom w:val="single" w:sz="6" w:space="0" w:color="auto"/>
              <w:right w:val="single" w:sz="4" w:space="0" w:color="auto"/>
            </w:tcBorders>
            <w:hideMark/>
          </w:tcPr>
          <w:p w14:paraId="44D2A6DD"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Emirates NBD PJSC 2014</w:t>
            </w:r>
          </w:p>
        </w:tc>
        <w:tc>
          <w:tcPr>
            <w:tcW w:w="1248" w:type="dxa"/>
            <w:tcBorders>
              <w:top w:val="single" w:sz="6" w:space="0" w:color="auto"/>
              <w:left w:val="single" w:sz="4" w:space="0" w:color="auto"/>
              <w:bottom w:val="single" w:sz="6" w:space="0" w:color="auto"/>
              <w:right w:val="single" w:sz="6" w:space="0" w:color="auto"/>
            </w:tcBorders>
            <w:hideMark/>
          </w:tcPr>
          <w:p w14:paraId="605856E8"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-0.19%</w:t>
            </w:r>
          </w:p>
        </w:tc>
      </w:tr>
      <w:tr w:rsidR="00A755F5" w:rsidRPr="001A131A" w14:paraId="6E34041E" w14:textId="77777777" w:rsidTr="00A755F5">
        <w:trPr>
          <w:trHeight w:val="294"/>
          <w:jc w:val="center"/>
        </w:trPr>
        <w:tc>
          <w:tcPr>
            <w:tcW w:w="3041" w:type="dxa"/>
            <w:tcBorders>
              <w:top w:val="single" w:sz="6" w:space="0" w:color="auto"/>
              <w:left w:val="single" w:sz="4" w:space="0" w:color="auto"/>
              <w:bottom w:val="single" w:sz="6" w:space="0" w:color="auto"/>
              <w:right w:val="single" w:sz="4" w:space="0" w:color="auto"/>
            </w:tcBorders>
            <w:hideMark/>
          </w:tcPr>
          <w:p w14:paraId="1665E383"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IDB Trust Services Ltd </w:t>
            </w:r>
          </w:p>
        </w:tc>
        <w:tc>
          <w:tcPr>
            <w:tcW w:w="1265" w:type="dxa"/>
            <w:tcBorders>
              <w:top w:val="single" w:sz="6" w:space="0" w:color="auto"/>
              <w:left w:val="single" w:sz="4" w:space="0" w:color="auto"/>
              <w:bottom w:val="single" w:sz="6" w:space="0" w:color="auto"/>
              <w:right w:val="single" w:sz="6" w:space="0" w:color="auto"/>
            </w:tcBorders>
            <w:hideMark/>
          </w:tcPr>
          <w:p w14:paraId="5DD5C7A5"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-0.22%</w:t>
            </w:r>
          </w:p>
        </w:tc>
        <w:tc>
          <w:tcPr>
            <w:tcW w:w="3022" w:type="dxa"/>
            <w:tcBorders>
              <w:top w:val="single" w:sz="6" w:space="0" w:color="auto"/>
              <w:left w:val="single" w:sz="12" w:space="0" w:color="auto"/>
              <w:bottom w:val="single" w:sz="6" w:space="0" w:color="auto"/>
              <w:right w:val="single" w:sz="4" w:space="0" w:color="auto"/>
            </w:tcBorders>
            <w:hideMark/>
          </w:tcPr>
          <w:p w14:paraId="6D58E17A"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Emirates NBD PJSC 2013</w:t>
            </w:r>
          </w:p>
        </w:tc>
        <w:tc>
          <w:tcPr>
            <w:tcW w:w="1248" w:type="dxa"/>
            <w:tcBorders>
              <w:top w:val="single" w:sz="6" w:space="0" w:color="auto"/>
              <w:left w:val="single" w:sz="4" w:space="0" w:color="auto"/>
              <w:bottom w:val="single" w:sz="6" w:space="0" w:color="auto"/>
              <w:right w:val="single" w:sz="6" w:space="0" w:color="auto"/>
            </w:tcBorders>
            <w:hideMark/>
          </w:tcPr>
          <w:p w14:paraId="05CEEBAD"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-0.25%</w:t>
            </w:r>
          </w:p>
        </w:tc>
      </w:tr>
      <w:tr w:rsidR="00A755F5" w:rsidRPr="001A131A" w14:paraId="50996301" w14:textId="77777777" w:rsidTr="00A755F5">
        <w:trPr>
          <w:trHeight w:val="294"/>
          <w:jc w:val="center"/>
        </w:trPr>
        <w:tc>
          <w:tcPr>
            <w:tcW w:w="3041" w:type="dxa"/>
            <w:tcBorders>
              <w:top w:val="single" w:sz="6" w:space="0" w:color="auto"/>
              <w:left w:val="single" w:sz="4" w:space="0" w:color="auto"/>
              <w:bottom w:val="single" w:sz="6" w:space="0" w:color="auto"/>
              <w:right w:val="single" w:sz="4" w:space="0" w:color="auto"/>
            </w:tcBorders>
            <w:hideMark/>
          </w:tcPr>
          <w:p w14:paraId="5C8EDC8C"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INDONESIA III -144A</w:t>
            </w:r>
          </w:p>
        </w:tc>
        <w:tc>
          <w:tcPr>
            <w:tcW w:w="1265" w:type="dxa"/>
            <w:tcBorders>
              <w:top w:val="single" w:sz="6" w:space="0" w:color="auto"/>
              <w:left w:val="single" w:sz="4" w:space="0" w:color="auto"/>
              <w:bottom w:val="single" w:sz="6" w:space="0" w:color="auto"/>
              <w:right w:val="single" w:sz="6" w:space="0" w:color="auto"/>
            </w:tcBorders>
            <w:hideMark/>
          </w:tcPr>
          <w:p w14:paraId="6FAFC531"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-2.04%</w:t>
            </w:r>
          </w:p>
        </w:tc>
        <w:tc>
          <w:tcPr>
            <w:tcW w:w="3022" w:type="dxa"/>
            <w:tcBorders>
              <w:top w:val="single" w:sz="6" w:space="0" w:color="auto"/>
              <w:left w:val="single" w:sz="12" w:space="0" w:color="auto"/>
              <w:bottom w:val="single" w:sz="6" w:space="0" w:color="auto"/>
              <w:right w:val="single" w:sz="4" w:space="0" w:color="auto"/>
            </w:tcBorders>
            <w:hideMark/>
          </w:tcPr>
          <w:p w14:paraId="452CDCF1"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Emirates NBD PJSC 2014</w:t>
            </w:r>
          </w:p>
        </w:tc>
        <w:tc>
          <w:tcPr>
            <w:tcW w:w="1248" w:type="dxa"/>
            <w:tcBorders>
              <w:top w:val="single" w:sz="6" w:space="0" w:color="auto"/>
              <w:left w:val="single" w:sz="4" w:space="0" w:color="auto"/>
              <w:bottom w:val="single" w:sz="6" w:space="0" w:color="auto"/>
              <w:right w:val="single" w:sz="6" w:space="0" w:color="auto"/>
            </w:tcBorders>
            <w:hideMark/>
          </w:tcPr>
          <w:p w14:paraId="6524D201"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-0.39%</w:t>
            </w:r>
          </w:p>
        </w:tc>
      </w:tr>
      <w:tr w:rsidR="00A755F5" w:rsidRPr="001A131A" w14:paraId="4D54592D" w14:textId="77777777" w:rsidTr="00A755F5">
        <w:trPr>
          <w:trHeight w:val="294"/>
          <w:jc w:val="center"/>
        </w:trPr>
        <w:tc>
          <w:tcPr>
            <w:tcW w:w="3041" w:type="dxa"/>
            <w:tcBorders>
              <w:top w:val="single" w:sz="6" w:space="0" w:color="auto"/>
              <w:left w:val="single" w:sz="4" w:space="0" w:color="auto"/>
              <w:bottom w:val="single" w:sz="6" w:space="0" w:color="auto"/>
              <w:right w:val="single" w:sz="4" w:space="0" w:color="auto"/>
            </w:tcBorders>
            <w:hideMark/>
          </w:tcPr>
          <w:p w14:paraId="2777F3C2"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bookmarkStart w:id="79" w:name="OLE_LINK135"/>
            <w:bookmarkStart w:id="80" w:name="OLE_LINK136"/>
            <w:bookmarkStart w:id="81" w:name="_Hlk480493860"/>
            <w:r w:rsidRPr="001A131A">
              <w:rPr>
                <w:rFonts w:ascii="Times New Roman" w:eastAsia="Calibri" w:hAnsi="Times New Roman" w:cs="Times New Roman"/>
                <w:color w:val="000000"/>
                <w:sz w:val="20"/>
                <w:szCs w:val="20"/>
              </w:rPr>
              <w:t xml:space="preserve">INDONESIA III </w:t>
            </w:r>
            <w:bookmarkEnd w:id="79"/>
            <w:bookmarkEnd w:id="80"/>
          </w:p>
        </w:tc>
        <w:tc>
          <w:tcPr>
            <w:tcW w:w="1265" w:type="dxa"/>
            <w:tcBorders>
              <w:top w:val="single" w:sz="6" w:space="0" w:color="auto"/>
              <w:left w:val="single" w:sz="4" w:space="0" w:color="auto"/>
              <w:bottom w:val="single" w:sz="6" w:space="0" w:color="auto"/>
              <w:right w:val="single" w:sz="6" w:space="0" w:color="auto"/>
            </w:tcBorders>
            <w:hideMark/>
          </w:tcPr>
          <w:p w14:paraId="3FCF1D83"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-1.14%</w:t>
            </w:r>
          </w:p>
        </w:tc>
        <w:tc>
          <w:tcPr>
            <w:tcW w:w="3022" w:type="dxa"/>
            <w:tcBorders>
              <w:top w:val="single" w:sz="6" w:space="0" w:color="auto"/>
              <w:left w:val="single" w:sz="12" w:space="0" w:color="auto"/>
              <w:bottom w:val="single" w:sz="6" w:space="0" w:color="auto"/>
              <w:right w:val="single" w:sz="4" w:space="0" w:color="auto"/>
            </w:tcBorders>
            <w:hideMark/>
          </w:tcPr>
          <w:p w14:paraId="07AC01BC"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Emirates NBD Tier 1 Ltd- PRP</w:t>
            </w:r>
          </w:p>
        </w:tc>
        <w:tc>
          <w:tcPr>
            <w:tcW w:w="1248" w:type="dxa"/>
            <w:tcBorders>
              <w:top w:val="single" w:sz="6" w:space="0" w:color="auto"/>
              <w:left w:val="single" w:sz="4" w:space="0" w:color="auto"/>
              <w:bottom w:val="single" w:sz="6" w:space="0" w:color="auto"/>
              <w:right w:val="single" w:sz="6" w:space="0" w:color="auto"/>
            </w:tcBorders>
            <w:hideMark/>
          </w:tcPr>
          <w:p w14:paraId="6CCB4649"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-0.52%</w:t>
            </w:r>
          </w:p>
        </w:tc>
      </w:tr>
      <w:tr w:rsidR="00A755F5" w:rsidRPr="001A131A" w14:paraId="5DD702B7" w14:textId="77777777" w:rsidTr="00A755F5">
        <w:trPr>
          <w:trHeight w:val="294"/>
          <w:jc w:val="center"/>
        </w:trPr>
        <w:tc>
          <w:tcPr>
            <w:tcW w:w="3041" w:type="dxa"/>
            <w:tcBorders>
              <w:top w:val="single" w:sz="6" w:space="0" w:color="auto"/>
              <w:left w:val="single" w:sz="4" w:space="0" w:color="auto"/>
              <w:bottom w:val="single" w:sz="6" w:space="0" w:color="auto"/>
              <w:right w:val="single" w:sz="4" w:space="0" w:color="auto"/>
            </w:tcBorders>
            <w:hideMark/>
          </w:tcPr>
          <w:p w14:paraId="37EDFA86" w14:textId="41E47195"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bookmarkStart w:id="82" w:name="_Hlk480500351"/>
            <w:bookmarkEnd w:id="81"/>
            <w:r w:rsidRPr="001A131A">
              <w:rPr>
                <w:rFonts w:ascii="Times New Roman" w:eastAsia="Calibri" w:hAnsi="Times New Roman" w:cs="Times New Roman"/>
                <w:color w:val="000000"/>
                <w:sz w:val="20"/>
                <w:szCs w:val="20"/>
              </w:rPr>
              <w:t xml:space="preserve">JAFZ </w:t>
            </w:r>
            <w:r w:rsidR="000F4C35" w:rsidRPr="001A131A">
              <w:rPr>
                <w:rFonts w:ascii="Times New Roman" w:eastAsia="Calibri" w:hAnsi="Times New Roman" w:cs="Times New Roman"/>
                <w:color w:val="000000"/>
                <w:sz w:val="20"/>
                <w:szCs w:val="20"/>
              </w:rPr>
              <w:t>Sukuk</w:t>
            </w:r>
            <w:r w:rsidRPr="001A131A">
              <w:rPr>
                <w:rFonts w:ascii="Times New Roman" w:eastAsia="Calibri" w:hAnsi="Times New Roman" w:cs="Times New Roman"/>
                <w:color w:val="000000"/>
                <w:sz w:val="20"/>
                <w:szCs w:val="20"/>
              </w:rPr>
              <w:t xml:space="preserve"> Ltd </w:t>
            </w:r>
          </w:p>
        </w:tc>
        <w:tc>
          <w:tcPr>
            <w:tcW w:w="1265" w:type="dxa"/>
            <w:tcBorders>
              <w:top w:val="single" w:sz="6" w:space="0" w:color="auto"/>
              <w:left w:val="single" w:sz="4" w:space="0" w:color="auto"/>
              <w:bottom w:val="single" w:sz="6" w:space="0" w:color="auto"/>
              <w:right w:val="single" w:sz="6" w:space="0" w:color="auto"/>
            </w:tcBorders>
            <w:hideMark/>
          </w:tcPr>
          <w:p w14:paraId="3FB0C517"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-0.41%</w:t>
            </w:r>
          </w:p>
        </w:tc>
        <w:tc>
          <w:tcPr>
            <w:tcW w:w="3022" w:type="dxa"/>
            <w:tcBorders>
              <w:top w:val="single" w:sz="6" w:space="0" w:color="auto"/>
              <w:left w:val="single" w:sz="12" w:space="0" w:color="auto"/>
              <w:bottom w:val="single" w:sz="6" w:space="0" w:color="auto"/>
              <w:right w:val="single" w:sz="4" w:space="0" w:color="auto"/>
            </w:tcBorders>
            <w:hideMark/>
          </w:tcPr>
          <w:p w14:paraId="7B85D819"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ICD Funding Ltd </w:t>
            </w:r>
          </w:p>
        </w:tc>
        <w:tc>
          <w:tcPr>
            <w:tcW w:w="1248" w:type="dxa"/>
            <w:tcBorders>
              <w:top w:val="single" w:sz="6" w:space="0" w:color="auto"/>
              <w:left w:val="single" w:sz="4" w:space="0" w:color="auto"/>
              <w:bottom w:val="single" w:sz="6" w:space="0" w:color="auto"/>
              <w:right w:val="single" w:sz="6" w:space="0" w:color="auto"/>
            </w:tcBorders>
            <w:hideMark/>
          </w:tcPr>
          <w:p w14:paraId="58C021A1"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b/>
                <w:bCs/>
                <w:color w:val="000000"/>
                <w:sz w:val="20"/>
                <w:szCs w:val="20"/>
              </w:rPr>
            </w:pPr>
            <w:r w:rsidRPr="001A131A">
              <w:rPr>
                <w:rFonts w:ascii="Times New Roman" w:eastAsia="Calibri" w:hAnsi="Times New Roman" w:cs="Times New Roman"/>
                <w:b/>
                <w:bCs/>
                <w:color w:val="000000"/>
                <w:sz w:val="20"/>
                <w:szCs w:val="20"/>
              </w:rPr>
              <w:t>-0.73%</w:t>
            </w:r>
          </w:p>
        </w:tc>
      </w:tr>
      <w:bookmarkEnd w:id="82"/>
      <w:tr w:rsidR="00A755F5" w:rsidRPr="001A131A" w14:paraId="06D0578E" w14:textId="77777777" w:rsidTr="00A755F5">
        <w:trPr>
          <w:trHeight w:val="294"/>
          <w:jc w:val="center"/>
        </w:trPr>
        <w:tc>
          <w:tcPr>
            <w:tcW w:w="3041" w:type="dxa"/>
            <w:tcBorders>
              <w:top w:val="single" w:sz="6" w:space="0" w:color="auto"/>
              <w:left w:val="single" w:sz="4" w:space="0" w:color="auto"/>
              <w:bottom w:val="single" w:sz="6" w:space="0" w:color="auto"/>
              <w:right w:val="single" w:sz="4" w:space="0" w:color="auto"/>
            </w:tcBorders>
            <w:hideMark/>
          </w:tcPr>
          <w:p w14:paraId="1C900F88" w14:textId="647C363A"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Hong Kong </w:t>
            </w:r>
            <w:r w:rsidR="000F4C35" w:rsidRPr="001A131A">
              <w:rPr>
                <w:rFonts w:ascii="Times New Roman" w:eastAsia="Calibri" w:hAnsi="Times New Roman" w:cs="Times New Roman"/>
                <w:color w:val="000000"/>
                <w:sz w:val="20"/>
                <w:szCs w:val="20"/>
              </w:rPr>
              <w:t>Sukuk</w:t>
            </w:r>
            <w:r w:rsidRPr="001A131A">
              <w:rPr>
                <w:rFonts w:ascii="Times New Roman" w:eastAsia="Calibri" w:hAnsi="Times New Roman" w:cs="Times New Roman"/>
                <w:color w:val="000000"/>
                <w:sz w:val="20"/>
                <w:szCs w:val="20"/>
              </w:rPr>
              <w:t xml:space="preserve"> Ltd </w:t>
            </w:r>
          </w:p>
        </w:tc>
        <w:tc>
          <w:tcPr>
            <w:tcW w:w="1265" w:type="dxa"/>
            <w:tcBorders>
              <w:top w:val="single" w:sz="6" w:space="0" w:color="auto"/>
              <w:left w:val="single" w:sz="4" w:space="0" w:color="auto"/>
              <w:bottom w:val="single" w:sz="6" w:space="0" w:color="auto"/>
              <w:right w:val="single" w:sz="6" w:space="0" w:color="auto"/>
            </w:tcBorders>
            <w:hideMark/>
          </w:tcPr>
          <w:p w14:paraId="5DB0A135"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-0.51%</w:t>
            </w:r>
          </w:p>
        </w:tc>
        <w:tc>
          <w:tcPr>
            <w:tcW w:w="3022" w:type="dxa"/>
            <w:tcBorders>
              <w:top w:val="single" w:sz="6" w:space="0" w:color="auto"/>
              <w:left w:val="single" w:sz="12" w:space="0" w:color="auto"/>
              <w:bottom w:val="single" w:sz="6" w:space="0" w:color="auto"/>
              <w:right w:val="single" w:sz="4" w:space="0" w:color="auto"/>
            </w:tcBorders>
            <w:hideMark/>
          </w:tcPr>
          <w:p w14:paraId="5C254F0F"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Ind. &amp; Com. Bank of China </w:t>
            </w:r>
          </w:p>
        </w:tc>
        <w:tc>
          <w:tcPr>
            <w:tcW w:w="1248" w:type="dxa"/>
            <w:tcBorders>
              <w:top w:val="single" w:sz="6" w:space="0" w:color="auto"/>
              <w:left w:val="single" w:sz="4" w:space="0" w:color="auto"/>
              <w:bottom w:val="single" w:sz="6" w:space="0" w:color="auto"/>
              <w:right w:val="single" w:sz="6" w:space="0" w:color="auto"/>
            </w:tcBorders>
            <w:hideMark/>
          </w:tcPr>
          <w:p w14:paraId="1E56E65E"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-0.61%</w:t>
            </w:r>
          </w:p>
        </w:tc>
      </w:tr>
      <w:tr w:rsidR="00A755F5" w:rsidRPr="001A131A" w14:paraId="1662C999" w14:textId="77777777" w:rsidTr="00A755F5">
        <w:trPr>
          <w:trHeight w:val="294"/>
          <w:jc w:val="center"/>
        </w:trPr>
        <w:tc>
          <w:tcPr>
            <w:tcW w:w="3041" w:type="dxa"/>
            <w:tcBorders>
              <w:top w:val="single" w:sz="6" w:space="0" w:color="auto"/>
              <w:left w:val="single" w:sz="4" w:space="0" w:color="auto"/>
              <w:bottom w:val="single" w:sz="4" w:space="0" w:color="auto"/>
              <w:right w:val="single" w:sz="4" w:space="0" w:color="auto"/>
            </w:tcBorders>
            <w:hideMark/>
          </w:tcPr>
          <w:p w14:paraId="01BB86EE" w14:textId="0A67275A"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bookmarkStart w:id="83" w:name="_Hlk480500518"/>
            <w:r w:rsidRPr="001A131A">
              <w:rPr>
                <w:rFonts w:ascii="Times New Roman" w:eastAsia="Calibri" w:hAnsi="Times New Roman" w:cs="Times New Roman"/>
                <w:color w:val="000000"/>
                <w:sz w:val="20"/>
                <w:szCs w:val="20"/>
              </w:rPr>
              <w:t xml:space="preserve">Hong Kong </w:t>
            </w:r>
            <w:r w:rsidR="000F4C35" w:rsidRPr="001A131A">
              <w:rPr>
                <w:rFonts w:ascii="Times New Roman" w:eastAsia="Calibri" w:hAnsi="Times New Roman" w:cs="Times New Roman"/>
                <w:color w:val="000000"/>
                <w:sz w:val="20"/>
                <w:szCs w:val="20"/>
              </w:rPr>
              <w:t>Sukuk</w:t>
            </w:r>
            <w:r w:rsidRPr="001A131A">
              <w:rPr>
                <w:rFonts w:ascii="Times New Roman" w:eastAsia="Calibri" w:hAnsi="Times New Roman" w:cs="Times New Roman"/>
                <w:color w:val="000000"/>
                <w:sz w:val="20"/>
                <w:szCs w:val="20"/>
              </w:rPr>
              <w:t xml:space="preserve"> Ltd -Reg S</w:t>
            </w:r>
          </w:p>
        </w:tc>
        <w:tc>
          <w:tcPr>
            <w:tcW w:w="1265" w:type="dxa"/>
            <w:tcBorders>
              <w:top w:val="single" w:sz="6" w:space="0" w:color="auto"/>
              <w:left w:val="single" w:sz="4" w:space="0" w:color="auto"/>
              <w:bottom w:val="single" w:sz="4" w:space="0" w:color="auto"/>
              <w:right w:val="single" w:sz="6" w:space="0" w:color="auto"/>
            </w:tcBorders>
            <w:hideMark/>
          </w:tcPr>
          <w:p w14:paraId="12340F9C"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-0.26%</w:t>
            </w:r>
          </w:p>
        </w:tc>
        <w:tc>
          <w:tcPr>
            <w:tcW w:w="3022" w:type="dxa"/>
            <w:tcBorders>
              <w:top w:val="single" w:sz="6" w:space="0" w:color="auto"/>
              <w:left w:val="single" w:sz="12" w:space="0" w:color="auto"/>
              <w:bottom w:val="single" w:sz="4" w:space="0" w:color="auto"/>
              <w:right w:val="single" w:sz="4" w:space="0" w:color="auto"/>
            </w:tcBorders>
            <w:hideMark/>
          </w:tcPr>
          <w:p w14:paraId="7247A186"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MAF Global Securities-14</w:t>
            </w:r>
          </w:p>
        </w:tc>
        <w:tc>
          <w:tcPr>
            <w:tcW w:w="1248" w:type="dxa"/>
            <w:tcBorders>
              <w:top w:val="single" w:sz="6" w:space="0" w:color="auto"/>
              <w:left w:val="single" w:sz="4" w:space="0" w:color="auto"/>
              <w:bottom w:val="single" w:sz="4" w:space="0" w:color="auto"/>
              <w:right w:val="single" w:sz="6" w:space="0" w:color="auto"/>
            </w:tcBorders>
            <w:hideMark/>
          </w:tcPr>
          <w:p w14:paraId="410C77F5"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-1.12%</w:t>
            </w:r>
          </w:p>
        </w:tc>
      </w:tr>
      <w:bookmarkEnd w:id="83"/>
      <w:tr w:rsidR="00A755F5" w:rsidRPr="001A131A" w14:paraId="0D5974C9" w14:textId="77777777" w:rsidTr="00A755F5">
        <w:trPr>
          <w:trHeight w:val="435"/>
          <w:jc w:val="center"/>
        </w:trPr>
        <w:tc>
          <w:tcPr>
            <w:tcW w:w="3041" w:type="dxa"/>
            <w:tcBorders>
              <w:top w:val="single" w:sz="4" w:space="0" w:color="auto"/>
              <w:left w:val="single" w:sz="4" w:space="0" w:color="auto"/>
              <w:bottom w:val="single" w:sz="4" w:space="0" w:color="auto"/>
              <w:right w:val="single" w:sz="4" w:space="0" w:color="auto"/>
            </w:tcBorders>
            <w:hideMark/>
          </w:tcPr>
          <w:p w14:paraId="66DCB305"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RAK Capital </w:t>
            </w:r>
          </w:p>
        </w:tc>
        <w:tc>
          <w:tcPr>
            <w:tcW w:w="1265" w:type="dxa"/>
            <w:tcBorders>
              <w:top w:val="single" w:sz="4" w:space="0" w:color="auto"/>
              <w:left w:val="single" w:sz="4" w:space="0" w:color="auto"/>
              <w:bottom w:val="single" w:sz="4" w:space="0" w:color="auto"/>
              <w:right w:val="single" w:sz="6" w:space="0" w:color="auto"/>
            </w:tcBorders>
            <w:hideMark/>
          </w:tcPr>
          <w:p w14:paraId="3BCCA8C0"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-0.88%</w:t>
            </w:r>
          </w:p>
        </w:tc>
        <w:tc>
          <w:tcPr>
            <w:tcW w:w="3022" w:type="dxa"/>
            <w:tcBorders>
              <w:top w:val="single" w:sz="4" w:space="0" w:color="auto"/>
              <w:left w:val="single" w:sz="12" w:space="0" w:color="auto"/>
              <w:bottom w:val="single" w:sz="4" w:space="0" w:color="auto"/>
              <w:right w:val="single" w:sz="4" w:space="0" w:color="auto"/>
            </w:tcBorders>
            <w:hideMark/>
          </w:tcPr>
          <w:p w14:paraId="357290BD"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MAF Global Securities-13</w:t>
            </w:r>
          </w:p>
        </w:tc>
        <w:tc>
          <w:tcPr>
            <w:tcW w:w="1248" w:type="dxa"/>
            <w:tcBorders>
              <w:top w:val="single" w:sz="4" w:space="0" w:color="auto"/>
              <w:left w:val="single" w:sz="4" w:space="0" w:color="auto"/>
              <w:bottom w:val="single" w:sz="4" w:space="0" w:color="auto"/>
              <w:right w:val="single" w:sz="6" w:space="0" w:color="auto"/>
            </w:tcBorders>
            <w:hideMark/>
          </w:tcPr>
          <w:p w14:paraId="072764FA"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-0.39%</w:t>
            </w:r>
          </w:p>
        </w:tc>
      </w:tr>
      <w:tr w:rsidR="00A755F5" w:rsidRPr="001A131A" w14:paraId="2AE2803F" w14:textId="77777777" w:rsidTr="00A755F5">
        <w:trPr>
          <w:trHeight w:val="294"/>
          <w:jc w:val="center"/>
        </w:trPr>
        <w:tc>
          <w:tcPr>
            <w:tcW w:w="3041" w:type="dxa"/>
            <w:tcBorders>
              <w:top w:val="single" w:sz="4" w:space="0" w:color="auto"/>
              <w:left w:val="single" w:sz="4" w:space="0" w:color="auto"/>
              <w:bottom w:val="single" w:sz="12" w:space="0" w:color="auto"/>
              <w:right w:val="single" w:sz="4" w:space="0" w:color="auto"/>
            </w:tcBorders>
            <w:hideMark/>
          </w:tcPr>
          <w:p w14:paraId="3BE1EBB5"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
                <w:bCs/>
                <w:color w:val="000000"/>
                <w:sz w:val="20"/>
                <w:szCs w:val="20"/>
              </w:rPr>
            </w:pPr>
            <w:r w:rsidRPr="001A131A">
              <w:rPr>
                <w:rFonts w:ascii="Times New Roman" w:eastAsia="Calibri" w:hAnsi="Times New Roman" w:cs="Times New Roman"/>
                <w:b/>
                <w:bCs/>
                <w:color w:val="000000"/>
                <w:sz w:val="20"/>
                <w:szCs w:val="20"/>
              </w:rPr>
              <w:t>Average</w:t>
            </w:r>
          </w:p>
        </w:tc>
        <w:tc>
          <w:tcPr>
            <w:tcW w:w="1265" w:type="dxa"/>
            <w:tcBorders>
              <w:top w:val="single" w:sz="4" w:space="0" w:color="auto"/>
              <w:left w:val="single" w:sz="4" w:space="0" w:color="auto"/>
              <w:bottom w:val="single" w:sz="12" w:space="0" w:color="auto"/>
              <w:right w:val="single" w:sz="12" w:space="0" w:color="auto"/>
            </w:tcBorders>
            <w:hideMark/>
          </w:tcPr>
          <w:p w14:paraId="651C4A6E"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b/>
                <w:bCs/>
                <w:color w:val="000000"/>
                <w:sz w:val="20"/>
                <w:szCs w:val="20"/>
              </w:rPr>
            </w:pPr>
            <w:r w:rsidRPr="001A131A">
              <w:rPr>
                <w:rFonts w:ascii="Times New Roman" w:eastAsia="Calibri" w:hAnsi="Times New Roman" w:cs="Times New Roman"/>
                <w:b/>
                <w:bCs/>
                <w:color w:val="000000"/>
                <w:sz w:val="20"/>
                <w:szCs w:val="20"/>
              </w:rPr>
              <w:t>-0.90%</w:t>
            </w:r>
          </w:p>
        </w:tc>
        <w:tc>
          <w:tcPr>
            <w:tcW w:w="3022" w:type="dxa"/>
            <w:tcBorders>
              <w:top w:val="single" w:sz="4" w:space="0" w:color="auto"/>
              <w:left w:val="single" w:sz="12" w:space="0" w:color="auto"/>
              <w:bottom w:val="single" w:sz="12" w:space="0" w:color="auto"/>
              <w:right w:val="single" w:sz="4" w:space="0" w:color="auto"/>
            </w:tcBorders>
            <w:hideMark/>
          </w:tcPr>
          <w:p w14:paraId="09604956"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
                <w:bCs/>
                <w:color w:val="000000"/>
                <w:sz w:val="20"/>
                <w:szCs w:val="20"/>
              </w:rPr>
            </w:pPr>
            <w:r w:rsidRPr="001A131A">
              <w:rPr>
                <w:rFonts w:ascii="Times New Roman" w:eastAsia="Calibri" w:hAnsi="Times New Roman" w:cs="Times New Roman"/>
                <w:b/>
                <w:bCs/>
                <w:color w:val="000000"/>
                <w:sz w:val="20"/>
                <w:szCs w:val="20"/>
              </w:rPr>
              <w:t>Average</w:t>
            </w:r>
          </w:p>
        </w:tc>
        <w:tc>
          <w:tcPr>
            <w:tcW w:w="1248" w:type="dxa"/>
            <w:tcBorders>
              <w:top w:val="nil"/>
              <w:left w:val="single" w:sz="4" w:space="0" w:color="auto"/>
              <w:bottom w:val="single" w:sz="12" w:space="0" w:color="auto"/>
              <w:right w:val="single" w:sz="12" w:space="0" w:color="auto"/>
            </w:tcBorders>
            <w:hideMark/>
          </w:tcPr>
          <w:p w14:paraId="4DEA26E2" w14:textId="77777777" w:rsidR="00A755F5" w:rsidRPr="001A131A" w:rsidRDefault="00A755F5" w:rsidP="00A755F5">
            <w:pPr>
              <w:autoSpaceDE w:val="0"/>
              <w:autoSpaceDN w:val="0"/>
              <w:adjustRightInd w:val="0"/>
              <w:spacing w:before="60" w:after="60" w:line="240" w:lineRule="auto"/>
              <w:jc w:val="center"/>
              <w:rPr>
                <w:rFonts w:ascii="Times New Roman" w:eastAsia="Calibri" w:hAnsi="Times New Roman" w:cs="Times New Roman"/>
                <w:b/>
                <w:bCs/>
                <w:color w:val="000000"/>
                <w:sz w:val="20"/>
                <w:szCs w:val="20"/>
              </w:rPr>
            </w:pPr>
            <w:r w:rsidRPr="001A131A">
              <w:rPr>
                <w:rFonts w:ascii="Times New Roman" w:eastAsia="Calibri" w:hAnsi="Times New Roman" w:cs="Times New Roman"/>
                <w:b/>
                <w:bCs/>
                <w:color w:val="000000"/>
                <w:sz w:val="20"/>
                <w:szCs w:val="20"/>
              </w:rPr>
              <w:t>-0.48%</w:t>
            </w:r>
          </w:p>
        </w:tc>
      </w:tr>
      <w:bookmarkEnd w:id="74"/>
      <w:bookmarkEnd w:id="75"/>
    </w:tbl>
    <w:p w14:paraId="3EDFCBF1" w14:textId="77777777" w:rsidR="009257A1" w:rsidRDefault="009257A1" w:rsidP="00A755F5">
      <w:pPr>
        <w:pStyle w:val="ListParagraph"/>
        <w:spacing w:before="180" w:after="120" w:line="360" w:lineRule="auto"/>
        <w:ind w:left="0"/>
        <w:jc w:val="both"/>
        <w:rPr>
          <w:rFonts w:ascii="Times New Roman" w:hAnsi="Times New Roman" w:cs="Times New Roman"/>
          <w:sz w:val="24"/>
          <w:szCs w:val="24"/>
        </w:rPr>
      </w:pPr>
    </w:p>
    <w:p w14:paraId="257A3468" w14:textId="2FE2BD13" w:rsidR="00A755F5" w:rsidRPr="00251B2C" w:rsidRDefault="00965789" w:rsidP="00A755F5">
      <w:pPr>
        <w:pStyle w:val="ListParagraph"/>
        <w:spacing w:before="180" w:after="120" w:line="360" w:lineRule="auto"/>
        <w:ind w:left="0"/>
        <w:jc w:val="both"/>
        <w:rPr>
          <w:rFonts w:ascii="Times New Roman" w:hAnsi="Times New Roman" w:cs="Times New Roman"/>
          <w:sz w:val="24"/>
          <w:szCs w:val="24"/>
        </w:rPr>
      </w:pPr>
      <w:bookmarkStart w:id="84" w:name="OLE_LINK155"/>
      <w:bookmarkStart w:id="85" w:name="OLE_LINK156"/>
      <w:r>
        <w:rPr>
          <w:rFonts w:ascii="Times New Roman" w:hAnsi="Times New Roman" w:cs="Times New Roman"/>
          <w:sz w:val="24"/>
          <w:szCs w:val="24"/>
        </w:rPr>
        <w:t>Table</w:t>
      </w:r>
      <w:r>
        <w:rPr>
          <w:rFonts w:ascii="Times New Roman" w:hAnsi="Times New Roman" w:cs="Times New Roman"/>
          <w:color w:val="000000"/>
          <w:sz w:val="24"/>
          <w:szCs w:val="24"/>
          <w:shd w:val="clear" w:color="auto" w:fill="FFFFFF"/>
        </w:rPr>
        <w:t xml:space="preserve"> 4</w:t>
      </w:r>
      <w:r w:rsidR="00A755F5" w:rsidRPr="00251B2C">
        <w:rPr>
          <w:rFonts w:ascii="Times New Roman" w:hAnsi="Times New Roman" w:cs="Times New Roman"/>
          <w:color w:val="000000"/>
          <w:sz w:val="24"/>
          <w:szCs w:val="24"/>
          <w:shd w:val="clear" w:color="auto" w:fill="FFFFFF"/>
        </w:rPr>
        <w:t xml:space="preserve"> illustrates the value of VaR on</w:t>
      </w:r>
      <w:r w:rsidR="00A755F5" w:rsidRPr="00251B2C">
        <w:rPr>
          <w:rStyle w:val="apple-converted-space"/>
          <w:rFonts w:ascii="Times New Roman" w:hAnsi="Times New Roman" w:cs="Times New Roman"/>
          <w:color w:val="000000"/>
          <w:sz w:val="24"/>
          <w:szCs w:val="24"/>
          <w:shd w:val="clear" w:color="auto" w:fill="FFFFFF"/>
        </w:rPr>
        <w:t> </w:t>
      </w:r>
      <w:r w:rsidR="000F4C35" w:rsidRPr="00F351D9">
        <w:rPr>
          <w:rFonts w:ascii="Times New Roman" w:hAnsi="Times New Roman" w:cs="Times New Roman"/>
          <w:i/>
          <w:iCs/>
          <w:sz w:val="24"/>
          <w:szCs w:val="24"/>
        </w:rPr>
        <w:t>Sukuk</w:t>
      </w:r>
      <w:r w:rsidR="00A755F5" w:rsidRPr="00251B2C">
        <w:rPr>
          <w:rStyle w:val="apple-converted-space"/>
          <w:rFonts w:ascii="Times New Roman" w:hAnsi="Times New Roman" w:cs="Times New Roman"/>
          <w:color w:val="000000"/>
          <w:sz w:val="24"/>
          <w:szCs w:val="24"/>
          <w:shd w:val="clear" w:color="auto" w:fill="FFFFFF"/>
        </w:rPr>
        <w:t> </w:t>
      </w:r>
      <w:r w:rsidR="00A755F5" w:rsidRPr="00251B2C">
        <w:rPr>
          <w:rStyle w:val="mceitemhidden"/>
          <w:rFonts w:ascii="Times New Roman" w:hAnsi="Times New Roman" w:cs="Times New Roman"/>
          <w:color w:val="000000"/>
          <w:sz w:val="24"/>
          <w:szCs w:val="24"/>
          <w:shd w:val="clear" w:color="auto" w:fill="FFFFFF"/>
        </w:rPr>
        <w:t xml:space="preserve">and conventional bonds with the </w:t>
      </w:r>
      <w:r w:rsidR="00A755F5" w:rsidRPr="00251B2C">
        <w:rPr>
          <w:rFonts w:ascii="Times New Roman" w:hAnsi="Times New Roman" w:cs="Times New Roman"/>
          <w:color w:val="000000"/>
          <w:sz w:val="24"/>
          <w:szCs w:val="24"/>
          <w:shd w:val="clear" w:color="auto" w:fill="FFFFFF"/>
        </w:rPr>
        <w:t xml:space="preserve">VaR confidence of 99% level over a period of </w:t>
      </w:r>
      <w:r w:rsidR="00A12B21" w:rsidRPr="00251B2C">
        <w:rPr>
          <w:rFonts w:ascii="Times New Roman" w:hAnsi="Times New Roman" w:cs="Times New Roman"/>
          <w:color w:val="000000"/>
          <w:sz w:val="24"/>
          <w:szCs w:val="24"/>
          <w:shd w:val="clear" w:color="auto" w:fill="FFFFFF"/>
        </w:rPr>
        <w:t>a given</w:t>
      </w:r>
      <w:r w:rsidR="00A755F5" w:rsidRPr="00251B2C">
        <w:rPr>
          <w:rFonts w:ascii="Times New Roman" w:hAnsi="Times New Roman" w:cs="Times New Roman"/>
          <w:color w:val="000000"/>
          <w:sz w:val="24"/>
          <w:szCs w:val="24"/>
          <w:shd w:val="clear" w:color="auto" w:fill="FFFFFF"/>
        </w:rPr>
        <w:t xml:space="preserve"> time. Whereas, the riskiest</w:t>
      </w:r>
      <w:r w:rsidR="00A755F5" w:rsidRPr="00251B2C">
        <w:rPr>
          <w:rStyle w:val="apple-converted-space"/>
          <w:rFonts w:ascii="Times New Roman" w:hAnsi="Times New Roman" w:cs="Times New Roman"/>
          <w:color w:val="000000"/>
          <w:sz w:val="24"/>
          <w:szCs w:val="24"/>
          <w:shd w:val="clear" w:color="auto" w:fill="FFFFFF"/>
        </w:rPr>
        <w:t> </w:t>
      </w:r>
      <w:r w:rsidR="000F4C35" w:rsidRPr="00F351D9">
        <w:rPr>
          <w:rFonts w:ascii="Times New Roman" w:hAnsi="Times New Roman" w:cs="Times New Roman"/>
          <w:i/>
          <w:iCs/>
          <w:sz w:val="24"/>
          <w:szCs w:val="24"/>
        </w:rPr>
        <w:t>Sukuk</w:t>
      </w:r>
      <w:r w:rsidR="00A755F5" w:rsidRPr="00251B2C">
        <w:rPr>
          <w:rStyle w:val="apple-converted-space"/>
          <w:rFonts w:ascii="Times New Roman" w:hAnsi="Times New Roman" w:cs="Times New Roman"/>
          <w:color w:val="000000"/>
          <w:sz w:val="24"/>
          <w:szCs w:val="24"/>
          <w:shd w:val="clear" w:color="auto" w:fill="FFFFFF"/>
        </w:rPr>
        <w:t> </w:t>
      </w:r>
      <w:r w:rsidR="00A755F5" w:rsidRPr="00251B2C">
        <w:rPr>
          <w:rStyle w:val="mceitemhidden"/>
          <w:rFonts w:ascii="Times New Roman" w:hAnsi="Times New Roman" w:cs="Times New Roman"/>
          <w:color w:val="000000"/>
          <w:sz w:val="24"/>
          <w:szCs w:val="24"/>
          <w:shd w:val="clear" w:color="auto" w:fill="FFFFFF"/>
        </w:rPr>
        <w:t xml:space="preserve">are </w:t>
      </w:r>
      <w:bookmarkStart w:id="86" w:name="OLE_LINK139"/>
      <w:bookmarkStart w:id="87" w:name="OLE_LINK140"/>
      <w:r w:rsidR="00A755F5" w:rsidRPr="00251B2C">
        <w:rPr>
          <w:rStyle w:val="mceitemhidden"/>
          <w:rFonts w:ascii="Times New Roman" w:hAnsi="Times New Roman" w:cs="Times New Roman"/>
          <w:color w:val="000000"/>
          <w:sz w:val="24"/>
          <w:szCs w:val="24"/>
          <w:shd w:val="clear" w:color="auto" w:fill="FFFFFF"/>
        </w:rPr>
        <w:t>Dar al-</w:t>
      </w:r>
      <w:proofErr w:type="spellStart"/>
      <w:r w:rsidR="00A755F5" w:rsidRPr="00251B2C">
        <w:rPr>
          <w:rStyle w:val="mceitemhidden"/>
          <w:rFonts w:ascii="Times New Roman" w:hAnsi="Times New Roman" w:cs="Times New Roman"/>
          <w:color w:val="000000"/>
          <w:sz w:val="24"/>
          <w:szCs w:val="24"/>
          <w:shd w:val="clear" w:color="auto" w:fill="FFFFFF"/>
        </w:rPr>
        <w:t>Arkam</w:t>
      </w:r>
      <w:proofErr w:type="spellEnd"/>
      <w:r w:rsidR="00A755F5" w:rsidRPr="00251B2C">
        <w:rPr>
          <w:rStyle w:val="apple-converted-space"/>
          <w:rFonts w:ascii="Times New Roman" w:hAnsi="Times New Roman" w:cs="Times New Roman"/>
          <w:color w:val="000000"/>
          <w:sz w:val="24"/>
          <w:szCs w:val="24"/>
          <w:shd w:val="clear" w:color="auto" w:fill="FFFFFF"/>
        </w:rPr>
        <w:t> </w:t>
      </w:r>
      <w:r w:rsidR="000F4C35" w:rsidRPr="00F351D9">
        <w:rPr>
          <w:rStyle w:val="hiddenspellerror"/>
          <w:rFonts w:ascii="Times New Roman" w:hAnsi="Times New Roman" w:cs="Times New Roman"/>
          <w:i/>
          <w:iCs/>
          <w:color w:val="000000"/>
          <w:sz w:val="24"/>
          <w:szCs w:val="24"/>
          <w:shd w:val="clear" w:color="auto" w:fill="FFFFFF"/>
        </w:rPr>
        <w:t>Sukuk</w:t>
      </w:r>
      <w:bookmarkEnd w:id="86"/>
      <w:bookmarkEnd w:id="87"/>
      <w:r w:rsidR="00A755F5" w:rsidRPr="00251B2C">
        <w:rPr>
          <w:rStyle w:val="apple-converted-space"/>
          <w:rFonts w:ascii="Times New Roman" w:hAnsi="Times New Roman" w:cs="Times New Roman"/>
          <w:color w:val="000000"/>
          <w:sz w:val="24"/>
          <w:szCs w:val="24"/>
          <w:shd w:val="clear" w:color="auto" w:fill="FFFFFF"/>
        </w:rPr>
        <w:t> </w:t>
      </w:r>
      <w:r w:rsidR="00A755F5" w:rsidRPr="00251B2C">
        <w:rPr>
          <w:rStyle w:val="mceitemhidden"/>
          <w:rFonts w:ascii="Times New Roman" w:hAnsi="Times New Roman" w:cs="Times New Roman"/>
          <w:color w:val="000000"/>
          <w:sz w:val="24"/>
          <w:szCs w:val="24"/>
          <w:shd w:val="clear" w:color="auto" w:fill="FFFFFF"/>
        </w:rPr>
        <w:t>with the VaR of (-3.54%) and Indonesia</w:t>
      </w:r>
      <w:r w:rsidR="00A755F5" w:rsidRPr="00251B2C">
        <w:rPr>
          <w:rStyle w:val="apple-converted-space"/>
          <w:rFonts w:ascii="Times New Roman" w:hAnsi="Times New Roman" w:cs="Times New Roman"/>
          <w:color w:val="000000"/>
          <w:sz w:val="24"/>
          <w:szCs w:val="24"/>
          <w:shd w:val="clear" w:color="auto" w:fill="FFFFFF"/>
        </w:rPr>
        <w:t> </w:t>
      </w:r>
      <w:r w:rsidR="00A755F5" w:rsidRPr="00251B2C">
        <w:rPr>
          <w:rStyle w:val="hiddenspellerror"/>
          <w:rFonts w:ascii="Times New Roman" w:hAnsi="Times New Roman" w:cs="Times New Roman"/>
          <w:color w:val="000000"/>
          <w:sz w:val="24"/>
          <w:szCs w:val="24"/>
          <w:shd w:val="clear" w:color="auto" w:fill="FFFFFF"/>
        </w:rPr>
        <w:t>III-144A</w:t>
      </w:r>
      <w:r w:rsidR="00A755F5" w:rsidRPr="00251B2C">
        <w:rPr>
          <w:rStyle w:val="apple-converted-space"/>
          <w:rFonts w:ascii="Times New Roman" w:hAnsi="Times New Roman" w:cs="Times New Roman"/>
          <w:color w:val="000000"/>
          <w:sz w:val="24"/>
          <w:szCs w:val="24"/>
          <w:shd w:val="clear" w:color="auto" w:fill="FFFFFF"/>
        </w:rPr>
        <w:t> </w:t>
      </w:r>
      <w:r w:rsidR="00A755F5" w:rsidRPr="00251B2C">
        <w:rPr>
          <w:rStyle w:val="mceitemhidden"/>
          <w:rFonts w:ascii="Times New Roman" w:hAnsi="Times New Roman" w:cs="Times New Roman"/>
          <w:color w:val="000000"/>
          <w:sz w:val="24"/>
          <w:szCs w:val="24"/>
          <w:shd w:val="clear" w:color="auto" w:fill="FFFFFF"/>
        </w:rPr>
        <w:t>with VaR of (-2.04), while the lowest VaR is</w:t>
      </w:r>
      <w:r w:rsidR="00A755F5" w:rsidRPr="00251B2C">
        <w:rPr>
          <w:rStyle w:val="apple-converted-space"/>
          <w:rFonts w:ascii="Times New Roman" w:hAnsi="Times New Roman" w:cs="Times New Roman"/>
          <w:color w:val="000000"/>
          <w:sz w:val="24"/>
          <w:szCs w:val="24"/>
          <w:shd w:val="clear" w:color="auto" w:fill="FFFFFF"/>
        </w:rPr>
        <w:t> </w:t>
      </w:r>
      <w:r w:rsidR="00A755F5" w:rsidRPr="00251B2C">
        <w:rPr>
          <w:rStyle w:val="mceitemhidden"/>
          <w:rFonts w:ascii="Times New Roman" w:hAnsi="Times New Roman" w:cs="Times New Roman"/>
          <w:color w:val="000000"/>
          <w:sz w:val="24"/>
          <w:szCs w:val="24"/>
          <w:shd w:val="clear" w:color="auto" w:fill="FFFFFF"/>
        </w:rPr>
        <w:t>the DP World</w:t>
      </w:r>
      <w:r w:rsidR="00A755F5" w:rsidRPr="00251B2C">
        <w:rPr>
          <w:rStyle w:val="apple-converted-space"/>
          <w:rFonts w:ascii="Times New Roman" w:hAnsi="Times New Roman" w:cs="Times New Roman"/>
          <w:color w:val="000000"/>
          <w:sz w:val="24"/>
          <w:szCs w:val="24"/>
          <w:shd w:val="clear" w:color="auto" w:fill="FFFFFF"/>
        </w:rPr>
        <w:t> </w:t>
      </w:r>
      <w:r w:rsidR="000F4C35" w:rsidRPr="00F351D9">
        <w:rPr>
          <w:rStyle w:val="hiddenspellerror"/>
          <w:rFonts w:ascii="Times New Roman" w:hAnsi="Times New Roman" w:cs="Times New Roman"/>
          <w:i/>
          <w:iCs/>
          <w:color w:val="000000"/>
          <w:sz w:val="24"/>
          <w:szCs w:val="24"/>
          <w:shd w:val="clear" w:color="auto" w:fill="FFFFFF"/>
        </w:rPr>
        <w:t>Sukuk</w:t>
      </w:r>
      <w:r w:rsidR="00A755F5" w:rsidRPr="00251B2C">
        <w:rPr>
          <w:rStyle w:val="apple-converted-space"/>
          <w:rFonts w:ascii="Times New Roman" w:hAnsi="Times New Roman" w:cs="Times New Roman"/>
          <w:color w:val="000000"/>
          <w:sz w:val="24"/>
          <w:szCs w:val="24"/>
          <w:shd w:val="clear" w:color="auto" w:fill="FFFFFF"/>
        </w:rPr>
        <w:t> </w:t>
      </w:r>
      <w:r w:rsidR="00A755F5" w:rsidRPr="00251B2C">
        <w:rPr>
          <w:rStyle w:val="mceitemhidden"/>
          <w:rFonts w:ascii="Times New Roman" w:hAnsi="Times New Roman" w:cs="Times New Roman"/>
          <w:color w:val="000000"/>
          <w:sz w:val="24"/>
          <w:szCs w:val="24"/>
          <w:shd w:val="clear" w:color="auto" w:fill="FFFFFF"/>
        </w:rPr>
        <w:t>(-0.20%).</w:t>
      </w:r>
      <w:bookmarkEnd w:id="84"/>
      <w:bookmarkEnd w:id="85"/>
      <w:r w:rsidR="00A755F5" w:rsidRPr="00251B2C">
        <w:rPr>
          <w:rStyle w:val="mceitemhidden"/>
          <w:rFonts w:ascii="Times New Roman" w:hAnsi="Times New Roman" w:cs="Times New Roman"/>
          <w:color w:val="000000"/>
          <w:sz w:val="24"/>
          <w:szCs w:val="24"/>
          <w:shd w:val="clear" w:color="auto" w:fill="FFFFFF"/>
        </w:rPr>
        <w:t xml:space="preserve"> </w:t>
      </w:r>
      <w:bookmarkStart w:id="88" w:name="OLE_LINK138"/>
      <w:r w:rsidR="00A755F5" w:rsidRPr="00251B2C">
        <w:rPr>
          <w:rStyle w:val="mceitemhidden"/>
          <w:rFonts w:ascii="Times New Roman" w:hAnsi="Times New Roman" w:cs="Times New Roman"/>
          <w:color w:val="000000"/>
          <w:sz w:val="24"/>
          <w:szCs w:val="24"/>
          <w:shd w:val="clear" w:color="auto" w:fill="FFFFFF"/>
        </w:rPr>
        <w:t xml:space="preserve">On the other hand, the </w:t>
      </w:r>
      <w:r w:rsidR="00A755F5" w:rsidRPr="00251B2C">
        <w:rPr>
          <w:rFonts w:ascii="Times New Roman" w:hAnsi="Times New Roman" w:cs="Times New Roman"/>
          <w:sz w:val="24"/>
          <w:szCs w:val="24"/>
        </w:rPr>
        <w:t xml:space="preserve">average VaR on </w:t>
      </w:r>
      <w:r w:rsidR="000F4C35" w:rsidRPr="00F351D9">
        <w:rPr>
          <w:rFonts w:ascii="Times New Roman" w:hAnsi="Times New Roman" w:cs="Times New Roman"/>
          <w:i/>
          <w:iCs/>
          <w:sz w:val="24"/>
          <w:szCs w:val="24"/>
        </w:rPr>
        <w:t>Sukuk</w:t>
      </w:r>
      <w:r w:rsidR="00A755F5" w:rsidRPr="00251B2C">
        <w:rPr>
          <w:rFonts w:ascii="Times New Roman" w:hAnsi="Times New Roman" w:cs="Times New Roman"/>
          <w:sz w:val="24"/>
          <w:szCs w:val="24"/>
        </w:rPr>
        <w:t xml:space="preserve"> is (-0.90%), while the conventional bonds average VaR is (-0.48). This shows that </w:t>
      </w:r>
      <w:r w:rsidR="000F4C35" w:rsidRPr="00F351D9">
        <w:rPr>
          <w:rFonts w:ascii="Times New Roman" w:hAnsi="Times New Roman" w:cs="Times New Roman"/>
          <w:i/>
          <w:iCs/>
          <w:sz w:val="24"/>
          <w:szCs w:val="24"/>
        </w:rPr>
        <w:t>Sukuk</w:t>
      </w:r>
      <w:r w:rsidR="00A755F5" w:rsidRPr="00251B2C">
        <w:rPr>
          <w:rFonts w:ascii="Times New Roman" w:hAnsi="Times New Roman" w:cs="Times New Roman"/>
          <w:sz w:val="24"/>
          <w:szCs w:val="24"/>
        </w:rPr>
        <w:t xml:space="preserve"> are </w:t>
      </w:r>
      <w:r w:rsidR="008333A2">
        <w:rPr>
          <w:rFonts w:ascii="Times New Roman" w:hAnsi="Times New Roman" w:cs="Times New Roman"/>
          <w:sz w:val="24"/>
          <w:szCs w:val="24"/>
        </w:rPr>
        <w:t xml:space="preserve">twice as </w:t>
      </w:r>
      <w:r w:rsidR="00A12B21">
        <w:rPr>
          <w:rFonts w:ascii="Times New Roman" w:hAnsi="Times New Roman" w:cs="Times New Roman"/>
          <w:sz w:val="24"/>
          <w:szCs w:val="24"/>
        </w:rPr>
        <w:t xml:space="preserve">risky </w:t>
      </w:r>
      <w:r w:rsidR="00A12B21" w:rsidRPr="00251B2C">
        <w:rPr>
          <w:rFonts w:ascii="Times New Roman" w:hAnsi="Times New Roman" w:cs="Times New Roman"/>
          <w:sz w:val="24"/>
          <w:szCs w:val="24"/>
        </w:rPr>
        <w:t>as</w:t>
      </w:r>
      <w:r w:rsidR="00A755F5" w:rsidRPr="00251B2C">
        <w:rPr>
          <w:rFonts w:ascii="Times New Roman" w:hAnsi="Times New Roman" w:cs="Times New Roman"/>
          <w:sz w:val="24"/>
          <w:szCs w:val="24"/>
        </w:rPr>
        <w:t xml:space="preserve"> conventional bonds </w:t>
      </w:r>
      <w:r w:rsidR="008333A2">
        <w:rPr>
          <w:rFonts w:ascii="Times New Roman" w:hAnsi="Times New Roman" w:cs="Times New Roman"/>
          <w:sz w:val="24"/>
          <w:szCs w:val="24"/>
        </w:rPr>
        <w:t>detailed</w:t>
      </w:r>
      <w:r w:rsidR="00A755F5" w:rsidRPr="00251B2C">
        <w:rPr>
          <w:rFonts w:ascii="Times New Roman" w:hAnsi="Times New Roman" w:cs="Times New Roman"/>
          <w:sz w:val="24"/>
          <w:szCs w:val="24"/>
        </w:rPr>
        <w:t xml:space="preserve"> in the above </w:t>
      </w:r>
      <w:r w:rsidR="00A12B21">
        <w:rPr>
          <w:rFonts w:ascii="Times New Roman" w:hAnsi="Times New Roman" w:cs="Times New Roman"/>
          <w:sz w:val="24"/>
          <w:szCs w:val="24"/>
        </w:rPr>
        <w:t>table</w:t>
      </w:r>
      <w:r w:rsidR="00A755F5" w:rsidRPr="00251B2C">
        <w:rPr>
          <w:rFonts w:ascii="Times New Roman" w:hAnsi="Times New Roman" w:cs="Times New Roman"/>
          <w:sz w:val="24"/>
          <w:szCs w:val="24"/>
        </w:rPr>
        <w:t xml:space="preserve">.  In addition, the riskiest bonds are from </w:t>
      </w:r>
      <w:r w:rsidR="00A755F5" w:rsidRPr="00251B2C">
        <w:rPr>
          <w:rFonts w:ascii="Times New Roman" w:eastAsia="Calibri" w:hAnsi="Times New Roman" w:cs="Times New Roman"/>
          <w:color w:val="000000"/>
          <w:sz w:val="24"/>
          <w:szCs w:val="24"/>
        </w:rPr>
        <w:t>MAF Global Securi</w:t>
      </w:r>
      <w:r w:rsidR="00401058">
        <w:rPr>
          <w:rFonts w:ascii="Times New Roman" w:eastAsia="Calibri" w:hAnsi="Times New Roman" w:cs="Times New Roman"/>
          <w:color w:val="000000"/>
          <w:sz w:val="24"/>
          <w:szCs w:val="24"/>
        </w:rPr>
        <w:t xml:space="preserve">ties-14 and Dubai Holding Co. </w:t>
      </w:r>
      <w:r w:rsidR="00A755F5" w:rsidRPr="00251B2C">
        <w:rPr>
          <w:rFonts w:ascii="Times New Roman" w:eastAsia="Calibri" w:hAnsi="Times New Roman" w:cs="Times New Roman"/>
          <w:color w:val="000000"/>
          <w:sz w:val="24"/>
          <w:szCs w:val="24"/>
        </w:rPr>
        <w:t xml:space="preserve">VaR values of (-1.12% and -0.75%), </w:t>
      </w:r>
      <w:r w:rsidR="00A755F5" w:rsidRPr="00251B2C">
        <w:rPr>
          <w:rFonts w:ascii="Times New Roman" w:hAnsi="Times New Roman" w:cs="Times New Roman"/>
          <w:sz w:val="24"/>
          <w:szCs w:val="24"/>
        </w:rPr>
        <w:t xml:space="preserve">while the lowest VaR on bonds is </w:t>
      </w:r>
      <w:r w:rsidR="00A755F5" w:rsidRPr="00251B2C">
        <w:rPr>
          <w:rFonts w:ascii="Times New Roman" w:eastAsia="Calibri" w:hAnsi="Times New Roman" w:cs="Times New Roman"/>
          <w:color w:val="000000"/>
          <w:sz w:val="24"/>
          <w:szCs w:val="24"/>
        </w:rPr>
        <w:t>Emirates NBD PJSC 2014 for (-0.19).</w:t>
      </w:r>
      <w:bookmarkStart w:id="89" w:name="_Hlk480667169"/>
      <w:bookmarkEnd w:id="88"/>
    </w:p>
    <w:p w14:paraId="5C3951E5" w14:textId="0B92F651" w:rsidR="00A755F5" w:rsidRPr="00251B2C" w:rsidRDefault="00965789" w:rsidP="00A755F5">
      <w:pPr>
        <w:pStyle w:val="Caption"/>
        <w:keepNext/>
        <w:rPr>
          <w:rFonts w:ascii="Times New Roman" w:hAnsi="Times New Roman" w:cs="Times New Roman"/>
          <w:sz w:val="24"/>
          <w:szCs w:val="24"/>
        </w:rPr>
      </w:pPr>
      <w:bookmarkStart w:id="90" w:name="_Toc481617435"/>
      <w:bookmarkEnd w:id="89"/>
      <w:r w:rsidRPr="00965789">
        <w:rPr>
          <w:rFonts w:ascii="Times New Roman" w:hAnsi="Times New Roman" w:cs="Times New Roman"/>
          <w:sz w:val="24"/>
          <w:szCs w:val="24"/>
        </w:rPr>
        <w:lastRenderedPageBreak/>
        <w:t>Figure 4</w:t>
      </w:r>
      <w:r w:rsidR="00A755F5" w:rsidRPr="00965789">
        <w:rPr>
          <w:rFonts w:ascii="Times New Roman" w:hAnsi="Times New Roman" w:cs="Times New Roman"/>
          <w:sz w:val="24"/>
          <w:szCs w:val="24"/>
        </w:rPr>
        <w:t>:</w:t>
      </w:r>
      <w:r w:rsidR="00A755F5" w:rsidRPr="00251B2C">
        <w:rPr>
          <w:rFonts w:ascii="Times New Roman" w:hAnsi="Times New Roman" w:cs="Times New Roman"/>
          <w:sz w:val="24"/>
          <w:szCs w:val="24"/>
        </w:rPr>
        <w:t xml:space="preserve"> VaR of </w:t>
      </w:r>
      <w:r w:rsidR="000F4C35">
        <w:rPr>
          <w:rFonts w:ascii="Times New Roman" w:hAnsi="Times New Roman" w:cs="Times New Roman"/>
          <w:sz w:val="24"/>
          <w:szCs w:val="24"/>
        </w:rPr>
        <w:t>Sukuk</w:t>
      </w:r>
      <w:r w:rsidR="00104535">
        <w:rPr>
          <w:rFonts w:ascii="Times New Roman" w:hAnsi="Times New Roman" w:cs="Times New Roman"/>
          <w:sz w:val="24"/>
          <w:szCs w:val="24"/>
        </w:rPr>
        <w:t xml:space="preserve"> and Bonds Using Confidence L</w:t>
      </w:r>
      <w:r w:rsidR="00A755F5" w:rsidRPr="00251B2C">
        <w:rPr>
          <w:rFonts w:ascii="Times New Roman" w:hAnsi="Times New Roman" w:cs="Times New Roman"/>
          <w:sz w:val="24"/>
          <w:szCs w:val="24"/>
        </w:rPr>
        <w:t>evel of 99%</w:t>
      </w:r>
      <w:bookmarkEnd w:id="90"/>
    </w:p>
    <w:p w14:paraId="1E07AF69" w14:textId="77777777" w:rsidR="00A755F5" w:rsidRPr="00251B2C" w:rsidRDefault="00A755F5" w:rsidP="00A755F5">
      <w:pPr>
        <w:spacing w:before="120" w:after="120" w:line="360" w:lineRule="auto"/>
        <w:jc w:val="center"/>
        <w:rPr>
          <w:rFonts w:ascii="Times New Roman" w:hAnsi="Times New Roman" w:cs="Times New Roman"/>
          <w:sz w:val="24"/>
          <w:szCs w:val="24"/>
        </w:rPr>
      </w:pPr>
      <w:r w:rsidRPr="00251B2C">
        <w:rPr>
          <w:rFonts w:ascii="Times New Roman" w:hAnsi="Times New Roman" w:cs="Times New Roman"/>
          <w:noProof/>
          <w:sz w:val="24"/>
          <w:szCs w:val="24"/>
          <w:lang w:eastAsia="en-GB"/>
        </w:rPr>
        <w:drawing>
          <wp:inline distT="0" distB="0" distL="0" distR="0" wp14:anchorId="568702FC" wp14:editId="0269F91D">
            <wp:extent cx="5191125" cy="1836058"/>
            <wp:effectExtent l="0" t="0" r="15875" b="18415"/>
            <wp:docPr id="13" name="Chart 13">
              <a:extLst xmlns:a="http://schemas.openxmlformats.org/drawingml/2006/main">
                <a:ext uri="{FF2B5EF4-FFF2-40B4-BE49-F238E27FC236}">
                  <a16:creationId xmlns:a16="http://schemas.microsoft.com/office/drawing/2014/main" id="{2573E1F9-E0D4-4874-AD57-63F2FC2B83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7E1143B" w14:textId="7005346F" w:rsidR="00A755F5" w:rsidRPr="00251B2C" w:rsidRDefault="0088025E" w:rsidP="00A755F5">
      <w:pPr>
        <w:spacing w:before="120" w:after="120" w:line="360" w:lineRule="auto"/>
        <w:jc w:val="both"/>
        <w:rPr>
          <w:rFonts w:ascii="Times New Roman" w:hAnsi="Times New Roman" w:cs="Times New Roman"/>
          <w:color w:val="FF0000"/>
          <w:sz w:val="24"/>
          <w:szCs w:val="24"/>
        </w:rPr>
      </w:pPr>
      <w:bookmarkStart w:id="91" w:name="OLE_LINK142"/>
      <w:bookmarkStart w:id="92" w:name="OLE_LINK143"/>
      <w:bookmarkStart w:id="93" w:name="OLE_LINK159"/>
      <w:bookmarkStart w:id="94" w:name="OLE_LINK148"/>
      <w:r>
        <w:rPr>
          <w:rFonts w:ascii="Times New Roman" w:hAnsi="Times New Roman" w:cs="Times New Roman"/>
          <w:sz w:val="24"/>
          <w:szCs w:val="24"/>
        </w:rPr>
        <w:t xml:space="preserve">As illustrated the above </w:t>
      </w:r>
      <w:r w:rsidR="00612FE1">
        <w:rPr>
          <w:rFonts w:ascii="Times New Roman" w:hAnsi="Times New Roman" w:cs="Times New Roman"/>
          <w:sz w:val="24"/>
          <w:szCs w:val="24"/>
        </w:rPr>
        <w:t xml:space="preserve">in </w:t>
      </w:r>
      <w:r w:rsidR="00965789">
        <w:rPr>
          <w:rFonts w:ascii="Times New Roman" w:hAnsi="Times New Roman" w:cs="Times New Roman"/>
          <w:sz w:val="24"/>
          <w:szCs w:val="24"/>
        </w:rPr>
        <w:t>Figure 4</w:t>
      </w:r>
      <w:r w:rsidR="00A755F5" w:rsidRPr="00251B2C">
        <w:rPr>
          <w:rFonts w:ascii="Times New Roman" w:hAnsi="Times New Roman" w:cs="Times New Roman"/>
          <w:sz w:val="24"/>
          <w:szCs w:val="24"/>
        </w:rPr>
        <w:t xml:space="preserve">, </w:t>
      </w:r>
      <w:r w:rsidR="000F4C35">
        <w:rPr>
          <w:rFonts w:ascii="Times New Roman" w:hAnsi="Times New Roman" w:cs="Times New Roman"/>
          <w:sz w:val="24"/>
          <w:szCs w:val="24"/>
        </w:rPr>
        <w:t>Sukuk</w:t>
      </w:r>
      <w:r w:rsidR="00A755F5" w:rsidRPr="00251B2C">
        <w:rPr>
          <w:rFonts w:ascii="Times New Roman" w:hAnsi="Times New Roman" w:cs="Times New Roman"/>
          <w:sz w:val="24"/>
          <w:szCs w:val="24"/>
        </w:rPr>
        <w:t xml:space="preserve"> has a higher risk level of daily returns than conventional bonds which shows that bonds are less risky than </w:t>
      </w:r>
      <w:r w:rsidR="00B06644">
        <w:rPr>
          <w:rFonts w:ascii="Times New Roman" w:hAnsi="Times New Roman" w:cs="Times New Roman"/>
          <w:sz w:val="24"/>
          <w:szCs w:val="24"/>
        </w:rPr>
        <w:t>a</w:t>
      </w:r>
      <w:r w:rsidR="00A755F5" w:rsidRPr="00251B2C">
        <w:rPr>
          <w:rFonts w:ascii="Times New Roman" w:hAnsi="Times New Roman" w:cs="Times New Roman"/>
          <w:sz w:val="24"/>
          <w:szCs w:val="24"/>
        </w:rPr>
        <w:t xml:space="preserve"> </w:t>
      </w:r>
      <w:r w:rsidR="000F4C35" w:rsidRPr="00F351D9">
        <w:rPr>
          <w:rFonts w:ascii="Times New Roman" w:hAnsi="Times New Roman" w:cs="Times New Roman"/>
          <w:i/>
          <w:iCs/>
          <w:sz w:val="24"/>
          <w:szCs w:val="24"/>
        </w:rPr>
        <w:t>Sukuk</w:t>
      </w:r>
      <w:r w:rsidR="00A755F5" w:rsidRPr="00251B2C">
        <w:rPr>
          <w:rFonts w:ascii="Times New Roman" w:hAnsi="Times New Roman" w:cs="Times New Roman"/>
          <w:sz w:val="24"/>
          <w:szCs w:val="24"/>
        </w:rPr>
        <w:t xml:space="preserve">. Whereas, the average VaR on </w:t>
      </w:r>
      <w:r w:rsidR="000F4C35" w:rsidRPr="00F351D9">
        <w:rPr>
          <w:rFonts w:ascii="Times New Roman" w:hAnsi="Times New Roman" w:cs="Times New Roman"/>
          <w:i/>
          <w:iCs/>
          <w:sz w:val="24"/>
          <w:szCs w:val="24"/>
        </w:rPr>
        <w:t>Sukuk</w:t>
      </w:r>
      <w:r w:rsidR="00A755F5" w:rsidRPr="00251B2C">
        <w:rPr>
          <w:rFonts w:ascii="Times New Roman" w:hAnsi="Times New Roman" w:cs="Times New Roman"/>
          <w:sz w:val="24"/>
          <w:szCs w:val="24"/>
        </w:rPr>
        <w:t xml:space="preserve"> is almost twice as high as the average VaR on conventi</w:t>
      </w:r>
      <w:r w:rsidR="00612FE1">
        <w:rPr>
          <w:rFonts w:ascii="Times New Roman" w:hAnsi="Times New Roman" w:cs="Times New Roman"/>
          <w:sz w:val="24"/>
          <w:szCs w:val="24"/>
        </w:rPr>
        <w:t>onal bonds as shown</w:t>
      </w:r>
      <w:r w:rsidR="00F351D9">
        <w:rPr>
          <w:rFonts w:ascii="Times New Roman" w:hAnsi="Times New Roman" w:cs="Times New Roman"/>
          <w:sz w:val="24"/>
          <w:szCs w:val="24"/>
        </w:rPr>
        <w:t xml:space="preserve"> in Figure </w:t>
      </w:r>
      <w:r w:rsidR="00F351D9" w:rsidRPr="00F351D9">
        <w:rPr>
          <w:rFonts w:ascii="Times New Roman" w:hAnsi="Times New Roman" w:cs="Times New Roman"/>
          <w:sz w:val="24"/>
          <w:szCs w:val="24"/>
        </w:rPr>
        <w:t>4</w:t>
      </w:r>
      <w:r w:rsidR="00A755F5" w:rsidRPr="00F351D9">
        <w:rPr>
          <w:rFonts w:ascii="Times New Roman" w:hAnsi="Times New Roman" w:cs="Times New Roman"/>
          <w:sz w:val="24"/>
          <w:szCs w:val="24"/>
        </w:rPr>
        <w:t>. Furthermore</w:t>
      </w:r>
      <w:r w:rsidR="00A755F5" w:rsidRPr="00251B2C">
        <w:rPr>
          <w:rFonts w:ascii="Times New Roman" w:hAnsi="Times New Roman" w:cs="Times New Roman"/>
          <w:sz w:val="24"/>
          <w:szCs w:val="24"/>
        </w:rPr>
        <w:t xml:space="preserve">, the bonds daily returns are more stable than the </w:t>
      </w:r>
      <w:r w:rsidR="000F4C35" w:rsidRPr="00F351D9">
        <w:rPr>
          <w:rFonts w:ascii="Times New Roman" w:hAnsi="Times New Roman" w:cs="Times New Roman"/>
          <w:i/>
          <w:iCs/>
          <w:sz w:val="24"/>
          <w:szCs w:val="24"/>
        </w:rPr>
        <w:t>Sukuk</w:t>
      </w:r>
      <w:r w:rsidR="00A755F5" w:rsidRPr="00251B2C">
        <w:rPr>
          <w:rFonts w:ascii="Times New Roman" w:hAnsi="Times New Roman" w:cs="Times New Roman"/>
          <w:sz w:val="24"/>
          <w:szCs w:val="24"/>
        </w:rPr>
        <w:t xml:space="preserve"> over the period. Therefore, this shows that </w:t>
      </w:r>
      <w:r w:rsidR="000F4C35" w:rsidRPr="00F351D9">
        <w:rPr>
          <w:rFonts w:ascii="Times New Roman" w:hAnsi="Times New Roman" w:cs="Times New Roman"/>
          <w:i/>
          <w:iCs/>
          <w:sz w:val="24"/>
          <w:szCs w:val="24"/>
        </w:rPr>
        <w:t>Sukuk</w:t>
      </w:r>
      <w:r w:rsidR="00A755F5" w:rsidRPr="00251B2C">
        <w:rPr>
          <w:rFonts w:ascii="Times New Roman" w:hAnsi="Times New Roman" w:cs="Times New Roman"/>
          <w:sz w:val="24"/>
          <w:szCs w:val="24"/>
        </w:rPr>
        <w:t xml:space="preserve"> daily returns are more volatile and riskier </w:t>
      </w:r>
      <w:r w:rsidR="009257A1" w:rsidRPr="00251B2C">
        <w:rPr>
          <w:rFonts w:ascii="Times New Roman" w:hAnsi="Times New Roman" w:cs="Times New Roman"/>
          <w:sz w:val="24"/>
          <w:szCs w:val="24"/>
        </w:rPr>
        <w:t>than conventional</w:t>
      </w:r>
      <w:r w:rsidR="00A755F5" w:rsidRPr="00251B2C">
        <w:rPr>
          <w:rFonts w:ascii="Times New Roman" w:hAnsi="Times New Roman" w:cs="Times New Roman"/>
          <w:sz w:val="24"/>
          <w:szCs w:val="24"/>
        </w:rPr>
        <w:t xml:space="preserve"> bonds</w:t>
      </w:r>
      <w:bookmarkEnd w:id="91"/>
      <w:bookmarkEnd w:id="92"/>
      <w:bookmarkEnd w:id="93"/>
      <w:r w:rsidR="00A755F5" w:rsidRPr="00251B2C">
        <w:rPr>
          <w:rFonts w:ascii="Times New Roman" w:hAnsi="Times New Roman" w:cs="Times New Roman"/>
          <w:sz w:val="24"/>
          <w:szCs w:val="24"/>
        </w:rPr>
        <w:t>.</w:t>
      </w:r>
    </w:p>
    <w:p w14:paraId="00D1E10C" w14:textId="77777777" w:rsidR="00A755F5" w:rsidRPr="00251B2C" w:rsidRDefault="00A755F5" w:rsidP="00A755F5">
      <w:pPr>
        <w:pStyle w:val="Heading2"/>
        <w:rPr>
          <w:rFonts w:ascii="Times New Roman" w:hAnsi="Times New Roman" w:cs="Times New Roman"/>
          <w:sz w:val="24"/>
          <w:szCs w:val="24"/>
        </w:rPr>
      </w:pPr>
      <w:bookmarkStart w:id="95" w:name="_Toc481617409"/>
      <w:bookmarkEnd w:id="94"/>
      <w:r w:rsidRPr="00251B2C">
        <w:rPr>
          <w:rFonts w:ascii="Times New Roman" w:hAnsi="Times New Roman" w:cs="Times New Roman"/>
          <w:sz w:val="24"/>
          <w:szCs w:val="24"/>
        </w:rPr>
        <w:t>Monte Carlo Simulation Method</w:t>
      </w:r>
      <w:bookmarkEnd w:id="95"/>
    </w:p>
    <w:p w14:paraId="57EB7C53" w14:textId="7FC99886" w:rsidR="00104535" w:rsidRPr="00C51F88" w:rsidRDefault="009257A1" w:rsidP="00C51F88">
      <w:pPr>
        <w:pStyle w:val="ListParagraph"/>
        <w:spacing w:before="180" w:after="120" w:line="360" w:lineRule="auto"/>
        <w:ind w:left="0"/>
        <w:jc w:val="both"/>
        <w:rPr>
          <w:rFonts w:ascii="Times New Roman" w:hAnsi="Times New Roman" w:cs="Times New Roman"/>
          <w:color w:val="000000"/>
          <w:sz w:val="24"/>
          <w:szCs w:val="24"/>
          <w:shd w:val="clear" w:color="auto" w:fill="FFFFFF"/>
        </w:rPr>
      </w:pPr>
      <w:bookmarkStart w:id="96" w:name="OLE_LINK150"/>
      <w:r>
        <w:rPr>
          <w:rFonts w:ascii="Times New Roman" w:hAnsi="Times New Roman" w:cs="Times New Roman"/>
          <w:color w:val="000000"/>
          <w:sz w:val="24"/>
          <w:szCs w:val="24"/>
          <w:shd w:val="clear" w:color="auto" w:fill="FFFFFF"/>
        </w:rPr>
        <w:t xml:space="preserve">Here, </w:t>
      </w:r>
      <w:r w:rsidRPr="00251B2C">
        <w:rPr>
          <w:rFonts w:ascii="Times New Roman" w:hAnsi="Times New Roman" w:cs="Times New Roman"/>
          <w:color w:val="000000"/>
          <w:sz w:val="24"/>
          <w:szCs w:val="24"/>
          <w:shd w:val="clear" w:color="auto" w:fill="FFFFFF"/>
        </w:rPr>
        <w:t>the</w:t>
      </w:r>
      <w:r w:rsidR="00A755F5" w:rsidRPr="00251B2C">
        <w:rPr>
          <w:rFonts w:ascii="Times New Roman" w:hAnsi="Times New Roman" w:cs="Times New Roman"/>
          <w:color w:val="000000"/>
          <w:sz w:val="24"/>
          <w:szCs w:val="24"/>
          <w:shd w:val="clear" w:color="auto" w:fill="FFFFFF"/>
        </w:rPr>
        <w:t xml:space="preserve"> risk level of</w:t>
      </w:r>
      <w:r w:rsidR="00A755F5" w:rsidRPr="00251B2C">
        <w:rPr>
          <w:rStyle w:val="apple-converted-space"/>
          <w:rFonts w:ascii="Times New Roman" w:hAnsi="Times New Roman" w:cs="Times New Roman"/>
          <w:color w:val="000000"/>
          <w:sz w:val="24"/>
          <w:szCs w:val="24"/>
          <w:shd w:val="clear" w:color="auto" w:fill="FFFFFF"/>
        </w:rPr>
        <w:t> </w:t>
      </w:r>
      <w:r w:rsidR="000F4C35" w:rsidRPr="00F351D9">
        <w:rPr>
          <w:rFonts w:ascii="Times New Roman" w:hAnsi="Times New Roman" w:cs="Times New Roman"/>
          <w:i/>
          <w:iCs/>
          <w:sz w:val="24"/>
          <w:szCs w:val="24"/>
        </w:rPr>
        <w:t>Sukuk</w:t>
      </w:r>
      <w:r w:rsidR="00A755F5" w:rsidRPr="00251B2C">
        <w:rPr>
          <w:rStyle w:val="apple-converted-space"/>
          <w:rFonts w:ascii="Times New Roman" w:hAnsi="Times New Roman" w:cs="Times New Roman"/>
          <w:color w:val="000000"/>
          <w:sz w:val="24"/>
          <w:szCs w:val="24"/>
          <w:shd w:val="clear" w:color="auto" w:fill="FFFFFF"/>
        </w:rPr>
        <w:t> </w:t>
      </w:r>
      <w:r w:rsidR="00A755F5" w:rsidRPr="00251B2C">
        <w:rPr>
          <w:rStyle w:val="mceitemhidden"/>
          <w:rFonts w:ascii="Times New Roman" w:hAnsi="Times New Roman" w:cs="Times New Roman"/>
          <w:color w:val="000000"/>
          <w:sz w:val="24"/>
          <w:szCs w:val="24"/>
          <w:shd w:val="clear" w:color="auto" w:fill="FFFFFF"/>
        </w:rPr>
        <w:t xml:space="preserve">and bonds using Monte Carlo </w:t>
      </w:r>
      <w:r w:rsidRPr="00251B2C">
        <w:rPr>
          <w:rStyle w:val="mceitemhidden"/>
          <w:rFonts w:ascii="Times New Roman" w:hAnsi="Times New Roman" w:cs="Times New Roman"/>
          <w:color w:val="000000"/>
          <w:sz w:val="24"/>
          <w:szCs w:val="24"/>
          <w:shd w:val="clear" w:color="auto" w:fill="FFFFFF"/>
        </w:rPr>
        <w:t>simulation (</w:t>
      </w:r>
      <w:r w:rsidR="00A755F5" w:rsidRPr="00251B2C">
        <w:rPr>
          <w:rStyle w:val="mceitemhidden"/>
          <w:rFonts w:ascii="Times New Roman" w:hAnsi="Times New Roman" w:cs="Times New Roman"/>
          <w:color w:val="000000"/>
          <w:sz w:val="24"/>
          <w:szCs w:val="24"/>
          <w:shd w:val="clear" w:color="auto" w:fill="FFFFFF"/>
        </w:rPr>
        <w:t>MCS) model with the VaR 99% confidence level</w:t>
      </w:r>
      <w:r w:rsidR="000A3BBD">
        <w:rPr>
          <w:rStyle w:val="mceitemhidden"/>
          <w:rFonts w:ascii="Times New Roman" w:hAnsi="Times New Roman" w:cs="Times New Roman"/>
          <w:color w:val="000000"/>
          <w:sz w:val="24"/>
          <w:szCs w:val="24"/>
          <w:shd w:val="clear" w:color="auto" w:fill="FFFFFF"/>
        </w:rPr>
        <w:t xml:space="preserve"> are described</w:t>
      </w:r>
      <w:r w:rsidR="00A755F5" w:rsidRPr="00251B2C">
        <w:rPr>
          <w:rStyle w:val="mceitemhidden"/>
          <w:rFonts w:ascii="Times New Roman" w:hAnsi="Times New Roman" w:cs="Times New Roman"/>
          <w:color w:val="000000"/>
          <w:sz w:val="24"/>
          <w:szCs w:val="24"/>
          <w:shd w:val="clear" w:color="auto" w:fill="FFFFFF"/>
        </w:rPr>
        <w:t>. To compute VaR, the study applies two VaR estimations: first</w:t>
      </w:r>
      <w:r w:rsidR="004B7B2E">
        <w:rPr>
          <w:rStyle w:val="mceitemhidden"/>
          <w:rFonts w:ascii="Times New Roman" w:hAnsi="Times New Roman" w:cs="Times New Roman"/>
          <w:color w:val="000000"/>
          <w:sz w:val="24"/>
          <w:szCs w:val="24"/>
          <w:shd w:val="clear" w:color="auto" w:fill="FFFFFF"/>
        </w:rPr>
        <w:t>ly</w:t>
      </w:r>
      <w:r w:rsidR="00A755F5" w:rsidRPr="00251B2C">
        <w:rPr>
          <w:rStyle w:val="mceitemhidden"/>
          <w:rFonts w:ascii="Times New Roman" w:hAnsi="Times New Roman" w:cs="Times New Roman"/>
          <w:color w:val="000000"/>
          <w:sz w:val="24"/>
          <w:szCs w:val="24"/>
          <w:shd w:val="clear" w:color="auto" w:fill="FFFFFF"/>
        </w:rPr>
        <w:t xml:space="preserve">, the study estimates 10 business days of holding period for randomizing daily returns, as per recommendations of </w:t>
      </w:r>
      <w:r w:rsidR="004B7B2E">
        <w:rPr>
          <w:rStyle w:val="mceitemhidden"/>
          <w:rFonts w:ascii="Times New Roman" w:hAnsi="Times New Roman" w:cs="Times New Roman"/>
          <w:color w:val="000000"/>
          <w:sz w:val="24"/>
          <w:szCs w:val="24"/>
          <w:shd w:val="clear" w:color="auto" w:fill="FFFFFF"/>
        </w:rPr>
        <w:t xml:space="preserve">the </w:t>
      </w:r>
      <w:r w:rsidR="00A755F5" w:rsidRPr="00251B2C">
        <w:rPr>
          <w:rStyle w:val="mceitemhidden"/>
          <w:rFonts w:ascii="Times New Roman" w:hAnsi="Times New Roman" w:cs="Times New Roman"/>
          <w:color w:val="000000"/>
          <w:sz w:val="24"/>
          <w:szCs w:val="24"/>
          <w:shd w:val="clear" w:color="auto" w:fill="FFFFFF"/>
        </w:rPr>
        <w:t>Basel Committee. In addition</w:t>
      </w:r>
      <w:r w:rsidR="00431EC0">
        <w:rPr>
          <w:rStyle w:val="mceitemhidden"/>
          <w:rFonts w:ascii="Times New Roman" w:hAnsi="Times New Roman" w:cs="Times New Roman"/>
          <w:color w:val="000000"/>
          <w:sz w:val="24"/>
          <w:szCs w:val="24"/>
          <w:shd w:val="clear" w:color="auto" w:fill="FFFFFF"/>
        </w:rPr>
        <w:t>,</w:t>
      </w:r>
      <w:r w:rsidR="00A755F5" w:rsidRPr="00251B2C">
        <w:rPr>
          <w:rStyle w:val="mceitemhidden"/>
          <w:rFonts w:ascii="Times New Roman" w:hAnsi="Times New Roman" w:cs="Times New Roman"/>
          <w:color w:val="000000"/>
          <w:sz w:val="24"/>
          <w:szCs w:val="24"/>
          <w:shd w:val="clear" w:color="auto" w:fill="FFFFFF"/>
        </w:rPr>
        <w:t xml:space="preserve"> </w:t>
      </w:r>
      <w:r w:rsidR="000F4C35" w:rsidRPr="00537B3D">
        <w:rPr>
          <w:rStyle w:val="mceitemhidden"/>
          <w:rFonts w:ascii="Times New Roman" w:hAnsi="Times New Roman" w:cs="Times New Roman"/>
          <w:i/>
          <w:iCs/>
          <w:color w:val="000000"/>
          <w:sz w:val="24"/>
          <w:szCs w:val="24"/>
          <w:shd w:val="clear" w:color="auto" w:fill="FFFFFF"/>
        </w:rPr>
        <w:t>Sukuk</w:t>
      </w:r>
      <w:r w:rsidR="00A755F5" w:rsidRPr="00251B2C">
        <w:rPr>
          <w:rStyle w:val="mceitemhidden"/>
          <w:rFonts w:ascii="Times New Roman" w:hAnsi="Times New Roman" w:cs="Times New Roman"/>
          <w:color w:val="000000"/>
          <w:sz w:val="24"/>
          <w:szCs w:val="24"/>
          <w:shd w:val="clear" w:color="auto" w:fill="FFFFFF"/>
        </w:rPr>
        <w:t xml:space="preserve"> are not very liquid products and </w:t>
      </w:r>
      <w:r w:rsidRPr="00251B2C">
        <w:rPr>
          <w:rStyle w:val="mceitemhidden"/>
          <w:rFonts w:ascii="Times New Roman" w:hAnsi="Times New Roman" w:cs="Times New Roman"/>
          <w:color w:val="000000"/>
          <w:sz w:val="24"/>
          <w:szCs w:val="24"/>
          <w:shd w:val="clear" w:color="auto" w:fill="FFFFFF"/>
        </w:rPr>
        <w:t>require time</w:t>
      </w:r>
      <w:r w:rsidR="00A755F5" w:rsidRPr="00251B2C">
        <w:rPr>
          <w:rStyle w:val="mceitemhidden"/>
          <w:rFonts w:ascii="Times New Roman" w:hAnsi="Times New Roman" w:cs="Times New Roman"/>
          <w:color w:val="000000"/>
          <w:sz w:val="24"/>
          <w:szCs w:val="24"/>
          <w:shd w:val="clear" w:color="auto" w:fill="FFFFFF"/>
        </w:rPr>
        <w:t xml:space="preserve"> to be traded. Secondly, the study estimates randomly the VaR by simulating daily returns into (5000 repetitions) where the model</w:t>
      </w:r>
      <w:r w:rsidR="00A755F5" w:rsidRPr="00251B2C">
        <w:rPr>
          <w:rStyle w:val="apple-converted-space"/>
          <w:rFonts w:ascii="Times New Roman" w:hAnsi="Times New Roman" w:cs="Times New Roman"/>
          <w:color w:val="000000"/>
          <w:sz w:val="24"/>
          <w:szCs w:val="24"/>
          <w:shd w:val="clear" w:color="auto" w:fill="FFFFFF"/>
        </w:rPr>
        <w:t> </w:t>
      </w:r>
      <w:r w:rsidR="00A755F5" w:rsidRPr="00251B2C">
        <w:rPr>
          <w:rStyle w:val="hiddengrammarerror"/>
          <w:rFonts w:ascii="Times New Roman" w:hAnsi="Times New Roman" w:cs="Times New Roman"/>
          <w:color w:val="000000"/>
          <w:sz w:val="24"/>
          <w:szCs w:val="24"/>
          <w:shd w:val="clear" w:color="auto" w:fill="FFFFFF"/>
        </w:rPr>
        <w:t>applies </w:t>
      </w:r>
      <w:r w:rsidR="00A755F5" w:rsidRPr="00251B2C">
        <w:rPr>
          <w:rFonts w:ascii="Times New Roman" w:hAnsi="Times New Roman" w:cs="Times New Roman"/>
          <w:color w:val="000000"/>
          <w:sz w:val="24"/>
          <w:szCs w:val="24"/>
          <w:shd w:val="clear" w:color="auto" w:fill="FFFFFF"/>
        </w:rPr>
        <w:t>to</w:t>
      </w:r>
      <w:r w:rsidR="00A755F5" w:rsidRPr="00251B2C">
        <w:rPr>
          <w:rStyle w:val="apple-converted-space"/>
          <w:rFonts w:ascii="Times New Roman" w:hAnsi="Times New Roman" w:cs="Times New Roman"/>
          <w:color w:val="000000"/>
          <w:sz w:val="24"/>
          <w:szCs w:val="24"/>
          <w:shd w:val="clear" w:color="auto" w:fill="FFFFFF"/>
        </w:rPr>
        <w:t> </w:t>
      </w:r>
      <w:r w:rsidR="00A755F5" w:rsidRPr="00251B2C">
        <w:rPr>
          <w:rStyle w:val="mceitemhidden"/>
          <w:rFonts w:ascii="Times New Roman" w:hAnsi="Times New Roman" w:cs="Times New Roman"/>
          <w:color w:val="000000"/>
          <w:sz w:val="24"/>
          <w:szCs w:val="24"/>
          <w:shd w:val="clear" w:color="auto" w:fill="FFFFFF"/>
        </w:rPr>
        <w:t>two parameters: drift which is a constant directional movement and random shock for volatility as presented in equation 3.</w:t>
      </w:r>
      <w:r w:rsidR="00A755F5" w:rsidRPr="00251B2C">
        <w:rPr>
          <w:rFonts w:ascii="Times New Roman" w:hAnsi="Times New Roman" w:cs="Times New Roman"/>
          <w:color w:val="000000"/>
          <w:sz w:val="24"/>
          <w:szCs w:val="24"/>
          <w:shd w:val="clear" w:color="auto" w:fill="FFFFFF"/>
        </w:rPr>
        <w:t xml:space="preserve"> </w:t>
      </w:r>
      <w:r w:rsidR="00965789">
        <w:rPr>
          <w:rFonts w:ascii="Times New Roman" w:hAnsi="Times New Roman" w:cs="Times New Roman"/>
          <w:sz w:val="24"/>
          <w:szCs w:val="24"/>
        </w:rPr>
        <w:t>Table 5</w:t>
      </w:r>
      <w:r w:rsidR="001430D4">
        <w:rPr>
          <w:rFonts w:ascii="Times New Roman" w:hAnsi="Times New Roman" w:cs="Times New Roman"/>
          <w:sz w:val="24"/>
          <w:szCs w:val="24"/>
        </w:rPr>
        <w:t xml:space="preserve"> </w:t>
      </w:r>
      <w:r w:rsidR="00A755F5" w:rsidRPr="00251B2C">
        <w:rPr>
          <w:rFonts w:ascii="Times New Roman" w:hAnsi="Times New Roman" w:cs="Times New Roman"/>
          <w:color w:val="000000"/>
          <w:sz w:val="24"/>
          <w:szCs w:val="24"/>
          <w:shd w:val="clear" w:color="auto" w:fill="FFFFFF"/>
        </w:rPr>
        <w:t>presents the value of VaR on</w:t>
      </w:r>
      <w:r w:rsidR="00A755F5" w:rsidRPr="00251B2C">
        <w:rPr>
          <w:rStyle w:val="apple-converted-space"/>
          <w:rFonts w:ascii="Times New Roman" w:hAnsi="Times New Roman" w:cs="Times New Roman"/>
          <w:color w:val="000000"/>
          <w:sz w:val="24"/>
          <w:szCs w:val="24"/>
          <w:shd w:val="clear" w:color="auto" w:fill="FFFFFF"/>
        </w:rPr>
        <w:t> </w:t>
      </w:r>
      <w:r w:rsidR="000F4C35" w:rsidRPr="00537B3D">
        <w:rPr>
          <w:rFonts w:ascii="Times New Roman" w:hAnsi="Times New Roman" w:cs="Times New Roman"/>
          <w:i/>
          <w:iCs/>
          <w:sz w:val="24"/>
          <w:szCs w:val="24"/>
        </w:rPr>
        <w:t>Sukuk</w:t>
      </w:r>
      <w:r w:rsidR="00A755F5" w:rsidRPr="00251B2C">
        <w:rPr>
          <w:rStyle w:val="apple-converted-space"/>
          <w:rFonts w:ascii="Times New Roman" w:hAnsi="Times New Roman" w:cs="Times New Roman"/>
          <w:color w:val="000000"/>
          <w:sz w:val="24"/>
          <w:szCs w:val="24"/>
          <w:shd w:val="clear" w:color="auto" w:fill="FFFFFF"/>
        </w:rPr>
        <w:t> </w:t>
      </w:r>
      <w:r w:rsidR="00A755F5" w:rsidRPr="00251B2C">
        <w:rPr>
          <w:rStyle w:val="mceitemhidden"/>
          <w:rFonts w:ascii="Times New Roman" w:hAnsi="Times New Roman" w:cs="Times New Roman"/>
          <w:color w:val="000000"/>
          <w:sz w:val="24"/>
          <w:szCs w:val="24"/>
          <w:shd w:val="clear" w:color="auto" w:fill="FFFFFF"/>
        </w:rPr>
        <w:t xml:space="preserve">and conventional bonds using Monte Carlo simulation with the </w:t>
      </w:r>
      <w:r w:rsidR="00A755F5" w:rsidRPr="00251B2C">
        <w:rPr>
          <w:rFonts w:ascii="Times New Roman" w:hAnsi="Times New Roman" w:cs="Times New Roman"/>
          <w:color w:val="000000"/>
          <w:sz w:val="24"/>
          <w:szCs w:val="24"/>
          <w:shd w:val="clear" w:color="auto" w:fill="FFFFFF"/>
        </w:rPr>
        <w:t xml:space="preserve">VaR of 99% confidence level. Hong Kong </w:t>
      </w:r>
      <w:r w:rsidR="000F4C35" w:rsidRPr="00537B3D">
        <w:rPr>
          <w:rFonts w:ascii="Times New Roman" w:hAnsi="Times New Roman" w:cs="Times New Roman"/>
          <w:i/>
          <w:iCs/>
          <w:color w:val="000000"/>
          <w:sz w:val="24"/>
          <w:szCs w:val="24"/>
          <w:shd w:val="clear" w:color="auto" w:fill="FFFFFF"/>
        </w:rPr>
        <w:t>Sukuk</w:t>
      </w:r>
      <w:r w:rsidR="00A755F5" w:rsidRPr="00251B2C">
        <w:rPr>
          <w:rFonts w:ascii="Times New Roman" w:hAnsi="Times New Roman" w:cs="Times New Roman"/>
          <w:color w:val="000000"/>
          <w:sz w:val="24"/>
          <w:szCs w:val="24"/>
          <w:shd w:val="clear" w:color="auto" w:fill="FFFFFF"/>
        </w:rPr>
        <w:t xml:space="preserve"> Ltd and Dar Al </w:t>
      </w:r>
      <w:proofErr w:type="spellStart"/>
      <w:r w:rsidR="00A755F5" w:rsidRPr="00251B2C">
        <w:rPr>
          <w:rFonts w:ascii="Times New Roman" w:hAnsi="Times New Roman" w:cs="Times New Roman"/>
          <w:color w:val="000000"/>
          <w:sz w:val="24"/>
          <w:szCs w:val="24"/>
          <w:shd w:val="clear" w:color="auto" w:fill="FFFFFF"/>
        </w:rPr>
        <w:t>Arkam</w:t>
      </w:r>
      <w:proofErr w:type="spellEnd"/>
      <w:r w:rsidR="00A755F5" w:rsidRPr="00251B2C">
        <w:rPr>
          <w:rFonts w:ascii="Times New Roman" w:hAnsi="Times New Roman" w:cs="Times New Roman"/>
          <w:color w:val="000000"/>
          <w:sz w:val="24"/>
          <w:szCs w:val="24"/>
          <w:shd w:val="clear" w:color="auto" w:fill="FFFFFF"/>
        </w:rPr>
        <w:t xml:space="preserve"> </w:t>
      </w:r>
      <w:r w:rsidR="000F4C35" w:rsidRPr="00537B3D">
        <w:rPr>
          <w:rFonts w:ascii="Times New Roman" w:hAnsi="Times New Roman" w:cs="Times New Roman"/>
          <w:i/>
          <w:iCs/>
          <w:color w:val="000000"/>
          <w:sz w:val="24"/>
          <w:szCs w:val="24"/>
          <w:shd w:val="clear" w:color="auto" w:fill="FFFFFF"/>
        </w:rPr>
        <w:t>Sukuk</w:t>
      </w:r>
      <w:r w:rsidR="00A755F5" w:rsidRPr="00251B2C">
        <w:rPr>
          <w:rFonts w:ascii="Times New Roman" w:hAnsi="Times New Roman" w:cs="Times New Roman"/>
          <w:color w:val="000000"/>
          <w:sz w:val="24"/>
          <w:szCs w:val="24"/>
          <w:shd w:val="clear" w:color="auto" w:fill="FFFFFF"/>
        </w:rPr>
        <w:t xml:space="preserve"> provide the highest VaR risk levels of (-0.165% and -0.162) in 10 days holding period and the highest VaR values of (-2.13%) for Dar Al </w:t>
      </w:r>
      <w:proofErr w:type="spellStart"/>
      <w:r w:rsidR="00A755F5" w:rsidRPr="00251B2C">
        <w:rPr>
          <w:rFonts w:ascii="Times New Roman" w:hAnsi="Times New Roman" w:cs="Times New Roman"/>
          <w:color w:val="000000"/>
          <w:sz w:val="24"/>
          <w:szCs w:val="24"/>
          <w:shd w:val="clear" w:color="auto" w:fill="FFFFFF"/>
        </w:rPr>
        <w:t>Arkam</w:t>
      </w:r>
      <w:proofErr w:type="spellEnd"/>
      <w:r w:rsidR="00A755F5" w:rsidRPr="00251B2C">
        <w:rPr>
          <w:rFonts w:ascii="Times New Roman" w:hAnsi="Times New Roman" w:cs="Times New Roman"/>
          <w:color w:val="000000"/>
          <w:sz w:val="24"/>
          <w:szCs w:val="24"/>
          <w:shd w:val="clear" w:color="auto" w:fill="FFFFFF"/>
        </w:rPr>
        <w:t xml:space="preserve"> and (-1.99%) for Hong Kong </w:t>
      </w:r>
      <w:r w:rsidR="000F4C35" w:rsidRPr="00537B3D">
        <w:rPr>
          <w:rFonts w:ascii="Times New Roman" w:hAnsi="Times New Roman" w:cs="Times New Roman"/>
          <w:i/>
          <w:iCs/>
          <w:color w:val="000000"/>
          <w:sz w:val="24"/>
          <w:szCs w:val="24"/>
          <w:shd w:val="clear" w:color="auto" w:fill="FFFFFF"/>
        </w:rPr>
        <w:t>Sukuk</w:t>
      </w:r>
      <w:r w:rsidR="00A755F5" w:rsidRPr="00251B2C">
        <w:rPr>
          <w:rFonts w:ascii="Times New Roman" w:hAnsi="Times New Roman" w:cs="Times New Roman"/>
          <w:color w:val="000000"/>
          <w:sz w:val="24"/>
          <w:szCs w:val="24"/>
          <w:shd w:val="clear" w:color="auto" w:fill="FFFFFF"/>
        </w:rPr>
        <w:t xml:space="preserve"> Ltd. Whereas, the lowest VaR values are provided by Indonesia III-144A in both the 10 days and 5000 runs of VaR estimates.</w:t>
      </w:r>
      <w:bookmarkStart w:id="97" w:name="_Toc481617423"/>
    </w:p>
    <w:p w14:paraId="0BB9205C" w14:textId="22A45D06" w:rsidR="00A755F5" w:rsidRPr="00251B2C" w:rsidRDefault="00965789" w:rsidP="00A755F5">
      <w:pPr>
        <w:pStyle w:val="Caption"/>
        <w:keepNext/>
        <w:rPr>
          <w:rFonts w:ascii="Times New Roman" w:hAnsi="Times New Roman" w:cs="Times New Roman"/>
          <w:sz w:val="24"/>
          <w:szCs w:val="24"/>
        </w:rPr>
      </w:pPr>
      <w:r>
        <w:rPr>
          <w:rFonts w:ascii="Times New Roman" w:hAnsi="Times New Roman" w:cs="Times New Roman"/>
          <w:sz w:val="24"/>
          <w:szCs w:val="24"/>
        </w:rPr>
        <w:t>Table 5</w:t>
      </w:r>
      <w:r w:rsidR="00104535">
        <w:rPr>
          <w:rFonts w:ascii="Times New Roman" w:hAnsi="Times New Roman" w:cs="Times New Roman"/>
          <w:sz w:val="24"/>
          <w:szCs w:val="24"/>
        </w:rPr>
        <w:t>: Monte Carlo S</w:t>
      </w:r>
      <w:r w:rsidR="00A755F5" w:rsidRPr="00251B2C">
        <w:rPr>
          <w:rFonts w:ascii="Times New Roman" w:hAnsi="Times New Roman" w:cs="Times New Roman"/>
          <w:sz w:val="24"/>
          <w:szCs w:val="24"/>
        </w:rPr>
        <w:t xml:space="preserve">imulation for </w:t>
      </w:r>
      <w:r w:rsidR="000F4C35">
        <w:rPr>
          <w:rFonts w:ascii="Times New Roman" w:hAnsi="Times New Roman" w:cs="Times New Roman"/>
          <w:sz w:val="24"/>
          <w:szCs w:val="24"/>
        </w:rPr>
        <w:t>Sukuk</w:t>
      </w:r>
      <w:r w:rsidR="00104535">
        <w:rPr>
          <w:rFonts w:ascii="Times New Roman" w:hAnsi="Times New Roman" w:cs="Times New Roman"/>
          <w:sz w:val="24"/>
          <w:szCs w:val="24"/>
        </w:rPr>
        <w:t xml:space="preserve"> and Bonds in 99% of VaR C</w:t>
      </w:r>
      <w:r w:rsidR="00A755F5" w:rsidRPr="00251B2C">
        <w:rPr>
          <w:rFonts w:ascii="Times New Roman" w:hAnsi="Times New Roman" w:cs="Times New Roman"/>
          <w:sz w:val="24"/>
          <w:szCs w:val="24"/>
        </w:rPr>
        <w:t>onfidence</w:t>
      </w:r>
      <w:bookmarkEnd w:id="97"/>
    </w:p>
    <w:tbl>
      <w:tblPr>
        <w:tblW w:w="8521" w:type="dxa"/>
        <w:jc w:val="center"/>
        <w:tblLayout w:type="fixed"/>
        <w:tblCellMar>
          <w:left w:w="30" w:type="dxa"/>
          <w:right w:w="30" w:type="dxa"/>
        </w:tblCellMar>
        <w:tblLook w:val="04A0" w:firstRow="1" w:lastRow="0" w:firstColumn="1" w:lastColumn="0" w:noHBand="0" w:noVBand="1"/>
      </w:tblPr>
      <w:tblGrid>
        <w:gridCol w:w="2679"/>
        <w:gridCol w:w="850"/>
        <w:gridCol w:w="739"/>
        <w:gridCol w:w="2611"/>
        <w:gridCol w:w="791"/>
        <w:gridCol w:w="851"/>
      </w:tblGrid>
      <w:tr w:rsidR="00A755F5" w:rsidRPr="001A131A" w14:paraId="5136A2E3" w14:textId="77777777" w:rsidTr="00A755F5">
        <w:trPr>
          <w:trHeight w:val="440"/>
          <w:jc w:val="center"/>
        </w:trPr>
        <w:tc>
          <w:tcPr>
            <w:tcW w:w="2679" w:type="dxa"/>
            <w:tcBorders>
              <w:top w:val="single" w:sz="12" w:space="0" w:color="auto"/>
              <w:left w:val="single" w:sz="12" w:space="0" w:color="auto"/>
              <w:bottom w:val="single" w:sz="12" w:space="0" w:color="auto"/>
              <w:right w:val="nil"/>
            </w:tcBorders>
            <w:shd w:val="clear" w:color="auto" w:fill="auto"/>
            <w:hideMark/>
          </w:tcPr>
          <w:bookmarkEnd w:id="96"/>
          <w:p w14:paraId="581B2AB9" w14:textId="64FCF6B4"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
                <w:bCs/>
                <w:color w:val="000000"/>
                <w:sz w:val="20"/>
                <w:szCs w:val="20"/>
              </w:rPr>
            </w:pPr>
            <w:r w:rsidRPr="001A131A">
              <w:rPr>
                <w:rFonts w:ascii="Times New Roman" w:eastAsia="Calibri" w:hAnsi="Times New Roman" w:cs="Times New Roman"/>
                <w:b/>
                <w:bCs/>
                <w:color w:val="000000"/>
                <w:sz w:val="20"/>
                <w:szCs w:val="20"/>
              </w:rPr>
              <w:t xml:space="preserve">List of </w:t>
            </w:r>
            <w:r w:rsidR="000F4C35" w:rsidRPr="001A131A">
              <w:rPr>
                <w:rFonts w:ascii="Times New Roman" w:eastAsia="Calibri" w:hAnsi="Times New Roman" w:cs="Times New Roman"/>
                <w:b/>
                <w:bCs/>
                <w:color w:val="000000"/>
                <w:sz w:val="20"/>
                <w:szCs w:val="20"/>
              </w:rPr>
              <w:t>Sukuk</w:t>
            </w:r>
          </w:p>
        </w:tc>
        <w:tc>
          <w:tcPr>
            <w:tcW w:w="850" w:type="dxa"/>
            <w:tcBorders>
              <w:top w:val="single" w:sz="12" w:space="0" w:color="auto"/>
              <w:left w:val="single" w:sz="12" w:space="0" w:color="auto"/>
              <w:bottom w:val="single" w:sz="12" w:space="0" w:color="auto"/>
              <w:right w:val="single" w:sz="12" w:space="0" w:color="auto"/>
            </w:tcBorders>
            <w:shd w:val="clear" w:color="auto" w:fill="auto"/>
          </w:tcPr>
          <w:p w14:paraId="2542CD5E"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
                <w:bCs/>
                <w:color w:val="000000"/>
                <w:sz w:val="20"/>
                <w:szCs w:val="20"/>
              </w:rPr>
            </w:pPr>
            <w:r w:rsidRPr="001A131A">
              <w:rPr>
                <w:rFonts w:ascii="Times New Roman" w:eastAsia="Calibri" w:hAnsi="Times New Roman" w:cs="Times New Roman"/>
                <w:b/>
                <w:bCs/>
                <w:color w:val="000000"/>
                <w:sz w:val="20"/>
                <w:szCs w:val="20"/>
              </w:rPr>
              <w:t>VaR*</w:t>
            </w:r>
          </w:p>
        </w:tc>
        <w:tc>
          <w:tcPr>
            <w:tcW w:w="739" w:type="dxa"/>
            <w:tcBorders>
              <w:top w:val="single" w:sz="12" w:space="0" w:color="auto"/>
              <w:left w:val="single" w:sz="12" w:space="0" w:color="auto"/>
              <w:bottom w:val="single" w:sz="12" w:space="0" w:color="auto"/>
              <w:right w:val="single" w:sz="12" w:space="0" w:color="auto"/>
            </w:tcBorders>
            <w:shd w:val="clear" w:color="auto" w:fill="auto"/>
            <w:hideMark/>
          </w:tcPr>
          <w:p w14:paraId="0ECD5C54"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
                <w:bCs/>
                <w:color w:val="000000"/>
                <w:sz w:val="20"/>
                <w:szCs w:val="20"/>
              </w:rPr>
            </w:pPr>
            <w:r w:rsidRPr="001A131A">
              <w:rPr>
                <w:rFonts w:ascii="Times New Roman" w:eastAsia="Calibri" w:hAnsi="Times New Roman" w:cs="Times New Roman"/>
                <w:b/>
                <w:bCs/>
                <w:color w:val="000000"/>
                <w:sz w:val="20"/>
                <w:szCs w:val="20"/>
              </w:rPr>
              <w:t>VaR**</w:t>
            </w:r>
          </w:p>
        </w:tc>
        <w:tc>
          <w:tcPr>
            <w:tcW w:w="2611" w:type="dxa"/>
            <w:tcBorders>
              <w:top w:val="single" w:sz="12" w:space="0" w:color="auto"/>
              <w:left w:val="nil"/>
              <w:bottom w:val="single" w:sz="12" w:space="0" w:color="auto"/>
              <w:right w:val="nil"/>
            </w:tcBorders>
            <w:shd w:val="clear" w:color="auto" w:fill="auto"/>
            <w:hideMark/>
          </w:tcPr>
          <w:p w14:paraId="775BB96F"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
                <w:bCs/>
                <w:color w:val="000000"/>
                <w:sz w:val="20"/>
                <w:szCs w:val="20"/>
              </w:rPr>
            </w:pPr>
            <w:r w:rsidRPr="001A131A">
              <w:rPr>
                <w:rFonts w:ascii="Times New Roman" w:eastAsia="Calibri" w:hAnsi="Times New Roman" w:cs="Times New Roman"/>
                <w:b/>
                <w:bCs/>
                <w:color w:val="000000"/>
                <w:sz w:val="20"/>
                <w:szCs w:val="20"/>
              </w:rPr>
              <w:t>List of Bonds</w:t>
            </w:r>
          </w:p>
        </w:tc>
        <w:tc>
          <w:tcPr>
            <w:tcW w:w="791" w:type="dxa"/>
            <w:tcBorders>
              <w:top w:val="single" w:sz="12" w:space="0" w:color="auto"/>
              <w:left w:val="single" w:sz="12" w:space="0" w:color="auto"/>
              <w:bottom w:val="single" w:sz="12" w:space="0" w:color="auto"/>
              <w:right w:val="single" w:sz="12" w:space="0" w:color="auto"/>
            </w:tcBorders>
            <w:shd w:val="clear" w:color="auto" w:fill="auto"/>
          </w:tcPr>
          <w:p w14:paraId="14E5DD00"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
                <w:bCs/>
                <w:color w:val="000000"/>
                <w:sz w:val="20"/>
                <w:szCs w:val="20"/>
              </w:rPr>
            </w:pPr>
            <w:r w:rsidRPr="001A131A">
              <w:rPr>
                <w:rFonts w:ascii="Times New Roman" w:eastAsia="Calibri" w:hAnsi="Times New Roman" w:cs="Times New Roman"/>
                <w:b/>
                <w:bCs/>
                <w:color w:val="000000"/>
                <w:sz w:val="20"/>
                <w:szCs w:val="20"/>
              </w:rPr>
              <w:t>VaR*</w:t>
            </w:r>
          </w:p>
        </w:tc>
        <w:tc>
          <w:tcPr>
            <w:tcW w:w="851" w:type="dxa"/>
            <w:tcBorders>
              <w:top w:val="single" w:sz="12" w:space="0" w:color="auto"/>
              <w:left w:val="single" w:sz="12" w:space="0" w:color="auto"/>
              <w:bottom w:val="single" w:sz="12" w:space="0" w:color="auto"/>
              <w:right w:val="single" w:sz="12" w:space="0" w:color="auto"/>
            </w:tcBorders>
            <w:shd w:val="clear" w:color="auto" w:fill="auto"/>
            <w:hideMark/>
          </w:tcPr>
          <w:p w14:paraId="515BFE46"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
                <w:bCs/>
                <w:color w:val="000000"/>
                <w:sz w:val="20"/>
                <w:szCs w:val="20"/>
              </w:rPr>
            </w:pPr>
            <w:r w:rsidRPr="001A131A">
              <w:rPr>
                <w:rFonts w:ascii="Times New Roman" w:eastAsia="Calibri" w:hAnsi="Times New Roman" w:cs="Times New Roman"/>
                <w:b/>
                <w:bCs/>
                <w:color w:val="000000"/>
                <w:sz w:val="20"/>
                <w:szCs w:val="20"/>
              </w:rPr>
              <w:t>VaR**</w:t>
            </w:r>
          </w:p>
        </w:tc>
      </w:tr>
      <w:tr w:rsidR="00A755F5" w:rsidRPr="001A131A" w14:paraId="0B0B084D" w14:textId="77777777" w:rsidTr="00A755F5">
        <w:trPr>
          <w:trHeight w:val="256"/>
          <w:jc w:val="center"/>
        </w:trPr>
        <w:tc>
          <w:tcPr>
            <w:tcW w:w="2679" w:type="dxa"/>
            <w:tcBorders>
              <w:top w:val="nil"/>
              <w:left w:val="single" w:sz="12" w:space="0" w:color="auto"/>
              <w:bottom w:val="single" w:sz="6" w:space="0" w:color="auto"/>
              <w:right w:val="nil"/>
            </w:tcBorders>
            <w:hideMark/>
          </w:tcPr>
          <w:p w14:paraId="3813C80A" w14:textId="7B5930BA"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Dar Al </w:t>
            </w:r>
            <w:proofErr w:type="spellStart"/>
            <w:r w:rsidRPr="001A131A">
              <w:rPr>
                <w:rFonts w:ascii="Times New Roman" w:eastAsia="Calibri" w:hAnsi="Times New Roman" w:cs="Times New Roman"/>
                <w:color w:val="000000"/>
                <w:sz w:val="20"/>
                <w:szCs w:val="20"/>
              </w:rPr>
              <w:t>Arkam</w:t>
            </w:r>
            <w:proofErr w:type="spellEnd"/>
            <w:r w:rsidRPr="001A131A">
              <w:rPr>
                <w:rFonts w:ascii="Times New Roman" w:eastAsia="Calibri" w:hAnsi="Times New Roman" w:cs="Times New Roman"/>
                <w:color w:val="000000"/>
                <w:sz w:val="20"/>
                <w:szCs w:val="20"/>
              </w:rPr>
              <w:t xml:space="preserve"> </w:t>
            </w:r>
            <w:r w:rsidR="000F4C35" w:rsidRPr="001A131A">
              <w:rPr>
                <w:rFonts w:ascii="Times New Roman" w:eastAsia="Calibri" w:hAnsi="Times New Roman" w:cs="Times New Roman"/>
                <w:color w:val="000000"/>
                <w:sz w:val="20"/>
                <w:szCs w:val="20"/>
              </w:rPr>
              <w:t>Sukuk</w:t>
            </w:r>
            <w:r w:rsidRPr="001A131A">
              <w:rPr>
                <w:rFonts w:ascii="Times New Roman" w:eastAsia="Calibri" w:hAnsi="Times New Roman" w:cs="Times New Roman"/>
                <w:color w:val="000000"/>
                <w:sz w:val="20"/>
                <w:szCs w:val="20"/>
              </w:rPr>
              <w:t xml:space="preserve"> Co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9EDFED9"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
                <w:color w:val="000000"/>
                <w:sz w:val="20"/>
                <w:szCs w:val="20"/>
              </w:rPr>
            </w:pPr>
            <w:r w:rsidRPr="001A131A">
              <w:rPr>
                <w:rFonts w:ascii="Times New Roman" w:hAnsi="Times New Roman" w:cs="Times New Roman"/>
                <w:b/>
                <w:color w:val="000000"/>
                <w:sz w:val="20"/>
                <w:szCs w:val="20"/>
              </w:rPr>
              <w:t>-1.52%</w:t>
            </w:r>
          </w:p>
        </w:tc>
        <w:tc>
          <w:tcPr>
            <w:tcW w:w="7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56B527"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
                <w:color w:val="000000"/>
                <w:sz w:val="20"/>
                <w:szCs w:val="20"/>
              </w:rPr>
            </w:pPr>
            <w:r w:rsidRPr="001A131A">
              <w:rPr>
                <w:rFonts w:ascii="Times New Roman" w:hAnsi="Times New Roman" w:cs="Times New Roman"/>
                <w:b/>
                <w:color w:val="000000"/>
                <w:sz w:val="20"/>
                <w:szCs w:val="20"/>
              </w:rPr>
              <w:t>-2.13%</w:t>
            </w:r>
          </w:p>
        </w:tc>
        <w:tc>
          <w:tcPr>
            <w:tcW w:w="2611" w:type="dxa"/>
            <w:tcBorders>
              <w:top w:val="single" w:sz="12" w:space="0" w:color="auto"/>
              <w:left w:val="single" w:sz="12" w:space="0" w:color="auto"/>
              <w:bottom w:val="single" w:sz="6" w:space="0" w:color="auto"/>
              <w:right w:val="nil"/>
            </w:tcBorders>
            <w:hideMark/>
          </w:tcPr>
          <w:p w14:paraId="1B708FB5"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Agri Bank of China </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14:paraId="4845D3DE"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-0.22%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DDBF92"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-0.24%</w:t>
            </w:r>
          </w:p>
        </w:tc>
      </w:tr>
      <w:tr w:rsidR="00A755F5" w:rsidRPr="001A131A" w14:paraId="37F545C0" w14:textId="77777777" w:rsidTr="00A755F5">
        <w:trPr>
          <w:trHeight w:val="256"/>
          <w:jc w:val="center"/>
        </w:trPr>
        <w:tc>
          <w:tcPr>
            <w:tcW w:w="2679" w:type="dxa"/>
            <w:tcBorders>
              <w:top w:val="single" w:sz="6" w:space="0" w:color="auto"/>
              <w:left w:val="single" w:sz="12" w:space="0" w:color="auto"/>
              <w:bottom w:val="single" w:sz="6" w:space="0" w:color="auto"/>
              <w:right w:val="nil"/>
            </w:tcBorders>
            <w:hideMark/>
          </w:tcPr>
          <w:p w14:paraId="414A37A8" w14:textId="0B40D481"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lastRenderedPageBreak/>
              <w:t xml:space="preserve">DIB </w:t>
            </w:r>
            <w:r w:rsidR="000F4C35" w:rsidRPr="001A131A">
              <w:rPr>
                <w:rFonts w:ascii="Times New Roman" w:eastAsia="Calibri" w:hAnsi="Times New Roman" w:cs="Times New Roman"/>
                <w:color w:val="000000"/>
                <w:sz w:val="20"/>
                <w:szCs w:val="20"/>
              </w:rPr>
              <w:t>Sukuk</w:t>
            </w:r>
            <w:r w:rsidRPr="001A131A">
              <w:rPr>
                <w:rFonts w:ascii="Times New Roman" w:eastAsia="Calibri" w:hAnsi="Times New Roman" w:cs="Times New Roman"/>
                <w:color w:val="000000"/>
                <w:sz w:val="20"/>
                <w:szCs w:val="20"/>
              </w:rPr>
              <w:t xml:space="preserve"> Limited </w:t>
            </w:r>
          </w:p>
        </w:tc>
        <w:tc>
          <w:tcPr>
            <w:tcW w:w="850" w:type="dxa"/>
            <w:tcBorders>
              <w:top w:val="nil"/>
              <w:left w:val="single" w:sz="4" w:space="0" w:color="auto"/>
              <w:bottom w:val="single" w:sz="4" w:space="0" w:color="auto"/>
              <w:right w:val="single" w:sz="4" w:space="0" w:color="auto"/>
            </w:tcBorders>
            <w:shd w:val="clear" w:color="auto" w:fill="auto"/>
            <w:vAlign w:val="bottom"/>
          </w:tcPr>
          <w:p w14:paraId="5745FF06"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-0.29%</w:t>
            </w:r>
          </w:p>
        </w:tc>
        <w:tc>
          <w:tcPr>
            <w:tcW w:w="739" w:type="dxa"/>
            <w:tcBorders>
              <w:top w:val="nil"/>
              <w:left w:val="single" w:sz="4" w:space="0" w:color="auto"/>
              <w:bottom w:val="single" w:sz="4" w:space="0" w:color="auto"/>
              <w:right w:val="single" w:sz="4" w:space="0" w:color="auto"/>
            </w:tcBorders>
            <w:shd w:val="clear" w:color="auto" w:fill="auto"/>
            <w:vAlign w:val="bottom"/>
            <w:hideMark/>
          </w:tcPr>
          <w:p w14:paraId="33555E99"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-0.54%</w:t>
            </w:r>
          </w:p>
        </w:tc>
        <w:tc>
          <w:tcPr>
            <w:tcW w:w="2611" w:type="dxa"/>
            <w:tcBorders>
              <w:top w:val="single" w:sz="6" w:space="0" w:color="auto"/>
              <w:left w:val="single" w:sz="12" w:space="0" w:color="auto"/>
              <w:bottom w:val="single" w:sz="6" w:space="0" w:color="auto"/>
              <w:right w:val="nil"/>
            </w:tcBorders>
            <w:hideMark/>
          </w:tcPr>
          <w:p w14:paraId="6D1AF01E"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Bank of China Ltd AD</w:t>
            </w:r>
          </w:p>
        </w:tc>
        <w:tc>
          <w:tcPr>
            <w:tcW w:w="791" w:type="dxa"/>
            <w:tcBorders>
              <w:top w:val="nil"/>
              <w:left w:val="single" w:sz="4" w:space="0" w:color="auto"/>
              <w:bottom w:val="single" w:sz="4" w:space="0" w:color="auto"/>
              <w:right w:val="single" w:sz="4" w:space="0" w:color="auto"/>
            </w:tcBorders>
            <w:shd w:val="clear" w:color="auto" w:fill="auto"/>
            <w:vAlign w:val="bottom"/>
          </w:tcPr>
          <w:p w14:paraId="3D7A9540"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-0.20%</w:t>
            </w:r>
          </w:p>
        </w:tc>
        <w:tc>
          <w:tcPr>
            <w:tcW w:w="851" w:type="dxa"/>
            <w:tcBorders>
              <w:top w:val="nil"/>
              <w:left w:val="single" w:sz="4" w:space="0" w:color="auto"/>
              <w:bottom w:val="single" w:sz="4" w:space="0" w:color="auto"/>
              <w:right w:val="single" w:sz="4" w:space="0" w:color="auto"/>
            </w:tcBorders>
            <w:shd w:val="clear" w:color="auto" w:fill="auto"/>
            <w:vAlign w:val="bottom"/>
            <w:hideMark/>
          </w:tcPr>
          <w:p w14:paraId="22BC96E3"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-0.20%</w:t>
            </w:r>
          </w:p>
        </w:tc>
      </w:tr>
      <w:tr w:rsidR="00A755F5" w:rsidRPr="001A131A" w14:paraId="68AB53BB" w14:textId="77777777" w:rsidTr="00A755F5">
        <w:trPr>
          <w:trHeight w:val="256"/>
          <w:jc w:val="center"/>
        </w:trPr>
        <w:tc>
          <w:tcPr>
            <w:tcW w:w="2679" w:type="dxa"/>
            <w:tcBorders>
              <w:top w:val="single" w:sz="6" w:space="0" w:color="auto"/>
              <w:left w:val="single" w:sz="12" w:space="0" w:color="auto"/>
              <w:bottom w:val="single" w:sz="6" w:space="0" w:color="auto"/>
              <w:right w:val="nil"/>
            </w:tcBorders>
            <w:hideMark/>
          </w:tcPr>
          <w:p w14:paraId="5781B4EF" w14:textId="1806385F"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DIB Tier 1 </w:t>
            </w:r>
            <w:r w:rsidR="000F4C35" w:rsidRPr="001A131A">
              <w:rPr>
                <w:rFonts w:ascii="Times New Roman" w:eastAsia="Calibri" w:hAnsi="Times New Roman" w:cs="Times New Roman"/>
                <w:color w:val="000000"/>
                <w:sz w:val="20"/>
                <w:szCs w:val="20"/>
              </w:rPr>
              <w:t>Sukuk</w:t>
            </w:r>
            <w:r w:rsidRPr="001A131A">
              <w:rPr>
                <w:rFonts w:ascii="Times New Roman" w:eastAsia="Calibri" w:hAnsi="Times New Roman" w:cs="Times New Roman"/>
                <w:color w:val="000000"/>
                <w:sz w:val="20"/>
                <w:szCs w:val="20"/>
              </w:rPr>
              <w:t xml:space="preserve"> Ltd </w:t>
            </w:r>
          </w:p>
        </w:tc>
        <w:tc>
          <w:tcPr>
            <w:tcW w:w="850" w:type="dxa"/>
            <w:tcBorders>
              <w:top w:val="nil"/>
              <w:left w:val="single" w:sz="4" w:space="0" w:color="auto"/>
              <w:bottom w:val="single" w:sz="4" w:space="0" w:color="auto"/>
              <w:right w:val="single" w:sz="4" w:space="0" w:color="auto"/>
            </w:tcBorders>
            <w:shd w:val="clear" w:color="auto" w:fill="auto"/>
            <w:vAlign w:val="bottom"/>
          </w:tcPr>
          <w:p w14:paraId="26071B07"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-0.83%</w:t>
            </w:r>
          </w:p>
        </w:tc>
        <w:tc>
          <w:tcPr>
            <w:tcW w:w="739" w:type="dxa"/>
            <w:tcBorders>
              <w:top w:val="nil"/>
              <w:left w:val="single" w:sz="4" w:space="0" w:color="auto"/>
              <w:bottom w:val="single" w:sz="4" w:space="0" w:color="auto"/>
              <w:right w:val="single" w:sz="4" w:space="0" w:color="auto"/>
            </w:tcBorders>
            <w:shd w:val="clear" w:color="auto" w:fill="auto"/>
            <w:vAlign w:val="bottom"/>
            <w:hideMark/>
          </w:tcPr>
          <w:p w14:paraId="79A4AC16"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
                <w:color w:val="000000"/>
                <w:sz w:val="20"/>
                <w:szCs w:val="20"/>
              </w:rPr>
            </w:pPr>
            <w:r w:rsidRPr="001A131A">
              <w:rPr>
                <w:rFonts w:ascii="Times New Roman" w:hAnsi="Times New Roman" w:cs="Times New Roman"/>
                <w:b/>
                <w:color w:val="000000"/>
                <w:sz w:val="20"/>
                <w:szCs w:val="20"/>
              </w:rPr>
              <w:t>-1.47%</w:t>
            </w:r>
          </w:p>
        </w:tc>
        <w:tc>
          <w:tcPr>
            <w:tcW w:w="2611" w:type="dxa"/>
            <w:tcBorders>
              <w:top w:val="single" w:sz="6" w:space="0" w:color="auto"/>
              <w:left w:val="single" w:sz="12" w:space="0" w:color="auto"/>
              <w:bottom w:val="single" w:sz="6" w:space="0" w:color="auto"/>
              <w:right w:val="nil"/>
            </w:tcBorders>
            <w:hideMark/>
          </w:tcPr>
          <w:p w14:paraId="3D6AD24F"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DP World Ltd GMTN- </w:t>
            </w:r>
            <w:proofErr w:type="spellStart"/>
            <w:r w:rsidRPr="001A131A">
              <w:rPr>
                <w:rFonts w:ascii="Times New Roman" w:eastAsia="Calibri" w:hAnsi="Times New Roman" w:cs="Times New Roman"/>
                <w:color w:val="000000"/>
                <w:sz w:val="20"/>
                <w:szCs w:val="20"/>
              </w:rPr>
              <w:t>RegS</w:t>
            </w:r>
            <w:proofErr w:type="spellEnd"/>
          </w:p>
        </w:tc>
        <w:tc>
          <w:tcPr>
            <w:tcW w:w="791" w:type="dxa"/>
            <w:tcBorders>
              <w:top w:val="nil"/>
              <w:left w:val="single" w:sz="4" w:space="0" w:color="auto"/>
              <w:bottom w:val="single" w:sz="4" w:space="0" w:color="auto"/>
              <w:right w:val="single" w:sz="4" w:space="0" w:color="auto"/>
            </w:tcBorders>
            <w:shd w:val="clear" w:color="auto" w:fill="auto"/>
            <w:vAlign w:val="bottom"/>
          </w:tcPr>
          <w:p w14:paraId="46130687"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-0.32%</w:t>
            </w:r>
          </w:p>
        </w:tc>
        <w:tc>
          <w:tcPr>
            <w:tcW w:w="851" w:type="dxa"/>
            <w:tcBorders>
              <w:top w:val="nil"/>
              <w:left w:val="single" w:sz="4" w:space="0" w:color="auto"/>
              <w:bottom w:val="single" w:sz="4" w:space="0" w:color="auto"/>
              <w:right w:val="single" w:sz="4" w:space="0" w:color="auto"/>
            </w:tcBorders>
            <w:shd w:val="clear" w:color="auto" w:fill="auto"/>
            <w:vAlign w:val="bottom"/>
            <w:hideMark/>
          </w:tcPr>
          <w:p w14:paraId="62EE3D1C"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-0.45%</w:t>
            </w:r>
          </w:p>
        </w:tc>
      </w:tr>
      <w:tr w:rsidR="00A755F5" w:rsidRPr="001A131A" w14:paraId="78F2661F" w14:textId="77777777" w:rsidTr="00A755F5">
        <w:trPr>
          <w:trHeight w:val="256"/>
          <w:jc w:val="center"/>
        </w:trPr>
        <w:tc>
          <w:tcPr>
            <w:tcW w:w="2679" w:type="dxa"/>
            <w:tcBorders>
              <w:top w:val="single" w:sz="6" w:space="0" w:color="auto"/>
              <w:left w:val="single" w:sz="12" w:space="0" w:color="auto"/>
              <w:bottom w:val="single" w:sz="6" w:space="0" w:color="auto"/>
              <w:right w:val="nil"/>
            </w:tcBorders>
            <w:hideMark/>
          </w:tcPr>
          <w:p w14:paraId="0FB810BE" w14:textId="317E51C3"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DIB Tier 1 </w:t>
            </w:r>
            <w:r w:rsidR="000F4C35" w:rsidRPr="001A131A">
              <w:rPr>
                <w:rFonts w:ascii="Times New Roman" w:eastAsia="Calibri" w:hAnsi="Times New Roman" w:cs="Times New Roman"/>
                <w:color w:val="000000"/>
                <w:sz w:val="20"/>
                <w:szCs w:val="20"/>
              </w:rPr>
              <w:t>Sukuk</w:t>
            </w:r>
            <w:r w:rsidRPr="001A131A">
              <w:rPr>
                <w:rFonts w:ascii="Times New Roman" w:eastAsia="Calibri" w:hAnsi="Times New Roman" w:cs="Times New Roman"/>
                <w:color w:val="000000"/>
                <w:sz w:val="20"/>
                <w:szCs w:val="20"/>
              </w:rPr>
              <w:t xml:space="preserve"> 2 Ltd </w:t>
            </w:r>
          </w:p>
        </w:tc>
        <w:tc>
          <w:tcPr>
            <w:tcW w:w="850" w:type="dxa"/>
            <w:tcBorders>
              <w:top w:val="nil"/>
              <w:left w:val="single" w:sz="4" w:space="0" w:color="auto"/>
              <w:bottom w:val="single" w:sz="4" w:space="0" w:color="auto"/>
              <w:right w:val="single" w:sz="4" w:space="0" w:color="auto"/>
            </w:tcBorders>
            <w:shd w:val="clear" w:color="auto" w:fill="auto"/>
            <w:vAlign w:val="bottom"/>
          </w:tcPr>
          <w:p w14:paraId="2366FA67"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-1.05%</w:t>
            </w:r>
          </w:p>
        </w:tc>
        <w:tc>
          <w:tcPr>
            <w:tcW w:w="739" w:type="dxa"/>
            <w:tcBorders>
              <w:top w:val="nil"/>
              <w:left w:val="single" w:sz="4" w:space="0" w:color="auto"/>
              <w:bottom w:val="single" w:sz="4" w:space="0" w:color="auto"/>
              <w:right w:val="single" w:sz="4" w:space="0" w:color="auto"/>
            </w:tcBorders>
            <w:shd w:val="clear" w:color="auto" w:fill="auto"/>
            <w:vAlign w:val="bottom"/>
            <w:hideMark/>
          </w:tcPr>
          <w:p w14:paraId="40A10FCB"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-1.44%</w:t>
            </w:r>
          </w:p>
        </w:tc>
        <w:tc>
          <w:tcPr>
            <w:tcW w:w="2611" w:type="dxa"/>
            <w:tcBorders>
              <w:top w:val="single" w:sz="6" w:space="0" w:color="auto"/>
              <w:left w:val="single" w:sz="12" w:space="0" w:color="auto"/>
              <w:bottom w:val="single" w:sz="6" w:space="0" w:color="auto"/>
              <w:right w:val="nil"/>
            </w:tcBorders>
            <w:hideMark/>
          </w:tcPr>
          <w:p w14:paraId="7DE7B86F"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DP World Ltd- 144A</w:t>
            </w:r>
          </w:p>
        </w:tc>
        <w:tc>
          <w:tcPr>
            <w:tcW w:w="791" w:type="dxa"/>
            <w:tcBorders>
              <w:top w:val="nil"/>
              <w:left w:val="single" w:sz="4" w:space="0" w:color="auto"/>
              <w:bottom w:val="single" w:sz="4" w:space="0" w:color="auto"/>
              <w:right w:val="single" w:sz="4" w:space="0" w:color="auto"/>
            </w:tcBorders>
            <w:shd w:val="clear" w:color="auto" w:fill="auto"/>
            <w:vAlign w:val="bottom"/>
          </w:tcPr>
          <w:p w14:paraId="3D9B646C"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-0.21%</w:t>
            </w:r>
          </w:p>
        </w:tc>
        <w:tc>
          <w:tcPr>
            <w:tcW w:w="851" w:type="dxa"/>
            <w:tcBorders>
              <w:top w:val="nil"/>
              <w:left w:val="single" w:sz="4" w:space="0" w:color="auto"/>
              <w:bottom w:val="single" w:sz="4" w:space="0" w:color="auto"/>
              <w:right w:val="single" w:sz="4" w:space="0" w:color="auto"/>
            </w:tcBorders>
            <w:shd w:val="clear" w:color="auto" w:fill="auto"/>
            <w:vAlign w:val="bottom"/>
            <w:hideMark/>
          </w:tcPr>
          <w:p w14:paraId="0D6864DF"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-0.57%</w:t>
            </w:r>
          </w:p>
        </w:tc>
      </w:tr>
      <w:tr w:rsidR="00A755F5" w:rsidRPr="001A131A" w14:paraId="41F3F341" w14:textId="77777777" w:rsidTr="00A755F5">
        <w:trPr>
          <w:trHeight w:val="256"/>
          <w:jc w:val="center"/>
        </w:trPr>
        <w:tc>
          <w:tcPr>
            <w:tcW w:w="2679" w:type="dxa"/>
            <w:tcBorders>
              <w:top w:val="single" w:sz="6" w:space="0" w:color="auto"/>
              <w:left w:val="single" w:sz="12" w:space="0" w:color="auto"/>
              <w:bottom w:val="single" w:sz="6" w:space="0" w:color="auto"/>
              <w:right w:val="nil"/>
            </w:tcBorders>
            <w:hideMark/>
          </w:tcPr>
          <w:p w14:paraId="0644AC6D" w14:textId="4352BC30"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DIP </w:t>
            </w:r>
            <w:r w:rsidR="000F4C35" w:rsidRPr="001A131A">
              <w:rPr>
                <w:rFonts w:ascii="Times New Roman" w:eastAsia="Calibri" w:hAnsi="Times New Roman" w:cs="Times New Roman"/>
                <w:color w:val="000000"/>
                <w:sz w:val="20"/>
                <w:szCs w:val="20"/>
              </w:rPr>
              <w:t>Sukuk</w:t>
            </w:r>
            <w:r w:rsidRPr="001A131A">
              <w:rPr>
                <w:rFonts w:ascii="Times New Roman" w:eastAsia="Calibri" w:hAnsi="Times New Roman" w:cs="Times New Roman"/>
                <w:color w:val="000000"/>
                <w:sz w:val="20"/>
                <w:szCs w:val="20"/>
              </w:rPr>
              <w:t xml:space="preserve"> Ltd </w:t>
            </w:r>
          </w:p>
        </w:tc>
        <w:tc>
          <w:tcPr>
            <w:tcW w:w="850" w:type="dxa"/>
            <w:tcBorders>
              <w:top w:val="nil"/>
              <w:left w:val="single" w:sz="4" w:space="0" w:color="auto"/>
              <w:bottom w:val="single" w:sz="4" w:space="0" w:color="auto"/>
              <w:right w:val="single" w:sz="4" w:space="0" w:color="auto"/>
            </w:tcBorders>
            <w:shd w:val="clear" w:color="auto" w:fill="auto"/>
            <w:vAlign w:val="bottom"/>
          </w:tcPr>
          <w:p w14:paraId="13977A23"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-0.33%</w:t>
            </w:r>
          </w:p>
        </w:tc>
        <w:tc>
          <w:tcPr>
            <w:tcW w:w="739" w:type="dxa"/>
            <w:tcBorders>
              <w:top w:val="nil"/>
              <w:left w:val="single" w:sz="4" w:space="0" w:color="auto"/>
              <w:bottom w:val="single" w:sz="4" w:space="0" w:color="auto"/>
              <w:right w:val="single" w:sz="4" w:space="0" w:color="auto"/>
            </w:tcBorders>
            <w:shd w:val="clear" w:color="auto" w:fill="auto"/>
            <w:vAlign w:val="bottom"/>
            <w:hideMark/>
          </w:tcPr>
          <w:p w14:paraId="35354E75"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-0.28%</w:t>
            </w:r>
          </w:p>
        </w:tc>
        <w:tc>
          <w:tcPr>
            <w:tcW w:w="2611" w:type="dxa"/>
            <w:tcBorders>
              <w:top w:val="single" w:sz="6" w:space="0" w:color="auto"/>
              <w:left w:val="single" w:sz="12" w:space="0" w:color="auto"/>
              <w:bottom w:val="single" w:sz="6" w:space="0" w:color="auto"/>
              <w:right w:val="nil"/>
            </w:tcBorders>
            <w:hideMark/>
          </w:tcPr>
          <w:p w14:paraId="590FABC1"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Dubai Holding C.O. Ltd </w:t>
            </w:r>
          </w:p>
        </w:tc>
        <w:tc>
          <w:tcPr>
            <w:tcW w:w="791" w:type="dxa"/>
            <w:tcBorders>
              <w:top w:val="nil"/>
              <w:left w:val="single" w:sz="4" w:space="0" w:color="auto"/>
              <w:bottom w:val="single" w:sz="4" w:space="0" w:color="auto"/>
              <w:right w:val="single" w:sz="4" w:space="0" w:color="auto"/>
            </w:tcBorders>
            <w:shd w:val="clear" w:color="auto" w:fill="auto"/>
            <w:vAlign w:val="bottom"/>
          </w:tcPr>
          <w:p w14:paraId="493CEF5E"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-0.47%</w:t>
            </w:r>
          </w:p>
        </w:tc>
        <w:tc>
          <w:tcPr>
            <w:tcW w:w="851" w:type="dxa"/>
            <w:tcBorders>
              <w:top w:val="nil"/>
              <w:left w:val="single" w:sz="4" w:space="0" w:color="auto"/>
              <w:bottom w:val="single" w:sz="4" w:space="0" w:color="auto"/>
              <w:right w:val="single" w:sz="4" w:space="0" w:color="auto"/>
            </w:tcBorders>
            <w:shd w:val="clear" w:color="auto" w:fill="auto"/>
            <w:vAlign w:val="bottom"/>
            <w:hideMark/>
          </w:tcPr>
          <w:p w14:paraId="41B7C456"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-0.67%</w:t>
            </w:r>
          </w:p>
        </w:tc>
      </w:tr>
      <w:tr w:rsidR="00A755F5" w:rsidRPr="001A131A" w14:paraId="75EB562C" w14:textId="77777777" w:rsidTr="00A755F5">
        <w:trPr>
          <w:trHeight w:val="256"/>
          <w:jc w:val="center"/>
        </w:trPr>
        <w:tc>
          <w:tcPr>
            <w:tcW w:w="2679" w:type="dxa"/>
            <w:tcBorders>
              <w:top w:val="single" w:sz="6" w:space="0" w:color="auto"/>
              <w:left w:val="single" w:sz="12" w:space="0" w:color="auto"/>
              <w:bottom w:val="single" w:sz="6" w:space="0" w:color="auto"/>
              <w:right w:val="nil"/>
            </w:tcBorders>
            <w:hideMark/>
          </w:tcPr>
          <w:p w14:paraId="46C7E08D" w14:textId="1EEB7A2B"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DP World </w:t>
            </w:r>
            <w:r w:rsidR="000F4C35" w:rsidRPr="001A131A">
              <w:rPr>
                <w:rFonts w:ascii="Times New Roman" w:eastAsia="Calibri" w:hAnsi="Times New Roman" w:cs="Times New Roman"/>
                <w:color w:val="000000"/>
                <w:sz w:val="20"/>
                <w:szCs w:val="20"/>
              </w:rPr>
              <w:t>Sukuk</w:t>
            </w:r>
            <w:r w:rsidRPr="001A131A">
              <w:rPr>
                <w:rFonts w:ascii="Times New Roman" w:eastAsia="Calibri" w:hAnsi="Times New Roman" w:cs="Times New Roman"/>
                <w:color w:val="000000"/>
                <w:sz w:val="20"/>
                <w:szCs w:val="20"/>
              </w:rPr>
              <w:t xml:space="preserve"> Ltd </w:t>
            </w:r>
          </w:p>
        </w:tc>
        <w:tc>
          <w:tcPr>
            <w:tcW w:w="850" w:type="dxa"/>
            <w:tcBorders>
              <w:top w:val="nil"/>
              <w:left w:val="single" w:sz="4" w:space="0" w:color="auto"/>
              <w:bottom w:val="single" w:sz="4" w:space="0" w:color="auto"/>
              <w:right w:val="single" w:sz="4" w:space="0" w:color="auto"/>
            </w:tcBorders>
            <w:shd w:val="clear" w:color="auto" w:fill="auto"/>
            <w:vAlign w:val="bottom"/>
          </w:tcPr>
          <w:p w14:paraId="7CFE5630"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
                <w:color w:val="000000"/>
                <w:sz w:val="20"/>
                <w:szCs w:val="20"/>
              </w:rPr>
            </w:pPr>
            <w:r w:rsidRPr="001A131A">
              <w:rPr>
                <w:rFonts w:ascii="Times New Roman" w:hAnsi="Times New Roman" w:cs="Times New Roman"/>
                <w:color w:val="000000"/>
                <w:sz w:val="20"/>
                <w:szCs w:val="20"/>
              </w:rPr>
              <w:t>-0.22%</w:t>
            </w:r>
          </w:p>
        </w:tc>
        <w:tc>
          <w:tcPr>
            <w:tcW w:w="739" w:type="dxa"/>
            <w:tcBorders>
              <w:top w:val="nil"/>
              <w:left w:val="single" w:sz="4" w:space="0" w:color="auto"/>
              <w:bottom w:val="single" w:sz="4" w:space="0" w:color="auto"/>
              <w:right w:val="single" w:sz="4" w:space="0" w:color="auto"/>
            </w:tcBorders>
            <w:shd w:val="clear" w:color="auto" w:fill="auto"/>
            <w:vAlign w:val="bottom"/>
            <w:hideMark/>
          </w:tcPr>
          <w:p w14:paraId="443D6EE4"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
                <w:color w:val="000000"/>
                <w:sz w:val="20"/>
                <w:szCs w:val="20"/>
              </w:rPr>
            </w:pPr>
            <w:r w:rsidRPr="001A131A">
              <w:rPr>
                <w:rFonts w:ascii="Times New Roman" w:hAnsi="Times New Roman" w:cs="Times New Roman"/>
                <w:color w:val="000000"/>
                <w:sz w:val="20"/>
                <w:szCs w:val="20"/>
              </w:rPr>
              <w:t>-0.55%</w:t>
            </w:r>
          </w:p>
        </w:tc>
        <w:tc>
          <w:tcPr>
            <w:tcW w:w="2611" w:type="dxa"/>
            <w:tcBorders>
              <w:top w:val="single" w:sz="6" w:space="0" w:color="auto"/>
              <w:left w:val="single" w:sz="12" w:space="0" w:color="auto"/>
              <w:bottom w:val="single" w:sz="6" w:space="0" w:color="auto"/>
              <w:right w:val="nil"/>
            </w:tcBorders>
            <w:hideMark/>
          </w:tcPr>
          <w:p w14:paraId="03D3F99F"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Emirates NBD PJSC2015 </w:t>
            </w:r>
          </w:p>
        </w:tc>
        <w:tc>
          <w:tcPr>
            <w:tcW w:w="791" w:type="dxa"/>
            <w:tcBorders>
              <w:top w:val="nil"/>
              <w:left w:val="single" w:sz="4" w:space="0" w:color="auto"/>
              <w:bottom w:val="single" w:sz="4" w:space="0" w:color="auto"/>
              <w:right w:val="single" w:sz="4" w:space="0" w:color="auto"/>
            </w:tcBorders>
            <w:shd w:val="clear" w:color="auto" w:fill="auto"/>
            <w:vAlign w:val="bottom"/>
          </w:tcPr>
          <w:p w14:paraId="761C059A"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-0.30%</w:t>
            </w:r>
          </w:p>
        </w:tc>
        <w:tc>
          <w:tcPr>
            <w:tcW w:w="851" w:type="dxa"/>
            <w:tcBorders>
              <w:top w:val="nil"/>
              <w:left w:val="single" w:sz="4" w:space="0" w:color="auto"/>
              <w:bottom w:val="single" w:sz="4" w:space="0" w:color="auto"/>
              <w:right w:val="single" w:sz="4" w:space="0" w:color="auto"/>
            </w:tcBorders>
            <w:shd w:val="clear" w:color="auto" w:fill="auto"/>
            <w:vAlign w:val="bottom"/>
            <w:hideMark/>
          </w:tcPr>
          <w:p w14:paraId="2C0FD1AB"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-0.34%</w:t>
            </w:r>
          </w:p>
        </w:tc>
      </w:tr>
      <w:tr w:rsidR="00A755F5" w:rsidRPr="001A131A" w14:paraId="6F1AC09F" w14:textId="77777777" w:rsidTr="00A755F5">
        <w:trPr>
          <w:trHeight w:val="256"/>
          <w:jc w:val="center"/>
        </w:trPr>
        <w:tc>
          <w:tcPr>
            <w:tcW w:w="2679" w:type="dxa"/>
            <w:tcBorders>
              <w:top w:val="single" w:sz="6" w:space="0" w:color="auto"/>
              <w:left w:val="single" w:sz="12" w:space="0" w:color="auto"/>
              <w:bottom w:val="single" w:sz="6" w:space="0" w:color="auto"/>
              <w:right w:val="nil"/>
            </w:tcBorders>
            <w:hideMark/>
          </w:tcPr>
          <w:p w14:paraId="6055DA02" w14:textId="6EB9E8C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EMG </w:t>
            </w:r>
            <w:r w:rsidR="000F4C35" w:rsidRPr="001A131A">
              <w:rPr>
                <w:rFonts w:ascii="Times New Roman" w:eastAsia="Calibri" w:hAnsi="Times New Roman" w:cs="Times New Roman"/>
                <w:color w:val="000000"/>
                <w:sz w:val="20"/>
                <w:szCs w:val="20"/>
              </w:rPr>
              <w:t>Sukuk</w:t>
            </w:r>
            <w:r w:rsidRPr="001A131A">
              <w:rPr>
                <w:rFonts w:ascii="Times New Roman" w:eastAsia="Calibri" w:hAnsi="Times New Roman" w:cs="Times New Roman"/>
                <w:color w:val="000000"/>
                <w:sz w:val="20"/>
                <w:szCs w:val="20"/>
              </w:rPr>
              <w:t xml:space="preserve"> Limited </w:t>
            </w:r>
          </w:p>
        </w:tc>
        <w:tc>
          <w:tcPr>
            <w:tcW w:w="850" w:type="dxa"/>
            <w:tcBorders>
              <w:top w:val="nil"/>
              <w:left w:val="single" w:sz="4" w:space="0" w:color="auto"/>
              <w:bottom w:val="single" w:sz="4" w:space="0" w:color="auto"/>
              <w:right w:val="single" w:sz="4" w:space="0" w:color="auto"/>
            </w:tcBorders>
            <w:shd w:val="clear" w:color="auto" w:fill="auto"/>
            <w:vAlign w:val="bottom"/>
          </w:tcPr>
          <w:p w14:paraId="58995AAA"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
                <w:color w:val="000000"/>
                <w:sz w:val="20"/>
                <w:szCs w:val="20"/>
              </w:rPr>
            </w:pPr>
            <w:r w:rsidRPr="001A131A">
              <w:rPr>
                <w:rFonts w:ascii="Times New Roman" w:hAnsi="Times New Roman" w:cs="Times New Roman"/>
                <w:b/>
                <w:color w:val="000000"/>
                <w:sz w:val="20"/>
                <w:szCs w:val="20"/>
              </w:rPr>
              <w:t>-1.34%</w:t>
            </w:r>
          </w:p>
        </w:tc>
        <w:tc>
          <w:tcPr>
            <w:tcW w:w="739" w:type="dxa"/>
            <w:tcBorders>
              <w:top w:val="nil"/>
              <w:left w:val="single" w:sz="4" w:space="0" w:color="auto"/>
              <w:bottom w:val="single" w:sz="4" w:space="0" w:color="auto"/>
              <w:right w:val="single" w:sz="4" w:space="0" w:color="auto"/>
            </w:tcBorders>
            <w:shd w:val="clear" w:color="auto" w:fill="auto"/>
            <w:vAlign w:val="bottom"/>
            <w:hideMark/>
          </w:tcPr>
          <w:p w14:paraId="0E3800BB"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-1.37%</w:t>
            </w:r>
          </w:p>
        </w:tc>
        <w:tc>
          <w:tcPr>
            <w:tcW w:w="2611" w:type="dxa"/>
            <w:tcBorders>
              <w:top w:val="single" w:sz="6" w:space="0" w:color="auto"/>
              <w:left w:val="single" w:sz="12" w:space="0" w:color="auto"/>
              <w:bottom w:val="single" w:sz="6" w:space="0" w:color="auto"/>
              <w:right w:val="nil"/>
            </w:tcBorders>
            <w:hideMark/>
          </w:tcPr>
          <w:p w14:paraId="1580B8AA"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Emirates NBD PJSC 2015</w:t>
            </w:r>
          </w:p>
        </w:tc>
        <w:tc>
          <w:tcPr>
            <w:tcW w:w="791" w:type="dxa"/>
            <w:tcBorders>
              <w:top w:val="nil"/>
              <w:left w:val="single" w:sz="4" w:space="0" w:color="auto"/>
              <w:bottom w:val="single" w:sz="4" w:space="0" w:color="auto"/>
              <w:right w:val="single" w:sz="4" w:space="0" w:color="auto"/>
            </w:tcBorders>
            <w:shd w:val="clear" w:color="auto" w:fill="auto"/>
            <w:vAlign w:val="bottom"/>
          </w:tcPr>
          <w:p w14:paraId="0639041D"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-0.18%</w:t>
            </w:r>
          </w:p>
        </w:tc>
        <w:tc>
          <w:tcPr>
            <w:tcW w:w="851" w:type="dxa"/>
            <w:tcBorders>
              <w:top w:val="nil"/>
              <w:left w:val="single" w:sz="4" w:space="0" w:color="auto"/>
              <w:bottom w:val="single" w:sz="4" w:space="0" w:color="auto"/>
              <w:right w:val="single" w:sz="4" w:space="0" w:color="auto"/>
            </w:tcBorders>
            <w:shd w:val="clear" w:color="auto" w:fill="auto"/>
            <w:vAlign w:val="bottom"/>
            <w:hideMark/>
          </w:tcPr>
          <w:p w14:paraId="545F8268"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-0.31%</w:t>
            </w:r>
          </w:p>
        </w:tc>
      </w:tr>
      <w:tr w:rsidR="00A755F5" w:rsidRPr="001A131A" w14:paraId="4ACBA21E" w14:textId="77777777" w:rsidTr="00A755F5">
        <w:trPr>
          <w:trHeight w:val="256"/>
          <w:jc w:val="center"/>
        </w:trPr>
        <w:tc>
          <w:tcPr>
            <w:tcW w:w="2679" w:type="dxa"/>
            <w:tcBorders>
              <w:top w:val="single" w:sz="6" w:space="0" w:color="auto"/>
              <w:left w:val="single" w:sz="12" w:space="0" w:color="auto"/>
              <w:bottom w:val="single" w:sz="6" w:space="0" w:color="auto"/>
              <w:right w:val="nil"/>
            </w:tcBorders>
            <w:hideMark/>
          </w:tcPr>
          <w:p w14:paraId="705C82BA" w14:textId="1A534BC1"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ICD </w:t>
            </w:r>
            <w:r w:rsidR="000F4C35" w:rsidRPr="001A131A">
              <w:rPr>
                <w:rFonts w:ascii="Times New Roman" w:eastAsia="Calibri" w:hAnsi="Times New Roman" w:cs="Times New Roman"/>
                <w:color w:val="000000"/>
                <w:sz w:val="20"/>
                <w:szCs w:val="20"/>
              </w:rPr>
              <w:t>Sukuk</w:t>
            </w:r>
            <w:r w:rsidRPr="001A131A">
              <w:rPr>
                <w:rFonts w:ascii="Times New Roman" w:eastAsia="Calibri" w:hAnsi="Times New Roman" w:cs="Times New Roman"/>
                <w:color w:val="000000"/>
                <w:sz w:val="20"/>
                <w:szCs w:val="20"/>
              </w:rPr>
              <w:t xml:space="preserve"> Co. Ltd </w:t>
            </w:r>
          </w:p>
        </w:tc>
        <w:tc>
          <w:tcPr>
            <w:tcW w:w="850" w:type="dxa"/>
            <w:tcBorders>
              <w:top w:val="nil"/>
              <w:left w:val="single" w:sz="4" w:space="0" w:color="auto"/>
              <w:bottom w:val="single" w:sz="4" w:space="0" w:color="auto"/>
              <w:right w:val="single" w:sz="4" w:space="0" w:color="auto"/>
            </w:tcBorders>
            <w:shd w:val="clear" w:color="auto" w:fill="auto"/>
            <w:vAlign w:val="bottom"/>
          </w:tcPr>
          <w:p w14:paraId="28101A39"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-0.81%</w:t>
            </w:r>
          </w:p>
        </w:tc>
        <w:tc>
          <w:tcPr>
            <w:tcW w:w="739" w:type="dxa"/>
            <w:tcBorders>
              <w:top w:val="nil"/>
              <w:left w:val="single" w:sz="4" w:space="0" w:color="auto"/>
              <w:bottom w:val="single" w:sz="4" w:space="0" w:color="auto"/>
              <w:right w:val="single" w:sz="4" w:space="0" w:color="auto"/>
            </w:tcBorders>
            <w:shd w:val="clear" w:color="auto" w:fill="auto"/>
            <w:vAlign w:val="bottom"/>
            <w:hideMark/>
          </w:tcPr>
          <w:p w14:paraId="0CCAD1E7"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-1.18%</w:t>
            </w:r>
          </w:p>
        </w:tc>
        <w:tc>
          <w:tcPr>
            <w:tcW w:w="2611" w:type="dxa"/>
            <w:tcBorders>
              <w:top w:val="single" w:sz="6" w:space="0" w:color="auto"/>
              <w:left w:val="single" w:sz="12" w:space="0" w:color="auto"/>
              <w:bottom w:val="single" w:sz="6" w:space="0" w:color="auto"/>
              <w:right w:val="nil"/>
            </w:tcBorders>
            <w:hideMark/>
          </w:tcPr>
          <w:p w14:paraId="5BE3528C"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Emirates NBD PJSC 2014</w:t>
            </w:r>
          </w:p>
        </w:tc>
        <w:tc>
          <w:tcPr>
            <w:tcW w:w="791" w:type="dxa"/>
            <w:tcBorders>
              <w:top w:val="nil"/>
              <w:left w:val="single" w:sz="4" w:space="0" w:color="auto"/>
              <w:bottom w:val="single" w:sz="4" w:space="0" w:color="auto"/>
              <w:right w:val="single" w:sz="4" w:space="0" w:color="auto"/>
            </w:tcBorders>
            <w:shd w:val="clear" w:color="auto" w:fill="auto"/>
            <w:vAlign w:val="bottom"/>
          </w:tcPr>
          <w:p w14:paraId="3AE2B793"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-0.38%</w:t>
            </w:r>
          </w:p>
        </w:tc>
        <w:tc>
          <w:tcPr>
            <w:tcW w:w="851" w:type="dxa"/>
            <w:tcBorders>
              <w:top w:val="nil"/>
              <w:left w:val="single" w:sz="4" w:space="0" w:color="auto"/>
              <w:bottom w:val="single" w:sz="4" w:space="0" w:color="auto"/>
              <w:right w:val="single" w:sz="4" w:space="0" w:color="auto"/>
            </w:tcBorders>
            <w:shd w:val="clear" w:color="auto" w:fill="auto"/>
            <w:vAlign w:val="bottom"/>
            <w:hideMark/>
          </w:tcPr>
          <w:p w14:paraId="26A95FC4"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-0.43%</w:t>
            </w:r>
          </w:p>
        </w:tc>
      </w:tr>
      <w:tr w:rsidR="00A755F5" w:rsidRPr="001A131A" w14:paraId="3058FF70" w14:textId="77777777" w:rsidTr="00A755F5">
        <w:trPr>
          <w:trHeight w:val="256"/>
          <w:jc w:val="center"/>
        </w:trPr>
        <w:tc>
          <w:tcPr>
            <w:tcW w:w="2679" w:type="dxa"/>
            <w:tcBorders>
              <w:top w:val="single" w:sz="6" w:space="0" w:color="auto"/>
              <w:left w:val="single" w:sz="12" w:space="0" w:color="auto"/>
              <w:bottom w:val="single" w:sz="6" w:space="0" w:color="auto"/>
              <w:right w:val="nil"/>
            </w:tcBorders>
            <w:hideMark/>
          </w:tcPr>
          <w:p w14:paraId="0117306B"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IDB Trust Services Ltd </w:t>
            </w:r>
          </w:p>
        </w:tc>
        <w:tc>
          <w:tcPr>
            <w:tcW w:w="850" w:type="dxa"/>
            <w:tcBorders>
              <w:top w:val="nil"/>
              <w:left w:val="single" w:sz="4" w:space="0" w:color="auto"/>
              <w:bottom w:val="single" w:sz="4" w:space="0" w:color="auto"/>
              <w:right w:val="single" w:sz="4" w:space="0" w:color="auto"/>
            </w:tcBorders>
            <w:shd w:val="clear" w:color="auto" w:fill="auto"/>
            <w:vAlign w:val="bottom"/>
          </w:tcPr>
          <w:p w14:paraId="71A93257"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-0.32%</w:t>
            </w:r>
          </w:p>
        </w:tc>
        <w:tc>
          <w:tcPr>
            <w:tcW w:w="739" w:type="dxa"/>
            <w:tcBorders>
              <w:top w:val="nil"/>
              <w:left w:val="single" w:sz="4" w:space="0" w:color="auto"/>
              <w:bottom w:val="single" w:sz="4" w:space="0" w:color="auto"/>
              <w:right w:val="single" w:sz="4" w:space="0" w:color="auto"/>
            </w:tcBorders>
            <w:shd w:val="clear" w:color="auto" w:fill="auto"/>
            <w:vAlign w:val="bottom"/>
            <w:hideMark/>
          </w:tcPr>
          <w:p w14:paraId="02FD19AA"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-0.39%</w:t>
            </w:r>
          </w:p>
        </w:tc>
        <w:tc>
          <w:tcPr>
            <w:tcW w:w="2611" w:type="dxa"/>
            <w:tcBorders>
              <w:top w:val="single" w:sz="6" w:space="0" w:color="auto"/>
              <w:left w:val="single" w:sz="12" w:space="0" w:color="auto"/>
              <w:bottom w:val="single" w:sz="6" w:space="0" w:color="auto"/>
              <w:right w:val="nil"/>
            </w:tcBorders>
            <w:hideMark/>
          </w:tcPr>
          <w:p w14:paraId="42CE368B"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Emirates NBD PJSC 2013</w:t>
            </w:r>
          </w:p>
        </w:tc>
        <w:tc>
          <w:tcPr>
            <w:tcW w:w="791" w:type="dxa"/>
            <w:tcBorders>
              <w:top w:val="nil"/>
              <w:left w:val="single" w:sz="4" w:space="0" w:color="auto"/>
              <w:bottom w:val="single" w:sz="4" w:space="0" w:color="auto"/>
              <w:right w:val="single" w:sz="4" w:space="0" w:color="auto"/>
            </w:tcBorders>
            <w:shd w:val="clear" w:color="auto" w:fill="auto"/>
            <w:vAlign w:val="bottom"/>
          </w:tcPr>
          <w:p w14:paraId="7C0F5DA4"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-0.14%</w:t>
            </w:r>
          </w:p>
        </w:tc>
        <w:tc>
          <w:tcPr>
            <w:tcW w:w="851" w:type="dxa"/>
            <w:tcBorders>
              <w:top w:val="nil"/>
              <w:left w:val="single" w:sz="4" w:space="0" w:color="auto"/>
              <w:bottom w:val="single" w:sz="4" w:space="0" w:color="auto"/>
              <w:right w:val="single" w:sz="4" w:space="0" w:color="auto"/>
            </w:tcBorders>
            <w:shd w:val="clear" w:color="auto" w:fill="auto"/>
            <w:vAlign w:val="bottom"/>
            <w:hideMark/>
          </w:tcPr>
          <w:p w14:paraId="74886A0A"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-0.19%</w:t>
            </w:r>
          </w:p>
        </w:tc>
      </w:tr>
      <w:tr w:rsidR="00A755F5" w:rsidRPr="001A131A" w14:paraId="12ED8094" w14:textId="77777777" w:rsidTr="00A755F5">
        <w:trPr>
          <w:trHeight w:val="256"/>
          <w:jc w:val="center"/>
        </w:trPr>
        <w:tc>
          <w:tcPr>
            <w:tcW w:w="2679" w:type="dxa"/>
            <w:tcBorders>
              <w:top w:val="single" w:sz="6" w:space="0" w:color="auto"/>
              <w:left w:val="single" w:sz="12" w:space="0" w:color="auto"/>
              <w:bottom w:val="single" w:sz="6" w:space="0" w:color="auto"/>
              <w:right w:val="nil"/>
            </w:tcBorders>
            <w:hideMark/>
          </w:tcPr>
          <w:p w14:paraId="614C44A0"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INDONESIA III -144A</w:t>
            </w:r>
          </w:p>
        </w:tc>
        <w:tc>
          <w:tcPr>
            <w:tcW w:w="850" w:type="dxa"/>
            <w:tcBorders>
              <w:top w:val="nil"/>
              <w:left w:val="single" w:sz="4" w:space="0" w:color="auto"/>
              <w:bottom w:val="single" w:sz="4" w:space="0" w:color="auto"/>
              <w:right w:val="single" w:sz="4" w:space="0" w:color="auto"/>
            </w:tcBorders>
            <w:shd w:val="clear" w:color="auto" w:fill="auto"/>
            <w:vAlign w:val="bottom"/>
          </w:tcPr>
          <w:p w14:paraId="45F19F44"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
                <w:color w:val="000000"/>
                <w:sz w:val="20"/>
                <w:szCs w:val="20"/>
              </w:rPr>
            </w:pPr>
            <w:r w:rsidRPr="001A131A">
              <w:rPr>
                <w:rFonts w:ascii="Times New Roman" w:hAnsi="Times New Roman" w:cs="Times New Roman"/>
                <w:b/>
                <w:color w:val="000000"/>
                <w:sz w:val="20"/>
                <w:szCs w:val="20"/>
              </w:rPr>
              <w:t>-0.16%</w:t>
            </w:r>
          </w:p>
        </w:tc>
        <w:tc>
          <w:tcPr>
            <w:tcW w:w="739" w:type="dxa"/>
            <w:tcBorders>
              <w:top w:val="nil"/>
              <w:left w:val="single" w:sz="4" w:space="0" w:color="auto"/>
              <w:bottom w:val="single" w:sz="4" w:space="0" w:color="auto"/>
              <w:right w:val="single" w:sz="4" w:space="0" w:color="auto"/>
            </w:tcBorders>
            <w:shd w:val="clear" w:color="auto" w:fill="auto"/>
            <w:vAlign w:val="bottom"/>
            <w:hideMark/>
          </w:tcPr>
          <w:p w14:paraId="6177D82E"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
                <w:color w:val="000000"/>
                <w:sz w:val="20"/>
                <w:szCs w:val="20"/>
              </w:rPr>
            </w:pPr>
            <w:r w:rsidRPr="001A131A">
              <w:rPr>
                <w:rFonts w:ascii="Times New Roman" w:hAnsi="Times New Roman" w:cs="Times New Roman"/>
                <w:b/>
                <w:color w:val="000000"/>
                <w:sz w:val="20"/>
                <w:szCs w:val="20"/>
              </w:rPr>
              <w:t>-0.20%</w:t>
            </w:r>
          </w:p>
        </w:tc>
        <w:tc>
          <w:tcPr>
            <w:tcW w:w="2611" w:type="dxa"/>
            <w:tcBorders>
              <w:top w:val="single" w:sz="6" w:space="0" w:color="auto"/>
              <w:left w:val="single" w:sz="12" w:space="0" w:color="auto"/>
              <w:bottom w:val="single" w:sz="6" w:space="0" w:color="auto"/>
              <w:right w:val="nil"/>
            </w:tcBorders>
            <w:hideMark/>
          </w:tcPr>
          <w:p w14:paraId="4DAD4CCE"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Emirates NBD PJSC 2014</w:t>
            </w:r>
          </w:p>
        </w:tc>
        <w:tc>
          <w:tcPr>
            <w:tcW w:w="791" w:type="dxa"/>
            <w:tcBorders>
              <w:top w:val="nil"/>
              <w:left w:val="single" w:sz="4" w:space="0" w:color="auto"/>
              <w:bottom w:val="single" w:sz="4" w:space="0" w:color="auto"/>
              <w:right w:val="single" w:sz="4" w:space="0" w:color="auto"/>
            </w:tcBorders>
            <w:shd w:val="clear" w:color="auto" w:fill="auto"/>
            <w:vAlign w:val="bottom"/>
          </w:tcPr>
          <w:p w14:paraId="0C684A7D"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-0.11%</w:t>
            </w:r>
          </w:p>
        </w:tc>
        <w:tc>
          <w:tcPr>
            <w:tcW w:w="851" w:type="dxa"/>
            <w:tcBorders>
              <w:top w:val="nil"/>
              <w:left w:val="single" w:sz="4" w:space="0" w:color="auto"/>
              <w:bottom w:val="single" w:sz="4" w:space="0" w:color="auto"/>
              <w:right w:val="single" w:sz="4" w:space="0" w:color="auto"/>
            </w:tcBorders>
            <w:shd w:val="clear" w:color="auto" w:fill="auto"/>
            <w:vAlign w:val="bottom"/>
            <w:hideMark/>
          </w:tcPr>
          <w:p w14:paraId="17FE541C"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-0.22%</w:t>
            </w:r>
          </w:p>
        </w:tc>
      </w:tr>
      <w:tr w:rsidR="00A755F5" w:rsidRPr="001A131A" w14:paraId="3B072E62" w14:textId="77777777" w:rsidTr="00A755F5">
        <w:trPr>
          <w:trHeight w:val="256"/>
          <w:jc w:val="center"/>
        </w:trPr>
        <w:tc>
          <w:tcPr>
            <w:tcW w:w="2679" w:type="dxa"/>
            <w:tcBorders>
              <w:top w:val="single" w:sz="6" w:space="0" w:color="auto"/>
              <w:left w:val="single" w:sz="12" w:space="0" w:color="auto"/>
              <w:bottom w:val="single" w:sz="6" w:space="0" w:color="auto"/>
              <w:right w:val="nil"/>
            </w:tcBorders>
            <w:hideMark/>
          </w:tcPr>
          <w:p w14:paraId="3C6A6F67"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INDONESIA III </w:t>
            </w:r>
          </w:p>
        </w:tc>
        <w:tc>
          <w:tcPr>
            <w:tcW w:w="850" w:type="dxa"/>
            <w:tcBorders>
              <w:top w:val="nil"/>
              <w:left w:val="single" w:sz="4" w:space="0" w:color="auto"/>
              <w:bottom w:val="single" w:sz="4" w:space="0" w:color="auto"/>
              <w:right w:val="single" w:sz="4" w:space="0" w:color="auto"/>
            </w:tcBorders>
            <w:shd w:val="clear" w:color="auto" w:fill="auto"/>
            <w:vAlign w:val="bottom"/>
          </w:tcPr>
          <w:p w14:paraId="5A40A0C0"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-0.06%</w:t>
            </w:r>
          </w:p>
        </w:tc>
        <w:tc>
          <w:tcPr>
            <w:tcW w:w="739" w:type="dxa"/>
            <w:tcBorders>
              <w:top w:val="nil"/>
              <w:left w:val="single" w:sz="4" w:space="0" w:color="auto"/>
              <w:bottom w:val="single" w:sz="4" w:space="0" w:color="auto"/>
              <w:right w:val="single" w:sz="4" w:space="0" w:color="auto"/>
            </w:tcBorders>
            <w:shd w:val="clear" w:color="auto" w:fill="auto"/>
            <w:vAlign w:val="bottom"/>
            <w:hideMark/>
          </w:tcPr>
          <w:p w14:paraId="7C63D9E3"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-1.38%</w:t>
            </w:r>
          </w:p>
        </w:tc>
        <w:tc>
          <w:tcPr>
            <w:tcW w:w="2611" w:type="dxa"/>
            <w:tcBorders>
              <w:top w:val="single" w:sz="6" w:space="0" w:color="auto"/>
              <w:left w:val="single" w:sz="12" w:space="0" w:color="auto"/>
              <w:bottom w:val="single" w:sz="6" w:space="0" w:color="auto"/>
              <w:right w:val="nil"/>
            </w:tcBorders>
            <w:hideMark/>
          </w:tcPr>
          <w:p w14:paraId="1DAAC823"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Emirates NBD Tier 1 Ltd- PRP</w:t>
            </w:r>
          </w:p>
        </w:tc>
        <w:tc>
          <w:tcPr>
            <w:tcW w:w="791" w:type="dxa"/>
            <w:tcBorders>
              <w:top w:val="nil"/>
              <w:left w:val="single" w:sz="4" w:space="0" w:color="auto"/>
              <w:bottom w:val="single" w:sz="4" w:space="0" w:color="auto"/>
              <w:right w:val="single" w:sz="4" w:space="0" w:color="auto"/>
            </w:tcBorders>
            <w:shd w:val="clear" w:color="auto" w:fill="auto"/>
            <w:vAlign w:val="bottom"/>
          </w:tcPr>
          <w:p w14:paraId="3BCCA521"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-0.07%</w:t>
            </w:r>
          </w:p>
        </w:tc>
        <w:tc>
          <w:tcPr>
            <w:tcW w:w="851" w:type="dxa"/>
            <w:tcBorders>
              <w:top w:val="nil"/>
              <w:left w:val="single" w:sz="4" w:space="0" w:color="auto"/>
              <w:bottom w:val="single" w:sz="4" w:space="0" w:color="auto"/>
              <w:right w:val="single" w:sz="4" w:space="0" w:color="auto"/>
            </w:tcBorders>
            <w:shd w:val="clear" w:color="auto" w:fill="auto"/>
            <w:vAlign w:val="bottom"/>
            <w:hideMark/>
          </w:tcPr>
          <w:p w14:paraId="34E7C898"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-0.39%</w:t>
            </w:r>
          </w:p>
        </w:tc>
      </w:tr>
      <w:tr w:rsidR="00A755F5" w:rsidRPr="001A131A" w14:paraId="2E70DF32" w14:textId="77777777" w:rsidTr="00A755F5">
        <w:trPr>
          <w:trHeight w:val="256"/>
          <w:jc w:val="center"/>
        </w:trPr>
        <w:tc>
          <w:tcPr>
            <w:tcW w:w="2679" w:type="dxa"/>
            <w:tcBorders>
              <w:top w:val="single" w:sz="6" w:space="0" w:color="auto"/>
              <w:left w:val="single" w:sz="12" w:space="0" w:color="auto"/>
              <w:bottom w:val="single" w:sz="6" w:space="0" w:color="auto"/>
              <w:right w:val="nil"/>
            </w:tcBorders>
            <w:hideMark/>
          </w:tcPr>
          <w:p w14:paraId="1D8B442A" w14:textId="48A375DE"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JAFZ </w:t>
            </w:r>
            <w:r w:rsidR="000F4C35" w:rsidRPr="001A131A">
              <w:rPr>
                <w:rFonts w:ascii="Times New Roman" w:eastAsia="Calibri" w:hAnsi="Times New Roman" w:cs="Times New Roman"/>
                <w:color w:val="000000"/>
                <w:sz w:val="20"/>
                <w:szCs w:val="20"/>
              </w:rPr>
              <w:t>Sukuk</w:t>
            </w:r>
            <w:r w:rsidRPr="001A131A">
              <w:rPr>
                <w:rFonts w:ascii="Times New Roman" w:eastAsia="Calibri" w:hAnsi="Times New Roman" w:cs="Times New Roman"/>
                <w:color w:val="000000"/>
                <w:sz w:val="20"/>
                <w:szCs w:val="20"/>
              </w:rPr>
              <w:t xml:space="preserve"> Ltd </w:t>
            </w:r>
          </w:p>
        </w:tc>
        <w:tc>
          <w:tcPr>
            <w:tcW w:w="850" w:type="dxa"/>
            <w:tcBorders>
              <w:top w:val="nil"/>
              <w:left w:val="single" w:sz="4" w:space="0" w:color="auto"/>
              <w:bottom w:val="single" w:sz="4" w:space="0" w:color="auto"/>
              <w:right w:val="single" w:sz="4" w:space="0" w:color="auto"/>
            </w:tcBorders>
            <w:shd w:val="clear" w:color="auto" w:fill="auto"/>
            <w:vAlign w:val="bottom"/>
          </w:tcPr>
          <w:p w14:paraId="02C2BB94"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-0.95%</w:t>
            </w:r>
          </w:p>
        </w:tc>
        <w:tc>
          <w:tcPr>
            <w:tcW w:w="739" w:type="dxa"/>
            <w:tcBorders>
              <w:top w:val="nil"/>
              <w:left w:val="single" w:sz="4" w:space="0" w:color="auto"/>
              <w:bottom w:val="single" w:sz="4" w:space="0" w:color="auto"/>
              <w:right w:val="single" w:sz="4" w:space="0" w:color="auto"/>
            </w:tcBorders>
            <w:shd w:val="clear" w:color="auto" w:fill="auto"/>
            <w:vAlign w:val="bottom"/>
            <w:hideMark/>
          </w:tcPr>
          <w:p w14:paraId="03A2D8B6"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-1.30%</w:t>
            </w:r>
          </w:p>
        </w:tc>
        <w:tc>
          <w:tcPr>
            <w:tcW w:w="2611" w:type="dxa"/>
            <w:tcBorders>
              <w:top w:val="single" w:sz="6" w:space="0" w:color="auto"/>
              <w:left w:val="single" w:sz="12" w:space="0" w:color="auto"/>
              <w:bottom w:val="single" w:sz="6" w:space="0" w:color="auto"/>
              <w:right w:val="nil"/>
            </w:tcBorders>
            <w:hideMark/>
          </w:tcPr>
          <w:p w14:paraId="19607D96"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ICD Funding Ltd </w:t>
            </w:r>
          </w:p>
        </w:tc>
        <w:tc>
          <w:tcPr>
            <w:tcW w:w="791" w:type="dxa"/>
            <w:tcBorders>
              <w:top w:val="nil"/>
              <w:left w:val="single" w:sz="4" w:space="0" w:color="auto"/>
              <w:bottom w:val="single" w:sz="4" w:space="0" w:color="auto"/>
              <w:right w:val="single" w:sz="4" w:space="0" w:color="auto"/>
            </w:tcBorders>
            <w:shd w:val="clear" w:color="auto" w:fill="auto"/>
            <w:vAlign w:val="bottom"/>
          </w:tcPr>
          <w:p w14:paraId="25BEA832"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
                <w:bCs/>
                <w:color w:val="000000"/>
                <w:sz w:val="20"/>
                <w:szCs w:val="20"/>
              </w:rPr>
            </w:pPr>
            <w:r w:rsidRPr="001A131A">
              <w:rPr>
                <w:rFonts w:ascii="Times New Roman" w:hAnsi="Times New Roman" w:cs="Times New Roman"/>
                <w:b/>
                <w:color w:val="000000"/>
                <w:sz w:val="20"/>
                <w:szCs w:val="20"/>
              </w:rPr>
              <w:t>-0.86%</w:t>
            </w:r>
          </w:p>
        </w:tc>
        <w:tc>
          <w:tcPr>
            <w:tcW w:w="851" w:type="dxa"/>
            <w:tcBorders>
              <w:top w:val="nil"/>
              <w:left w:val="single" w:sz="4" w:space="0" w:color="auto"/>
              <w:bottom w:val="single" w:sz="4" w:space="0" w:color="auto"/>
              <w:right w:val="single" w:sz="4" w:space="0" w:color="auto"/>
            </w:tcBorders>
            <w:shd w:val="clear" w:color="auto" w:fill="auto"/>
            <w:vAlign w:val="bottom"/>
            <w:hideMark/>
          </w:tcPr>
          <w:p w14:paraId="1E47400C"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
                <w:bCs/>
                <w:color w:val="000000"/>
                <w:sz w:val="20"/>
                <w:szCs w:val="20"/>
              </w:rPr>
            </w:pPr>
            <w:r w:rsidRPr="001A131A">
              <w:rPr>
                <w:rFonts w:ascii="Times New Roman" w:hAnsi="Times New Roman" w:cs="Times New Roman"/>
                <w:b/>
                <w:color w:val="000000"/>
                <w:sz w:val="20"/>
                <w:szCs w:val="20"/>
              </w:rPr>
              <w:t>-1.73%</w:t>
            </w:r>
          </w:p>
        </w:tc>
      </w:tr>
      <w:tr w:rsidR="00A755F5" w:rsidRPr="001A131A" w14:paraId="1732B899" w14:textId="77777777" w:rsidTr="00A755F5">
        <w:trPr>
          <w:trHeight w:val="256"/>
          <w:jc w:val="center"/>
        </w:trPr>
        <w:tc>
          <w:tcPr>
            <w:tcW w:w="2679" w:type="dxa"/>
            <w:tcBorders>
              <w:top w:val="single" w:sz="6" w:space="0" w:color="auto"/>
              <w:left w:val="single" w:sz="12" w:space="0" w:color="auto"/>
              <w:bottom w:val="single" w:sz="6" w:space="0" w:color="auto"/>
              <w:right w:val="nil"/>
            </w:tcBorders>
            <w:hideMark/>
          </w:tcPr>
          <w:p w14:paraId="3B2F404B" w14:textId="553182E4"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Hong Kong </w:t>
            </w:r>
            <w:r w:rsidR="000F4C35" w:rsidRPr="001A131A">
              <w:rPr>
                <w:rFonts w:ascii="Times New Roman" w:eastAsia="Calibri" w:hAnsi="Times New Roman" w:cs="Times New Roman"/>
                <w:color w:val="000000"/>
                <w:sz w:val="20"/>
                <w:szCs w:val="20"/>
              </w:rPr>
              <w:t>Sukuk</w:t>
            </w:r>
            <w:r w:rsidRPr="001A131A">
              <w:rPr>
                <w:rFonts w:ascii="Times New Roman" w:eastAsia="Calibri" w:hAnsi="Times New Roman" w:cs="Times New Roman"/>
                <w:color w:val="000000"/>
                <w:sz w:val="20"/>
                <w:szCs w:val="20"/>
              </w:rPr>
              <w:t xml:space="preserve"> Ltd </w:t>
            </w:r>
          </w:p>
        </w:tc>
        <w:tc>
          <w:tcPr>
            <w:tcW w:w="850" w:type="dxa"/>
            <w:tcBorders>
              <w:top w:val="nil"/>
              <w:left w:val="single" w:sz="4" w:space="0" w:color="auto"/>
              <w:bottom w:val="single" w:sz="4" w:space="0" w:color="auto"/>
              <w:right w:val="single" w:sz="4" w:space="0" w:color="auto"/>
            </w:tcBorders>
            <w:shd w:val="clear" w:color="auto" w:fill="auto"/>
            <w:vAlign w:val="bottom"/>
          </w:tcPr>
          <w:p w14:paraId="1EC24524"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-0.40%</w:t>
            </w:r>
          </w:p>
        </w:tc>
        <w:tc>
          <w:tcPr>
            <w:tcW w:w="739" w:type="dxa"/>
            <w:tcBorders>
              <w:top w:val="nil"/>
              <w:left w:val="single" w:sz="4" w:space="0" w:color="auto"/>
              <w:bottom w:val="single" w:sz="4" w:space="0" w:color="auto"/>
              <w:right w:val="single" w:sz="4" w:space="0" w:color="auto"/>
            </w:tcBorders>
            <w:shd w:val="clear" w:color="auto" w:fill="auto"/>
            <w:vAlign w:val="bottom"/>
            <w:hideMark/>
          </w:tcPr>
          <w:p w14:paraId="1DE3479A"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-0.39%</w:t>
            </w:r>
          </w:p>
        </w:tc>
        <w:tc>
          <w:tcPr>
            <w:tcW w:w="2611" w:type="dxa"/>
            <w:tcBorders>
              <w:top w:val="single" w:sz="6" w:space="0" w:color="auto"/>
              <w:left w:val="single" w:sz="12" w:space="0" w:color="auto"/>
              <w:bottom w:val="single" w:sz="6" w:space="0" w:color="auto"/>
              <w:right w:val="nil"/>
            </w:tcBorders>
            <w:hideMark/>
          </w:tcPr>
          <w:p w14:paraId="333EAA66"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Ind. &amp; Com. Bank of China </w:t>
            </w:r>
          </w:p>
        </w:tc>
        <w:tc>
          <w:tcPr>
            <w:tcW w:w="791" w:type="dxa"/>
            <w:tcBorders>
              <w:top w:val="nil"/>
              <w:left w:val="single" w:sz="4" w:space="0" w:color="auto"/>
              <w:bottom w:val="single" w:sz="4" w:space="0" w:color="auto"/>
              <w:right w:val="single" w:sz="4" w:space="0" w:color="auto"/>
            </w:tcBorders>
            <w:shd w:val="clear" w:color="auto" w:fill="auto"/>
            <w:vAlign w:val="bottom"/>
          </w:tcPr>
          <w:p w14:paraId="061BE187"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-0.15%</w:t>
            </w:r>
          </w:p>
        </w:tc>
        <w:tc>
          <w:tcPr>
            <w:tcW w:w="851" w:type="dxa"/>
            <w:tcBorders>
              <w:top w:val="nil"/>
              <w:left w:val="single" w:sz="4" w:space="0" w:color="auto"/>
              <w:bottom w:val="single" w:sz="4" w:space="0" w:color="auto"/>
              <w:right w:val="single" w:sz="4" w:space="0" w:color="auto"/>
            </w:tcBorders>
            <w:shd w:val="clear" w:color="auto" w:fill="auto"/>
            <w:vAlign w:val="bottom"/>
            <w:hideMark/>
          </w:tcPr>
          <w:p w14:paraId="76A79CAE"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
                <w:color w:val="000000"/>
                <w:sz w:val="20"/>
                <w:szCs w:val="20"/>
              </w:rPr>
            </w:pPr>
            <w:r w:rsidRPr="001A131A">
              <w:rPr>
                <w:rFonts w:ascii="Times New Roman" w:hAnsi="Times New Roman" w:cs="Times New Roman"/>
                <w:b/>
                <w:color w:val="000000"/>
                <w:sz w:val="20"/>
                <w:szCs w:val="20"/>
              </w:rPr>
              <w:t>-0.66%</w:t>
            </w:r>
          </w:p>
        </w:tc>
      </w:tr>
      <w:tr w:rsidR="00A755F5" w:rsidRPr="001A131A" w14:paraId="6A991F19" w14:textId="77777777" w:rsidTr="00A755F5">
        <w:trPr>
          <w:trHeight w:val="256"/>
          <w:jc w:val="center"/>
        </w:trPr>
        <w:tc>
          <w:tcPr>
            <w:tcW w:w="2679" w:type="dxa"/>
            <w:tcBorders>
              <w:top w:val="single" w:sz="6" w:space="0" w:color="auto"/>
              <w:left w:val="single" w:sz="12" w:space="0" w:color="auto"/>
              <w:bottom w:val="single" w:sz="6" w:space="0" w:color="auto"/>
              <w:right w:val="nil"/>
            </w:tcBorders>
            <w:hideMark/>
          </w:tcPr>
          <w:p w14:paraId="0FE082F4" w14:textId="64D9F5B9"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Hong Kong </w:t>
            </w:r>
            <w:r w:rsidR="000F4C35" w:rsidRPr="001A131A">
              <w:rPr>
                <w:rFonts w:ascii="Times New Roman" w:eastAsia="Calibri" w:hAnsi="Times New Roman" w:cs="Times New Roman"/>
                <w:color w:val="000000"/>
                <w:sz w:val="20"/>
                <w:szCs w:val="20"/>
              </w:rPr>
              <w:t>Sukuk</w:t>
            </w:r>
            <w:r w:rsidRPr="001A131A">
              <w:rPr>
                <w:rFonts w:ascii="Times New Roman" w:eastAsia="Calibri" w:hAnsi="Times New Roman" w:cs="Times New Roman"/>
                <w:color w:val="000000"/>
                <w:sz w:val="20"/>
                <w:szCs w:val="20"/>
              </w:rPr>
              <w:t xml:space="preserve"> Ltd -Reg S</w:t>
            </w:r>
          </w:p>
        </w:tc>
        <w:tc>
          <w:tcPr>
            <w:tcW w:w="850" w:type="dxa"/>
            <w:tcBorders>
              <w:top w:val="nil"/>
              <w:left w:val="single" w:sz="4" w:space="0" w:color="auto"/>
              <w:bottom w:val="single" w:sz="4" w:space="0" w:color="auto"/>
              <w:right w:val="single" w:sz="4" w:space="0" w:color="auto"/>
            </w:tcBorders>
            <w:shd w:val="clear" w:color="auto" w:fill="auto"/>
            <w:vAlign w:val="bottom"/>
          </w:tcPr>
          <w:p w14:paraId="330C750D"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
                <w:color w:val="000000"/>
                <w:sz w:val="20"/>
                <w:szCs w:val="20"/>
              </w:rPr>
            </w:pPr>
            <w:r w:rsidRPr="001A131A">
              <w:rPr>
                <w:rFonts w:ascii="Times New Roman" w:hAnsi="Times New Roman" w:cs="Times New Roman"/>
                <w:b/>
                <w:color w:val="000000"/>
                <w:sz w:val="20"/>
                <w:szCs w:val="20"/>
              </w:rPr>
              <w:t>-1.65%</w:t>
            </w:r>
          </w:p>
        </w:tc>
        <w:tc>
          <w:tcPr>
            <w:tcW w:w="739" w:type="dxa"/>
            <w:tcBorders>
              <w:top w:val="nil"/>
              <w:left w:val="single" w:sz="4" w:space="0" w:color="auto"/>
              <w:bottom w:val="single" w:sz="4" w:space="0" w:color="auto"/>
              <w:right w:val="single" w:sz="4" w:space="0" w:color="auto"/>
            </w:tcBorders>
            <w:shd w:val="clear" w:color="auto" w:fill="auto"/>
            <w:vAlign w:val="bottom"/>
            <w:hideMark/>
          </w:tcPr>
          <w:p w14:paraId="7FF34637"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
                <w:color w:val="000000"/>
                <w:sz w:val="20"/>
                <w:szCs w:val="20"/>
              </w:rPr>
            </w:pPr>
            <w:r w:rsidRPr="001A131A">
              <w:rPr>
                <w:rFonts w:ascii="Times New Roman" w:hAnsi="Times New Roman" w:cs="Times New Roman"/>
                <w:b/>
                <w:color w:val="000000"/>
                <w:sz w:val="20"/>
                <w:szCs w:val="20"/>
              </w:rPr>
              <w:t>-1.99%</w:t>
            </w:r>
          </w:p>
        </w:tc>
        <w:tc>
          <w:tcPr>
            <w:tcW w:w="2611" w:type="dxa"/>
            <w:tcBorders>
              <w:top w:val="single" w:sz="6" w:space="0" w:color="auto"/>
              <w:left w:val="single" w:sz="12" w:space="0" w:color="auto"/>
              <w:bottom w:val="single" w:sz="6" w:space="0" w:color="auto"/>
              <w:right w:val="nil"/>
            </w:tcBorders>
            <w:hideMark/>
          </w:tcPr>
          <w:p w14:paraId="32D9ABA9"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MAF Global Securities-14</w:t>
            </w:r>
          </w:p>
        </w:tc>
        <w:tc>
          <w:tcPr>
            <w:tcW w:w="791" w:type="dxa"/>
            <w:tcBorders>
              <w:top w:val="nil"/>
              <w:left w:val="single" w:sz="4" w:space="0" w:color="auto"/>
              <w:bottom w:val="single" w:sz="4" w:space="0" w:color="auto"/>
              <w:right w:val="single" w:sz="4" w:space="0" w:color="auto"/>
            </w:tcBorders>
            <w:shd w:val="clear" w:color="auto" w:fill="auto"/>
            <w:vAlign w:val="bottom"/>
          </w:tcPr>
          <w:p w14:paraId="639B39A6"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
                <w:color w:val="000000"/>
                <w:sz w:val="20"/>
                <w:szCs w:val="20"/>
              </w:rPr>
            </w:pPr>
            <w:r w:rsidRPr="001A131A">
              <w:rPr>
                <w:rFonts w:ascii="Times New Roman" w:hAnsi="Times New Roman" w:cs="Times New Roman"/>
                <w:b/>
                <w:color w:val="000000"/>
                <w:sz w:val="20"/>
                <w:szCs w:val="20"/>
              </w:rPr>
              <w:t>-1.18%</w:t>
            </w:r>
          </w:p>
        </w:tc>
        <w:tc>
          <w:tcPr>
            <w:tcW w:w="851" w:type="dxa"/>
            <w:tcBorders>
              <w:top w:val="nil"/>
              <w:left w:val="single" w:sz="4" w:space="0" w:color="auto"/>
              <w:bottom w:val="single" w:sz="4" w:space="0" w:color="auto"/>
              <w:right w:val="single" w:sz="4" w:space="0" w:color="auto"/>
            </w:tcBorders>
            <w:shd w:val="clear" w:color="auto" w:fill="auto"/>
            <w:vAlign w:val="bottom"/>
            <w:hideMark/>
          </w:tcPr>
          <w:p w14:paraId="54FF8B8A"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
                <w:color w:val="000000"/>
                <w:sz w:val="20"/>
                <w:szCs w:val="20"/>
              </w:rPr>
            </w:pPr>
            <w:r w:rsidRPr="001A131A">
              <w:rPr>
                <w:rFonts w:ascii="Times New Roman" w:hAnsi="Times New Roman" w:cs="Times New Roman"/>
                <w:b/>
                <w:color w:val="000000"/>
                <w:sz w:val="20"/>
                <w:szCs w:val="20"/>
              </w:rPr>
              <w:t>-1.42%</w:t>
            </w:r>
          </w:p>
        </w:tc>
      </w:tr>
      <w:tr w:rsidR="00A755F5" w:rsidRPr="001A131A" w14:paraId="18DC1826" w14:textId="77777777" w:rsidTr="00A755F5">
        <w:trPr>
          <w:trHeight w:val="256"/>
          <w:jc w:val="center"/>
        </w:trPr>
        <w:tc>
          <w:tcPr>
            <w:tcW w:w="2679" w:type="dxa"/>
            <w:tcBorders>
              <w:top w:val="single" w:sz="6" w:space="0" w:color="auto"/>
              <w:left w:val="single" w:sz="12" w:space="0" w:color="auto"/>
              <w:bottom w:val="single" w:sz="4" w:space="0" w:color="auto"/>
              <w:right w:val="nil"/>
            </w:tcBorders>
            <w:hideMark/>
          </w:tcPr>
          <w:p w14:paraId="0F4AE67D"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 xml:space="preserve">RAK Capital </w:t>
            </w:r>
          </w:p>
        </w:tc>
        <w:tc>
          <w:tcPr>
            <w:tcW w:w="850" w:type="dxa"/>
            <w:tcBorders>
              <w:top w:val="nil"/>
              <w:left w:val="single" w:sz="4" w:space="0" w:color="auto"/>
              <w:bottom w:val="nil"/>
              <w:right w:val="single" w:sz="4" w:space="0" w:color="auto"/>
            </w:tcBorders>
            <w:shd w:val="clear" w:color="auto" w:fill="auto"/>
            <w:vAlign w:val="bottom"/>
          </w:tcPr>
          <w:p w14:paraId="47790C2C"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-0.24%</w:t>
            </w:r>
          </w:p>
        </w:tc>
        <w:tc>
          <w:tcPr>
            <w:tcW w:w="739" w:type="dxa"/>
            <w:tcBorders>
              <w:top w:val="nil"/>
              <w:left w:val="single" w:sz="4" w:space="0" w:color="auto"/>
              <w:bottom w:val="nil"/>
              <w:right w:val="single" w:sz="4" w:space="0" w:color="auto"/>
            </w:tcBorders>
            <w:shd w:val="clear" w:color="auto" w:fill="auto"/>
            <w:vAlign w:val="bottom"/>
            <w:hideMark/>
          </w:tcPr>
          <w:p w14:paraId="09D4C7C2"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-0.71%</w:t>
            </w:r>
          </w:p>
        </w:tc>
        <w:tc>
          <w:tcPr>
            <w:tcW w:w="2611" w:type="dxa"/>
            <w:tcBorders>
              <w:top w:val="single" w:sz="6" w:space="0" w:color="auto"/>
              <w:left w:val="single" w:sz="12" w:space="0" w:color="auto"/>
              <w:bottom w:val="single" w:sz="12" w:space="0" w:color="auto"/>
              <w:right w:val="nil"/>
            </w:tcBorders>
            <w:hideMark/>
          </w:tcPr>
          <w:p w14:paraId="430013CD"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eastAsia="Calibri" w:hAnsi="Times New Roman" w:cs="Times New Roman"/>
                <w:color w:val="000000"/>
                <w:sz w:val="20"/>
                <w:szCs w:val="20"/>
              </w:rPr>
              <w:t>MAF Global Securities-13</w:t>
            </w:r>
          </w:p>
        </w:tc>
        <w:tc>
          <w:tcPr>
            <w:tcW w:w="791" w:type="dxa"/>
            <w:tcBorders>
              <w:top w:val="nil"/>
              <w:left w:val="single" w:sz="4" w:space="0" w:color="auto"/>
              <w:bottom w:val="nil"/>
              <w:right w:val="single" w:sz="4" w:space="0" w:color="auto"/>
            </w:tcBorders>
            <w:shd w:val="clear" w:color="auto" w:fill="auto"/>
            <w:vAlign w:val="bottom"/>
          </w:tcPr>
          <w:p w14:paraId="75046D65"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-0.29%</w:t>
            </w:r>
          </w:p>
        </w:tc>
        <w:tc>
          <w:tcPr>
            <w:tcW w:w="851" w:type="dxa"/>
            <w:tcBorders>
              <w:top w:val="nil"/>
              <w:left w:val="single" w:sz="4" w:space="0" w:color="auto"/>
              <w:bottom w:val="nil"/>
              <w:right w:val="single" w:sz="4" w:space="0" w:color="auto"/>
            </w:tcBorders>
            <w:shd w:val="clear" w:color="auto" w:fill="auto"/>
            <w:vAlign w:val="bottom"/>
            <w:hideMark/>
          </w:tcPr>
          <w:p w14:paraId="45E5B84C"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color w:val="000000"/>
                <w:sz w:val="20"/>
                <w:szCs w:val="20"/>
              </w:rPr>
            </w:pPr>
            <w:r w:rsidRPr="001A131A">
              <w:rPr>
                <w:rFonts w:ascii="Times New Roman" w:hAnsi="Times New Roman" w:cs="Times New Roman"/>
                <w:color w:val="000000"/>
                <w:sz w:val="20"/>
                <w:szCs w:val="20"/>
              </w:rPr>
              <w:t>-0.22%</w:t>
            </w:r>
          </w:p>
        </w:tc>
      </w:tr>
      <w:tr w:rsidR="00A755F5" w:rsidRPr="001A131A" w14:paraId="0150BE26" w14:textId="77777777" w:rsidTr="00A755F5">
        <w:trPr>
          <w:trHeight w:val="256"/>
          <w:jc w:val="center"/>
        </w:trPr>
        <w:tc>
          <w:tcPr>
            <w:tcW w:w="2679" w:type="dxa"/>
            <w:tcBorders>
              <w:top w:val="single" w:sz="4" w:space="0" w:color="auto"/>
              <w:left w:val="single" w:sz="12" w:space="0" w:color="auto"/>
              <w:bottom w:val="single" w:sz="12" w:space="0" w:color="auto"/>
              <w:right w:val="single" w:sz="4" w:space="0" w:color="auto"/>
            </w:tcBorders>
            <w:hideMark/>
          </w:tcPr>
          <w:p w14:paraId="4E9729CB"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
                <w:bCs/>
                <w:color w:val="000000"/>
                <w:sz w:val="20"/>
                <w:szCs w:val="20"/>
              </w:rPr>
            </w:pPr>
            <w:r w:rsidRPr="001A131A">
              <w:rPr>
                <w:rFonts w:ascii="Times New Roman" w:eastAsia="Calibri" w:hAnsi="Times New Roman" w:cs="Times New Roman"/>
                <w:b/>
                <w:bCs/>
                <w:color w:val="000000"/>
                <w:sz w:val="20"/>
                <w:szCs w:val="20"/>
              </w:rPr>
              <w:t>Average</w:t>
            </w:r>
          </w:p>
        </w:tc>
        <w:tc>
          <w:tcPr>
            <w:tcW w:w="850" w:type="dxa"/>
            <w:tcBorders>
              <w:top w:val="single" w:sz="8" w:space="0" w:color="auto"/>
              <w:left w:val="single" w:sz="4" w:space="0" w:color="auto"/>
              <w:bottom w:val="single" w:sz="8" w:space="0" w:color="auto"/>
              <w:right w:val="single" w:sz="4" w:space="0" w:color="auto"/>
            </w:tcBorders>
            <w:shd w:val="clear" w:color="auto" w:fill="auto"/>
            <w:vAlign w:val="bottom"/>
          </w:tcPr>
          <w:p w14:paraId="182B2F3C"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
                <w:bCs/>
                <w:color w:val="000000"/>
                <w:sz w:val="20"/>
                <w:szCs w:val="20"/>
              </w:rPr>
            </w:pPr>
            <w:r w:rsidRPr="001A131A">
              <w:rPr>
                <w:rFonts w:ascii="Times New Roman" w:hAnsi="Times New Roman" w:cs="Times New Roman"/>
                <w:b/>
                <w:bCs/>
                <w:color w:val="000000"/>
                <w:sz w:val="20"/>
                <w:szCs w:val="20"/>
              </w:rPr>
              <w:t>-0.68%</w:t>
            </w:r>
          </w:p>
        </w:tc>
        <w:tc>
          <w:tcPr>
            <w:tcW w:w="739"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BBFC625"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
                <w:bCs/>
                <w:color w:val="000000"/>
                <w:sz w:val="20"/>
                <w:szCs w:val="20"/>
              </w:rPr>
            </w:pPr>
            <w:r w:rsidRPr="001A131A">
              <w:rPr>
                <w:rFonts w:ascii="Times New Roman" w:hAnsi="Times New Roman" w:cs="Times New Roman"/>
                <w:b/>
                <w:bCs/>
                <w:color w:val="000000"/>
                <w:sz w:val="20"/>
                <w:szCs w:val="20"/>
              </w:rPr>
              <w:t>-1.02%</w:t>
            </w:r>
          </w:p>
        </w:tc>
        <w:tc>
          <w:tcPr>
            <w:tcW w:w="2611" w:type="dxa"/>
            <w:tcBorders>
              <w:top w:val="single" w:sz="12" w:space="0" w:color="auto"/>
              <w:left w:val="single" w:sz="12" w:space="0" w:color="auto"/>
              <w:bottom w:val="single" w:sz="12" w:space="0" w:color="auto"/>
              <w:right w:val="nil"/>
            </w:tcBorders>
            <w:hideMark/>
          </w:tcPr>
          <w:p w14:paraId="17215FDF"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
                <w:bCs/>
                <w:color w:val="000000"/>
                <w:sz w:val="20"/>
                <w:szCs w:val="20"/>
              </w:rPr>
            </w:pPr>
            <w:r w:rsidRPr="001A131A">
              <w:rPr>
                <w:rFonts w:ascii="Times New Roman" w:eastAsia="Calibri" w:hAnsi="Times New Roman" w:cs="Times New Roman"/>
                <w:b/>
                <w:bCs/>
                <w:color w:val="000000"/>
                <w:sz w:val="20"/>
                <w:szCs w:val="20"/>
              </w:rPr>
              <w:t>Average</w:t>
            </w:r>
          </w:p>
        </w:tc>
        <w:tc>
          <w:tcPr>
            <w:tcW w:w="791" w:type="dxa"/>
            <w:tcBorders>
              <w:top w:val="single" w:sz="8" w:space="0" w:color="auto"/>
              <w:left w:val="single" w:sz="4" w:space="0" w:color="auto"/>
              <w:bottom w:val="single" w:sz="8" w:space="0" w:color="auto"/>
              <w:right w:val="single" w:sz="8" w:space="0" w:color="auto"/>
            </w:tcBorders>
            <w:shd w:val="clear" w:color="auto" w:fill="auto"/>
            <w:vAlign w:val="bottom"/>
          </w:tcPr>
          <w:p w14:paraId="7667AD19"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
                <w:bCs/>
                <w:color w:val="000000"/>
                <w:sz w:val="20"/>
                <w:szCs w:val="20"/>
              </w:rPr>
            </w:pPr>
            <w:r w:rsidRPr="001A131A">
              <w:rPr>
                <w:rFonts w:ascii="Times New Roman" w:hAnsi="Times New Roman" w:cs="Times New Roman"/>
                <w:b/>
                <w:bCs/>
                <w:color w:val="000000"/>
                <w:sz w:val="20"/>
                <w:szCs w:val="20"/>
              </w:rPr>
              <w:t>-0.34%</w:t>
            </w:r>
          </w:p>
        </w:tc>
        <w:tc>
          <w:tcPr>
            <w:tcW w:w="851" w:type="dxa"/>
            <w:tcBorders>
              <w:top w:val="single" w:sz="8" w:space="0" w:color="auto"/>
              <w:left w:val="single" w:sz="4" w:space="0" w:color="auto"/>
              <w:bottom w:val="single" w:sz="8" w:space="0" w:color="auto"/>
              <w:right w:val="single" w:sz="8" w:space="0" w:color="auto"/>
            </w:tcBorders>
            <w:shd w:val="clear" w:color="auto" w:fill="auto"/>
            <w:vAlign w:val="bottom"/>
            <w:hideMark/>
          </w:tcPr>
          <w:p w14:paraId="0268960A"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
                <w:bCs/>
                <w:color w:val="000000"/>
                <w:sz w:val="20"/>
                <w:szCs w:val="20"/>
              </w:rPr>
            </w:pPr>
            <w:r w:rsidRPr="001A131A">
              <w:rPr>
                <w:rFonts w:ascii="Times New Roman" w:hAnsi="Times New Roman" w:cs="Times New Roman"/>
                <w:b/>
                <w:bCs/>
                <w:color w:val="000000"/>
                <w:sz w:val="20"/>
                <w:szCs w:val="20"/>
              </w:rPr>
              <w:t>-0.54%</w:t>
            </w:r>
          </w:p>
        </w:tc>
      </w:tr>
      <w:tr w:rsidR="00A755F5" w:rsidRPr="001A131A" w14:paraId="7283533C" w14:textId="77777777" w:rsidTr="00A755F5">
        <w:trPr>
          <w:trHeight w:val="256"/>
          <w:jc w:val="center"/>
        </w:trPr>
        <w:tc>
          <w:tcPr>
            <w:tcW w:w="8521" w:type="dxa"/>
            <w:gridSpan w:val="6"/>
            <w:tcBorders>
              <w:top w:val="single" w:sz="12" w:space="0" w:color="auto"/>
              <w:left w:val="single" w:sz="12" w:space="0" w:color="auto"/>
              <w:bottom w:val="single" w:sz="12" w:space="0" w:color="auto"/>
              <w:right w:val="single" w:sz="8" w:space="0" w:color="auto"/>
            </w:tcBorders>
          </w:tcPr>
          <w:p w14:paraId="119B7A59" w14:textId="77777777" w:rsidR="00A755F5" w:rsidRPr="001A131A" w:rsidRDefault="00A755F5" w:rsidP="00A755F5">
            <w:pPr>
              <w:autoSpaceDE w:val="0"/>
              <w:autoSpaceDN w:val="0"/>
              <w:adjustRightInd w:val="0"/>
              <w:spacing w:before="60" w:after="60" w:line="240" w:lineRule="auto"/>
              <w:jc w:val="both"/>
              <w:rPr>
                <w:rFonts w:ascii="Times New Roman" w:eastAsia="Calibri" w:hAnsi="Times New Roman" w:cs="Times New Roman"/>
                <w:bCs/>
                <w:color w:val="000000"/>
                <w:sz w:val="20"/>
                <w:szCs w:val="20"/>
              </w:rPr>
            </w:pPr>
            <w:r w:rsidRPr="001A131A">
              <w:rPr>
                <w:rFonts w:ascii="Times New Roman" w:eastAsia="Calibri" w:hAnsi="Times New Roman" w:cs="Times New Roman"/>
                <w:bCs/>
                <w:color w:val="000000"/>
                <w:sz w:val="20"/>
                <w:szCs w:val="20"/>
              </w:rPr>
              <w:t>*VaR of 10 days holding period simulations.</w:t>
            </w:r>
          </w:p>
          <w:p w14:paraId="14B157D5" w14:textId="77777777" w:rsidR="00A755F5" w:rsidRPr="001A131A" w:rsidRDefault="00A755F5" w:rsidP="00A755F5">
            <w:pPr>
              <w:autoSpaceDE w:val="0"/>
              <w:autoSpaceDN w:val="0"/>
              <w:adjustRightInd w:val="0"/>
              <w:spacing w:before="60" w:after="60" w:line="240" w:lineRule="auto"/>
              <w:jc w:val="both"/>
              <w:rPr>
                <w:rFonts w:ascii="Times New Roman" w:hAnsi="Times New Roman" w:cs="Times New Roman"/>
                <w:b/>
                <w:bCs/>
                <w:color w:val="000000"/>
                <w:sz w:val="20"/>
                <w:szCs w:val="20"/>
              </w:rPr>
            </w:pPr>
            <w:r w:rsidRPr="001A131A">
              <w:rPr>
                <w:rFonts w:ascii="Times New Roman" w:eastAsia="Calibri" w:hAnsi="Times New Roman" w:cs="Times New Roman"/>
                <w:bCs/>
                <w:color w:val="000000"/>
                <w:sz w:val="20"/>
                <w:szCs w:val="20"/>
              </w:rPr>
              <w:t>**VaR of 5000 randomly iterations.</w:t>
            </w:r>
          </w:p>
        </w:tc>
      </w:tr>
    </w:tbl>
    <w:p w14:paraId="6989986A" w14:textId="77777777" w:rsidR="009257A1" w:rsidRDefault="009257A1" w:rsidP="00A755F5">
      <w:pPr>
        <w:pStyle w:val="ListParagraph"/>
        <w:spacing w:before="120" w:after="120" w:line="360" w:lineRule="auto"/>
        <w:ind w:left="0"/>
        <w:jc w:val="both"/>
        <w:rPr>
          <w:rFonts w:ascii="Times New Roman" w:hAnsi="Times New Roman" w:cs="Times New Roman"/>
          <w:sz w:val="24"/>
          <w:szCs w:val="24"/>
        </w:rPr>
      </w:pPr>
    </w:p>
    <w:p w14:paraId="7DA54760" w14:textId="2D685495" w:rsidR="00A755F5" w:rsidRPr="00251B2C" w:rsidRDefault="00A755F5" w:rsidP="00A755F5">
      <w:pPr>
        <w:pStyle w:val="ListParagraph"/>
        <w:spacing w:before="120" w:after="120" w:line="360" w:lineRule="auto"/>
        <w:ind w:left="0"/>
        <w:jc w:val="both"/>
        <w:rPr>
          <w:rFonts w:ascii="Times New Roman" w:hAnsi="Times New Roman" w:cs="Times New Roman"/>
          <w:color w:val="000000"/>
          <w:sz w:val="24"/>
          <w:szCs w:val="24"/>
          <w:shd w:val="clear" w:color="auto" w:fill="FFFFFF"/>
        </w:rPr>
      </w:pPr>
      <w:r w:rsidRPr="00251B2C">
        <w:rPr>
          <w:rFonts w:ascii="Times New Roman" w:hAnsi="Times New Roman" w:cs="Times New Roman"/>
          <w:color w:val="000000"/>
          <w:sz w:val="24"/>
          <w:szCs w:val="24"/>
          <w:shd w:val="clear" w:color="auto" w:fill="FFFFFF"/>
        </w:rPr>
        <w:t>In the case of bonds, MAF Global Securities-14 and ICD Funding Ltd have the highest VaR Values of (-1.18% and -0.86%) in 10 da</w:t>
      </w:r>
      <w:r w:rsidR="00965789">
        <w:rPr>
          <w:rFonts w:ascii="Times New Roman" w:hAnsi="Times New Roman" w:cs="Times New Roman"/>
          <w:color w:val="000000"/>
          <w:sz w:val="24"/>
          <w:szCs w:val="24"/>
          <w:shd w:val="clear" w:color="auto" w:fill="FFFFFF"/>
        </w:rPr>
        <w:t>y</w:t>
      </w:r>
      <w:r w:rsidRPr="00251B2C">
        <w:rPr>
          <w:rFonts w:ascii="Times New Roman" w:hAnsi="Times New Roman" w:cs="Times New Roman"/>
          <w:color w:val="000000"/>
          <w:sz w:val="24"/>
          <w:szCs w:val="24"/>
          <w:shd w:val="clear" w:color="auto" w:fill="FFFFFF"/>
        </w:rPr>
        <w:t>s</w:t>
      </w:r>
      <w:r w:rsidR="001C347C">
        <w:rPr>
          <w:rFonts w:ascii="Times New Roman" w:hAnsi="Times New Roman" w:cs="Times New Roman"/>
          <w:color w:val="000000"/>
          <w:sz w:val="24"/>
          <w:szCs w:val="24"/>
          <w:shd w:val="clear" w:color="auto" w:fill="FFFFFF"/>
        </w:rPr>
        <w:t>,</w:t>
      </w:r>
      <w:r w:rsidRPr="00251B2C">
        <w:rPr>
          <w:rFonts w:ascii="Times New Roman" w:hAnsi="Times New Roman" w:cs="Times New Roman"/>
          <w:color w:val="000000"/>
          <w:sz w:val="24"/>
          <w:szCs w:val="24"/>
          <w:shd w:val="clear" w:color="auto" w:fill="FFFFFF"/>
        </w:rPr>
        <w:t xml:space="preserve"> as well as</w:t>
      </w:r>
      <w:r w:rsidR="001C347C">
        <w:rPr>
          <w:rFonts w:ascii="Times New Roman" w:hAnsi="Times New Roman" w:cs="Times New Roman"/>
          <w:color w:val="000000"/>
          <w:sz w:val="24"/>
          <w:szCs w:val="24"/>
          <w:shd w:val="clear" w:color="auto" w:fill="FFFFFF"/>
        </w:rPr>
        <w:t>,</w:t>
      </w:r>
      <w:r w:rsidRPr="00251B2C">
        <w:rPr>
          <w:rFonts w:ascii="Times New Roman" w:hAnsi="Times New Roman" w:cs="Times New Roman"/>
          <w:color w:val="000000"/>
          <w:sz w:val="24"/>
          <w:szCs w:val="24"/>
          <w:shd w:val="clear" w:color="auto" w:fill="FFFFFF"/>
        </w:rPr>
        <w:t xml:space="preserve"> the highest VaR estimates of (-1.73% and -1.42%) in the VaR estimates of 5000 repetitions. While </w:t>
      </w:r>
      <w:r w:rsidRPr="00251B2C">
        <w:rPr>
          <w:rFonts w:ascii="Times New Roman" w:hAnsi="Times New Roman" w:cs="Times New Roman"/>
          <w:sz w:val="24"/>
          <w:szCs w:val="24"/>
        </w:rPr>
        <w:t xml:space="preserve">the lowest VaR on bonds is </w:t>
      </w:r>
      <w:r w:rsidRPr="00251B2C">
        <w:rPr>
          <w:rFonts w:ascii="Times New Roman" w:eastAsia="Calibri" w:hAnsi="Times New Roman" w:cs="Times New Roman"/>
          <w:color w:val="000000"/>
          <w:sz w:val="24"/>
          <w:szCs w:val="24"/>
        </w:rPr>
        <w:t>Emira</w:t>
      </w:r>
      <w:r w:rsidR="00104535">
        <w:rPr>
          <w:rFonts w:ascii="Times New Roman" w:eastAsia="Calibri" w:hAnsi="Times New Roman" w:cs="Times New Roman"/>
          <w:color w:val="000000"/>
          <w:sz w:val="24"/>
          <w:szCs w:val="24"/>
        </w:rPr>
        <w:t>tes NBD PJSC 2014 for (-0.11%).</w:t>
      </w:r>
      <w:r w:rsidRPr="00251B2C">
        <w:rPr>
          <w:rFonts w:ascii="Times New Roman" w:eastAsia="Calibri" w:hAnsi="Times New Roman" w:cs="Times New Roman"/>
          <w:color w:val="000000"/>
          <w:sz w:val="24"/>
          <w:szCs w:val="24"/>
        </w:rPr>
        <w:t xml:space="preserve"> In summarising, the VaR values of </w:t>
      </w:r>
      <w:r w:rsidR="000F4C35" w:rsidRPr="00537B3D">
        <w:rPr>
          <w:rFonts w:ascii="Times New Roman" w:eastAsia="Calibri" w:hAnsi="Times New Roman" w:cs="Times New Roman"/>
          <w:i/>
          <w:iCs/>
          <w:color w:val="000000"/>
          <w:sz w:val="24"/>
          <w:szCs w:val="24"/>
        </w:rPr>
        <w:t>Sukuk</w:t>
      </w:r>
      <w:r w:rsidRPr="00251B2C">
        <w:rPr>
          <w:rFonts w:ascii="Times New Roman" w:eastAsia="Calibri" w:hAnsi="Times New Roman" w:cs="Times New Roman"/>
          <w:color w:val="000000"/>
          <w:sz w:val="24"/>
          <w:szCs w:val="24"/>
        </w:rPr>
        <w:t xml:space="preserve"> are higher than conventional bonds VaR values in both the day VaR and 5000-iterations as shown the above </w:t>
      </w:r>
      <w:r w:rsidR="00965789">
        <w:rPr>
          <w:rFonts w:ascii="Times New Roman" w:hAnsi="Times New Roman" w:cs="Times New Roman"/>
          <w:sz w:val="24"/>
          <w:szCs w:val="24"/>
        </w:rPr>
        <w:t>Table 5</w:t>
      </w:r>
      <w:r w:rsidRPr="00251B2C">
        <w:rPr>
          <w:rFonts w:ascii="Times New Roman" w:eastAsia="Calibri" w:hAnsi="Times New Roman" w:cs="Times New Roman"/>
          <w:color w:val="000000"/>
          <w:sz w:val="24"/>
          <w:szCs w:val="24"/>
        </w:rPr>
        <w:t xml:space="preserve">. Therefore, </w:t>
      </w:r>
      <w:bookmarkStart w:id="98" w:name="OLE_LINK160"/>
      <w:r w:rsidRPr="00251B2C">
        <w:rPr>
          <w:rFonts w:ascii="Times New Roman" w:eastAsia="Calibri" w:hAnsi="Times New Roman" w:cs="Times New Roman"/>
          <w:color w:val="000000"/>
          <w:sz w:val="24"/>
          <w:szCs w:val="24"/>
        </w:rPr>
        <w:t xml:space="preserve">the model </w:t>
      </w:r>
      <w:r w:rsidRPr="00251B2C">
        <w:rPr>
          <w:rFonts w:ascii="Times New Roman" w:hAnsi="Times New Roman" w:cs="Times New Roman"/>
          <w:color w:val="000000"/>
          <w:sz w:val="24"/>
          <w:szCs w:val="24"/>
          <w:shd w:val="clear" w:color="auto" w:fill="FFFFFF"/>
        </w:rPr>
        <w:t xml:space="preserve">shows </w:t>
      </w:r>
      <w:r w:rsidR="009257A1" w:rsidRPr="00251B2C">
        <w:rPr>
          <w:rFonts w:ascii="Times New Roman" w:hAnsi="Times New Roman" w:cs="Times New Roman"/>
          <w:color w:val="000000"/>
          <w:sz w:val="24"/>
          <w:szCs w:val="24"/>
          <w:shd w:val="clear" w:color="auto" w:fill="FFFFFF"/>
        </w:rPr>
        <w:t>that the</w:t>
      </w:r>
      <w:r w:rsidRPr="00251B2C">
        <w:rPr>
          <w:rFonts w:ascii="Times New Roman" w:hAnsi="Times New Roman" w:cs="Times New Roman"/>
          <w:color w:val="000000"/>
          <w:sz w:val="24"/>
          <w:szCs w:val="24"/>
          <w:shd w:val="clear" w:color="auto" w:fill="FFFFFF"/>
        </w:rPr>
        <w:t xml:space="preserve"> expected average for the daily returns loss of value cannot exceed (-0.68%) for </w:t>
      </w:r>
      <w:r w:rsidR="000F4C35">
        <w:rPr>
          <w:rFonts w:ascii="Times New Roman" w:hAnsi="Times New Roman" w:cs="Times New Roman"/>
          <w:color w:val="000000"/>
          <w:sz w:val="24"/>
          <w:szCs w:val="24"/>
          <w:shd w:val="clear" w:color="auto" w:fill="FFFFFF"/>
        </w:rPr>
        <w:t>Sukuk</w:t>
      </w:r>
      <w:r w:rsidRPr="00251B2C">
        <w:rPr>
          <w:rFonts w:ascii="Times New Roman" w:hAnsi="Times New Roman" w:cs="Times New Roman"/>
          <w:color w:val="000000"/>
          <w:sz w:val="24"/>
          <w:szCs w:val="24"/>
          <w:shd w:val="clear" w:color="auto" w:fill="FFFFFF"/>
        </w:rPr>
        <w:t xml:space="preserve"> and (-0.34%) for bonds with 99% confidence level in 10 days VaR estimates. Whereas, the expected average of daily returns loss of value cannot exceed more than (-1.02%) for </w:t>
      </w:r>
      <w:r w:rsidR="000F4C35" w:rsidRPr="00537B3D">
        <w:rPr>
          <w:rFonts w:ascii="Times New Roman" w:hAnsi="Times New Roman" w:cs="Times New Roman"/>
          <w:i/>
          <w:iCs/>
          <w:color w:val="000000"/>
          <w:sz w:val="24"/>
          <w:szCs w:val="24"/>
          <w:shd w:val="clear" w:color="auto" w:fill="FFFFFF"/>
        </w:rPr>
        <w:t>Sukuk</w:t>
      </w:r>
      <w:r w:rsidRPr="00251B2C">
        <w:rPr>
          <w:rFonts w:ascii="Times New Roman" w:hAnsi="Times New Roman" w:cs="Times New Roman"/>
          <w:color w:val="000000"/>
          <w:sz w:val="24"/>
          <w:szCs w:val="24"/>
          <w:shd w:val="clear" w:color="auto" w:fill="FFFFFF"/>
        </w:rPr>
        <w:t xml:space="preserve"> and (-0.54%) with 99% confidence level in the second VaR estimates of 5000 iterations.  </w:t>
      </w:r>
    </w:p>
    <w:p w14:paraId="48B02D67" w14:textId="0DA4E165" w:rsidR="00A755F5" w:rsidRPr="00251B2C" w:rsidRDefault="00A755F5" w:rsidP="00A755F5">
      <w:pPr>
        <w:pStyle w:val="Caption"/>
        <w:rPr>
          <w:rFonts w:ascii="Times New Roman" w:hAnsi="Times New Roman" w:cs="Times New Roman"/>
          <w:noProof/>
          <w:sz w:val="24"/>
          <w:szCs w:val="24"/>
        </w:rPr>
      </w:pPr>
      <w:bookmarkStart w:id="99" w:name="_Toc481617436"/>
      <w:bookmarkEnd w:id="98"/>
      <w:r w:rsidRPr="00251B2C">
        <w:rPr>
          <w:rFonts w:ascii="Times New Roman" w:hAnsi="Times New Roman" w:cs="Times New Roman"/>
          <w:noProof/>
          <w:sz w:val="24"/>
          <w:szCs w:val="24"/>
          <w:lang w:eastAsia="en-GB"/>
        </w:rPr>
        <w:lastRenderedPageBreak/>
        <w:drawing>
          <wp:anchor distT="0" distB="0" distL="114300" distR="114300" simplePos="0" relativeHeight="251661312" behindDoc="1" locked="0" layoutInCell="1" allowOverlap="1" wp14:anchorId="19A36A03" wp14:editId="2D26ACD7">
            <wp:simplePos x="0" y="0"/>
            <wp:positionH relativeFrom="column">
              <wp:posOffset>2853690</wp:posOffset>
            </wp:positionH>
            <wp:positionV relativeFrom="paragraph">
              <wp:posOffset>537210</wp:posOffset>
            </wp:positionV>
            <wp:extent cx="2667000" cy="2333625"/>
            <wp:effectExtent l="0" t="0" r="0" b="3175"/>
            <wp:wrapTight wrapText="bothSides">
              <wp:wrapPolygon edited="0">
                <wp:start x="0" y="0"/>
                <wp:lineTo x="0" y="21394"/>
                <wp:lineTo x="21394" y="21394"/>
                <wp:lineTo x="21394" y="0"/>
                <wp:lineTo x="0" y="0"/>
              </wp:wrapPolygon>
            </wp:wrapTight>
            <wp:docPr id="65" name="Chart 65">
              <a:extLst xmlns:a="http://schemas.openxmlformats.org/drawingml/2006/main">
                <a:ext uri="{FF2B5EF4-FFF2-40B4-BE49-F238E27FC236}">
                  <a16:creationId xmlns:a16="http://schemas.microsoft.com/office/drawing/2014/main" id="{9A43BB21-2847-4684-B6FE-420ECA4343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251B2C">
        <w:rPr>
          <w:rFonts w:ascii="Times New Roman" w:hAnsi="Times New Roman" w:cs="Times New Roman"/>
          <w:noProof/>
          <w:sz w:val="24"/>
          <w:szCs w:val="24"/>
          <w:lang w:eastAsia="en-GB"/>
        </w:rPr>
        <w:drawing>
          <wp:anchor distT="0" distB="0" distL="114300" distR="114300" simplePos="0" relativeHeight="251660288" behindDoc="1" locked="0" layoutInCell="1" allowOverlap="1" wp14:anchorId="3FC16CFA" wp14:editId="7A7E877C">
            <wp:simplePos x="0" y="0"/>
            <wp:positionH relativeFrom="column">
              <wp:posOffset>-3810</wp:posOffset>
            </wp:positionH>
            <wp:positionV relativeFrom="paragraph">
              <wp:posOffset>537210</wp:posOffset>
            </wp:positionV>
            <wp:extent cx="2797175" cy="2333625"/>
            <wp:effectExtent l="0" t="0" r="22225" b="3175"/>
            <wp:wrapTight wrapText="bothSides">
              <wp:wrapPolygon edited="0">
                <wp:start x="0" y="0"/>
                <wp:lineTo x="0" y="21394"/>
                <wp:lineTo x="21575" y="21394"/>
                <wp:lineTo x="21575" y="0"/>
                <wp:lineTo x="0" y="0"/>
              </wp:wrapPolygon>
            </wp:wrapTight>
            <wp:docPr id="64" name="Chart 64">
              <a:extLst xmlns:a="http://schemas.openxmlformats.org/drawingml/2006/main">
                <a:ext uri="{FF2B5EF4-FFF2-40B4-BE49-F238E27FC236}">
                  <a16:creationId xmlns:a16="http://schemas.microsoft.com/office/drawing/2014/main" id="{780F2154-5599-4A8C-A595-37042200CE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965789">
        <w:rPr>
          <w:rFonts w:ascii="Times New Roman" w:hAnsi="Times New Roman" w:cs="Times New Roman"/>
          <w:noProof/>
          <w:sz w:val="24"/>
          <w:szCs w:val="24"/>
          <w:lang w:eastAsia="en-GB"/>
        </w:rPr>
        <w:t>Figure 5</w:t>
      </w:r>
      <w:r w:rsidRPr="00251B2C">
        <w:rPr>
          <w:rFonts w:ascii="Times New Roman" w:hAnsi="Times New Roman" w:cs="Times New Roman"/>
          <w:sz w:val="24"/>
          <w:szCs w:val="24"/>
        </w:rPr>
        <w:t xml:space="preserve">: VaR of </w:t>
      </w:r>
      <w:r w:rsidR="000F4C35">
        <w:rPr>
          <w:rFonts w:ascii="Times New Roman" w:hAnsi="Times New Roman" w:cs="Times New Roman"/>
          <w:sz w:val="24"/>
          <w:szCs w:val="24"/>
        </w:rPr>
        <w:t>Sukuk</w:t>
      </w:r>
      <w:r w:rsidR="00546532">
        <w:rPr>
          <w:rFonts w:ascii="Times New Roman" w:hAnsi="Times New Roman" w:cs="Times New Roman"/>
          <w:sz w:val="24"/>
          <w:szCs w:val="24"/>
        </w:rPr>
        <w:t xml:space="preserve"> and Bonds in 10 Days Holding P</w:t>
      </w:r>
      <w:r w:rsidRPr="00251B2C">
        <w:rPr>
          <w:rFonts w:ascii="Times New Roman" w:hAnsi="Times New Roman" w:cs="Times New Roman"/>
          <w:sz w:val="24"/>
          <w:szCs w:val="24"/>
        </w:rPr>
        <w:t xml:space="preserve">eriod and VaR Estimates </w:t>
      </w:r>
      <w:r w:rsidR="00104535">
        <w:rPr>
          <w:rFonts w:ascii="Times New Roman" w:hAnsi="Times New Roman" w:cs="Times New Roman"/>
          <w:sz w:val="24"/>
          <w:szCs w:val="24"/>
        </w:rPr>
        <w:t>of (5000 R</w:t>
      </w:r>
      <w:r w:rsidR="00546532">
        <w:rPr>
          <w:rFonts w:ascii="Times New Roman" w:hAnsi="Times New Roman" w:cs="Times New Roman"/>
          <w:sz w:val="24"/>
          <w:szCs w:val="24"/>
        </w:rPr>
        <w:t>epetitions) with 99% C</w:t>
      </w:r>
      <w:r w:rsidRPr="00251B2C">
        <w:rPr>
          <w:rFonts w:ascii="Times New Roman" w:hAnsi="Times New Roman" w:cs="Times New Roman"/>
          <w:sz w:val="24"/>
          <w:szCs w:val="24"/>
        </w:rPr>
        <w:t>onfide</w:t>
      </w:r>
      <w:r w:rsidR="00546532">
        <w:rPr>
          <w:rFonts w:ascii="Times New Roman" w:hAnsi="Times New Roman" w:cs="Times New Roman"/>
          <w:sz w:val="24"/>
          <w:szCs w:val="24"/>
        </w:rPr>
        <w:t>nce L</w:t>
      </w:r>
      <w:r w:rsidRPr="00251B2C">
        <w:rPr>
          <w:rFonts w:ascii="Times New Roman" w:hAnsi="Times New Roman" w:cs="Times New Roman"/>
          <w:sz w:val="24"/>
          <w:szCs w:val="24"/>
        </w:rPr>
        <w:t>evel</w:t>
      </w:r>
      <w:bookmarkEnd w:id="99"/>
    </w:p>
    <w:p w14:paraId="333F341C" w14:textId="77777777" w:rsidR="009257A1" w:rsidRDefault="009257A1" w:rsidP="00A755F5">
      <w:pPr>
        <w:pStyle w:val="ListParagraph"/>
        <w:spacing w:before="120" w:after="120" w:line="360" w:lineRule="auto"/>
        <w:ind w:left="0"/>
        <w:jc w:val="both"/>
        <w:rPr>
          <w:rFonts w:ascii="Times New Roman" w:hAnsi="Times New Roman" w:cs="Times New Roman"/>
          <w:sz w:val="24"/>
          <w:szCs w:val="24"/>
        </w:rPr>
      </w:pPr>
    </w:p>
    <w:p w14:paraId="5EA5854D" w14:textId="3FE59C4D" w:rsidR="00A755F5" w:rsidRPr="00251B2C" w:rsidRDefault="00965789" w:rsidP="00A755F5">
      <w:pPr>
        <w:pStyle w:val="ListParagraph"/>
        <w:spacing w:before="120" w:after="120" w:line="360" w:lineRule="auto"/>
        <w:ind w:left="0"/>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Figure 5</w:t>
      </w:r>
      <w:r w:rsidR="00612FE1">
        <w:rPr>
          <w:rFonts w:ascii="Times New Roman" w:hAnsi="Times New Roman" w:cs="Times New Roman"/>
          <w:sz w:val="24"/>
          <w:szCs w:val="24"/>
        </w:rPr>
        <w:t xml:space="preserve"> </w:t>
      </w:r>
      <w:r w:rsidR="00A755F5" w:rsidRPr="00251B2C">
        <w:rPr>
          <w:rFonts w:ascii="Times New Roman" w:hAnsi="Times New Roman" w:cs="Times New Roman"/>
          <w:color w:val="000000"/>
          <w:sz w:val="24"/>
          <w:szCs w:val="24"/>
          <w:shd w:val="clear" w:color="auto" w:fill="FFFFFF"/>
        </w:rPr>
        <w:t xml:space="preserve">reveals clearly that VaR risk level of </w:t>
      </w:r>
      <w:r w:rsidR="000F4C35" w:rsidRPr="00537B3D">
        <w:rPr>
          <w:rFonts w:ascii="Times New Roman" w:hAnsi="Times New Roman" w:cs="Times New Roman"/>
          <w:i/>
          <w:iCs/>
          <w:color w:val="000000"/>
          <w:sz w:val="24"/>
          <w:szCs w:val="24"/>
          <w:shd w:val="clear" w:color="auto" w:fill="FFFFFF"/>
        </w:rPr>
        <w:t>Sukuk</w:t>
      </w:r>
      <w:r w:rsidR="00A755F5" w:rsidRPr="00251B2C">
        <w:rPr>
          <w:rFonts w:ascii="Times New Roman" w:hAnsi="Times New Roman" w:cs="Times New Roman"/>
          <w:color w:val="000000"/>
          <w:sz w:val="24"/>
          <w:szCs w:val="24"/>
          <w:shd w:val="clear" w:color="auto" w:fill="FFFFFF"/>
        </w:rPr>
        <w:t xml:space="preserve"> are greater than conventional bonds in both the </w:t>
      </w:r>
      <w:r w:rsidR="009257A1" w:rsidRPr="00251B2C">
        <w:rPr>
          <w:rFonts w:ascii="Times New Roman" w:hAnsi="Times New Roman" w:cs="Times New Roman"/>
          <w:color w:val="000000"/>
          <w:sz w:val="24"/>
          <w:szCs w:val="24"/>
          <w:shd w:val="clear" w:color="auto" w:fill="FFFFFF"/>
        </w:rPr>
        <w:t>10-day</w:t>
      </w:r>
      <w:r w:rsidR="00A755F5" w:rsidRPr="00251B2C">
        <w:rPr>
          <w:rFonts w:ascii="Times New Roman" w:hAnsi="Times New Roman" w:cs="Times New Roman"/>
          <w:color w:val="000000"/>
          <w:sz w:val="24"/>
          <w:szCs w:val="24"/>
          <w:shd w:val="clear" w:color="auto" w:fill="FFFFFF"/>
        </w:rPr>
        <w:t xml:space="preserve"> holding period </w:t>
      </w:r>
      <w:r w:rsidR="009B1361">
        <w:rPr>
          <w:rFonts w:ascii="Times New Roman" w:hAnsi="Times New Roman" w:cs="Times New Roman"/>
          <w:color w:val="000000"/>
          <w:sz w:val="24"/>
          <w:szCs w:val="24"/>
          <w:shd w:val="clear" w:color="auto" w:fill="FFFFFF"/>
        </w:rPr>
        <w:t>a</w:t>
      </w:r>
      <w:r w:rsidR="00A755F5" w:rsidRPr="00251B2C">
        <w:rPr>
          <w:rFonts w:ascii="Times New Roman" w:hAnsi="Times New Roman" w:cs="Times New Roman"/>
          <w:color w:val="000000"/>
          <w:sz w:val="24"/>
          <w:szCs w:val="24"/>
          <w:shd w:val="clear" w:color="auto" w:fill="FFFFFF"/>
        </w:rPr>
        <w:t xml:space="preserve">nd the VaR estimates of (5000 iterations) as shown in the above </w:t>
      </w:r>
      <w:r w:rsidR="009B1361">
        <w:rPr>
          <w:rFonts w:ascii="Times New Roman" w:hAnsi="Times New Roman" w:cs="Times New Roman"/>
          <w:sz w:val="24"/>
          <w:szCs w:val="24"/>
        </w:rPr>
        <w:t>figure</w:t>
      </w:r>
      <w:r w:rsidR="00A755F5" w:rsidRPr="00251B2C">
        <w:rPr>
          <w:rFonts w:ascii="Times New Roman" w:hAnsi="Times New Roman" w:cs="Times New Roman"/>
          <w:color w:val="000000"/>
          <w:sz w:val="24"/>
          <w:szCs w:val="24"/>
          <w:shd w:val="clear" w:color="auto" w:fill="FFFFFF"/>
        </w:rPr>
        <w:t xml:space="preserve">. This </w:t>
      </w:r>
      <w:r w:rsidR="004F1E71">
        <w:rPr>
          <w:rFonts w:ascii="Times New Roman" w:hAnsi="Times New Roman" w:cs="Times New Roman"/>
          <w:color w:val="000000"/>
          <w:sz w:val="24"/>
          <w:szCs w:val="24"/>
          <w:shd w:val="clear" w:color="auto" w:fill="FFFFFF"/>
        </w:rPr>
        <w:t>illustrates</w:t>
      </w:r>
      <w:r w:rsidR="00A755F5" w:rsidRPr="00251B2C">
        <w:rPr>
          <w:rFonts w:ascii="Times New Roman" w:hAnsi="Times New Roman" w:cs="Times New Roman"/>
          <w:color w:val="000000"/>
          <w:sz w:val="24"/>
          <w:szCs w:val="24"/>
          <w:shd w:val="clear" w:color="auto" w:fill="FFFFFF"/>
        </w:rPr>
        <w:t xml:space="preserve"> </w:t>
      </w:r>
      <w:r w:rsidR="009257A1" w:rsidRPr="00251B2C">
        <w:rPr>
          <w:rFonts w:ascii="Times New Roman" w:hAnsi="Times New Roman" w:cs="Times New Roman"/>
          <w:color w:val="000000"/>
          <w:sz w:val="24"/>
          <w:szCs w:val="24"/>
          <w:shd w:val="clear" w:color="auto" w:fill="FFFFFF"/>
        </w:rPr>
        <w:t>that expected</w:t>
      </w:r>
      <w:r w:rsidR="00A755F5" w:rsidRPr="00251B2C">
        <w:rPr>
          <w:rFonts w:ascii="Times New Roman" w:hAnsi="Times New Roman" w:cs="Times New Roman"/>
          <w:color w:val="000000"/>
          <w:sz w:val="24"/>
          <w:szCs w:val="24"/>
          <w:shd w:val="clear" w:color="auto" w:fill="FFFFFF"/>
        </w:rPr>
        <w:t xml:space="preserve"> daily returns of </w:t>
      </w:r>
      <w:r w:rsidR="000F4C35" w:rsidRPr="00537B3D">
        <w:rPr>
          <w:rFonts w:ascii="Times New Roman" w:hAnsi="Times New Roman" w:cs="Times New Roman"/>
          <w:i/>
          <w:iCs/>
          <w:sz w:val="24"/>
          <w:szCs w:val="24"/>
        </w:rPr>
        <w:t>Sukuk</w:t>
      </w:r>
      <w:r w:rsidR="00A755F5" w:rsidRPr="00251B2C">
        <w:rPr>
          <w:rFonts w:ascii="Times New Roman" w:hAnsi="Times New Roman" w:cs="Times New Roman"/>
          <w:sz w:val="24"/>
          <w:szCs w:val="24"/>
        </w:rPr>
        <w:t xml:space="preserve"> are almost </w:t>
      </w:r>
      <w:r w:rsidR="00E86285">
        <w:rPr>
          <w:rFonts w:ascii="Times New Roman" w:hAnsi="Times New Roman" w:cs="Times New Roman"/>
          <w:sz w:val="24"/>
          <w:szCs w:val="24"/>
        </w:rPr>
        <w:t xml:space="preserve">double those </w:t>
      </w:r>
      <w:r w:rsidR="00537B3D">
        <w:rPr>
          <w:rFonts w:ascii="Times New Roman" w:hAnsi="Times New Roman" w:cs="Times New Roman"/>
          <w:sz w:val="24"/>
          <w:szCs w:val="24"/>
        </w:rPr>
        <w:t xml:space="preserve">of </w:t>
      </w:r>
      <w:r w:rsidR="00537B3D" w:rsidRPr="00251B2C">
        <w:rPr>
          <w:rFonts w:ascii="Times New Roman" w:hAnsi="Times New Roman" w:cs="Times New Roman"/>
          <w:sz w:val="24"/>
          <w:szCs w:val="24"/>
        </w:rPr>
        <w:t>conventional</w:t>
      </w:r>
      <w:r w:rsidR="00A755F5" w:rsidRPr="00251B2C">
        <w:rPr>
          <w:rFonts w:ascii="Times New Roman" w:hAnsi="Times New Roman" w:cs="Times New Roman"/>
          <w:sz w:val="24"/>
          <w:szCs w:val="24"/>
        </w:rPr>
        <w:t xml:space="preserve"> bonds in both the Historical and Monte Carlo simulation models. </w:t>
      </w:r>
      <w:r w:rsidR="009257A1" w:rsidRPr="00251B2C">
        <w:rPr>
          <w:rFonts w:ascii="Times New Roman" w:hAnsi="Times New Roman" w:cs="Times New Roman"/>
          <w:sz w:val="24"/>
          <w:szCs w:val="24"/>
        </w:rPr>
        <w:t>T</w:t>
      </w:r>
      <w:r w:rsidR="009257A1" w:rsidRPr="00251B2C">
        <w:rPr>
          <w:rFonts w:ascii="Times New Roman" w:hAnsi="Times New Roman" w:cs="Times New Roman"/>
          <w:color w:val="000000"/>
          <w:sz w:val="24"/>
          <w:szCs w:val="24"/>
          <w:shd w:val="clear" w:color="auto" w:fill="FFFFFF"/>
        </w:rPr>
        <w:t>herefore, Monte</w:t>
      </w:r>
      <w:r w:rsidR="00A755F5" w:rsidRPr="00251B2C">
        <w:rPr>
          <w:rFonts w:ascii="Times New Roman" w:hAnsi="Times New Roman" w:cs="Times New Roman"/>
          <w:color w:val="000000"/>
          <w:sz w:val="24"/>
          <w:szCs w:val="24"/>
          <w:shd w:val="clear" w:color="auto" w:fill="FFFFFF"/>
        </w:rPr>
        <w:t xml:space="preserve"> Carlo </w:t>
      </w:r>
      <w:r w:rsidR="009257A1" w:rsidRPr="00251B2C">
        <w:rPr>
          <w:rFonts w:ascii="Times New Roman" w:hAnsi="Times New Roman" w:cs="Times New Roman"/>
          <w:color w:val="000000"/>
          <w:sz w:val="24"/>
          <w:szCs w:val="24"/>
          <w:shd w:val="clear" w:color="auto" w:fill="FFFFFF"/>
        </w:rPr>
        <w:t>simulation strongly</w:t>
      </w:r>
      <w:r w:rsidR="00A755F5" w:rsidRPr="00251B2C">
        <w:rPr>
          <w:rFonts w:ascii="Times New Roman" w:hAnsi="Times New Roman" w:cs="Times New Roman"/>
          <w:color w:val="000000"/>
          <w:sz w:val="24"/>
          <w:szCs w:val="24"/>
          <w:shd w:val="clear" w:color="auto" w:fill="FFFFFF"/>
        </w:rPr>
        <w:t xml:space="preserve"> support</w:t>
      </w:r>
      <w:r w:rsidR="009257A1">
        <w:rPr>
          <w:rFonts w:ascii="Times New Roman" w:hAnsi="Times New Roman" w:cs="Times New Roman"/>
          <w:color w:val="000000"/>
          <w:sz w:val="24"/>
          <w:szCs w:val="24"/>
          <w:shd w:val="clear" w:color="auto" w:fill="FFFFFF"/>
        </w:rPr>
        <w:t>s</w:t>
      </w:r>
      <w:r w:rsidR="00A755F5" w:rsidRPr="00251B2C">
        <w:rPr>
          <w:rFonts w:ascii="Times New Roman" w:hAnsi="Times New Roman" w:cs="Times New Roman"/>
          <w:color w:val="000000"/>
          <w:sz w:val="24"/>
          <w:szCs w:val="24"/>
          <w:shd w:val="clear" w:color="auto" w:fill="FFFFFF"/>
        </w:rPr>
        <w:t xml:space="preserve"> the results of Historical simulation, which means that </w:t>
      </w:r>
      <w:r w:rsidR="000F4C35" w:rsidRPr="00537B3D">
        <w:rPr>
          <w:rFonts w:ascii="Times New Roman" w:hAnsi="Times New Roman" w:cs="Times New Roman"/>
          <w:i/>
          <w:iCs/>
          <w:color w:val="000000"/>
          <w:sz w:val="24"/>
          <w:szCs w:val="24"/>
          <w:shd w:val="clear" w:color="auto" w:fill="FFFFFF"/>
        </w:rPr>
        <w:t>Sukuk</w:t>
      </w:r>
      <w:r w:rsidR="00A755F5" w:rsidRPr="00251B2C">
        <w:rPr>
          <w:rFonts w:ascii="Times New Roman" w:hAnsi="Times New Roman" w:cs="Times New Roman"/>
          <w:color w:val="000000"/>
          <w:sz w:val="24"/>
          <w:szCs w:val="24"/>
          <w:shd w:val="clear" w:color="auto" w:fill="FFFFFF"/>
        </w:rPr>
        <w:t xml:space="preserve"> ha</w:t>
      </w:r>
      <w:r w:rsidR="00E413F5">
        <w:rPr>
          <w:rFonts w:ascii="Times New Roman" w:hAnsi="Times New Roman" w:cs="Times New Roman"/>
          <w:color w:val="000000"/>
          <w:sz w:val="24"/>
          <w:szCs w:val="24"/>
          <w:shd w:val="clear" w:color="auto" w:fill="FFFFFF"/>
        </w:rPr>
        <w:t>s</w:t>
      </w:r>
      <w:r w:rsidR="00A755F5" w:rsidRPr="00251B2C">
        <w:rPr>
          <w:rFonts w:ascii="Times New Roman" w:hAnsi="Times New Roman" w:cs="Times New Roman"/>
          <w:color w:val="000000"/>
          <w:sz w:val="24"/>
          <w:szCs w:val="24"/>
          <w:shd w:val="clear" w:color="auto" w:fill="FFFFFF"/>
        </w:rPr>
        <w:t xml:space="preserve"> more risk than conventional bonds and we can conclude that </w:t>
      </w:r>
      <w:r w:rsidR="000F4C35" w:rsidRPr="00537B3D">
        <w:rPr>
          <w:rFonts w:ascii="Times New Roman" w:hAnsi="Times New Roman" w:cs="Times New Roman"/>
          <w:i/>
          <w:iCs/>
          <w:color w:val="000000"/>
          <w:sz w:val="24"/>
          <w:szCs w:val="24"/>
          <w:shd w:val="clear" w:color="auto" w:fill="FFFFFF"/>
        </w:rPr>
        <w:t>Sukuk</w:t>
      </w:r>
      <w:r w:rsidR="00A755F5" w:rsidRPr="00251B2C">
        <w:rPr>
          <w:rFonts w:ascii="Times New Roman" w:hAnsi="Times New Roman" w:cs="Times New Roman"/>
          <w:color w:val="000000"/>
          <w:sz w:val="24"/>
          <w:szCs w:val="24"/>
          <w:shd w:val="clear" w:color="auto" w:fill="FFFFFF"/>
        </w:rPr>
        <w:t xml:space="preserve"> risk levels are strongly higher than conventional bonds which indicates that </w:t>
      </w:r>
      <w:r w:rsidR="000F4C35" w:rsidRPr="00537B3D">
        <w:rPr>
          <w:rFonts w:ascii="Times New Roman" w:hAnsi="Times New Roman" w:cs="Times New Roman"/>
          <w:i/>
          <w:iCs/>
          <w:color w:val="000000"/>
          <w:sz w:val="24"/>
          <w:szCs w:val="24"/>
          <w:shd w:val="clear" w:color="auto" w:fill="FFFFFF"/>
        </w:rPr>
        <w:t>Sukuk</w:t>
      </w:r>
      <w:r w:rsidR="00A755F5" w:rsidRPr="00251B2C">
        <w:rPr>
          <w:rFonts w:ascii="Times New Roman" w:hAnsi="Times New Roman" w:cs="Times New Roman"/>
          <w:color w:val="000000"/>
          <w:sz w:val="24"/>
          <w:szCs w:val="24"/>
          <w:shd w:val="clear" w:color="auto" w:fill="FFFFFF"/>
        </w:rPr>
        <w:t xml:space="preserve"> instruments are different and riskier than conventional bonds.  </w:t>
      </w:r>
    </w:p>
    <w:p w14:paraId="0EF7C3F3" w14:textId="09695445" w:rsidR="00A755F5" w:rsidRPr="00251B2C" w:rsidRDefault="00A755F5" w:rsidP="00A755F5">
      <w:pPr>
        <w:pStyle w:val="BodyText2"/>
        <w:rPr>
          <w:rFonts w:ascii="Times New Roman" w:hAnsi="Times New Roman" w:cs="Times New Roman"/>
          <w:sz w:val="24"/>
          <w:szCs w:val="24"/>
          <w:lang w:eastAsia="en-GB"/>
        </w:rPr>
      </w:pPr>
      <w:r w:rsidRPr="00251B2C">
        <w:rPr>
          <w:rFonts w:ascii="Times New Roman" w:hAnsi="Times New Roman" w:cs="Times New Roman"/>
          <w:sz w:val="24"/>
          <w:szCs w:val="24"/>
          <w:lang w:eastAsia="en-GB"/>
        </w:rPr>
        <w:t xml:space="preserve">In addition, a line chart and frequency histogram are used to simulate the expected daily returns of </w:t>
      </w:r>
      <w:r w:rsidR="000F4C35" w:rsidRPr="00537B3D">
        <w:rPr>
          <w:rFonts w:ascii="Times New Roman" w:hAnsi="Times New Roman" w:cs="Times New Roman"/>
          <w:i/>
          <w:iCs/>
          <w:sz w:val="24"/>
          <w:szCs w:val="24"/>
          <w:lang w:eastAsia="en-GB"/>
        </w:rPr>
        <w:t>Sukuk</w:t>
      </w:r>
      <w:r w:rsidRPr="00251B2C">
        <w:rPr>
          <w:rFonts w:ascii="Times New Roman" w:hAnsi="Times New Roman" w:cs="Times New Roman"/>
          <w:sz w:val="24"/>
          <w:szCs w:val="24"/>
          <w:lang w:eastAsia="en-GB"/>
        </w:rPr>
        <w:t xml:space="preserve"> and conven</w:t>
      </w:r>
      <w:r w:rsidR="0088025E">
        <w:rPr>
          <w:rFonts w:ascii="Times New Roman" w:hAnsi="Times New Roman" w:cs="Times New Roman"/>
          <w:sz w:val="24"/>
          <w:szCs w:val="24"/>
          <w:lang w:eastAsia="en-GB"/>
        </w:rPr>
        <w:t xml:space="preserve">tional bonds as shown in </w:t>
      </w:r>
      <w:r w:rsidR="009B1361">
        <w:rPr>
          <w:rFonts w:ascii="Times New Roman" w:hAnsi="Times New Roman" w:cs="Times New Roman"/>
          <w:sz w:val="24"/>
          <w:szCs w:val="24"/>
        </w:rPr>
        <w:t>Figure 6</w:t>
      </w:r>
      <w:r w:rsidR="001430D4">
        <w:rPr>
          <w:rFonts w:ascii="Times New Roman" w:hAnsi="Times New Roman" w:cs="Times New Roman"/>
          <w:sz w:val="24"/>
          <w:szCs w:val="24"/>
        </w:rPr>
        <w:t xml:space="preserve">, </w:t>
      </w:r>
      <w:r w:rsidRPr="00251B2C">
        <w:rPr>
          <w:rFonts w:ascii="Times New Roman" w:hAnsi="Times New Roman" w:cs="Times New Roman"/>
          <w:sz w:val="24"/>
          <w:szCs w:val="24"/>
          <w:lang w:eastAsia="en-GB"/>
        </w:rPr>
        <w:t xml:space="preserve">by selecting the highest and the lowest VaR values of </w:t>
      </w:r>
      <w:r w:rsidR="000F4C35" w:rsidRPr="00537B3D">
        <w:rPr>
          <w:rFonts w:ascii="Times New Roman" w:hAnsi="Times New Roman" w:cs="Times New Roman"/>
          <w:i/>
          <w:iCs/>
          <w:sz w:val="24"/>
          <w:szCs w:val="24"/>
          <w:lang w:eastAsia="en-GB"/>
        </w:rPr>
        <w:t>Sukuk</w:t>
      </w:r>
      <w:r w:rsidRPr="00251B2C">
        <w:rPr>
          <w:rFonts w:ascii="Times New Roman" w:hAnsi="Times New Roman" w:cs="Times New Roman"/>
          <w:sz w:val="24"/>
          <w:szCs w:val="24"/>
          <w:lang w:eastAsia="en-GB"/>
        </w:rPr>
        <w:t xml:space="preserve"> and conventional bonds. In the case of Dar Al </w:t>
      </w:r>
      <w:proofErr w:type="spellStart"/>
      <w:r w:rsidRPr="00251B2C">
        <w:rPr>
          <w:rFonts w:ascii="Times New Roman" w:hAnsi="Times New Roman" w:cs="Times New Roman"/>
          <w:sz w:val="24"/>
          <w:szCs w:val="24"/>
          <w:lang w:eastAsia="en-GB"/>
        </w:rPr>
        <w:t>Arkam</w:t>
      </w:r>
      <w:proofErr w:type="spellEnd"/>
      <w:r w:rsidRPr="00251B2C">
        <w:rPr>
          <w:rFonts w:ascii="Times New Roman" w:hAnsi="Times New Roman" w:cs="Times New Roman"/>
          <w:sz w:val="24"/>
          <w:szCs w:val="24"/>
          <w:lang w:eastAsia="en-GB"/>
        </w:rPr>
        <w:t xml:space="preserve"> </w:t>
      </w:r>
      <w:r w:rsidR="000F4C35" w:rsidRPr="00537B3D">
        <w:rPr>
          <w:rFonts w:ascii="Times New Roman" w:hAnsi="Times New Roman" w:cs="Times New Roman"/>
          <w:i/>
          <w:iCs/>
          <w:sz w:val="24"/>
          <w:szCs w:val="24"/>
          <w:lang w:eastAsia="en-GB"/>
        </w:rPr>
        <w:t>Sukuk</w:t>
      </w:r>
      <w:r w:rsidRPr="00251B2C">
        <w:rPr>
          <w:rFonts w:ascii="Times New Roman" w:hAnsi="Times New Roman" w:cs="Times New Roman"/>
          <w:sz w:val="24"/>
          <w:szCs w:val="24"/>
          <w:lang w:eastAsia="en-GB"/>
        </w:rPr>
        <w:t xml:space="preserve">, the line chart in 10 days VaR estimates shows that the expected daily returns of the Dar </w:t>
      </w:r>
      <w:proofErr w:type="spellStart"/>
      <w:r w:rsidRPr="00251B2C">
        <w:rPr>
          <w:rFonts w:ascii="Times New Roman" w:hAnsi="Times New Roman" w:cs="Times New Roman"/>
          <w:sz w:val="24"/>
          <w:szCs w:val="24"/>
          <w:lang w:eastAsia="en-GB"/>
        </w:rPr>
        <w:t>Arkam</w:t>
      </w:r>
      <w:proofErr w:type="spellEnd"/>
      <w:r w:rsidRPr="00251B2C">
        <w:rPr>
          <w:rFonts w:ascii="Times New Roman" w:hAnsi="Times New Roman" w:cs="Times New Roman"/>
          <w:sz w:val="24"/>
          <w:szCs w:val="24"/>
          <w:lang w:eastAsia="en-GB"/>
        </w:rPr>
        <w:t xml:space="preserve"> are volatile in the 10 </w:t>
      </w:r>
      <w:r w:rsidR="003E7F7D" w:rsidRPr="00251B2C">
        <w:rPr>
          <w:rFonts w:ascii="Times New Roman" w:hAnsi="Times New Roman" w:cs="Times New Roman"/>
          <w:sz w:val="24"/>
          <w:szCs w:val="24"/>
          <w:lang w:eastAsia="en-GB"/>
        </w:rPr>
        <w:t>days</w:t>
      </w:r>
      <w:r w:rsidR="000717C7">
        <w:rPr>
          <w:rFonts w:ascii="Times New Roman" w:hAnsi="Times New Roman" w:cs="Times New Roman"/>
          <w:sz w:val="24"/>
          <w:szCs w:val="24"/>
          <w:lang w:eastAsia="en-GB"/>
        </w:rPr>
        <w:t>’</w:t>
      </w:r>
      <w:r w:rsidRPr="00251B2C">
        <w:rPr>
          <w:rFonts w:ascii="Times New Roman" w:hAnsi="Times New Roman" w:cs="Times New Roman"/>
          <w:sz w:val="24"/>
          <w:szCs w:val="24"/>
          <w:lang w:eastAsia="en-GB"/>
        </w:rPr>
        <w:t xml:space="preserve"> </w:t>
      </w:r>
      <w:r w:rsidR="009257A1" w:rsidRPr="00251B2C">
        <w:rPr>
          <w:rFonts w:ascii="Times New Roman" w:hAnsi="Times New Roman" w:cs="Times New Roman"/>
          <w:sz w:val="24"/>
          <w:szCs w:val="24"/>
          <w:lang w:eastAsia="en-GB"/>
        </w:rPr>
        <w:t>period</w:t>
      </w:r>
      <w:r w:rsidR="009257A1">
        <w:rPr>
          <w:rFonts w:ascii="Times New Roman" w:hAnsi="Times New Roman" w:cs="Times New Roman"/>
          <w:sz w:val="24"/>
          <w:szCs w:val="24"/>
          <w:lang w:eastAsia="en-GB"/>
        </w:rPr>
        <w:t xml:space="preserve">, </w:t>
      </w:r>
      <w:r w:rsidR="00F30BB7" w:rsidRPr="00251B2C">
        <w:rPr>
          <w:rFonts w:ascii="Times New Roman" w:hAnsi="Times New Roman" w:cs="Times New Roman"/>
          <w:sz w:val="24"/>
          <w:szCs w:val="24"/>
          <w:lang w:eastAsia="en-GB"/>
        </w:rPr>
        <w:t>indicating more</w:t>
      </w:r>
      <w:r w:rsidRPr="00251B2C">
        <w:rPr>
          <w:rFonts w:ascii="Times New Roman" w:hAnsi="Times New Roman" w:cs="Times New Roman"/>
          <w:sz w:val="24"/>
          <w:szCs w:val="24"/>
          <w:lang w:eastAsia="en-GB"/>
        </w:rPr>
        <w:t xml:space="preserve"> risk. </w:t>
      </w:r>
      <w:r w:rsidR="009257A1" w:rsidRPr="00251B2C">
        <w:rPr>
          <w:rFonts w:ascii="Times New Roman" w:hAnsi="Times New Roman" w:cs="Times New Roman"/>
          <w:sz w:val="24"/>
          <w:szCs w:val="24"/>
          <w:lang w:eastAsia="en-GB"/>
        </w:rPr>
        <w:t>Whereas, expected</w:t>
      </w:r>
      <w:r w:rsidRPr="00251B2C">
        <w:rPr>
          <w:rFonts w:ascii="Times New Roman" w:hAnsi="Times New Roman" w:cs="Times New Roman"/>
          <w:sz w:val="24"/>
          <w:szCs w:val="24"/>
          <w:lang w:eastAsia="en-GB"/>
        </w:rPr>
        <w:t xml:space="preserve"> returns are more stable and normally distributed after performing 5000 s</w:t>
      </w:r>
      <w:r w:rsidR="0088025E">
        <w:rPr>
          <w:rFonts w:ascii="Times New Roman" w:hAnsi="Times New Roman" w:cs="Times New Roman"/>
          <w:sz w:val="24"/>
          <w:szCs w:val="24"/>
          <w:lang w:eastAsia="en-GB"/>
        </w:rPr>
        <w:t xml:space="preserve">imulations as shown in </w:t>
      </w:r>
      <w:r w:rsidR="009B1361">
        <w:rPr>
          <w:rFonts w:ascii="Times New Roman" w:hAnsi="Times New Roman" w:cs="Times New Roman"/>
          <w:sz w:val="24"/>
          <w:szCs w:val="24"/>
        </w:rPr>
        <w:t>Figure 7</w:t>
      </w:r>
      <w:r w:rsidRPr="00251B2C">
        <w:rPr>
          <w:rFonts w:ascii="Times New Roman" w:hAnsi="Times New Roman" w:cs="Times New Roman"/>
          <w:sz w:val="24"/>
          <w:szCs w:val="24"/>
          <w:lang w:eastAsia="en-GB"/>
        </w:rPr>
        <w:t xml:space="preserve">. For the lowest </w:t>
      </w:r>
      <w:r w:rsidR="000F4C35" w:rsidRPr="003051D4">
        <w:rPr>
          <w:rFonts w:ascii="Times New Roman" w:hAnsi="Times New Roman" w:cs="Times New Roman"/>
          <w:i/>
          <w:iCs/>
          <w:sz w:val="24"/>
          <w:szCs w:val="24"/>
          <w:lang w:eastAsia="en-GB"/>
        </w:rPr>
        <w:t>Sukuk</w:t>
      </w:r>
      <w:r w:rsidRPr="00251B2C">
        <w:rPr>
          <w:rFonts w:ascii="Times New Roman" w:hAnsi="Times New Roman" w:cs="Times New Roman"/>
          <w:sz w:val="24"/>
          <w:szCs w:val="24"/>
          <w:lang w:eastAsia="en-GB"/>
        </w:rPr>
        <w:t xml:space="preserve"> VaR values, the expected daily returns of Indonesian III </w:t>
      </w:r>
      <w:r w:rsidR="000F4C35" w:rsidRPr="003051D4">
        <w:rPr>
          <w:rFonts w:ascii="Times New Roman" w:hAnsi="Times New Roman" w:cs="Times New Roman"/>
          <w:i/>
          <w:iCs/>
          <w:sz w:val="24"/>
          <w:szCs w:val="24"/>
          <w:lang w:eastAsia="en-GB"/>
        </w:rPr>
        <w:t>Sukuk</w:t>
      </w:r>
      <w:r w:rsidRPr="00251B2C">
        <w:rPr>
          <w:rFonts w:ascii="Times New Roman" w:hAnsi="Times New Roman" w:cs="Times New Roman"/>
          <w:sz w:val="24"/>
          <w:szCs w:val="24"/>
          <w:lang w:eastAsia="en-GB"/>
        </w:rPr>
        <w:t xml:space="preserve"> are less volatile and norm</w:t>
      </w:r>
      <w:r w:rsidR="0088025E">
        <w:rPr>
          <w:rFonts w:ascii="Times New Roman" w:hAnsi="Times New Roman" w:cs="Times New Roman"/>
          <w:sz w:val="24"/>
          <w:szCs w:val="24"/>
          <w:lang w:eastAsia="en-GB"/>
        </w:rPr>
        <w:t>ally distributed</w:t>
      </w:r>
      <w:r w:rsidR="000717C7">
        <w:rPr>
          <w:rFonts w:ascii="Times New Roman" w:hAnsi="Times New Roman" w:cs="Times New Roman"/>
          <w:sz w:val="24"/>
          <w:szCs w:val="24"/>
          <w:lang w:eastAsia="en-GB"/>
        </w:rPr>
        <w:t>, illustrated</w:t>
      </w:r>
      <w:r w:rsidR="0088025E">
        <w:rPr>
          <w:rFonts w:ascii="Times New Roman" w:hAnsi="Times New Roman" w:cs="Times New Roman"/>
          <w:sz w:val="24"/>
          <w:szCs w:val="24"/>
          <w:lang w:eastAsia="en-GB"/>
        </w:rPr>
        <w:t xml:space="preserve"> </w:t>
      </w:r>
      <w:r w:rsidR="001430D4">
        <w:rPr>
          <w:rFonts w:ascii="Times New Roman" w:hAnsi="Times New Roman" w:cs="Times New Roman"/>
          <w:sz w:val="24"/>
          <w:szCs w:val="24"/>
          <w:lang w:eastAsia="en-GB"/>
        </w:rPr>
        <w:t xml:space="preserve">in </w:t>
      </w:r>
      <w:r w:rsidR="009B1361">
        <w:rPr>
          <w:rFonts w:ascii="Times New Roman" w:hAnsi="Times New Roman" w:cs="Times New Roman"/>
          <w:sz w:val="24"/>
          <w:szCs w:val="24"/>
        </w:rPr>
        <w:t>Figure 6</w:t>
      </w:r>
      <w:r w:rsidRPr="00251B2C">
        <w:rPr>
          <w:rFonts w:ascii="Times New Roman" w:hAnsi="Times New Roman" w:cs="Times New Roman"/>
          <w:sz w:val="24"/>
          <w:szCs w:val="24"/>
          <w:lang w:eastAsia="en-GB"/>
        </w:rPr>
        <w:t xml:space="preserve"> (see </w:t>
      </w:r>
      <w:r w:rsidR="004C72C5">
        <w:rPr>
          <w:rFonts w:ascii="Times New Roman" w:hAnsi="Times New Roman" w:cs="Times New Roman"/>
          <w:sz w:val="24"/>
          <w:szCs w:val="24"/>
          <w:lang w:eastAsia="en-GB"/>
        </w:rPr>
        <w:t>A</w:t>
      </w:r>
      <w:r w:rsidRPr="00251B2C">
        <w:rPr>
          <w:rFonts w:ascii="Times New Roman" w:hAnsi="Times New Roman" w:cs="Times New Roman"/>
          <w:sz w:val="24"/>
          <w:szCs w:val="24"/>
          <w:lang w:eastAsia="en-GB"/>
        </w:rPr>
        <w:t>ppendix B).</w:t>
      </w:r>
    </w:p>
    <w:p w14:paraId="07ED8CA0" w14:textId="265F2B5E" w:rsidR="00A755F5" w:rsidRPr="00251B2C" w:rsidRDefault="00A755F5" w:rsidP="00A755F5">
      <w:pPr>
        <w:pStyle w:val="Caption"/>
        <w:rPr>
          <w:rFonts w:ascii="Times New Roman" w:hAnsi="Times New Roman" w:cs="Times New Roman"/>
          <w:noProof/>
          <w:sz w:val="24"/>
          <w:szCs w:val="24"/>
        </w:rPr>
      </w:pPr>
      <w:bookmarkStart w:id="100" w:name="_Toc481617437"/>
      <w:r w:rsidRPr="00C51F88">
        <w:rPr>
          <w:rFonts w:ascii="Times New Roman" w:hAnsi="Times New Roman" w:cs="Times New Roman"/>
          <w:noProof/>
          <w:sz w:val="24"/>
          <w:szCs w:val="24"/>
          <w:lang w:eastAsia="en-GB"/>
        </w:rPr>
        <w:lastRenderedPageBreak/>
        <w:drawing>
          <wp:anchor distT="0" distB="0" distL="114300" distR="114300" simplePos="0" relativeHeight="251723776" behindDoc="0" locked="0" layoutInCell="1" allowOverlap="1" wp14:anchorId="6320A9FD" wp14:editId="7726382E">
            <wp:simplePos x="0" y="0"/>
            <wp:positionH relativeFrom="column">
              <wp:posOffset>2701290</wp:posOffset>
            </wp:positionH>
            <wp:positionV relativeFrom="paragraph">
              <wp:posOffset>423545</wp:posOffset>
            </wp:positionV>
            <wp:extent cx="2858770" cy="2099310"/>
            <wp:effectExtent l="0" t="0" r="11430" b="8890"/>
            <wp:wrapSquare wrapText="bothSides"/>
            <wp:docPr id="12" name="Chart 12">
              <a:extLst xmlns:a="http://schemas.openxmlformats.org/drawingml/2006/main">
                <a:ext uri="{FF2B5EF4-FFF2-40B4-BE49-F238E27FC236}">
                  <a16:creationId xmlns:a16="http://schemas.microsoft.com/office/drawing/2014/main" id="{1E360976-B4E9-495E-8C9C-C2A0157822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r w:rsidRPr="00C51F88">
        <w:rPr>
          <w:rFonts w:ascii="Times New Roman" w:hAnsi="Times New Roman" w:cs="Times New Roman"/>
          <w:noProof/>
          <w:sz w:val="24"/>
          <w:szCs w:val="24"/>
          <w:lang w:eastAsia="en-GB"/>
        </w:rPr>
        <w:drawing>
          <wp:anchor distT="0" distB="0" distL="114300" distR="114300" simplePos="0" relativeHeight="251724800" behindDoc="1" locked="0" layoutInCell="1" allowOverlap="1" wp14:anchorId="104644C9" wp14:editId="72C98119">
            <wp:simplePos x="0" y="0"/>
            <wp:positionH relativeFrom="column">
              <wp:posOffset>7620</wp:posOffset>
            </wp:positionH>
            <wp:positionV relativeFrom="paragraph">
              <wp:posOffset>423545</wp:posOffset>
            </wp:positionV>
            <wp:extent cx="2636520" cy="2099310"/>
            <wp:effectExtent l="0" t="0" r="5080" b="8890"/>
            <wp:wrapTight wrapText="bothSides">
              <wp:wrapPolygon edited="0">
                <wp:start x="0" y="0"/>
                <wp:lineTo x="0" y="21430"/>
                <wp:lineTo x="21434" y="21430"/>
                <wp:lineTo x="21434" y="0"/>
                <wp:lineTo x="0" y="0"/>
              </wp:wrapPolygon>
            </wp:wrapTight>
            <wp:docPr id="2" name="Chart 2">
              <a:extLst xmlns:a="http://schemas.openxmlformats.org/drawingml/2006/main">
                <a:ext uri="{FF2B5EF4-FFF2-40B4-BE49-F238E27FC236}">
                  <a16:creationId xmlns:a16="http://schemas.microsoft.com/office/drawing/2014/main" id="{1E673C83-578F-4B2A-BC92-C9ABFE10A9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9B1361" w:rsidRPr="00C51F88">
        <w:rPr>
          <w:rFonts w:ascii="Times New Roman" w:hAnsi="Times New Roman" w:cs="Times New Roman"/>
          <w:noProof/>
          <w:sz w:val="24"/>
          <w:szCs w:val="24"/>
          <w:lang w:eastAsia="en-GB"/>
        </w:rPr>
        <w:t>Figure 6</w:t>
      </w:r>
      <w:r w:rsidRPr="00251B2C">
        <w:rPr>
          <w:rFonts w:ascii="Times New Roman" w:hAnsi="Times New Roman" w:cs="Times New Roman"/>
          <w:sz w:val="24"/>
          <w:szCs w:val="24"/>
        </w:rPr>
        <w:t xml:space="preserve">: </w:t>
      </w:r>
      <w:r w:rsidR="000F4C35">
        <w:rPr>
          <w:rFonts w:ascii="Times New Roman" w:hAnsi="Times New Roman" w:cs="Times New Roman"/>
          <w:sz w:val="24"/>
          <w:szCs w:val="24"/>
        </w:rPr>
        <w:t>Sukuk</w:t>
      </w:r>
      <w:r w:rsidR="00546532">
        <w:rPr>
          <w:rFonts w:ascii="Times New Roman" w:hAnsi="Times New Roman" w:cs="Times New Roman"/>
          <w:sz w:val="24"/>
          <w:szCs w:val="24"/>
        </w:rPr>
        <w:t xml:space="preserve"> Distribution in Line C</w:t>
      </w:r>
      <w:r w:rsidRPr="00251B2C">
        <w:rPr>
          <w:rFonts w:ascii="Times New Roman" w:hAnsi="Times New Roman" w:cs="Times New Roman"/>
          <w:sz w:val="24"/>
          <w:szCs w:val="24"/>
        </w:rPr>
        <w:t>h</w:t>
      </w:r>
      <w:r w:rsidR="00546532">
        <w:rPr>
          <w:rFonts w:ascii="Times New Roman" w:hAnsi="Times New Roman" w:cs="Times New Roman"/>
          <w:sz w:val="24"/>
          <w:szCs w:val="24"/>
        </w:rPr>
        <w:t>art and H</w:t>
      </w:r>
      <w:r w:rsidRPr="00251B2C">
        <w:rPr>
          <w:rFonts w:ascii="Times New Roman" w:hAnsi="Times New Roman" w:cs="Times New Roman"/>
          <w:sz w:val="24"/>
          <w:szCs w:val="24"/>
        </w:rPr>
        <w:t>istogram</w:t>
      </w:r>
      <w:bookmarkEnd w:id="100"/>
    </w:p>
    <w:p w14:paraId="3F388D33" w14:textId="77777777" w:rsidR="00A755F5" w:rsidRPr="00251B2C" w:rsidRDefault="00A755F5" w:rsidP="00A755F5">
      <w:pPr>
        <w:rPr>
          <w:rFonts w:ascii="Times New Roman" w:hAnsi="Times New Roman" w:cs="Times New Roman"/>
          <w:sz w:val="24"/>
          <w:szCs w:val="24"/>
          <w:lang w:eastAsia="en-GB"/>
        </w:rPr>
      </w:pPr>
      <w:r w:rsidRPr="00251B2C">
        <w:rPr>
          <w:rFonts w:ascii="Times New Roman" w:hAnsi="Times New Roman" w:cs="Times New Roman"/>
          <w:sz w:val="24"/>
          <w:szCs w:val="24"/>
          <w:lang w:eastAsia="en-GB"/>
        </w:rPr>
        <w:br/>
      </w:r>
      <w:r w:rsidRPr="00251B2C">
        <w:rPr>
          <w:rFonts w:ascii="Times New Roman" w:hAnsi="Times New Roman" w:cs="Times New Roman"/>
          <w:noProof/>
          <w:sz w:val="24"/>
          <w:szCs w:val="24"/>
          <w:lang w:eastAsia="en-GB"/>
        </w:rPr>
        <w:drawing>
          <wp:inline distT="0" distB="0" distL="0" distR="0" wp14:anchorId="376A911F" wp14:editId="0E4E219D">
            <wp:extent cx="2628900" cy="2164080"/>
            <wp:effectExtent l="0" t="0" r="0" b="7620"/>
            <wp:docPr id="22" name="Chart 22">
              <a:extLst xmlns:a="http://schemas.openxmlformats.org/drawingml/2006/main">
                <a:ext uri="{FF2B5EF4-FFF2-40B4-BE49-F238E27FC236}">
                  <a16:creationId xmlns:a16="http://schemas.microsoft.com/office/drawing/2014/main" id="{E7BA6213-285C-43BC-A612-78F0F865A1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251B2C">
        <w:rPr>
          <w:rFonts w:ascii="Times New Roman" w:hAnsi="Times New Roman" w:cs="Times New Roman"/>
          <w:noProof/>
          <w:sz w:val="24"/>
          <w:szCs w:val="24"/>
          <w:lang w:eastAsia="en-GB"/>
        </w:rPr>
        <w:drawing>
          <wp:inline distT="0" distB="0" distL="0" distR="0" wp14:anchorId="666C4539" wp14:editId="62A87698">
            <wp:extent cx="2858770" cy="2171700"/>
            <wp:effectExtent l="0" t="0" r="17780" b="0"/>
            <wp:docPr id="52" name="Chart 52">
              <a:extLst xmlns:a="http://schemas.openxmlformats.org/drawingml/2006/main">
                <a:ext uri="{FF2B5EF4-FFF2-40B4-BE49-F238E27FC236}">
                  <a16:creationId xmlns:a16="http://schemas.microsoft.com/office/drawing/2014/main" id="{C911A514-EDC3-4DC9-A78A-7BC9436AD8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78DA468" w14:textId="23539263" w:rsidR="00A755F5" w:rsidRPr="00251B2C" w:rsidRDefault="00B65F21" w:rsidP="00A755F5">
      <w:pPr>
        <w:pStyle w:val="BodyText2"/>
        <w:rPr>
          <w:rFonts w:ascii="Times New Roman" w:hAnsi="Times New Roman" w:cs="Times New Roman"/>
          <w:sz w:val="24"/>
          <w:szCs w:val="24"/>
          <w:lang w:eastAsia="en-GB"/>
        </w:rPr>
      </w:pPr>
      <w:r>
        <w:rPr>
          <w:rFonts w:ascii="Times New Roman" w:hAnsi="Times New Roman" w:cs="Times New Roman"/>
          <w:sz w:val="24"/>
          <w:szCs w:val="24"/>
          <w:lang w:eastAsia="en-GB"/>
        </w:rPr>
        <w:t>With</w:t>
      </w:r>
      <w:r w:rsidR="00A755F5" w:rsidRPr="00251B2C">
        <w:rPr>
          <w:rFonts w:ascii="Times New Roman" w:hAnsi="Times New Roman" w:cs="Times New Roman"/>
          <w:sz w:val="24"/>
          <w:szCs w:val="24"/>
          <w:lang w:eastAsia="en-GB"/>
        </w:rPr>
        <w:t xml:space="preserve"> conventional bonds, the expected daily returns of ICD Funding provides a changing trend in </w:t>
      </w:r>
      <w:r w:rsidR="0029243E">
        <w:rPr>
          <w:rFonts w:ascii="Times New Roman" w:hAnsi="Times New Roman" w:cs="Times New Roman"/>
          <w:sz w:val="24"/>
          <w:szCs w:val="24"/>
          <w:lang w:eastAsia="en-GB"/>
        </w:rPr>
        <w:t>the</w:t>
      </w:r>
      <w:r w:rsidR="00A755F5" w:rsidRPr="00251B2C">
        <w:rPr>
          <w:rFonts w:ascii="Times New Roman" w:hAnsi="Times New Roman" w:cs="Times New Roman"/>
          <w:sz w:val="24"/>
          <w:szCs w:val="24"/>
          <w:lang w:eastAsia="en-GB"/>
        </w:rPr>
        <w:t>10 days</w:t>
      </w:r>
      <w:r>
        <w:rPr>
          <w:rFonts w:ascii="Times New Roman" w:hAnsi="Times New Roman" w:cs="Times New Roman"/>
          <w:sz w:val="24"/>
          <w:szCs w:val="24"/>
          <w:lang w:eastAsia="en-GB"/>
        </w:rPr>
        <w:t>’</w:t>
      </w:r>
      <w:r w:rsidR="00A755F5" w:rsidRPr="00251B2C">
        <w:rPr>
          <w:rFonts w:ascii="Times New Roman" w:hAnsi="Times New Roman" w:cs="Times New Roman"/>
          <w:sz w:val="24"/>
          <w:szCs w:val="24"/>
          <w:lang w:eastAsia="en-GB"/>
        </w:rPr>
        <w:t xml:space="preserve"> holding period applying the Monte Carlo simulation, which means that its daily returns are not stable compared to others. On the other hand, its expected returns </w:t>
      </w:r>
      <w:r>
        <w:rPr>
          <w:rFonts w:ascii="Times New Roman" w:hAnsi="Times New Roman" w:cs="Times New Roman"/>
          <w:sz w:val="24"/>
          <w:szCs w:val="24"/>
          <w:lang w:eastAsia="en-GB"/>
        </w:rPr>
        <w:t>appear</w:t>
      </w:r>
      <w:r w:rsidR="00A755F5" w:rsidRPr="00251B2C">
        <w:rPr>
          <w:rFonts w:ascii="Times New Roman" w:hAnsi="Times New Roman" w:cs="Times New Roman"/>
          <w:sz w:val="24"/>
          <w:szCs w:val="24"/>
          <w:lang w:eastAsia="en-GB"/>
        </w:rPr>
        <w:t xml:space="preserve"> stable and normally distributed in 5000 runs’ VaR e</w:t>
      </w:r>
      <w:r w:rsidR="0088025E">
        <w:rPr>
          <w:rFonts w:ascii="Times New Roman" w:hAnsi="Times New Roman" w:cs="Times New Roman"/>
          <w:sz w:val="24"/>
          <w:szCs w:val="24"/>
          <w:lang w:eastAsia="en-GB"/>
        </w:rPr>
        <w:t xml:space="preserve">stimates as presented in </w:t>
      </w:r>
      <w:r w:rsidR="009B1361">
        <w:rPr>
          <w:rFonts w:ascii="Times New Roman" w:hAnsi="Times New Roman" w:cs="Times New Roman"/>
          <w:sz w:val="24"/>
          <w:szCs w:val="24"/>
          <w:lang w:eastAsia="en-GB"/>
        </w:rPr>
        <w:t>Figure 7</w:t>
      </w:r>
      <w:r w:rsidR="00A755F5" w:rsidRPr="00251B2C">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while</w:t>
      </w:r>
      <w:r w:rsidR="00A755F5" w:rsidRPr="00251B2C">
        <w:rPr>
          <w:rFonts w:ascii="Times New Roman" w:hAnsi="Times New Roman" w:cs="Times New Roman"/>
          <w:sz w:val="24"/>
          <w:szCs w:val="24"/>
          <w:lang w:eastAsia="en-GB"/>
        </w:rPr>
        <w:t xml:space="preserve"> Emirates NBD BJSC-14 are more stable and normally distributed after performing 5000</w:t>
      </w:r>
      <w:r w:rsidR="00C97050">
        <w:rPr>
          <w:rFonts w:ascii="Times New Roman" w:hAnsi="Times New Roman" w:cs="Times New Roman"/>
          <w:sz w:val="24"/>
          <w:szCs w:val="24"/>
          <w:lang w:eastAsia="en-GB"/>
        </w:rPr>
        <w:t xml:space="preserve"> simulations</w:t>
      </w:r>
      <w:r w:rsidR="00A755F5" w:rsidRPr="00251B2C">
        <w:rPr>
          <w:rFonts w:ascii="Times New Roman" w:hAnsi="Times New Roman" w:cs="Times New Roman"/>
          <w:sz w:val="24"/>
          <w:szCs w:val="24"/>
          <w:lang w:eastAsia="en-GB"/>
        </w:rPr>
        <w:t xml:space="preserve"> (see </w:t>
      </w:r>
      <w:r w:rsidR="00917B0E">
        <w:rPr>
          <w:rFonts w:ascii="Times New Roman" w:hAnsi="Times New Roman" w:cs="Times New Roman"/>
          <w:sz w:val="24"/>
          <w:szCs w:val="24"/>
          <w:lang w:eastAsia="en-GB"/>
        </w:rPr>
        <w:t>A</w:t>
      </w:r>
      <w:r w:rsidR="00A755F5" w:rsidRPr="00251B2C">
        <w:rPr>
          <w:rFonts w:ascii="Times New Roman" w:hAnsi="Times New Roman" w:cs="Times New Roman"/>
          <w:sz w:val="24"/>
          <w:szCs w:val="24"/>
          <w:lang w:eastAsia="en-GB"/>
        </w:rPr>
        <w:t>ppendix C).</w:t>
      </w:r>
    </w:p>
    <w:p w14:paraId="0FE9238B" w14:textId="327C6C25" w:rsidR="00A755F5" w:rsidRPr="00251B2C" w:rsidRDefault="009B1361" w:rsidP="00A755F5">
      <w:pPr>
        <w:pStyle w:val="Caption"/>
        <w:keepNext/>
        <w:jc w:val="left"/>
        <w:rPr>
          <w:rFonts w:ascii="Times New Roman" w:hAnsi="Times New Roman" w:cs="Times New Roman"/>
          <w:sz w:val="24"/>
          <w:szCs w:val="24"/>
        </w:rPr>
      </w:pPr>
      <w:bookmarkStart w:id="101" w:name="_Toc481617438"/>
      <w:r w:rsidRPr="009B1361">
        <w:rPr>
          <w:rFonts w:ascii="Times New Roman" w:hAnsi="Times New Roman" w:cs="Times New Roman"/>
          <w:sz w:val="24"/>
          <w:szCs w:val="24"/>
        </w:rPr>
        <w:lastRenderedPageBreak/>
        <w:t>Figure 7</w:t>
      </w:r>
      <w:r w:rsidR="00546532" w:rsidRPr="009B1361">
        <w:rPr>
          <w:rFonts w:ascii="Times New Roman" w:hAnsi="Times New Roman" w:cs="Times New Roman"/>
          <w:sz w:val="24"/>
          <w:szCs w:val="24"/>
        </w:rPr>
        <w:t>:</w:t>
      </w:r>
      <w:r w:rsidR="00546532">
        <w:rPr>
          <w:rFonts w:ascii="Times New Roman" w:hAnsi="Times New Roman" w:cs="Times New Roman"/>
          <w:sz w:val="24"/>
          <w:szCs w:val="24"/>
        </w:rPr>
        <w:t xml:space="preserve"> Conventional Bonds Distribution in Line Chart and H</w:t>
      </w:r>
      <w:r w:rsidR="00A755F5" w:rsidRPr="00251B2C">
        <w:rPr>
          <w:rFonts w:ascii="Times New Roman" w:hAnsi="Times New Roman" w:cs="Times New Roman"/>
          <w:sz w:val="24"/>
          <w:szCs w:val="24"/>
        </w:rPr>
        <w:t>istogram</w:t>
      </w:r>
      <w:bookmarkEnd w:id="101"/>
    </w:p>
    <w:p w14:paraId="2B44DD02" w14:textId="73688F85" w:rsidR="00A755F5" w:rsidRPr="00251B2C" w:rsidRDefault="00A755F5" w:rsidP="00C97050">
      <w:pPr>
        <w:rPr>
          <w:rFonts w:ascii="Times New Roman" w:hAnsi="Times New Roman" w:cs="Times New Roman"/>
          <w:b/>
          <w:sz w:val="24"/>
          <w:szCs w:val="24"/>
          <w:lang w:eastAsia="en-GB"/>
        </w:rPr>
      </w:pPr>
      <w:r w:rsidRPr="00251B2C">
        <w:rPr>
          <w:rFonts w:ascii="Times New Roman" w:hAnsi="Times New Roman" w:cs="Times New Roman"/>
          <w:noProof/>
          <w:sz w:val="24"/>
          <w:szCs w:val="24"/>
          <w:lang w:eastAsia="en-GB"/>
        </w:rPr>
        <w:drawing>
          <wp:inline distT="0" distB="0" distL="0" distR="0" wp14:anchorId="73DA8BB8" wp14:editId="222EFE44">
            <wp:extent cx="2625725" cy="2400300"/>
            <wp:effectExtent l="0" t="0" r="3175" b="0"/>
            <wp:docPr id="56" name="Chart 56">
              <a:extLst xmlns:a="http://schemas.openxmlformats.org/drawingml/2006/main">
                <a:ext uri="{FF2B5EF4-FFF2-40B4-BE49-F238E27FC236}">
                  <a16:creationId xmlns:a16="http://schemas.microsoft.com/office/drawing/2014/main" id="{E7BA6213-285C-43BC-A612-78F0F865A1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251B2C">
        <w:rPr>
          <w:rFonts w:ascii="Times New Roman" w:hAnsi="Times New Roman" w:cs="Times New Roman"/>
          <w:noProof/>
          <w:sz w:val="24"/>
          <w:szCs w:val="24"/>
          <w:lang w:eastAsia="en-GB"/>
        </w:rPr>
        <w:drawing>
          <wp:inline distT="0" distB="0" distL="0" distR="0" wp14:anchorId="7FDD4A3F" wp14:editId="67764107">
            <wp:extent cx="2925445" cy="2400300"/>
            <wp:effectExtent l="0" t="0" r="8255" b="0"/>
            <wp:docPr id="58" name="Chart 58">
              <a:extLst xmlns:a="http://schemas.openxmlformats.org/drawingml/2006/main">
                <a:ext uri="{FF2B5EF4-FFF2-40B4-BE49-F238E27FC236}">
                  <a16:creationId xmlns:a16="http://schemas.microsoft.com/office/drawing/2014/main" id="{B3DF0241-79BD-482C-AD7F-3A9A75B6A6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251B2C">
        <w:rPr>
          <w:rFonts w:ascii="Times New Roman" w:hAnsi="Times New Roman" w:cs="Times New Roman"/>
          <w:b/>
          <w:sz w:val="24"/>
          <w:szCs w:val="24"/>
          <w:lang w:eastAsia="en-GB"/>
        </w:rPr>
        <w:br/>
      </w:r>
      <w:r w:rsidRPr="00251B2C">
        <w:rPr>
          <w:rFonts w:ascii="Times New Roman" w:hAnsi="Times New Roman" w:cs="Times New Roman"/>
          <w:b/>
          <w:sz w:val="24"/>
          <w:szCs w:val="24"/>
          <w:lang w:eastAsia="en-GB"/>
        </w:rPr>
        <w:br/>
      </w:r>
      <w:r w:rsidRPr="00251B2C">
        <w:rPr>
          <w:rFonts w:ascii="Times New Roman" w:hAnsi="Times New Roman" w:cs="Times New Roman"/>
          <w:noProof/>
          <w:sz w:val="24"/>
          <w:szCs w:val="24"/>
          <w:lang w:eastAsia="en-GB"/>
        </w:rPr>
        <w:drawing>
          <wp:inline distT="0" distB="0" distL="0" distR="0" wp14:anchorId="3EA9AA58" wp14:editId="0DF8D507">
            <wp:extent cx="2637790" cy="2051685"/>
            <wp:effectExtent l="0" t="0" r="10160" b="5715"/>
            <wp:docPr id="60" name="Chart 60">
              <a:extLst xmlns:a="http://schemas.openxmlformats.org/drawingml/2006/main">
                <a:ext uri="{FF2B5EF4-FFF2-40B4-BE49-F238E27FC236}">
                  <a16:creationId xmlns:a16="http://schemas.microsoft.com/office/drawing/2014/main" id="{AE83FC39-3E8F-4310-B39E-DA2AAC6B1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251B2C">
        <w:rPr>
          <w:rFonts w:ascii="Times New Roman" w:hAnsi="Times New Roman" w:cs="Times New Roman"/>
          <w:noProof/>
          <w:sz w:val="24"/>
          <w:szCs w:val="24"/>
          <w:lang w:eastAsia="en-GB"/>
        </w:rPr>
        <w:drawing>
          <wp:inline distT="0" distB="0" distL="0" distR="0" wp14:anchorId="1E1125F7" wp14:editId="12EA45F5">
            <wp:extent cx="2886710" cy="2057400"/>
            <wp:effectExtent l="0" t="0" r="8890" b="0"/>
            <wp:docPr id="61" name="Chart 61">
              <a:extLst xmlns:a="http://schemas.openxmlformats.org/drawingml/2006/main">
                <a:ext uri="{FF2B5EF4-FFF2-40B4-BE49-F238E27FC236}">
                  <a16:creationId xmlns:a16="http://schemas.microsoft.com/office/drawing/2014/main" id="{C02357C9-DAAD-4A05-848C-2E866360D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89AE28C" w14:textId="77777777" w:rsidR="00C97050" w:rsidRDefault="00C97050" w:rsidP="00A755F5">
      <w:pPr>
        <w:pStyle w:val="Heading2"/>
        <w:rPr>
          <w:rFonts w:ascii="Times New Roman" w:hAnsi="Times New Roman" w:cs="Times New Roman"/>
          <w:sz w:val="24"/>
          <w:szCs w:val="24"/>
        </w:rPr>
      </w:pPr>
      <w:bookmarkStart w:id="102" w:name="_Toc481617410"/>
    </w:p>
    <w:p w14:paraId="0BDF65FA" w14:textId="0D56DE4D" w:rsidR="00A755F5" w:rsidRPr="00251B2C" w:rsidRDefault="00A755F5" w:rsidP="00A755F5">
      <w:pPr>
        <w:pStyle w:val="Heading2"/>
        <w:rPr>
          <w:rFonts w:ascii="Times New Roman" w:hAnsi="Times New Roman" w:cs="Times New Roman"/>
          <w:sz w:val="24"/>
          <w:szCs w:val="24"/>
        </w:rPr>
      </w:pPr>
      <w:r w:rsidRPr="00251B2C">
        <w:rPr>
          <w:rFonts w:ascii="Times New Roman" w:hAnsi="Times New Roman" w:cs="Times New Roman"/>
          <w:sz w:val="24"/>
          <w:szCs w:val="24"/>
        </w:rPr>
        <w:t>Comparing VaR Results of Historical and Monte Carlo Simulation</w:t>
      </w:r>
      <w:bookmarkEnd w:id="102"/>
    </w:p>
    <w:p w14:paraId="1457EFE8" w14:textId="613B4910" w:rsidR="00A755F5" w:rsidRPr="00251B2C" w:rsidRDefault="009257A1" w:rsidP="00A755F5">
      <w:pPr>
        <w:pStyle w:val="ListParagraph"/>
        <w:spacing w:before="120" w:after="120" w:line="360" w:lineRule="auto"/>
        <w:ind w:left="0"/>
        <w:jc w:val="both"/>
        <w:rPr>
          <w:rStyle w:val="mceitemhidden"/>
          <w:rFonts w:ascii="Times New Roman" w:hAnsi="Times New Roman" w:cs="Times New Roman"/>
          <w:color w:val="000000"/>
          <w:sz w:val="24"/>
          <w:szCs w:val="24"/>
          <w:shd w:val="clear" w:color="auto" w:fill="FFFFFF"/>
        </w:rPr>
      </w:pPr>
      <w:r>
        <w:rPr>
          <w:rStyle w:val="mceitemhidden"/>
          <w:rFonts w:ascii="Times New Roman" w:hAnsi="Times New Roman" w:cs="Times New Roman"/>
          <w:color w:val="000000"/>
          <w:sz w:val="24"/>
          <w:szCs w:val="24"/>
          <w:shd w:val="clear" w:color="auto" w:fill="FFFFFF"/>
        </w:rPr>
        <w:t>C</w:t>
      </w:r>
      <w:r w:rsidRPr="00251B2C">
        <w:rPr>
          <w:rStyle w:val="mceitemhidden"/>
          <w:rFonts w:ascii="Times New Roman" w:hAnsi="Times New Roman" w:cs="Times New Roman"/>
          <w:color w:val="000000"/>
          <w:sz w:val="24"/>
          <w:szCs w:val="24"/>
          <w:shd w:val="clear" w:color="auto" w:fill="FFFFFF"/>
        </w:rPr>
        <w:t>omparison</w:t>
      </w:r>
      <w:r w:rsidR="00917B0E">
        <w:rPr>
          <w:rStyle w:val="mceitemhidden"/>
          <w:rFonts w:ascii="Times New Roman" w:hAnsi="Times New Roman" w:cs="Times New Roman"/>
          <w:color w:val="000000"/>
          <w:sz w:val="24"/>
          <w:szCs w:val="24"/>
          <w:shd w:val="clear" w:color="auto" w:fill="FFFFFF"/>
        </w:rPr>
        <w:t xml:space="preserve"> is</w:t>
      </w:r>
      <w:r>
        <w:rPr>
          <w:rStyle w:val="mceitemhidden"/>
          <w:rFonts w:ascii="Times New Roman" w:hAnsi="Times New Roman" w:cs="Times New Roman"/>
          <w:color w:val="000000"/>
          <w:sz w:val="24"/>
          <w:szCs w:val="24"/>
          <w:shd w:val="clear" w:color="auto" w:fill="FFFFFF"/>
        </w:rPr>
        <w:t>, now,</w:t>
      </w:r>
      <w:r w:rsidR="00917B0E">
        <w:rPr>
          <w:rStyle w:val="mceitemhidden"/>
          <w:rFonts w:ascii="Times New Roman" w:hAnsi="Times New Roman" w:cs="Times New Roman"/>
          <w:color w:val="000000"/>
          <w:sz w:val="24"/>
          <w:szCs w:val="24"/>
          <w:shd w:val="clear" w:color="auto" w:fill="FFFFFF"/>
        </w:rPr>
        <w:t xml:space="preserve"> offered of</w:t>
      </w:r>
      <w:r w:rsidR="00A755F5" w:rsidRPr="00251B2C">
        <w:rPr>
          <w:rStyle w:val="mceitemhidden"/>
          <w:rFonts w:ascii="Times New Roman" w:hAnsi="Times New Roman" w:cs="Times New Roman"/>
          <w:color w:val="000000"/>
          <w:sz w:val="24"/>
          <w:szCs w:val="24"/>
          <w:shd w:val="clear" w:color="auto" w:fill="FFFFFF"/>
        </w:rPr>
        <w:t xml:space="preserve">  both methods</w:t>
      </w:r>
      <w:r w:rsidR="00717AAF">
        <w:rPr>
          <w:rStyle w:val="mceitemhidden"/>
          <w:rFonts w:ascii="Times New Roman" w:hAnsi="Times New Roman" w:cs="Times New Roman"/>
          <w:color w:val="000000"/>
          <w:sz w:val="24"/>
          <w:szCs w:val="24"/>
          <w:shd w:val="clear" w:color="auto" w:fill="FFFFFF"/>
        </w:rPr>
        <w:t>’ results</w:t>
      </w:r>
      <w:r w:rsidR="00A755F5" w:rsidRPr="00251B2C">
        <w:rPr>
          <w:rStyle w:val="mceitemhidden"/>
          <w:rFonts w:ascii="Times New Roman" w:hAnsi="Times New Roman" w:cs="Times New Roman"/>
          <w:color w:val="000000"/>
          <w:sz w:val="24"/>
          <w:szCs w:val="24"/>
          <w:shd w:val="clear" w:color="auto" w:fill="FFFFFF"/>
        </w:rPr>
        <w:t xml:space="preserve"> of VaR calculations in </w:t>
      </w:r>
      <w:r w:rsidR="00917B0E">
        <w:rPr>
          <w:rStyle w:val="mceitemhidden"/>
          <w:rFonts w:ascii="Times New Roman" w:hAnsi="Times New Roman" w:cs="Times New Roman"/>
          <w:color w:val="000000"/>
          <w:sz w:val="24"/>
          <w:szCs w:val="24"/>
          <w:shd w:val="clear" w:color="auto" w:fill="FFFFFF"/>
        </w:rPr>
        <w:t>H</w:t>
      </w:r>
      <w:r w:rsidR="00A755F5" w:rsidRPr="00251B2C">
        <w:rPr>
          <w:rStyle w:val="mceitemhidden"/>
          <w:rFonts w:ascii="Times New Roman" w:hAnsi="Times New Roman" w:cs="Times New Roman"/>
          <w:color w:val="000000"/>
          <w:sz w:val="24"/>
          <w:szCs w:val="24"/>
          <w:shd w:val="clear" w:color="auto" w:fill="FFFFFF"/>
        </w:rPr>
        <w:t>istorical and Monte Carlo simulation</w:t>
      </w:r>
      <w:r w:rsidR="00917B0E">
        <w:rPr>
          <w:rStyle w:val="mceitemhidden"/>
          <w:rFonts w:ascii="Times New Roman" w:hAnsi="Times New Roman" w:cs="Times New Roman"/>
          <w:color w:val="000000"/>
          <w:sz w:val="24"/>
          <w:szCs w:val="24"/>
          <w:shd w:val="clear" w:color="auto" w:fill="FFFFFF"/>
        </w:rPr>
        <w:t>s</w:t>
      </w:r>
      <w:r w:rsidR="00A755F5" w:rsidRPr="00251B2C">
        <w:rPr>
          <w:rStyle w:val="mceitemhidden"/>
          <w:rFonts w:ascii="Times New Roman" w:hAnsi="Times New Roman" w:cs="Times New Roman"/>
          <w:color w:val="000000"/>
          <w:sz w:val="24"/>
          <w:szCs w:val="24"/>
          <w:shd w:val="clear" w:color="auto" w:fill="FFFFFF"/>
        </w:rPr>
        <w:t xml:space="preserve"> (MCS)</w:t>
      </w:r>
      <w:r w:rsidR="00A755F5" w:rsidRPr="00251B2C">
        <w:rPr>
          <w:rStyle w:val="apple-converted-space"/>
          <w:rFonts w:ascii="Times New Roman" w:hAnsi="Times New Roman" w:cs="Times New Roman"/>
          <w:color w:val="000000"/>
          <w:sz w:val="24"/>
          <w:szCs w:val="24"/>
          <w:shd w:val="clear" w:color="auto" w:fill="FFFFFF"/>
        </w:rPr>
        <w:t> </w:t>
      </w:r>
      <w:r w:rsidR="00A755F5" w:rsidRPr="00251B2C">
        <w:rPr>
          <w:rStyle w:val="hiddengrammarerror"/>
          <w:rFonts w:ascii="Times New Roman" w:hAnsi="Times New Roman" w:cs="Times New Roman"/>
          <w:color w:val="000000"/>
          <w:sz w:val="24"/>
          <w:szCs w:val="24"/>
          <w:shd w:val="clear" w:color="auto" w:fill="FFFFFF"/>
        </w:rPr>
        <w:t>as reported</w:t>
      </w:r>
      <w:r w:rsidR="00A755F5" w:rsidRPr="00251B2C">
        <w:rPr>
          <w:rStyle w:val="apple-converted-space"/>
          <w:rFonts w:ascii="Times New Roman" w:hAnsi="Times New Roman" w:cs="Times New Roman"/>
          <w:color w:val="000000"/>
          <w:sz w:val="24"/>
          <w:szCs w:val="24"/>
          <w:shd w:val="clear" w:color="auto" w:fill="FFFFFF"/>
        </w:rPr>
        <w:t> </w:t>
      </w:r>
      <w:r w:rsidR="00A755F5" w:rsidRPr="00251B2C">
        <w:rPr>
          <w:rStyle w:val="mceitemhidden"/>
          <w:rFonts w:ascii="Times New Roman" w:hAnsi="Times New Roman" w:cs="Times New Roman"/>
          <w:color w:val="000000"/>
          <w:sz w:val="24"/>
          <w:szCs w:val="24"/>
          <w:shd w:val="clear" w:color="auto" w:fill="FFFFFF"/>
        </w:rPr>
        <w:t xml:space="preserve">in </w:t>
      </w:r>
      <w:r w:rsidR="009B1361">
        <w:rPr>
          <w:rFonts w:ascii="Times New Roman" w:hAnsi="Times New Roman" w:cs="Times New Roman"/>
          <w:sz w:val="24"/>
          <w:szCs w:val="24"/>
        </w:rPr>
        <w:t>Figure</w:t>
      </w:r>
      <w:r w:rsidR="00917B0E">
        <w:rPr>
          <w:rFonts w:ascii="Times New Roman" w:hAnsi="Times New Roman" w:cs="Times New Roman"/>
          <w:sz w:val="24"/>
          <w:szCs w:val="24"/>
        </w:rPr>
        <w:t>s</w:t>
      </w:r>
      <w:r w:rsidR="001430D4">
        <w:rPr>
          <w:rFonts w:ascii="Times New Roman" w:hAnsi="Times New Roman" w:cs="Times New Roman"/>
          <w:sz w:val="24"/>
          <w:szCs w:val="24"/>
        </w:rPr>
        <w:t xml:space="preserve"> </w:t>
      </w:r>
      <w:r w:rsidR="009B1361">
        <w:rPr>
          <w:rStyle w:val="mceitemhidden"/>
          <w:rFonts w:ascii="Times New Roman" w:hAnsi="Times New Roman" w:cs="Times New Roman"/>
          <w:color w:val="000000"/>
          <w:sz w:val="24"/>
          <w:szCs w:val="24"/>
          <w:shd w:val="clear" w:color="auto" w:fill="FFFFFF"/>
        </w:rPr>
        <w:t>6 and 7</w:t>
      </w:r>
      <w:r w:rsidR="00A755F5" w:rsidRPr="00251B2C">
        <w:rPr>
          <w:rStyle w:val="mceitemhidden"/>
          <w:rFonts w:ascii="Times New Roman" w:hAnsi="Times New Roman" w:cs="Times New Roman"/>
          <w:color w:val="000000"/>
          <w:sz w:val="24"/>
          <w:szCs w:val="24"/>
          <w:shd w:val="clear" w:color="auto" w:fill="FFFFFF"/>
        </w:rPr>
        <w:t>. The worst expected loss of values in a day for</w:t>
      </w:r>
      <w:r w:rsidR="00A755F5" w:rsidRPr="00251B2C">
        <w:rPr>
          <w:rStyle w:val="apple-converted-space"/>
          <w:rFonts w:ascii="Times New Roman" w:hAnsi="Times New Roman" w:cs="Times New Roman"/>
          <w:color w:val="000000"/>
          <w:sz w:val="24"/>
          <w:szCs w:val="24"/>
          <w:shd w:val="clear" w:color="auto" w:fill="FFFFFF"/>
        </w:rPr>
        <w:t> </w:t>
      </w:r>
      <w:r w:rsidR="000F4C35" w:rsidRPr="003051D4">
        <w:rPr>
          <w:rFonts w:ascii="Times New Roman" w:hAnsi="Times New Roman" w:cs="Times New Roman"/>
          <w:i/>
          <w:iCs/>
          <w:sz w:val="24"/>
          <w:szCs w:val="24"/>
        </w:rPr>
        <w:t>Sukuk</w:t>
      </w:r>
      <w:r w:rsidR="00A755F5" w:rsidRPr="00251B2C">
        <w:rPr>
          <w:rStyle w:val="apple-converted-space"/>
          <w:rFonts w:ascii="Times New Roman" w:hAnsi="Times New Roman" w:cs="Times New Roman"/>
          <w:color w:val="000000"/>
          <w:sz w:val="24"/>
          <w:szCs w:val="24"/>
          <w:shd w:val="clear" w:color="auto" w:fill="FFFFFF"/>
        </w:rPr>
        <w:t> </w:t>
      </w:r>
      <w:r w:rsidR="00A755F5" w:rsidRPr="00251B2C">
        <w:rPr>
          <w:rStyle w:val="mceitemhidden"/>
          <w:rFonts w:ascii="Times New Roman" w:hAnsi="Times New Roman" w:cs="Times New Roman"/>
          <w:color w:val="000000"/>
          <w:sz w:val="24"/>
          <w:szCs w:val="24"/>
          <w:shd w:val="clear" w:color="auto" w:fill="FFFFFF"/>
        </w:rPr>
        <w:t>and bonds’ portfolios</w:t>
      </w:r>
      <w:r w:rsidR="00A755F5" w:rsidRPr="00251B2C">
        <w:rPr>
          <w:rStyle w:val="apple-converted-space"/>
          <w:rFonts w:ascii="Times New Roman" w:hAnsi="Times New Roman" w:cs="Times New Roman"/>
          <w:color w:val="000000"/>
          <w:sz w:val="24"/>
          <w:szCs w:val="24"/>
          <w:shd w:val="clear" w:color="auto" w:fill="FFFFFF"/>
        </w:rPr>
        <w:t> </w:t>
      </w:r>
      <w:r w:rsidR="00A755F5" w:rsidRPr="00251B2C">
        <w:rPr>
          <w:rStyle w:val="hiddengrammarerror"/>
          <w:rFonts w:ascii="Times New Roman" w:hAnsi="Times New Roman" w:cs="Times New Roman"/>
          <w:color w:val="000000"/>
          <w:sz w:val="24"/>
          <w:szCs w:val="24"/>
          <w:shd w:val="clear" w:color="auto" w:fill="FFFFFF"/>
        </w:rPr>
        <w:t>are calculated</w:t>
      </w:r>
      <w:r w:rsidR="00A755F5" w:rsidRPr="00251B2C">
        <w:rPr>
          <w:rStyle w:val="apple-converted-space"/>
          <w:rFonts w:ascii="Times New Roman" w:hAnsi="Times New Roman" w:cs="Times New Roman"/>
          <w:color w:val="000000"/>
          <w:sz w:val="24"/>
          <w:szCs w:val="24"/>
          <w:shd w:val="clear" w:color="auto" w:fill="FFFFFF"/>
        </w:rPr>
        <w:t xml:space="preserve"> by multiplying the worst daily returns of VaR estimates with a </w:t>
      </w:r>
      <w:r w:rsidR="00A755F5" w:rsidRPr="00251B2C">
        <w:rPr>
          <w:rStyle w:val="mceitemhidden"/>
          <w:rFonts w:ascii="Times New Roman" w:hAnsi="Times New Roman" w:cs="Times New Roman"/>
          <w:color w:val="000000"/>
          <w:sz w:val="24"/>
          <w:szCs w:val="24"/>
          <w:shd w:val="clear" w:color="auto" w:fill="FFFFFF"/>
        </w:rPr>
        <w:t>hypothetical portfolio value of $100,000. For example, historical simulation method shows a</w:t>
      </w:r>
      <w:r w:rsidR="00A755F5" w:rsidRPr="00251B2C">
        <w:rPr>
          <w:rStyle w:val="apple-converted-space"/>
          <w:rFonts w:ascii="Times New Roman" w:hAnsi="Times New Roman" w:cs="Times New Roman"/>
          <w:color w:val="000000"/>
          <w:sz w:val="24"/>
          <w:szCs w:val="24"/>
          <w:shd w:val="clear" w:color="auto" w:fill="FFFFFF"/>
        </w:rPr>
        <w:t> </w:t>
      </w:r>
      <w:r w:rsidR="00A755F5" w:rsidRPr="00251B2C">
        <w:rPr>
          <w:rFonts w:ascii="Times New Roman" w:hAnsi="Times New Roman" w:cs="Times New Roman"/>
          <w:color w:val="000000"/>
          <w:sz w:val="24"/>
          <w:szCs w:val="24"/>
          <w:shd w:val="clear" w:color="auto" w:fill="FFFFFF"/>
        </w:rPr>
        <w:t>VaR of $900 for a portfolio of</w:t>
      </w:r>
      <w:r w:rsidR="00A755F5" w:rsidRPr="00251B2C">
        <w:rPr>
          <w:rStyle w:val="apple-converted-space"/>
          <w:rFonts w:ascii="Times New Roman" w:hAnsi="Times New Roman" w:cs="Times New Roman"/>
          <w:color w:val="000000"/>
          <w:sz w:val="24"/>
          <w:szCs w:val="24"/>
          <w:shd w:val="clear" w:color="auto" w:fill="FFFFFF"/>
        </w:rPr>
        <w:t> </w:t>
      </w:r>
      <w:r w:rsidR="000F4C35" w:rsidRPr="003051D4">
        <w:rPr>
          <w:rFonts w:ascii="Times New Roman" w:hAnsi="Times New Roman" w:cs="Times New Roman"/>
          <w:i/>
          <w:iCs/>
          <w:color w:val="000000"/>
          <w:sz w:val="24"/>
          <w:szCs w:val="24"/>
          <w:shd w:val="clear" w:color="auto" w:fill="FFFFFF"/>
        </w:rPr>
        <w:t>Sukuk</w:t>
      </w:r>
      <w:r w:rsidR="00A755F5" w:rsidRPr="00251B2C">
        <w:rPr>
          <w:rStyle w:val="apple-converted-space"/>
          <w:rFonts w:ascii="Times New Roman" w:hAnsi="Times New Roman" w:cs="Times New Roman"/>
          <w:color w:val="000000"/>
          <w:sz w:val="24"/>
          <w:szCs w:val="24"/>
          <w:shd w:val="clear" w:color="auto" w:fill="FFFFFF"/>
        </w:rPr>
        <w:t> </w:t>
      </w:r>
      <w:r w:rsidR="00A755F5" w:rsidRPr="00251B2C">
        <w:rPr>
          <w:rFonts w:ascii="Times New Roman" w:hAnsi="Times New Roman" w:cs="Times New Roman"/>
          <w:color w:val="000000"/>
          <w:sz w:val="24"/>
          <w:szCs w:val="24"/>
          <w:shd w:val="clear" w:color="auto" w:fill="FFFFFF"/>
        </w:rPr>
        <w:t>issuance and a VaR of $480 for bonds’ portfolio. This implies that one can expect the maximum daily loss on the market value of the</w:t>
      </w:r>
      <w:r w:rsidR="00A755F5" w:rsidRPr="00251B2C">
        <w:rPr>
          <w:rStyle w:val="apple-converted-space"/>
          <w:rFonts w:ascii="Times New Roman" w:hAnsi="Times New Roman" w:cs="Times New Roman"/>
          <w:color w:val="000000"/>
          <w:sz w:val="24"/>
          <w:szCs w:val="24"/>
          <w:shd w:val="clear" w:color="auto" w:fill="FFFFFF"/>
        </w:rPr>
        <w:t> </w:t>
      </w:r>
      <w:r w:rsidR="000F4C35" w:rsidRPr="003051D4">
        <w:rPr>
          <w:rFonts w:ascii="Times New Roman" w:hAnsi="Times New Roman" w:cs="Times New Roman"/>
          <w:i/>
          <w:iCs/>
          <w:sz w:val="24"/>
          <w:szCs w:val="24"/>
        </w:rPr>
        <w:t>Sukuk</w:t>
      </w:r>
      <w:r w:rsidR="00A755F5" w:rsidRPr="00251B2C">
        <w:rPr>
          <w:rStyle w:val="apple-converted-space"/>
          <w:rFonts w:ascii="Times New Roman" w:hAnsi="Times New Roman" w:cs="Times New Roman"/>
          <w:color w:val="000000"/>
          <w:sz w:val="24"/>
          <w:szCs w:val="24"/>
          <w:shd w:val="clear" w:color="auto" w:fill="FFFFFF"/>
        </w:rPr>
        <w:t> </w:t>
      </w:r>
      <w:r w:rsidR="00A755F5" w:rsidRPr="00251B2C">
        <w:rPr>
          <w:rStyle w:val="mceitemhidden"/>
          <w:rFonts w:ascii="Times New Roman" w:hAnsi="Times New Roman" w:cs="Times New Roman"/>
          <w:color w:val="000000"/>
          <w:sz w:val="24"/>
          <w:szCs w:val="24"/>
          <w:shd w:val="clear" w:color="auto" w:fill="FFFFFF"/>
        </w:rPr>
        <w:t>portfolio</w:t>
      </w:r>
      <w:r w:rsidR="00A755F5" w:rsidRPr="00251B2C">
        <w:rPr>
          <w:rStyle w:val="apple-converted-space"/>
          <w:rFonts w:ascii="Times New Roman" w:hAnsi="Times New Roman" w:cs="Times New Roman"/>
          <w:color w:val="000000"/>
          <w:sz w:val="24"/>
          <w:szCs w:val="24"/>
          <w:shd w:val="clear" w:color="auto" w:fill="FFFFFF"/>
        </w:rPr>
        <w:t> </w:t>
      </w:r>
      <w:r w:rsidR="00A755F5" w:rsidRPr="00251B2C">
        <w:rPr>
          <w:rStyle w:val="hiddengrammarerror"/>
          <w:rFonts w:ascii="Times New Roman" w:hAnsi="Times New Roman" w:cs="Times New Roman"/>
          <w:color w:val="000000"/>
          <w:sz w:val="24"/>
          <w:szCs w:val="24"/>
          <w:shd w:val="clear" w:color="auto" w:fill="FFFFFF"/>
        </w:rPr>
        <w:t>will not be</w:t>
      </w:r>
      <w:r w:rsidR="00A755F5" w:rsidRPr="00251B2C">
        <w:rPr>
          <w:rStyle w:val="apple-converted-space"/>
          <w:rFonts w:ascii="Times New Roman" w:hAnsi="Times New Roman" w:cs="Times New Roman"/>
          <w:color w:val="000000"/>
          <w:sz w:val="24"/>
          <w:szCs w:val="24"/>
          <w:shd w:val="clear" w:color="auto" w:fill="FFFFFF"/>
        </w:rPr>
        <w:t> </w:t>
      </w:r>
      <w:r w:rsidR="00A755F5" w:rsidRPr="00251B2C">
        <w:rPr>
          <w:rStyle w:val="mceitemhidden"/>
          <w:rFonts w:ascii="Times New Roman" w:hAnsi="Times New Roman" w:cs="Times New Roman"/>
          <w:color w:val="000000"/>
          <w:sz w:val="24"/>
          <w:szCs w:val="24"/>
          <w:shd w:val="clear" w:color="auto" w:fill="FFFFFF"/>
        </w:rPr>
        <w:t>larger than $900 and for bonds’ portfolios</w:t>
      </w:r>
      <w:r w:rsidR="00A755F5" w:rsidRPr="00251B2C">
        <w:rPr>
          <w:rStyle w:val="apple-converted-space"/>
          <w:rFonts w:ascii="Times New Roman" w:hAnsi="Times New Roman" w:cs="Times New Roman"/>
          <w:color w:val="000000"/>
          <w:sz w:val="24"/>
          <w:szCs w:val="24"/>
          <w:shd w:val="clear" w:color="auto" w:fill="FFFFFF"/>
        </w:rPr>
        <w:t> </w:t>
      </w:r>
      <w:r w:rsidR="00A755F5" w:rsidRPr="00251B2C">
        <w:rPr>
          <w:rStyle w:val="hiddengrammarerror"/>
          <w:rFonts w:ascii="Times New Roman" w:hAnsi="Times New Roman" w:cs="Times New Roman"/>
          <w:color w:val="000000"/>
          <w:sz w:val="24"/>
          <w:szCs w:val="24"/>
          <w:shd w:val="clear" w:color="auto" w:fill="FFFFFF"/>
        </w:rPr>
        <w:t>will not be</w:t>
      </w:r>
      <w:r w:rsidR="00A755F5" w:rsidRPr="00251B2C">
        <w:rPr>
          <w:rStyle w:val="apple-converted-space"/>
          <w:rFonts w:ascii="Times New Roman" w:hAnsi="Times New Roman" w:cs="Times New Roman"/>
          <w:color w:val="000000"/>
          <w:sz w:val="24"/>
          <w:szCs w:val="24"/>
          <w:shd w:val="clear" w:color="auto" w:fill="FFFFFF"/>
        </w:rPr>
        <w:t> </w:t>
      </w:r>
      <w:r w:rsidR="008B1018">
        <w:rPr>
          <w:rStyle w:val="mceitemhidden"/>
          <w:rFonts w:ascii="Times New Roman" w:hAnsi="Times New Roman" w:cs="Times New Roman"/>
          <w:color w:val="000000"/>
          <w:sz w:val="24"/>
          <w:szCs w:val="24"/>
          <w:shd w:val="clear" w:color="auto" w:fill="FFFFFF"/>
        </w:rPr>
        <w:t>greater</w:t>
      </w:r>
      <w:r w:rsidR="00A755F5" w:rsidRPr="00251B2C">
        <w:rPr>
          <w:rStyle w:val="mceitemhidden"/>
          <w:rFonts w:ascii="Times New Roman" w:hAnsi="Times New Roman" w:cs="Times New Roman"/>
          <w:color w:val="000000"/>
          <w:sz w:val="24"/>
          <w:szCs w:val="24"/>
          <w:shd w:val="clear" w:color="auto" w:fill="FFFFFF"/>
        </w:rPr>
        <w:t xml:space="preserve"> than $480 of its value at 99% of the time. It also means that there is a 1% chance the loss could be larger than those values. </w:t>
      </w:r>
    </w:p>
    <w:p w14:paraId="0C9B40B8" w14:textId="7775FA99" w:rsidR="00A755F5" w:rsidRPr="00251B2C" w:rsidRDefault="009B1361" w:rsidP="00A755F5">
      <w:pPr>
        <w:pStyle w:val="Caption"/>
        <w:keepNext/>
        <w:rPr>
          <w:rFonts w:ascii="Times New Roman" w:hAnsi="Times New Roman" w:cs="Times New Roman"/>
          <w:sz w:val="24"/>
          <w:szCs w:val="24"/>
        </w:rPr>
      </w:pPr>
      <w:bookmarkStart w:id="103" w:name="_Toc481617424"/>
      <w:r w:rsidRPr="00C51F88">
        <w:rPr>
          <w:rFonts w:ascii="Times New Roman" w:hAnsi="Times New Roman" w:cs="Times New Roman"/>
          <w:sz w:val="24"/>
          <w:szCs w:val="24"/>
        </w:rPr>
        <w:lastRenderedPageBreak/>
        <w:t>Table 6</w:t>
      </w:r>
      <w:r w:rsidR="00C97050">
        <w:rPr>
          <w:rFonts w:ascii="Times New Roman" w:hAnsi="Times New Roman" w:cs="Times New Roman"/>
          <w:sz w:val="24"/>
          <w:szCs w:val="24"/>
        </w:rPr>
        <w:t>:</w:t>
      </w:r>
      <w:r w:rsidR="00612FE1">
        <w:rPr>
          <w:rFonts w:ascii="Times New Roman" w:hAnsi="Times New Roman" w:cs="Times New Roman"/>
          <w:sz w:val="24"/>
          <w:szCs w:val="24"/>
        </w:rPr>
        <w:t xml:space="preserve"> </w:t>
      </w:r>
      <w:r w:rsidR="00546532">
        <w:rPr>
          <w:rFonts w:ascii="Times New Roman" w:hAnsi="Times New Roman" w:cs="Times New Roman"/>
          <w:sz w:val="24"/>
          <w:szCs w:val="24"/>
        </w:rPr>
        <w:t>Maximum L</w:t>
      </w:r>
      <w:r w:rsidR="00A755F5" w:rsidRPr="00251B2C">
        <w:rPr>
          <w:rFonts w:ascii="Times New Roman" w:hAnsi="Times New Roman" w:cs="Times New Roman"/>
          <w:sz w:val="24"/>
          <w:szCs w:val="24"/>
        </w:rPr>
        <w:t xml:space="preserve">oss of </w:t>
      </w:r>
      <w:r w:rsidR="000F4C35">
        <w:rPr>
          <w:rFonts w:ascii="Times New Roman" w:hAnsi="Times New Roman" w:cs="Times New Roman"/>
          <w:sz w:val="24"/>
          <w:szCs w:val="24"/>
        </w:rPr>
        <w:t>Sukuk</w:t>
      </w:r>
      <w:r w:rsidR="00546532">
        <w:rPr>
          <w:rFonts w:ascii="Times New Roman" w:hAnsi="Times New Roman" w:cs="Times New Roman"/>
          <w:sz w:val="24"/>
          <w:szCs w:val="24"/>
        </w:rPr>
        <w:t xml:space="preserve"> and Conventional Bonds’ P</w:t>
      </w:r>
      <w:r w:rsidR="00A755F5" w:rsidRPr="00251B2C">
        <w:rPr>
          <w:rFonts w:ascii="Times New Roman" w:hAnsi="Times New Roman" w:cs="Times New Roman"/>
          <w:sz w:val="24"/>
          <w:szCs w:val="24"/>
        </w:rPr>
        <w:t>ortfolios</w:t>
      </w:r>
      <w:bookmarkEnd w:id="103"/>
    </w:p>
    <w:tbl>
      <w:tblPr>
        <w:tblW w:w="8278" w:type="dxa"/>
        <w:jc w:val="center"/>
        <w:tblLayout w:type="fixed"/>
        <w:tblCellMar>
          <w:left w:w="30" w:type="dxa"/>
          <w:right w:w="30" w:type="dxa"/>
        </w:tblCellMar>
        <w:tblLook w:val="04A0" w:firstRow="1" w:lastRow="0" w:firstColumn="1" w:lastColumn="0" w:noHBand="0" w:noVBand="1"/>
      </w:tblPr>
      <w:tblGrid>
        <w:gridCol w:w="123"/>
        <w:gridCol w:w="2355"/>
        <w:gridCol w:w="1107"/>
        <w:gridCol w:w="1246"/>
        <w:gridCol w:w="1107"/>
        <w:gridCol w:w="1110"/>
        <w:gridCol w:w="1230"/>
      </w:tblGrid>
      <w:tr w:rsidR="00A755F5" w:rsidRPr="001A131A" w14:paraId="1D9A2F87" w14:textId="77777777" w:rsidTr="00A755F5">
        <w:trPr>
          <w:trHeight w:val="928"/>
          <w:jc w:val="center"/>
        </w:trPr>
        <w:tc>
          <w:tcPr>
            <w:tcW w:w="123" w:type="dxa"/>
            <w:tcBorders>
              <w:top w:val="single" w:sz="12" w:space="0" w:color="auto"/>
              <w:left w:val="single" w:sz="12" w:space="0" w:color="auto"/>
              <w:bottom w:val="single" w:sz="12" w:space="0" w:color="auto"/>
              <w:right w:val="nil"/>
            </w:tcBorders>
            <w:shd w:val="clear" w:color="auto" w:fill="auto"/>
          </w:tcPr>
          <w:p w14:paraId="3B0E977B" w14:textId="77777777" w:rsidR="00A755F5" w:rsidRPr="001A131A" w:rsidRDefault="00A755F5" w:rsidP="00A755F5">
            <w:pPr>
              <w:spacing w:before="100" w:after="100" w:line="240" w:lineRule="auto"/>
              <w:jc w:val="both"/>
              <w:rPr>
                <w:rFonts w:ascii="Times New Roman" w:eastAsia="Times New Roman" w:hAnsi="Times New Roman" w:cs="Times New Roman"/>
                <w:b/>
                <w:bCs/>
                <w:color w:val="000000"/>
                <w:sz w:val="20"/>
                <w:szCs w:val="20"/>
                <w:lang w:eastAsia="en-GB"/>
              </w:rPr>
            </w:pPr>
          </w:p>
        </w:tc>
        <w:tc>
          <w:tcPr>
            <w:tcW w:w="2355" w:type="dxa"/>
            <w:tcBorders>
              <w:top w:val="single" w:sz="12" w:space="0" w:color="auto"/>
              <w:left w:val="nil"/>
              <w:bottom w:val="single" w:sz="12" w:space="0" w:color="auto"/>
              <w:right w:val="nil"/>
            </w:tcBorders>
            <w:shd w:val="clear" w:color="auto" w:fill="auto"/>
          </w:tcPr>
          <w:p w14:paraId="39D60BD9" w14:textId="77777777" w:rsidR="00A755F5" w:rsidRPr="001A131A" w:rsidRDefault="00A755F5" w:rsidP="00A755F5">
            <w:pPr>
              <w:spacing w:before="100" w:after="100" w:line="240" w:lineRule="auto"/>
              <w:jc w:val="both"/>
              <w:rPr>
                <w:rFonts w:ascii="Times New Roman" w:eastAsia="Times New Roman" w:hAnsi="Times New Roman" w:cs="Times New Roman"/>
                <w:b/>
                <w:bCs/>
                <w:color w:val="000000"/>
                <w:sz w:val="20"/>
                <w:szCs w:val="20"/>
                <w:lang w:eastAsia="en-GB"/>
              </w:rPr>
            </w:pPr>
            <w:r w:rsidRPr="001A131A">
              <w:rPr>
                <w:rFonts w:ascii="Times New Roman" w:eastAsia="Times New Roman" w:hAnsi="Times New Roman" w:cs="Times New Roman"/>
                <w:b/>
                <w:bCs/>
                <w:color w:val="000000"/>
                <w:sz w:val="20"/>
                <w:szCs w:val="20"/>
                <w:lang w:eastAsia="en-GB"/>
              </w:rPr>
              <w:t xml:space="preserve">Method </w:t>
            </w:r>
          </w:p>
        </w:tc>
        <w:tc>
          <w:tcPr>
            <w:tcW w:w="1107" w:type="dxa"/>
            <w:tcBorders>
              <w:top w:val="single" w:sz="12" w:space="0" w:color="auto"/>
              <w:left w:val="single" w:sz="12" w:space="0" w:color="auto"/>
              <w:bottom w:val="single" w:sz="12" w:space="0" w:color="auto"/>
              <w:right w:val="single" w:sz="4" w:space="0" w:color="auto"/>
            </w:tcBorders>
            <w:shd w:val="clear" w:color="auto" w:fill="auto"/>
            <w:hideMark/>
          </w:tcPr>
          <w:p w14:paraId="63914637" w14:textId="4037DACE" w:rsidR="00A755F5" w:rsidRPr="001A131A" w:rsidRDefault="00A755F5" w:rsidP="00A755F5">
            <w:pPr>
              <w:spacing w:before="100" w:after="100" w:line="240" w:lineRule="auto"/>
              <w:jc w:val="center"/>
              <w:rPr>
                <w:rFonts w:ascii="Times New Roman" w:eastAsia="Times New Roman" w:hAnsi="Times New Roman" w:cs="Times New Roman"/>
                <w:b/>
                <w:bCs/>
                <w:color w:val="000000"/>
                <w:sz w:val="20"/>
                <w:szCs w:val="20"/>
                <w:lang w:eastAsia="en-GB"/>
              </w:rPr>
            </w:pPr>
            <w:r w:rsidRPr="001A131A">
              <w:rPr>
                <w:rFonts w:ascii="Times New Roman" w:eastAsia="Times New Roman" w:hAnsi="Times New Roman" w:cs="Times New Roman"/>
                <w:b/>
                <w:bCs/>
                <w:color w:val="000000"/>
                <w:sz w:val="20"/>
                <w:szCs w:val="20"/>
                <w:lang w:eastAsia="en-GB"/>
              </w:rPr>
              <w:t xml:space="preserve">VaR of </w:t>
            </w:r>
            <w:r w:rsidR="000F4C35" w:rsidRPr="001A131A">
              <w:rPr>
                <w:rFonts w:ascii="Times New Roman" w:eastAsia="Times New Roman" w:hAnsi="Times New Roman" w:cs="Times New Roman"/>
                <w:b/>
                <w:bCs/>
                <w:color w:val="000000"/>
                <w:sz w:val="20"/>
                <w:szCs w:val="20"/>
                <w:lang w:eastAsia="en-GB"/>
              </w:rPr>
              <w:t>Sukuk</w:t>
            </w:r>
          </w:p>
        </w:tc>
        <w:tc>
          <w:tcPr>
            <w:tcW w:w="1246" w:type="dxa"/>
            <w:tcBorders>
              <w:top w:val="single" w:sz="12" w:space="0" w:color="auto"/>
              <w:left w:val="single" w:sz="4" w:space="0" w:color="auto"/>
              <w:bottom w:val="single" w:sz="12" w:space="0" w:color="auto"/>
              <w:right w:val="single" w:sz="4" w:space="0" w:color="auto"/>
            </w:tcBorders>
            <w:shd w:val="clear" w:color="auto" w:fill="auto"/>
          </w:tcPr>
          <w:p w14:paraId="573FA9A2" w14:textId="45867C1F" w:rsidR="00A755F5" w:rsidRPr="001A131A" w:rsidRDefault="00A755F5" w:rsidP="00A755F5">
            <w:pPr>
              <w:spacing w:before="100" w:after="100" w:line="240" w:lineRule="auto"/>
              <w:jc w:val="center"/>
              <w:rPr>
                <w:rFonts w:ascii="Times New Roman" w:eastAsia="Times New Roman" w:hAnsi="Times New Roman" w:cs="Times New Roman"/>
                <w:b/>
                <w:bCs/>
                <w:color w:val="000000"/>
                <w:sz w:val="20"/>
                <w:szCs w:val="20"/>
                <w:lang w:eastAsia="en-GB"/>
              </w:rPr>
            </w:pPr>
            <w:r w:rsidRPr="001A131A">
              <w:rPr>
                <w:rFonts w:ascii="Times New Roman" w:eastAsia="Times New Roman" w:hAnsi="Times New Roman" w:cs="Times New Roman"/>
                <w:b/>
                <w:bCs/>
                <w:color w:val="000000"/>
                <w:sz w:val="20"/>
                <w:szCs w:val="20"/>
                <w:lang w:eastAsia="en-GB"/>
              </w:rPr>
              <w:t xml:space="preserve">Loss of </w:t>
            </w:r>
            <w:r w:rsidR="000F4C35" w:rsidRPr="001A131A">
              <w:rPr>
                <w:rFonts w:ascii="Times New Roman" w:eastAsia="Times New Roman" w:hAnsi="Times New Roman" w:cs="Times New Roman"/>
                <w:b/>
                <w:bCs/>
                <w:color w:val="000000"/>
                <w:sz w:val="20"/>
                <w:szCs w:val="20"/>
                <w:lang w:eastAsia="en-GB"/>
              </w:rPr>
              <w:t>Sukuk</w:t>
            </w:r>
            <w:r w:rsidRPr="001A131A">
              <w:rPr>
                <w:rFonts w:ascii="Times New Roman" w:eastAsia="Times New Roman" w:hAnsi="Times New Roman" w:cs="Times New Roman"/>
                <w:b/>
                <w:bCs/>
                <w:color w:val="000000"/>
                <w:sz w:val="20"/>
                <w:szCs w:val="20"/>
                <w:lang w:eastAsia="en-GB"/>
              </w:rPr>
              <w:t xml:space="preserve"> portfolios</w:t>
            </w:r>
          </w:p>
        </w:tc>
        <w:tc>
          <w:tcPr>
            <w:tcW w:w="1107" w:type="dxa"/>
            <w:tcBorders>
              <w:top w:val="single" w:sz="12" w:space="0" w:color="auto"/>
              <w:left w:val="single" w:sz="4" w:space="0" w:color="auto"/>
              <w:bottom w:val="single" w:sz="12" w:space="0" w:color="auto"/>
              <w:right w:val="single" w:sz="4" w:space="0" w:color="auto"/>
            </w:tcBorders>
            <w:shd w:val="clear" w:color="auto" w:fill="auto"/>
          </w:tcPr>
          <w:p w14:paraId="405B9D25" w14:textId="77777777" w:rsidR="00A755F5" w:rsidRPr="001A131A" w:rsidRDefault="00A755F5" w:rsidP="00A755F5">
            <w:pPr>
              <w:spacing w:before="100" w:after="100" w:line="240" w:lineRule="auto"/>
              <w:jc w:val="center"/>
              <w:rPr>
                <w:rFonts w:ascii="Times New Roman" w:eastAsia="Times New Roman" w:hAnsi="Times New Roman" w:cs="Times New Roman"/>
                <w:b/>
                <w:bCs/>
                <w:color w:val="000000"/>
                <w:sz w:val="20"/>
                <w:szCs w:val="20"/>
                <w:lang w:eastAsia="en-GB"/>
              </w:rPr>
            </w:pPr>
            <w:r w:rsidRPr="001A131A">
              <w:rPr>
                <w:rFonts w:ascii="Times New Roman" w:eastAsia="Times New Roman" w:hAnsi="Times New Roman" w:cs="Times New Roman"/>
                <w:b/>
                <w:bCs/>
                <w:color w:val="000000"/>
                <w:sz w:val="20"/>
                <w:szCs w:val="20"/>
                <w:lang w:eastAsia="en-GB"/>
              </w:rPr>
              <w:t>VaR of Bonds</w:t>
            </w:r>
          </w:p>
        </w:tc>
        <w:tc>
          <w:tcPr>
            <w:tcW w:w="1110" w:type="dxa"/>
            <w:tcBorders>
              <w:top w:val="single" w:sz="12" w:space="0" w:color="auto"/>
              <w:left w:val="single" w:sz="4" w:space="0" w:color="auto"/>
              <w:bottom w:val="single" w:sz="12" w:space="0" w:color="auto"/>
              <w:right w:val="single" w:sz="4" w:space="0" w:color="auto"/>
            </w:tcBorders>
            <w:shd w:val="clear" w:color="auto" w:fill="auto"/>
          </w:tcPr>
          <w:p w14:paraId="15A8607F" w14:textId="77777777" w:rsidR="00A755F5" w:rsidRPr="001A131A" w:rsidRDefault="00A755F5" w:rsidP="00A755F5">
            <w:pPr>
              <w:spacing w:before="100" w:after="100" w:line="240" w:lineRule="auto"/>
              <w:jc w:val="center"/>
              <w:rPr>
                <w:rFonts w:ascii="Times New Roman" w:eastAsia="Times New Roman" w:hAnsi="Times New Roman" w:cs="Times New Roman"/>
                <w:b/>
                <w:bCs/>
                <w:color w:val="000000"/>
                <w:sz w:val="20"/>
                <w:szCs w:val="20"/>
                <w:lang w:eastAsia="en-GB"/>
              </w:rPr>
            </w:pPr>
            <w:r w:rsidRPr="001A131A">
              <w:rPr>
                <w:rFonts w:ascii="Times New Roman" w:eastAsia="Times New Roman" w:hAnsi="Times New Roman" w:cs="Times New Roman"/>
                <w:b/>
                <w:bCs/>
                <w:color w:val="000000"/>
                <w:sz w:val="20"/>
                <w:szCs w:val="20"/>
                <w:lang w:eastAsia="en-GB"/>
              </w:rPr>
              <w:t>Loss of Bonds portfolios</w:t>
            </w:r>
          </w:p>
        </w:tc>
        <w:tc>
          <w:tcPr>
            <w:tcW w:w="1230" w:type="dxa"/>
            <w:tcBorders>
              <w:top w:val="single" w:sz="12" w:space="0" w:color="auto"/>
              <w:left w:val="single" w:sz="4" w:space="0" w:color="auto"/>
              <w:bottom w:val="single" w:sz="12" w:space="0" w:color="auto"/>
              <w:right w:val="single" w:sz="4" w:space="0" w:color="auto"/>
            </w:tcBorders>
            <w:shd w:val="clear" w:color="auto" w:fill="auto"/>
          </w:tcPr>
          <w:p w14:paraId="778AA99F" w14:textId="77777777" w:rsidR="00A755F5" w:rsidRPr="001A131A" w:rsidRDefault="00A755F5" w:rsidP="00A755F5">
            <w:pPr>
              <w:spacing w:before="100" w:after="100" w:line="240" w:lineRule="auto"/>
              <w:jc w:val="center"/>
              <w:rPr>
                <w:rFonts w:ascii="Times New Roman" w:eastAsia="Times New Roman" w:hAnsi="Times New Roman" w:cs="Times New Roman"/>
                <w:b/>
                <w:bCs/>
                <w:color w:val="000000"/>
                <w:sz w:val="20"/>
                <w:szCs w:val="20"/>
                <w:lang w:eastAsia="en-GB"/>
              </w:rPr>
            </w:pPr>
            <w:r w:rsidRPr="001A131A">
              <w:rPr>
                <w:rFonts w:ascii="Times New Roman" w:eastAsia="Times New Roman" w:hAnsi="Times New Roman" w:cs="Times New Roman"/>
                <w:b/>
                <w:bCs/>
                <w:color w:val="000000"/>
                <w:sz w:val="20"/>
                <w:szCs w:val="20"/>
                <w:lang w:eastAsia="en-GB"/>
              </w:rPr>
              <w:t>Change</w:t>
            </w:r>
          </w:p>
        </w:tc>
      </w:tr>
      <w:tr w:rsidR="00A755F5" w:rsidRPr="001A131A" w14:paraId="765506B6" w14:textId="77777777" w:rsidTr="00A755F5">
        <w:trPr>
          <w:trHeight w:val="299"/>
          <w:jc w:val="center"/>
        </w:trPr>
        <w:tc>
          <w:tcPr>
            <w:tcW w:w="2478" w:type="dxa"/>
            <w:gridSpan w:val="2"/>
            <w:tcBorders>
              <w:top w:val="single" w:sz="12" w:space="0" w:color="auto"/>
              <w:left w:val="single" w:sz="12" w:space="0" w:color="auto"/>
              <w:bottom w:val="single" w:sz="6" w:space="0" w:color="auto"/>
              <w:right w:val="nil"/>
            </w:tcBorders>
            <w:hideMark/>
          </w:tcPr>
          <w:p w14:paraId="3F1DFDC6" w14:textId="77777777" w:rsidR="00A755F5" w:rsidRPr="001A131A" w:rsidRDefault="00A755F5" w:rsidP="00A755F5">
            <w:pPr>
              <w:spacing w:before="100" w:after="100" w:line="240" w:lineRule="auto"/>
              <w:jc w:val="both"/>
              <w:rPr>
                <w:rFonts w:ascii="Times New Roman" w:eastAsia="Times New Roman" w:hAnsi="Times New Roman" w:cs="Times New Roman"/>
                <w:bCs/>
                <w:color w:val="000000"/>
                <w:sz w:val="20"/>
                <w:szCs w:val="20"/>
                <w:lang w:eastAsia="en-GB"/>
              </w:rPr>
            </w:pPr>
            <w:r w:rsidRPr="001A131A">
              <w:rPr>
                <w:rFonts w:ascii="Times New Roman" w:eastAsia="Times New Roman" w:hAnsi="Times New Roman" w:cs="Times New Roman"/>
                <w:bCs/>
                <w:color w:val="000000"/>
                <w:sz w:val="20"/>
                <w:szCs w:val="20"/>
                <w:lang w:eastAsia="en-GB"/>
              </w:rPr>
              <w:t>Historical simulations</w:t>
            </w:r>
          </w:p>
        </w:tc>
        <w:tc>
          <w:tcPr>
            <w:tcW w:w="1107" w:type="dxa"/>
            <w:tcBorders>
              <w:top w:val="single" w:sz="12" w:space="0" w:color="auto"/>
              <w:left w:val="single" w:sz="12" w:space="0" w:color="auto"/>
              <w:bottom w:val="single" w:sz="4" w:space="0" w:color="auto"/>
              <w:right w:val="single" w:sz="4" w:space="0" w:color="auto"/>
            </w:tcBorders>
            <w:hideMark/>
          </w:tcPr>
          <w:p w14:paraId="7C9D6373" w14:textId="77777777" w:rsidR="00A755F5" w:rsidRPr="001A131A" w:rsidRDefault="00A755F5" w:rsidP="00A755F5">
            <w:pPr>
              <w:spacing w:before="100" w:after="100" w:line="240" w:lineRule="auto"/>
              <w:jc w:val="center"/>
              <w:rPr>
                <w:rFonts w:ascii="Times New Roman" w:eastAsia="Times New Roman" w:hAnsi="Times New Roman" w:cs="Times New Roman"/>
                <w:bCs/>
                <w:color w:val="000000"/>
                <w:sz w:val="20"/>
                <w:szCs w:val="20"/>
                <w:lang w:eastAsia="en-GB"/>
              </w:rPr>
            </w:pPr>
            <w:r w:rsidRPr="001A131A">
              <w:rPr>
                <w:rFonts w:ascii="Times New Roman" w:eastAsia="Times New Roman" w:hAnsi="Times New Roman" w:cs="Times New Roman"/>
                <w:bCs/>
                <w:color w:val="000000"/>
                <w:sz w:val="20"/>
                <w:szCs w:val="20"/>
                <w:lang w:eastAsia="en-GB"/>
              </w:rPr>
              <w:t>-0.90%</w:t>
            </w:r>
          </w:p>
        </w:tc>
        <w:tc>
          <w:tcPr>
            <w:tcW w:w="1246" w:type="dxa"/>
            <w:tcBorders>
              <w:top w:val="single" w:sz="12" w:space="0" w:color="auto"/>
              <w:left w:val="single" w:sz="4" w:space="0" w:color="auto"/>
              <w:bottom w:val="single" w:sz="4" w:space="0" w:color="auto"/>
              <w:right w:val="single" w:sz="4" w:space="0" w:color="auto"/>
            </w:tcBorders>
          </w:tcPr>
          <w:p w14:paraId="3CFD40C4" w14:textId="77777777" w:rsidR="00A755F5" w:rsidRPr="001A131A" w:rsidRDefault="00A755F5" w:rsidP="00A755F5">
            <w:pPr>
              <w:spacing w:before="100" w:after="100" w:line="240" w:lineRule="auto"/>
              <w:jc w:val="center"/>
              <w:rPr>
                <w:rFonts w:ascii="Times New Roman" w:eastAsia="Times New Roman" w:hAnsi="Times New Roman" w:cs="Times New Roman"/>
                <w:bCs/>
                <w:color w:val="000000"/>
                <w:sz w:val="20"/>
                <w:szCs w:val="20"/>
                <w:lang w:eastAsia="en-GB"/>
              </w:rPr>
            </w:pPr>
            <w:r w:rsidRPr="001A131A">
              <w:rPr>
                <w:rFonts w:ascii="Times New Roman" w:eastAsia="Times New Roman" w:hAnsi="Times New Roman" w:cs="Times New Roman"/>
                <w:bCs/>
                <w:color w:val="000000"/>
                <w:sz w:val="20"/>
                <w:szCs w:val="20"/>
                <w:lang w:eastAsia="en-GB"/>
              </w:rPr>
              <w:t>-$900</w:t>
            </w:r>
          </w:p>
        </w:tc>
        <w:tc>
          <w:tcPr>
            <w:tcW w:w="1107" w:type="dxa"/>
            <w:tcBorders>
              <w:top w:val="single" w:sz="12" w:space="0" w:color="auto"/>
              <w:left w:val="single" w:sz="4" w:space="0" w:color="auto"/>
              <w:bottom w:val="single" w:sz="4" w:space="0" w:color="auto"/>
              <w:right w:val="single" w:sz="4" w:space="0" w:color="auto"/>
            </w:tcBorders>
          </w:tcPr>
          <w:p w14:paraId="5AAA8122" w14:textId="77777777" w:rsidR="00A755F5" w:rsidRPr="001A131A" w:rsidRDefault="00A755F5" w:rsidP="00A755F5">
            <w:pPr>
              <w:spacing w:before="100" w:after="100" w:line="240" w:lineRule="auto"/>
              <w:jc w:val="center"/>
              <w:rPr>
                <w:rFonts w:ascii="Times New Roman" w:eastAsia="Times New Roman" w:hAnsi="Times New Roman" w:cs="Times New Roman"/>
                <w:bCs/>
                <w:color w:val="000000"/>
                <w:sz w:val="20"/>
                <w:szCs w:val="20"/>
                <w:lang w:eastAsia="en-GB"/>
              </w:rPr>
            </w:pPr>
            <w:r w:rsidRPr="001A131A">
              <w:rPr>
                <w:rFonts w:ascii="Times New Roman" w:eastAsia="Times New Roman" w:hAnsi="Times New Roman" w:cs="Times New Roman"/>
                <w:bCs/>
                <w:color w:val="000000"/>
                <w:sz w:val="20"/>
                <w:szCs w:val="20"/>
                <w:lang w:eastAsia="en-GB"/>
              </w:rPr>
              <w:t>-0.48</w:t>
            </w:r>
          </w:p>
        </w:tc>
        <w:tc>
          <w:tcPr>
            <w:tcW w:w="1110" w:type="dxa"/>
            <w:tcBorders>
              <w:top w:val="single" w:sz="12" w:space="0" w:color="auto"/>
              <w:left w:val="single" w:sz="4" w:space="0" w:color="auto"/>
              <w:bottom w:val="single" w:sz="4" w:space="0" w:color="auto"/>
              <w:right w:val="single" w:sz="4" w:space="0" w:color="auto"/>
            </w:tcBorders>
            <w:hideMark/>
          </w:tcPr>
          <w:p w14:paraId="5A28DEB3" w14:textId="77777777" w:rsidR="00A755F5" w:rsidRPr="001A131A" w:rsidRDefault="00A755F5" w:rsidP="00A755F5">
            <w:pPr>
              <w:spacing w:before="100" w:after="100" w:line="240" w:lineRule="auto"/>
              <w:jc w:val="center"/>
              <w:rPr>
                <w:rFonts w:ascii="Times New Roman" w:eastAsia="Times New Roman" w:hAnsi="Times New Roman" w:cs="Times New Roman"/>
                <w:bCs/>
                <w:color w:val="000000"/>
                <w:sz w:val="20"/>
                <w:szCs w:val="20"/>
                <w:lang w:eastAsia="en-GB"/>
              </w:rPr>
            </w:pPr>
            <w:r w:rsidRPr="001A131A">
              <w:rPr>
                <w:rFonts w:ascii="Times New Roman" w:eastAsia="Times New Roman" w:hAnsi="Times New Roman" w:cs="Times New Roman"/>
                <w:bCs/>
                <w:color w:val="000000"/>
                <w:sz w:val="20"/>
                <w:szCs w:val="20"/>
                <w:lang w:eastAsia="en-GB"/>
              </w:rPr>
              <w:t>-$480</w:t>
            </w:r>
          </w:p>
        </w:tc>
        <w:tc>
          <w:tcPr>
            <w:tcW w:w="1230" w:type="dxa"/>
            <w:tcBorders>
              <w:top w:val="single" w:sz="12" w:space="0" w:color="auto"/>
              <w:left w:val="single" w:sz="4" w:space="0" w:color="auto"/>
              <w:bottom w:val="single" w:sz="4" w:space="0" w:color="auto"/>
              <w:right w:val="single" w:sz="4" w:space="0" w:color="auto"/>
            </w:tcBorders>
          </w:tcPr>
          <w:p w14:paraId="6CF461B3" w14:textId="77777777" w:rsidR="00A755F5" w:rsidRPr="001A131A" w:rsidRDefault="00A755F5" w:rsidP="00A755F5">
            <w:pPr>
              <w:spacing w:before="100" w:after="100" w:line="240" w:lineRule="auto"/>
              <w:jc w:val="center"/>
              <w:rPr>
                <w:rFonts w:ascii="Times New Roman" w:eastAsia="Times New Roman" w:hAnsi="Times New Roman" w:cs="Times New Roman"/>
                <w:bCs/>
                <w:color w:val="000000"/>
                <w:sz w:val="20"/>
                <w:szCs w:val="20"/>
                <w:lang w:eastAsia="en-GB"/>
              </w:rPr>
            </w:pPr>
            <w:r w:rsidRPr="001A131A">
              <w:rPr>
                <w:rFonts w:ascii="Times New Roman" w:eastAsia="Times New Roman" w:hAnsi="Times New Roman" w:cs="Times New Roman"/>
                <w:bCs/>
                <w:color w:val="000000"/>
                <w:sz w:val="20"/>
                <w:szCs w:val="20"/>
                <w:lang w:eastAsia="en-GB"/>
              </w:rPr>
              <w:t>47%</w:t>
            </w:r>
          </w:p>
        </w:tc>
      </w:tr>
      <w:tr w:rsidR="00A755F5" w:rsidRPr="001A131A" w14:paraId="6B0C30FE" w14:textId="77777777" w:rsidTr="00A755F5">
        <w:trPr>
          <w:trHeight w:val="315"/>
          <w:jc w:val="center"/>
        </w:trPr>
        <w:tc>
          <w:tcPr>
            <w:tcW w:w="2478" w:type="dxa"/>
            <w:gridSpan w:val="2"/>
            <w:tcBorders>
              <w:top w:val="single" w:sz="6" w:space="0" w:color="auto"/>
              <w:left w:val="single" w:sz="12" w:space="0" w:color="auto"/>
              <w:bottom w:val="nil"/>
              <w:right w:val="single" w:sz="4" w:space="0" w:color="auto"/>
            </w:tcBorders>
            <w:hideMark/>
          </w:tcPr>
          <w:p w14:paraId="36EF6988" w14:textId="77777777" w:rsidR="00A755F5" w:rsidRPr="001A131A" w:rsidRDefault="00A755F5" w:rsidP="00A755F5">
            <w:pPr>
              <w:spacing w:before="100" w:after="100" w:line="240" w:lineRule="auto"/>
              <w:jc w:val="both"/>
              <w:rPr>
                <w:rFonts w:ascii="Times New Roman" w:eastAsia="Times New Roman" w:hAnsi="Times New Roman" w:cs="Times New Roman"/>
                <w:bCs/>
                <w:color w:val="000000"/>
                <w:sz w:val="20"/>
                <w:szCs w:val="20"/>
                <w:lang w:eastAsia="en-GB"/>
              </w:rPr>
            </w:pPr>
            <w:r w:rsidRPr="001A131A">
              <w:rPr>
                <w:rFonts w:ascii="Times New Roman" w:eastAsia="Times New Roman" w:hAnsi="Times New Roman" w:cs="Times New Roman"/>
                <w:bCs/>
                <w:color w:val="000000"/>
                <w:sz w:val="20"/>
                <w:szCs w:val="20"/>
                <w:lang w:eastAsia="en-GB"/>
              </w:rPr>
              <w:t>Monte Carlo simulation:</w:t>
            </w:r>
          </w:p>
        </w:tc>
        <w:tc>
          <w:tcPr>
            <w:tcW w:w="1107" w:type="dxa"/>
            <w:tcBorders>
              <w:top w:val="single" w:sz="4" w:space="0" w:color="auto"/>
              <w:left w:val="single" w:sz="4" w:space="0" w:color="auto"/>
              <w:bottom w:val="single" w:sz="4" w:space="0" w:color="auto"/>
            </w:tcBorders>
          </w:tcPr>
          <w:p w14:paraId="19B05229" w14:textId="77777777" w:rsidR="00A755F5" w:rsidRPr="001A131A" w:rsidRDefault="00A755F5" w:rsidP="00A755F5">
            <w:pPr>
              <w:spacing w:before="100" w:after="100" w:line="240" w:lineRule="auto"/>
              <w:jc w:val="center"/>
              <w:rPr>
                <w:rFonts w:ascii="Times New Roman" w:eastAsia="Times New Roman" w:hAnsi="Times New Roman" w:cs="Times New Roman"/>
                <w:bCs/>
                <w:color w:val="000000"/>
                <w:sz w:val="20"/>
                <w:szCs w:val="20"/>
                <w:lang w:eastAsia="en-GB"/>
              </w:rPr>
            </w:pPr>
          </w:p>
        </w:tc>
        <w:tc>
          <w:tcPr>
            <w:tcW w:w="1246" w:type="dxa"/>
            <w:tcBorders>
              <w:top w:val="single" w:sz="4" w:space="0" w:color="auto"/>
              <w:bottom w:val="single" w:sz="4" w:space="0" w:color="auto"/>
            </w:tcBorders>
          </w:tcPr>
          <w:p w14:paraId="1C4CBAE0" w14:textId="77777777" w:rsidR="00A755F5" w:rsidRPr="001A131A" w:rsidRDefault="00A755F5" w:rsidP="00A755F5">
            <w:pPr>
              <w:spacing w:before="100" w:after="100" w:line="240" w:lineRule="auto"/>
              <w:jc w:val="center"/>
              <w:rPr>
                <w:rFonts w:ascii="Times New Roman" w:eastAsia="Times New Roman" w:hAnsi="Times New Roman" w:cs="Times New Roman"/>
                <w:bCs/>
                <w:color w:val="000000"/>
                <w:sz w:val="20"/>
                <w:szCs w:val="20"/>
                <w:lang w:eastAsia="en-GB"/>
              </w:rPr>
            </w:pPr>
          </w:p>
        </w:tc>
        <w:tc>
          <w:tcPr>
            <w:tcW w:w="1107" w:type="dxa"/>
            <w:tcBorders>
              <w:top w:val="single" w:sz="4" w:space="0" w:color="auto"/>
              <w:bottom w:val="single" w:sz="4" w:space="0" w:color="auto"/>
            </w:tcBorders>
          </w:tcPr>
          <w:p w14:paraId="46A9DDE5" w14:textId="77777777" w:rsidR="00A755F5" w:rsidRPr="001A131A" w:rsidRDefault="00A755F5" w:rsidP="00A755F5">
            <w:pPr>
              <w:spacing w:before="100" w:after="100" w:line="240" w:lineRule="auto"/>
              <w:jc w:val="center"/>
              <w:rPr>
                <w:rFonts w:ascii="Times New Roman" w:eastAsia="Times New Roman" w:hAnsi="Times New Roman" w:cs="Times New Roman"/>
                <w:bCs/>
                <w:color w:val="000000"/>
                <w:sz w:val="20"/>
                <w:szCs w:val="20"/>
                <w:lang w:eastAsia="en-GB"/>
              </w:rPr>
            </w:pPr>
          </w:p>
        </w:tc>
        <w:tc>
          <w:tcPr>
            <w:tcW w:w="1110" w:type="dxa"/>
            <w:tcBorders>
              <w:top w:val="single" w:sz="4" w:space="0" w:color="auto"/>
              <w:bottom w:val="single" w:sz="4" w:space="0" w:color="auto"/>
            </w:tcBorders>
          </w:tcPr>
          <w:p w14:paraId="7DB26EB5" w14:textId="77777777" w:rsidR="00A755F5" w:rsidRPr="001A131A" w:rsidRDefault="00A755F5" w:rsidP="00A755F5">
            <w:pPr>
              <w:spacing w:before="100" w:after="100" w:line="240" w:lineRule="auto"/>
              <w:jc w:val="center"/>
              <w:rPr>
                <w:rFonts w:ascii="Times New Roman" w:eastAsia="Calibri" w:hAnsi="Times New Roman" w:cs="Times New Roman"/>
                <w:sz w:val="20"/>
                <w:szCs w:val="20"/>
                <w:lang w:eastAsia="en-GB"/>
              </w:rPr>
            </w:pPr>
          </w:p>
        </w:tc>
        <w:tc>
          <w:tcPr>
            <w:tcW w:w="1230" w:type="dxa"/>
            <w:tcBorders>
              <w:top w:val="single" w:sz="4" w:space="0" w:color="auto"/>
              <w:bottom w:val="single" w:sz="4" w:space="0" w:color="auto"/>
              <w:right w:val="single" w:sz="4" w:space="0" w:color="auto"/>
            </w:tcBorders>
          </w:tcPr>
          <w:p w14:paraId="414E11C3" w14:textId="77777777" w:rsidR="00A755F5" w:rsidRPr="001A131A" w:rsidRDefault="00A755F5" w:rsidP="00A755F5">
            <w:pPr>
              <w:spacing w:before="100" w:after="100" w:line="240" w:lineRule="auto"/>
              <w:jc w:val="center"/>
              <w:rPr>
                <w:rFonts w:ascii="Times New Roman" w:eastAsia="Calibri" w:hAnsi="Times New Roman" w:cs="Times New Roman"/>
                <w:sz w:val="20"/>
                <w:szCs w:val="20"/>
                <w:lang w:eastAsia="en-GB"/>
              </w:rPr>
            </w:pPr>
          </w:p>
        </w:tc>
      </w:tr>
      <w:tr w:rsidR="00A755F5" w:rsidRPr="001A131A" w14:paraId="1B0130CB" w14:textId="77777777" w:rsidTr="00A755F5">
        <w:trPr>
          <w:trHeight w:val="315"/>
          <w:jc w:val="center"/>
        </w:trPr>
        <w:tc>
          <w:tcPr>
            <w:tcW w:w="123" w:type="dxa"/>
            <w:tcBorders>
              <w:top w:val="single" w:sz="6" w:space="0" w:color="auto"/>
              <w:left w:val="single" w:sz="12" w:space="0" w:color="auto"/>
              <w:bottom w:val="single" w:sz="12" w:space="0" w:color="auto"/>
              <w:right w:val="nil"/>
            </w:tcBorders>
          </w:tcPr>
          <w:p w14:paraId="4DC0613B" w14:textId="77777777" w:rsidR="00A755F5" w:rsidRPr="001A131A" w:rsidRDefault="00A755F5" w:rsidP="00A755F5">
            <w:pPr>
              <w:spacing w:before="100" w:after="100" w:line="240" w:lineRule="auto"/>
              <w:jc w:val="both"/>
              <w:rPr>
                <w:rFonts w:ascii="Times New Roman" w:eastAsia="Times New Roman" w:hAnsi="Times New Roman" w:cs="Times New Roman"/>
                <w:bCs/>
                <w:color w:val="000000"/>
                <w:sz w:val="20"/>
                <w:szCs w:val="20"/>
                <w:lang w:eastAsia="en-GB"/>
              </w:rPr>
            </w:pPr>
          </w:p>
        </w:tc>
        <w:tc>
          <w:tcPr>
            <w:tcW w:w="2355" w:type="dxa"/>
            <w:tcBorders>
              <w:top w:val="single" w:sz="6" w:space="0" w:color="auto"/>
              <w:left w:val="nil"/>
              <w:bottom w:val="single" w:sz="12" w:space="0" w:color="auto"/>
              <w:right w:val="nil"/>
            </w:tcBorders>
            <w:hideMark/>
          </w:tcPr>
          <w:p w14:paraId="685EF012" w14:textId="77777777" w:rsidR="00A755F5" w:rsidRPr="001A131A" w:rsidRDefault="00A755F5" w:rsidP="00A755F5">
            <w:pPr>
              <w:spacing w:before="100" w:after="100" w:line="240" w:lineRule="auto"/>
              <w:jc w:val="both"/>
              <w:rPr>
                <w:rFonts w:ascii="Times New Roman" w:eastAsia="Times New Roman" w:hAnsi="Times New Roman" w:cs="Times New Roman"/>
                <w:bCs/>
                <w:color w:val="000000"/>
                <w:sz w:val="20"/>
                <w:szCs w:val="20"/>
                <w:lang w:eastAsia="en-GB"/>
              </w:rPr>
            </w:pPr>
            <w:r w:rsidRPr="001A131A">
              <w:rPr>
                <w:rFonts w:ascii="Times New Roman" w:eastAsia="Times New Roman" w:hAnsi="Times New Roman" w:cs="Times New Roman"/>
                <w:bCs/>
                <w:color w:val="000000"/>
                <w:sz w:val="20"/>
                <w:szCs w:val="20"/>
                <w:lang w:eastAsia="en-GB"/>
              </w:rPr>
              <w:t>VaR of 10 days</w:t>
            </w:r>
          </w:p>
        </w:tc>
        <w:tc>
          <w:tcPr>
            <w:tcW w:w="1107" w:type="dxa"/>
            <w:tcBorders>
              <w:top w:val="single" w:sz="4" w:space="0" w:color="auto"/>
              <w:left w:val="single" w:sz="12" w:space="0" w:color="auto"/>
              <w:bottom w:val="single" w:sz="6" w:space="0" w:color="auto"/>
              <w:right w:val="single" w:sz="4" w:space="0" w:color="auto"/>
            </w:tcBorders>
            <w:hideMark/>
          </w:tcPr>
          <w:p w14:paraId="1D2CC200" w14:textId="77777777" w:rsidR="00A755F5" w:rsidRPr="001A131A" w:rsidRDefault="00A755F5" w:rsidP="00A755F5">
            <w:pPr>
              <w:spacing w:before="100" w:after="100" w:line="240" w:lineRule="auto"/>
              <w:jc w:val="center"/>
              <w:rPr>
                <w:rFonts w:ascii="Times New Roman" w:eastAsia="Times New Roman" w:hAnsi="Times New Roman" w:cs="Times New Roman"/>
                <w:bCs/>
                <w:color w:val="000000"/>
                <w:sz w:val="20"/>
                <w:szCs w:val="20"/>
                <w:lang w:eastAsia="en-GB"/>
              </w:rPr>
            </w:pPr>
            <w:r w:rsidRPr="001A131A">
              <w:rPr>
                <w:rFonts w:ascii="Times New Roman" w:eastAsia="Times New Roman" w:hAnsi="Times New Roman" w:cs="Times New Roman"/>
                <w:bCs/>
                <w:color w:val="000000"/>
                <w:sz w:val="20"/>
                <w:szCs w:val="20"/>
                <w:lang w:eastAsia="en-GB"/>
              </w:rPr>
              <w:t>-0.68%</w:t>
            </w:r>
          </w:p>
        </w:tc>
        <w:tc>
          <w:tcPr>
            <w:tcW w:w="1246" w:type="dxa"/>
            <w:tcBorders>
              <w:top w:val="single" w:sz="4" w:space="0" w:color="auto"/>
              <w:left w:val="single" w:sz="4" w:space="0" w:color="auto"/>
              <w:bottom w:val="single" w:sz="6" w:space="0" w:color="auto"/>
              <w:right w:val="single" w:sz="4" w:space="0" w:color="auto"/>
            </w:tcBorders>
          </w:tcPr>
          <w:p w14:paraId="591B3D36" w14:textId="77777777" w:rsidR="00A755F5" w:rsidRPr="001A131A" w:rsidRDefault="00A755F5" w:rsidP="00A755F5">
            <w:pPr>
              <w:spacing w:before="100" w:after="100" w:line="240" w:lineRule="auto"/>
              <w:jc w:val="center"/>
              <w:rPr>
                <w:rFonts w:ascii="Times New Roman" w:eastAsia="Times New Roman" w:hAnsi="Times New Roman" w:cs="Times New Roman"/>
                <w:bCs/>
                <w:color w:val="000000"/>
                <w:sz w:val="20"/>
                <w:szCs w:val="20"/>
                <w:lang w:eastAsia="en-GB"/>
              </w:rPr>
            </w:pPr>
            <w:r w:rsidRPr="001A131A">
              <w:rPr>
                <w:rFonts w:ascii="Times New Roman" w:eastAsia="Times New Roman" w:hAnsi="Times New Roman" w:cs="Times New Roman"/>
                <w:bCs/>
                <w:color w:val="000000"/>
                <w:sz w:val="20"/>
                <w:szCs w:val="20"/>
                <w:lang w:eastAsia="en-GB"/>
              </w:rPr>
              <w:t>-$680</w:t>
            </w:r>
          </w:p>
        </w:tc>
        <w:tc>
          <w:tcPr>
            <w:tcW w:w="1107" w:type="dxa"/>
            <w:tcBorders>
              <w:top w:val="single" w:sz="4" w:space="0" w:color="auto"/>
              <w:left w:val="single" w:sz="4" w:space="0" w:color="auto"/>
              <w:bottom w:val="single" w:sz="6" w:space="0" w:color="auto"/>
              <w:right w:val="single" w:sz="4" w:space="0" w:color="auto"/>
            </w:tcBorders>
          </w:tcPr>
          <w:p w14:paraId="050817D6" w14:textId="77777777" w:rsidR="00A755F5" w:rsidRPr="001A131A" w:rsidRDefault="00A755F5" w:rsidP="00A755F5">
            <w:pPr>
              <w:spacing w:before="100" w:after="100" w:line="240" w:lineRule="auto"/>
              <w:jc w:val="center"/>
              <w:rPr>
                <w:rFonts w:ascii="Times New Roman" w:eastAsia="Times New Roman" w:hAnsi="Times New Roman" w:cs="Times New Roman"/>
                <w:bCs/>
                <w:color w:val="000000"/>
                <w:sz w:val="20"/>
                <w:szCs w:val="20"/>
                <w:lang w:eastAsia="en-GB"/>
              </w:rPr>
            </w:pPr>
            <w:r w:rsidRPr="001A131A">
              <w:rPr>
                <w:rFonts w:ascii="Times New Roman" w:eastAsia="Times New Roman" w:hAnsi="Times New Roman" w:cs="Times New Roman"/>
                <w:bCs/>
                <w:color w:val="000000"/>
                <w:sz w:val="20"/>
                <w:szCs w:val="20"/>
                <w:lang w:eastAsia="en-GB"/>
              </w:rPr>
              <w:t>-0.34</w:t>
            </w:r>
          </w:p>
        </w:tc>
        <w:tc>
          <w:tcPr>
            <w:tcW w:w="1110" w:type="dxa"/>
            <w:tcBorders>
              <w:top w:val="single" w:sz="4" w:space="0" w:color="auto"/>
              <w:left w:val="single" w:sz="4" w:space="0" w:color="auto"/>
              <w:bottom w:val="single" w:sz="6" w:space="0" w:color="auto"/>
              <w:right w:val="single" w:sz="4" w:space="0" w:color="auto"/>
            </w:tcBorders>
            <w:hideMark/>
          </w:tcPr>
          <w:p w14:paraId="228730B4" w14:textId="77777777" w:rsidR="00A755F5" w:rsidRPr="001A131A" w:rsidRDefault="00A755F5" w:rsidP="00A755F5">
            <w:pPr>
              <w:spacing w:before="100" w:after="100" w:line="240" w:lineRule="auto"/>
              <w:jc w:val="center"/>
              <w:rPr>
                <w:rFonts w:ascii="Times New Roman" w:eastAsia="Times New Roman" w:hAnsi="Times New Roman" w:cs="Times New Roman"/>
                <w:bCs/>
                <w:color w:val="000000"/>
                <w:sz w:val="20"/>
                <w:szCs w:val="20"/>
                <w:lang w:eastAsia="en-GB"/>
              </w:rPr>
            </w:pPr>
            <w:r w:rsidRPr="001A131A">
              <w:rPr>
                <w:rFonts w:ascii="Times New Roman" w:eastAsia="Times New Roman" w:hAnsi="Times New Roman" w:cs="Times New Roman"/>
                <w:bCs/>
                <w:color w:val="000000"/>
                <w:sz w:val="20"/>
                <w:szCs w:val="20"/>
                <w:lang w:eastAsia="en-GB"/>
              </w:rPr>
              <w:t>-$340</w:t>
            </w:r>
          </w:p>
        </w:tc>
        <w:tc>
          <w:tcPr>
            <w:tcW w:w="1230" w:type="dxa"/>
            <w:tcBorders>
              <w:top w:val="single" w:sz="4" w:space="0" w:color="auto"/>
              <w:left w:val="single" w:sz="4" w:space="0" w:color="auto"/>
              <w:bottom w:val="single" w:sz="6" w:space="0" w:color="auto"/>
              <w:right w:val="single" w:sz="4" w:space="0" w:color="auto"/>
            </w:tcBorders>
          </w:tcPr>
          <w:p w14:paraId="37643991" w14:textId="77777777" w:rsidR="00A755F5" w:rsidRPr="001A131A" w:rsidRDefault="00A755F5" w:rsidP="00A755F5">
            <w:pPr>
              <w:spacing w:before="100" w:after="100" w:line="240" w:lineRule="auto"/>
              <w:jc w:val="center"/>
              <w:rPr>
                <w:rFonts w:ascii="Times New Roman" w:eastAsia="Times New Roman" w:hAnsi="Times New Roman" w:cs="Times New Roman"/>
                <w:bCs/>
                <w:color w:val="000000"/>
                <w:sz w:val="20"/>
                <w:szCs w:val="20"/>
                <w:lang w:eastAsia="en-GB"/>
              </w:rPr>
            </w:pPr>
            <w:r w:rsidRPr="001A131A">
              <w:rPr>
                <w:rFonts w:ascii="Times New Roman" w:eastAsia="Times New Roman" w:hAnsi="Times New Roman" w:cs="Times New Roman"/>
                <w:bCs/>
                <w:color w:val="000000"/>
                <w:sz w:val="20"/>
                <w:szCs w:val="20"/>
                <w:lang w:eastAsia="en-GB"/>
              </w:rPr>
              <w:t>50%</w:t>
            </w:r>
          </w:p>
        </w:tc>
      </w:tr>
      <w:tr w:rsidR="00A755F5" w:rsidRPr="001A131A" w14:paraId="23080707" w14:textId="77777777" w:rsidTr="00A755F5">
        <w:trPr>
          <w:trHeight w:val="315"/>
          <w:jc w:val="center"/>
        </w:trPr>
        <w:tc>
          <w:tcPr>
            <w:tcW w:w="123" w:type="dxa"/>
            <w:tcBorders>
              <w:top w:val="nil"/>
              <w:left w:val="single" w:sz="12" w:space="0" w:color="auto"/>
              <w:bottom w:val="nil"/>
              <w:right w:val="nil"/>
            </w:tcBorders>
          </w:tcPr>
          <w:p w14:paraId="17B9894E" w14:textId="77777777" w:rsidR="00A755F5" w:rsidRPr="001A131A" w:rsidRDefault="00A755F5" w:rsidP="00A755F5">
            <w:pPr>
              <w:spacing w:before="100" w:after="100" w:line="240" w:lineRule="auto"/>
              <w:jc w:val="both"/>
              <w:rPr>
                <w:rFonts w:ascii="Times New Roman" w:eastAsia="Times New Roman" w:hAnsi="Times New Roman" w:cs="Times New Roman"/>
                <w:bCs/>
                <w:color w:val="000000"/>
                <w:sz w:val="20"/>
                <w:szCs w:val="20"/>
                <w:lang w:eastAsia="en-GB"/>
              </w:rPr>
            </w:pPr>
          </w:p>
        </w:tc>
        <w:tc>
          <w:tcPr>
            <w:tcW w:w="2355" w:type="dxa"/>
            <w:hideMark/>
          </w:tcPr>
          <w:p w14:paraId="43D53999" w14:textId="77777777" w:rsidR="00A755F5" w:rsidRPr="001A131A" w:rsidRDefault="00A755F5" w:rsidP="00A755F5">
            <w:pPr>
              <w:spacing w:before="100" w:after="100" w:line="240" w:lineRule="auto"/>
              <w:jc w:val="both"/>
              <w:rPr>
                <w:rFonts w:ascii="Times New Roman" w:eastAsia="Times New Roman" w:hAnsi="Times New Roman" w:cs="Times New Roman"/>
                <w:bCs/>
                <w:color w:val="000000"/>
                <w:sz w:val="20"/>
                <w:szCs w:val="20"/>
                <w:lang w:eastAsia="en-GB"/>
              </w:rPr>
            </w:pPr>
            <w:r w:rsidRPr="001A131A">
              <w:rPr>
                <w:rFonts w:ascii="Times New Roman" w:eastAsia="Times New Roman" w:hAnsi="Times New Roman" w:cs="Times New Roman"/>
                <w:bCs/>
                <w:color w:val="000000"/>
                <w:sz w:val="20"/>
                <w:szCs w:val="20"/>
                <w:lang w:eastAsia="en-GB"/>
              </w:rPr>
              <w:t>VaR of (5000 replications)</w:t>
            </w:r>
          </w:p>
        </w:tc>
        <w:tc>
          <w:tcPr>
            <w:tcW w:w="1107" w:type="dxa"/>
            <w:tcBorders>
              <w:top w:val="single" w:sz="6" w:space="0" w:color="auto"/>
              <w:left w:val="single" w:sz="12" w:space="0" w:color="auto"/>
              <w:bottom w:val="single" w:sz="12" w:space="0" w:color="auto"/>
              <w:right w:val="single" w:sz="4" w:space="0" w:color="auto"/>
            </w:tcBorders>
            <w:hideMark/>
          </w:tcPr>
          <w:p w14:paraId="660F6843" w14:textId="77777777" w:rsidR="00A755F5" w:rsidRPr="001A131A" w:rsidRDefault="00A755F5" w:rsidP="00A755F5">
            <w:pPr>
              <w:spacing w:before="100" w:after="100" w:line="240" w:lineRule="auto"/>
              <w:jc w:val="center"/>
              <w:rPr>
                <w:rFonts w:ascii="Times New Roman" w:eastAsia="Times New Roman" w:hAnsi="Times New Roman" w:cs="Times New Roman"/>
                <w:bCs/>
                <w:color w:val="000000"/>
                <w:sz w:val="20"/>
                <w:szCs w:val="20"/>
                <w:lang w:eastAsia="en-GB"/>
              </w:rPr>
            </w:pPr>
            <w:r w:rsidRPr="001A131A">
              <w:rPr>
                <w:rFonts w:ascii="Times New Roman" w:eastAsia="Times New Roman" w:hAnsi="Times New Roman" w:cs="Times New Roman"/>
                <w:bCs/>
                <w:color w:val="000000"/>
                <w:sz w:val="20"/>
                <w:szCs w:val="20"/>
                <w:lang w:eastAsia="en-GB"/>
              </w:rPr>
              <w:t>-1.02%</w:t>
            </w:r>
          </w:p>
        </w:tc>
        <w:tc>
          <w:tcPr>
            <w:tcW w:w="1246" w:type="dxa"/>
            <w:tcBorders>
              <w:top w:val="single" w:sz="6" w:space="0" w:color="auto"/>
              <w:left w:val="single" w:sz="4" w:space="0" w:color="auto"/>
              <w:bottom w:val="single" w:sz="4" w:space="0" w:color="auto"/>
              <w:right w:val="single" w:sz="4" w:space="0" w:color="auto"/>
            </w:tcBorders>
          </w:tcPr>
          <w:p w14:paraId="781FCFB1" w14:textId="77777777" w:rsidR="00A755F5" w:rsidRPr="001A131A" w:rsidRDefault="00A755F5" w:rsidP="00A755F5">
            <w:pPr>
              <w:spacing w:before="100" w:after="100" w:line="240" w:lineRule="auto"/>
              <w:jc w:val="center"/>
              <w:rPr>
                <w:rFonts w:ascii="Times New Roman" w:eastAsia="Times New Roman" w:hAnsi="Times New Roman" w:cs="Times New Roman"/>
                <w:bCs/>
                <w:color w:val="000000"/>
                <w:sz w:val="20"/>
                <w:szCs w:val="20"/>
                <w:lang w:eastAsia="en-GB"/>
              </w:rPr>
            </w:pPr>
            <w:r w:rsidRPr="001A131A">
              <w:rPr>
                <w:rFonts w:ascii="Times New Roman" w:eastAsia="Times New Roman" w:hAnsi="Times New Roman" w:cs="Times New Roman"/>
                <w:bCs/>
                <w:color w:val="000000"/>
                <w:sz w:val="20"/>
                <w:szCs w:val="20"/>
                <w:lang w:eastAsia="en-GB"/>
              </w:rPr>
              <w:t>-$1,020</w:t>
            </w:r>
          </w:p>
        </w:tc>
        <w:tc>
          <w:tcPr>
            <w:tcW w:w="1107" w:type="dxa"/>
            <w:tcBorders>
              <w:top w:val="single" w:sz="6" w:space="0" w:color="auto"/>
              <w:left w:val="single" w:sz="4" w:space="0" w:color="auto"/>
              <w:bottom w:val="single" w:sz="12" w:space="0" w:color="auto"/>
              <w:right w:val="single" w:sz="4" w:space="0" w:color="auto"/>
            </w:tcBorders>
          </w:tcPr>
          <w:p w14:paraId="776FB514" w14:textId="77777777" w:rsidR="00A755F5" w:rsidRPr="001A131A" w:rsidRDefault="00A755F5" w:rsidP="00A755F5">
            <w:pPr>
              <w:spacing w:before="100" w:after="100" w:line="240" w:lineRule="auto"/>
              <w:jc w:val="center"/>
              <w:rPr>
                <w:rFonts w:ascii="Times New Roman" w:eastAsia="Times New Roman" w:hAnsi="Times New Roman" w:cs="Times New Roman"/>
                <w:bCs/>
                <w:color w:val="000000"/>
                <w:sz w:val="20"/>
                <w:szCs w:val="20"/>
                <w:lang w:eastAsia="en-GB"/>
              </w:rPr>
            </w:pPr>
            <w:r w:rsidRPr="001A131A">
              <w:rPr>
                <w:rFonts w:ascii="Times New Roman" w:eastAsia="Times New Roman" w:hAnsi="Times New Roman" w:cs="Times New Roman"/>
                <w:bCs/>
                <w:color w:val="000000"/>
                <w:sz w:val="20"/>
                <w:szCs w:val="20"/>
                <w:lang w:eastAsia="en-GB"/>
              </w:rPr>
              <w:t>-0.54</w:t>
            </w:r>
          </w:p>
        </w:tc>
        <w:tc>
          <w:tcPr>
            <w:tcW w:w="1110" w:type="dxa"/>
            <w:tcBorders>
              <w:top w:val="single" w:sz="6" w:space="0" w:color="auto"/>
              <w:left w:val="single" w:sz="4" w:space="0" w:color="auto"/>
              <w:bottom w:val="single" w:sz="12" w:space="0" w:color="auto"/>
              <w:right w:val="single" w:sz="4" w:space="0" w:color="auto"/>
            </w:tcBorders>
            <w:hideMark/>
          </w:tcPr>
          <w:p w14:paraId="1382C32B" w14:textId="77777777" w:rsidR="00A755F5" w:rsidRPr="001A131A" w:rsidRDefault="00A755F5" w:rsidP="00A755F5">
            <w:pPr>
              <w:spacing w:before="100" w:after="100" w:line="240" w:lineRule="auto"/>
              <w:jc w:val="center"/>
              <w:rPr>
                <w:rFonts w:ascii="Times New Roman" w:eastAsia="Times New Roman" w:hAnsi="Times New Roman" w:cs="Times New Roman"/>
                <w:bCs/>
                <w:color w:val="000000"/>
                <w:sz w:val="20"/>
                <w:szCs w:val="20"/>
                <w:lang w:eastAsia="en-GB"/>
              </w:rPr>
            </w:pPr>
            <w:r w:rsidRPr="001A131A">
              <w:rPr>
                <w:rFonts w:ascii="Times New Roman" w:eastAsia="Times New Roman" w:hAnsi="Times New Roman" w:cs="Times New Roman"/>
                <w:bCs/>
                <w:color w:val="000000"/>
                <w:sz w:val="20"/>
                <w:szCs w:val="20"/>
                <w:lang w:eastAsia="en-GB"/>
              </w:rPr>
              <w:t>-$540</w:t>
            </w:r>
          </w:p>
        </w:tc>
        <w:tc>
          <w:tcPr>
            <w:tcW w:w="1230" w:type="dxa"/>
            <w:tcBorders>
              <w:top w:val="single" w:sz="6" w:space="0" w:color="auto"/>
              <w:left w:val="single" w:sz="4" w:space="0" w:color="auto"/>
              <w:bottom w:val="single" w:sz="4" w:space="0" w:color="auto"/>
              <w:right w:val="single" w:sz="4" w:space="0" w:color="auto"/>
            </w:tcBorders>
          </w:tcPr>
          <w:p w14:paraId="1A8608B0" w14:textId="77777777" w:rsidR="00A755F5" w:rsidRPr="001A131A" w:rsidRDefault="00A755F5" w:rsidP="00A755F5">
            <w:pPr>
              <w:spacing w:before="100" w:after="100" w:line="240" w:lineRule="auto"/>
              <w:jc w:val="center"/>
              <w:rPr>
                <w:rFonts w:ascii="Times New Roman" w:eastAsia="Times New Roman" w:hAnsi="Times New Roman" w:cs="Times New Roman"/>
                <w:bCs/>
                <w:color w:val="000000"/>
                <w:sz w:val="20"/>
                <w:szCs w:val="20"/>
                <w:lang w:eastAsia="en-GB"/>
              </w:rPr>
            </w:pPr>
            <w:r w:rsidRPr="001A131A">
              <w:rPr>
                <w:rFonts w:ascii="Times New Roman" w:eastAsia="Times New Roman" w:hAnsi="Times New Roman" w:cs="Times New Roman"/>
                <w:bCs/>
                <w:color w:val="000000"/>
                <w:sz w:val="20"/>
                <w:szCs w:val="20"/>
                <w:lang w:eastAsia="en-GB"/>
              </w:rPr>
              <w:t>47%</w:t>
            </w:r>
          </w:p>
        </w:tc>
      </w:tr>
      <w:tr w:rsidR="00A755F5" w:rsidRPr="001A131A" w14:paraId="4A5810C9" w14:textId="77777777" w:rsidTr="00A755F5">
        <w:trPr>
          <w:trHeight w:val="315"/>
          <w:jc w:val="center"/>
        </w:trPr>
        <w:tc>
          <w:tcPr>
            <w:tcW w:w="123" w:type="dxa"/>
            <w:tcBorders>
              <w:top w:val="single" w:sz="12" w:space="0" w:color="auto"/>
              <w:left w:val="single" w:sz="12" w:space="0" w:color="auto"/>
              <w:bottom w:val="single" w:sz="12" w:space="0" w:color="auto"/>
              <w:right w:val="nil"/>
            </w:tcBorders>
          </w:tcPr>
          <w:p w14:paraId="06026F23" w14:textId="77777777" w:rsidR="00A755F5" w:rsidRPr="001A131A" w:rsidRDefault="00A755F5" w:rsidP="00A755F5">
            <w:pPr>
              <w:spacing w:before="100" w:after="100" w:line="240" w:lineRule="auto"/>
              <w:jc w:val="both"/>
              <w:rPr>
                <w:rFonts w:ascii="Times New Roman" w:eastAsia="Times New Roman" w:hAnsi="Times New Roman" w:cs="Times New Roman"/>
                <w:bCs/>
                <w:color w:val="000000"/>
                <w:sz w:val="20"/>
                <w:szCs w:val="20"/>
                <w:lang w:eastAsia="en-GB"/>
              </w:rPr>
            </w:pPr>
          </w:p>
        </w:tc>
        <w:tc>
          <w:tcPr>
            <w:tcW w:w="6925" w:type="dxa"/>
            <w:gridSpan w:val="5"/>
            <w:tcBorders>
              <w:top w:val="single" w:sz="12" w:space="0" w:color="auto"/>
              <w:left w:val="nil"/>
              <w:bottom w:val="single" w:sz="12" w:space="0" w:color="auto"/>
              <w:right w:val="single" w:sz="4" w:space="0" w:color="auto"/>
            </w:tcBorders>
            <w:hideMark/>
          </w:tcPr>
          <w:p w14:paraId="266E5228" w14:textId="77777777" w:rsidR="00A755F5" w:rsidRPr="001A131A" w:rsidRDefault="00A755F5" w:rsidP="00A755F5">
            <w:pPr>
              <w:spacing w:before="100" w:after="100" w:line="240" w:lineRule="auto"/>
              <w:jc w:val="both"/>
              <w:rPr>
                <w:rFonts w:ascii="Times New Roman" w:eastAsia="Times New Roman" w:hAnsi="Times New Roman" w:cs="Times New Roman"/>
                <w:bCs/>
                <w:color w:val="000000"/>
                <w:sz w:val="20"/>
                <w:szCs w:val="20"/>
                <w:lang w:eastAsia="en-GB"/>
              </w:rPr>
            </w:pPr>
            <w:r w:rsidRPr="001A131A">
              <w:rPr>
                <w:rFonts w:ascii="Times New Roman" w:eastAsia="Times New Roman" w:hAnsi="Times New Roman" w:cs="Times New Roman"/>
                <w:bCs/>
                <w:color w:val="000000"/>
                <w:sz w:val="20"/>
                <w:szCs w:val="20"/>
                <w:lang w:eastAsia="en-GB"/>
              </w:rPr>
              <w:t>*VaR confidence level of 99%.</w:t>
            </w:r>
          </w:p>
          <w:p w14:paraId="71528419" w14:textId="77777777" w:rsidR="00A755F5" w:rsidRPr="001A131A" w:rsidRDefault="00A755F5" w:rsidP="00A755F5">
            <w:pPr>
              <w:spacing w:before="100" w:after="100" w:line="240" w:lineRule="auto"/>
              <w:jc w:val="both"/>
              <w:rPr>
                <w:rFonts w:ascii="Times New Roman" w:eastAsia="Times New Roman" w:hAnsi="Times New Roman" w:cs="Times New Roman"/>
                <w:bCs/>
                <w:color w:val="000000"/>
                <w:sz w:val="20"/>
                <w:szCs w:val="20"/>
                <w:lang w:eastAsia="en-GB"/>
              </w:rPr>
            </w:pPr>
            <w:r w:rsidRPr="001A131A">
              <w:rPr>
                <w:rFonts w:ascii="Times New Roman" w:eastAsia="Times New Roman" w:hAnsi="Times New Roman" w:cs="Times New Roman"/>
                <w:bCs/>
                <w:color w:val="000000"/>
                <w:sz w:val="20"/>
                <w:szCs w:val="20"/>
                <w:lang w:eastAsia="en-GB"/>
              </w:rPr>
              <w:t>**VaR Values are percentages of expected returns loss in holding period.</w:t>
            </w:r>
          </w:p>
        </w:tc>
        <w:tc>
          <w:tcPr>
            <w:tcW w:w="1230" w:type="dxa"/>
            <w:tcBorders>
              <w:top w:val="single" w:sz="4" w:space="0" w:color="auto"/>
              <w:left w:val="nil"/>
              <w:bottom w:val="single" w:sz="12" w:space="0" w:color="auto"/>
              <w:right w:val="single" w:sz="4" w:space="0" w:color="auto"/>
            </w:tcBorders>
          </w:tcPr>
          <w:p w14:paraId="05A29C6F" w14:textId="77777777" w:rsidR="00A755F5" w:rsidRPr="001A131A" w:rsidRDefault="00A755F5" w:rsidP="00A755F5">
            <w:pPr>
              <w:spacing w:before="100" w:after="100" w:line="240" w:lineRule="auto"/>
              <w:jc w:val="both"/>
              <w:rPr>
                <w:rFonts w:ascii="Times New Roman" w:eastAsia="Times New Roman" w:hAnsi="Times New Roman" w:cs="Times New Roman"/>
                <w:bCs/>
                <w:color w:val="000000"/>
                <w:sz w:val="20"/>
                <w:szCs w:val="20"/>
                <w:lang w:eastAsia="en-GB"/>
              </w:rPr>
            </w:pPr>
          </w:p>
        </w:tc>
      </w:tr>
    </w:tbl>
    <w:p w14:paraId="6CA9A226" w14:textId="77777777" w:rsidR="009B1361" w:rsidRDefault="009B1361" w:rsidP="00A755F5">
      <w:pPr>
        <w:pStyle w:val="ListParagraph"/>
        <w:spacing w:before="120" w:after="120" w:line="360" w:lineRule="auto"/>
        <w:ind w:left="0"/>
        <w:jc w:val="both"/>
        <w:rPr>
          <w:rFonts w:ascii="Times New Roman" w:hAnsi="Times New Roman" w:cs="Times New Roman"/>
          <w:sz w:val="24"/>
          <w:szCs w:val="24"/>
        </w:rPr>
      </w:pPr>
      <w:bookmarkStart w:id="104" w:name="OLE_LINK169"/>
    </w:p>
    <w:p w14:paraId="2E3809F7" w14:textId="3DAEFFBC" w:rsidR="00A755F5" w:rsidRPr="00251B2C" w:rsidRDefault="00A755F5" w:rsidP="00A755F5">
      <w:pPr>
        <w:pStyle w:val="ListParagraph"/>
        <w:spacing w:before="120" w:after="120" w:line="360" w:lineRule="auto"/>
        <w:ind w:left="0"/>
        <w:jc w:val="both"/>
        <w:rPr>
          <w:rFonts w:ascii="Times New Roman" w:hAnsi="Times New Roman" w:cs="Times New Roman"/>
          <w:color w:val="000000"/>
          <w:sz w:val="24"/>
          <w:szCs w:val="24"/>
          <w:shd w:val="clear" w:color="auto" w:fill="FFFFFF"/>
        </w:rPr>
      </w:pPr>
      <w:r w:rsidRPr="00251B2C">
        <w:rPr>
          <w:rStyle w:val="mceitemhidden"/>
          <w:rFonts w:ascii="Times New Roman" w:hAnsi="Times New Roman" w:cs="Times New Roman"/>
          <w:color w:val="000000"/>
          <w:sz w:val="24"/>
          <w:szCs w:val="24"/>
          <w:shd w:val="clear" w:color="auto" w:fill="FFFFFF"/>
        </w:rPr>
        <w:t xml:space="preserve">In the case of </w:t>
      </w:r>
      <w:r w:rsidR="003E3C1A">
        <w:rPr>
          <w:rStyle w:val="mceitemhidden"/>
          <w:rFonts w:ascii="Times New Roman" w:hAnsi="Times New Roman" w:cs="Times New Roman"/>
          <w:color w:val="000000"/>
          <w:sz w:val="24"/>
          <w:szCs w:val="24"/>
          <w:shd w:val="clear" w:color="auto" w:fill="FFFFFF"/>
        </w:rPr>
        <w:t xml:space="preserve">the </w:t>
      </w:r>
      <w:r w:rsidRPr="00251B2C">
        <w:rPr>
          <w:rStyle w:val="mceitemhidden"/>
          <w:rFonts w:ascii="Times New Roman" w:hAnsi="Times New Roman" w:cs="Times New Roman"/>
          <w:color w:val="000000"/>
          <w:sz w:val="24"/>
          <w:szCs w:val="24"/>
          <w:shd w:val="clear" w:color="auto" w:fill="FFFFFF"/>
        </w:rPr>
        <w:t xml:space="preserve">MCS </w:t>
      </w:r>
      <w:r w:rsidR="009257A1" w:rsidRPr="00251B2C">
        <w:rPr>
          <w:rStyle w:val="mceitemhidden"/>
          <w:rFonts w:ascii="Times New Roman" w:hAnsi="Times New Roman" w:cs="Times New Roman"/>
          <w:color w:val="000000"/>
          <w:sz w:val="24"/>
          <w:szCs w:val="24"/>
          <w:shd w:val="clear" w:color="auto" w:fill="FFFFFF"/>
        </w:rPr>
        <w:t>method, results</w:t>
      </w:r>
      <w:r w:rsidRPr="00251B2C">
        <w:rPr>
          <w:rStyle w:val="mceitemhidden"/>
          <w:rFonts w:ascii="Times New Roman" w:hAnsi="Times New Roman" w:cs="Times New Roman"/>
          <w:color w:val="000000"/>
          <w:sz w:val="24"/>
          <w:szCs w:val="24"/>
          <w:shd w:val="clear" w:color="auto" w:fill="FFFFFF"/>
        </w:rPr>
        <w:t xml:space="preserve"> show </w:t>
      </w:r>
      <w:r w:rsidRPr="00251B2C">
        <w:rPr>
          <w:rFonts w:ascii="Times New Roman" w:hAnsi="Times New Roman" w:cs="Times New Roman"/>
          <w:color w:val="000000"/>
          <w:sz w:val="24"/>
          <w:szCs w:val="24"/>
          <w:shd w:val="clear" w:color="auto" w:fill="FFFFFF"/>
        </w:rPr>
        <w:t>a VaR of $680 for a portfolio of</w:t>
      </w:r>
      <w:r w:rsidRPr="00251B2C">
        <w:rPr>
          <w:rStyle w:val="apple-converted-space"/>
          <w:rFonts w:ascii="Times New Roman" w:hAnsi="Times New Roman" w:cs="Times New Roman"/>
          <w:color w:val="000000"/>
          <w:sz w:val="24"/>
          <w:szCs w:val="24"/>
          <w:shd w:val="clear" w:color="auto" w:fill="FFFFFF"/>
        </w:rPr>
        <w:t> </w:t>
      </w:r>
      <w:r w:rsidR="000F4C35" w:rsidRPr="003051D4">
        <w:rPr>
          <w:rFonts w:ascii="Times New Roman" w:hAnsi="Times New Roman" w:cs="Times New Roman"/>
          <w:i/>
          <w:iCs/>
          <w:color w:val="000000"/>
          <w:sz w:val="24"/>
          <w:szCs w:val="24"/>
          <w:shd w:val="clear" w:color="auto" w:fill="FFFFFF"/>
        </w:rPr>
        <w:t>Sukuk</w:t>
      </w:r>
      <w:r w:rsidRPr="00251B2C">
        <w:rPr>
          <w:rStyle w:val="apple-converted-space"/>
          <w:rFonts w:ascii="Times New Roman" w:hAnsi="Times New Roman" w:cs="Times New Roman"/>
          <w:color w:val="000000"/>
          <w:sz w:val="24"/>
          <w:szCs w:val="24"/>
          <w:shd w:val="clear" w:color="auto" w:fill="FFFFFF"/>
        </w:rPr>
        <w:t> </w:t>
      </w:r>
      <w:r w:rsidRPr="00251B2C">
        <w:rPr>
          <w:rFonts w:ascii="Times New Roman" w:hAnsi="Times New Roman" w:cs="Times New Roman"/>
          <w:color w:val="000000"/>
          <w:sz w:val="24"/>
          <w:szCs w:val="24"/>
          <w:shd w:val="clear" w:color="auto" w:fill="FFFFFF"/>
        </w:rPr>
        <w:t>and a VaR of $340 for bonds’ portfolios in VaR estimates of 10 days.</w:t>
      </w:r>
      <w:r w:rsidRPr="00251B2C">
        <w:rPr>
          <w:rStyle w:val="apple-converted-space"/>
          <w:rFonts w:ascii="Times New Roman" w:hAnsi="Times New Roman" w:cs="Times New Roman"/>
          <w:color w:val="000000"/>
          <w:sz w:val="24"/>
          <w:szCs w:val="24"/>
          <w:shd w:val="clear" w:color="auto" w:fill="FFFFFF"/>
        </w:rPr>
        <w:t> </w:t>
      </w:r>
      <w:r w:rsidRPr="00251B2C">
        <w:rPr>
          <w:rFonts w:ascii="Times New Roman" w:hAnsi="Times New Roman" w:cs="Times New Roman"/>
          <w:color w:val="000000"/>
          <w:sz w:val="24"/>
          <w:szCs w:val="24"/>
          <w:shd w:val="clear" w:color="auto" w:fill="FFFFFF"/>
        </w:rPr>
        <w:t>Whereas, a VaR of $1,020 for a portfolio of</w:t>
      </w:r>
      <w:r w:rsidRPr="00251B2C">
        <w:rPr>
          <w:rStyle w:val="apple-converted-space"/>
          <w:rFonts w:ascii="Times New Roman" w:hAnsi="Times New Roman" w:cs="Times New Roman"/>
          <w:color w:val="000000"/>
          <w:sz w:val="24"/>
          <w:szCs w:val="24"/>
          <w:shd w:val="clear" w:color="auto" w:fill="FFFFFF"/>
        </w:rPr>
        <w:t> </w:t>
      </w:r>
      <w:r w:rsidR="000F4C35" w:rsidRPr="00226846">
        <w:rPr>
          <w:rFonts w:ascii="Times New Roman" w:hAnsi="Times New Roman" w:cs="Times New Roman"/>
          <w:i/>
          <w:iCs/>
          <w:sz w:val="24"/>
          <w:szCs w:val="24"/>
        </w:rPr>
        <w:t>Sukuk</w:t>
      </w:r>
      <w:r w:rsidRPr="00251B2C">
        <w:rPr>
          <w:rStyle w:val="apple-converted-space"/>
          <w:rFonts w:ascii="Times New Roman" w:hAnsi="Times New Roman" w:cs="Times New Roman"/>
          <w:color w:val="000000"/>
          <w:sz w:val="24"/>
          <w:szCs w:val="24"/>
          <w:shd w:val="clear" w:color="auto" w:fill="FFFFFF"/>
        </w:rPr>
        <w:t> </w:t>
      </w:r>
      <w:r w:rsidRPr="00251B2C">
        <w:rPr>
          <w:rFonts w:ascii="Times New Roman" w:hAnsi="Times New Roman" w:cs="Times New Roman"/>
          <w:color w:val="000000"/>
          <w:sz w:val="24"/>
          <w:szCs w:val="24"/>
          <w:shd w:val="clear" w:color="auto" w:fill="FFFFFF"/>
        </w:rPr>
        <w:t xml:space="preserve">and a VaR of $540 for a portfolio of bonds in VaR estimates of (5000 iterations). Therefore, this suggests that the worst daily loss of </w:t>
      </w:r>
      <w:r w:rsidR="000F4C35" w:rsidRPr="00226846">
        <w:rPr>
          <w:rFonts w:ascii="Times New Roman" w:hAnsi="Times New Roman" w:cs="Times New Roman"/>
          <w:i/>
          <w:iCs/>
          <w:color w:val="000000"/>
          <w:sz w:val="24"/>
          <w:szCs w:val="24"/>
          <w:shd w:val="clear" w:color="auto" w:fill="FFFFFF"/>
        </w:rPr>
        <w:t>Sukuk</w:t>
      </w:r>
      <w:r w:rsidRPr="00251B2C">
        <w:rPr>
          <w:rFonts w:ascii="Times New Roman" w:hAnsi="Times New Roman" w:cs="Times New Roman"/>
          <w:color w:val="000000"/>
          <w:sz w:val="24"/>
          <w:szCs w:val="24"/>
          <w:shd w:val="clear" w:color="auto" w:fill="FFFFFF"/>
        </w:rPr>
        <w:t xml:space="preserve"> portfolio will not exceed $680 and $340 for bonds with the 99% confidence level in 10 days VaR estimates. In the second model of (5000 iteration) MCS, the maximum loss in a day will not exceed $1,020 for </w:t>
      </w:r>
      <w:r w:rsidR="00021AE2">
        <w:rPr>
          <w:rFonts w:ascii="Times New Roman" w:hAnsi="Times New Roman" w:cs="Times New Roman"/>
          <w:color w:val="000000"/>
          <w:sz w:val="24"/>
          <w:szCs w:val="24"/>
          <w:shd w:val="clear" w:color="auto" w:fill="FFFFFF"/>
        </w:rPr>
        <w:t xml:space="preserve">a </w:t>
      </w:r>
      <w:r w:rsidR="000F4C35" w:rsidRPr="00226846">
        <w:rPr>
          <w:rFonts w:ascii="Times New Roman" w:hAnsi="Times New Roman" w:cs="Times New Roman"/>
          <w:i/>
          <w:iCs/>
          <w:color w:val="000000"/>
          <w:sz w:val="24"/>
          <w:szCs w:val="24"/>
          <w:shd w:val="clear" w:color="auto" w:fill="FFFFFF"/>
        </w:rPr>
        <w:t>Sukuk</w:t>
      </w:r>
      <w:r w:rsidRPr="00251B2C">
        <w:rPr>
          <w:rFonts w:ascii="Times New Roman" w:hAnsi="Times New Roman" w:cs="Times New Roman"/>
          <w:color w:val="000000"/>
          <w:sz w:val="24"/>
          <w:szCs w:val="24"/>
          <w:shd w:val="clear" w:color="auto" w:fill="FFFFFF"/>
        </w:rPr>
        <w:t xml:space="preserve"> portfolio and $540 for bonds, which means that there is a 1% chance the loss could be larger than these VaR estimates.</w:t>
      </w:r>
    </w:p>
    <w:p w14:paraId="36E31529" w14:textId="77777777" w:rsidR="00A755F5" w:rsidRPr="00251B2C" w:rsidRDefault="00A755F5" w:rsidP="00A755F5">
      <w:pPr>
        <w:pStyle w:val="ListParagraph"/>
        <w:spacing w:before="120" w:after="120" w:line="360" w:lineRule="auto"/>
        <w:ind w:left="0"/>
        <w:jc w:val="both"/>
        <w:rPr>
          <w:rFonts w:ascii="Times New Roman" w:hAnsi="Times New Roman" w:cs="Times New Roman"/>
          <w:color w:val="000000"/>
          <w:sz w:val="24"/>
          <w:szCs w:val="24"/>
          <w:shd w:val="clear" w:color="auto" w:fill="FFFFFF"/>
        </w:rPr>
      </w:pPr>
    </w:p>
    <w:p w14:paraId="40AF83DC" w14:textId="3F283486" w:rsidR="00A755F5" w:rsidRPr="00251B2C" w:rsidRDefault="00460836" w:rsidP="00E92E69">
      <w:pPr>
        <w:pStyle w:val="ListParagraph"/>
        <w:spacing w:before="120" w:after="120" w:line="360" w:lineRule="auto"/>
        <w:ind w:left="0"/>
        <w:contextualSpacing w:val="0"/>
        <w:jc w:val="both"/>
        <w:rPr>
          <w:rFonts w:ascii="Times New Roman" w:hAnsi="Times New Roman" w:cs="Times New Roman"/>
          <w:sz w:val="24"/>
          <w:szCs w:val="24"/>
        </w:rPr>
      </w:pPr>
      <w:bookmarkStart w:id="105" w:name="OLE_LINK170"/>
      <w:bookmarkEnd w:id="104"/>
      <w:r>
        <w:rPr>
          <w:rFonts w:ascii="Times New Roman" w:hAnsi="Times New Roman" w:cs="Times New Roman"/>
          <w:color w:val="000000"/>
          <w:sz w:val="24"/>
          <w:szCs w:val="24"/>
          <w:shd w:val="clear" w:color="auto" w:fill="FFFFFF"/>
        </w:rPr>
        <w:t>On the other hand, the h</w:t>
      </w:r>
      <w:r w:rsidR="00A755F5" w:rsidRPr="00251B2C">
        <w:rPr>
          <w:rFonts w:ascii="Times New Roman" w:hAnsi="Times New Roman" w:cs="Times New Roman"/>
          <w:color w:val="000000"/>
          <w:sz w:val="24"/>
          <w:szCs w:val="24"/>
          <w:shd w:val="clear" w:color="auto" w:fill="FFFFFF"/>
        </w:rPr>
        <w:t>istorical simulatio</w:t>
      </w:r>
      <w:r w:rsidR="001A131A">
        <w:rPr>
          <w:rFonts w:ascii="Times New Roman" w:hAnsi="Times New Roman" w:cs="Times New Roman"/>
          <w:color w:val="000000"/>
          <w:sz w:val="24"/>
          <w:szCs w:val="24"/>
          <w:shd w:val="clear" w:color="auto" w:fill="FFFFFF"/>
        </w:rPr>
        <w:t xml:space="preserve">n shows that the expected daily </w:t>
      </w:r>
      <w:r w:rsidR="00A755F5" w:rsidRPr="00251B2C">
        <w:rPr>
          <w:rFonts w:ascii="Times New Roman" w:hAnsi="Times New Roman" w:cs="Times New Roman"/>
          <w:color w:val="000000"/>
          <w:sz w:val="24"/>
          <w:szCs w:val="24"/>
          <w:shd w:val="clear" w:color="auto" w:fill="FFFFFF"/>
        </w:rPr>
        <w:t>loss of</w:t>
      </w:r>
      <w:r w:rsidR="00A755F5" w:rsidRPr="00251B2C">
        <w:rPr>
          <w:rStyle w:val="apple-converted-space"/>
          <w:rFonts w:ascii="Times New Roman" w:hAnsi="Times New Roman" w:cs="Times New Roman"/>
          <w:color w:val="000000"/>
          <w:sz w:val="24"/>
          <w:szCs w:val="24"/>
          <w:shd w:val="clear" w:color="auto" w:fill="FFFFFF"/>
        </w:rPr>
        <w:t> </w:t>
      </w:r>
      <w:r w:rsidR="000F4C35" w:rsidRPr="00226846">
        <w:rPr>
          <w:rFonts w:ascii="Times New Roman" w:hAnsi="Times New Roman" w:cs="Times New Roman"/>
          <w:i/>
          <w:iCs/>
          <w:sz w:val="24"/>
          <w:szCs w:val="24"/>
        </w:rPr>
        <w:t>Sukuk</w:t>
      </w:r>
      <w:r w:rsidR="00A755F5" w:rsidRPr="00251B2C">
        <w:rPr>
          <w:rStyle w:val="apple-converted-space"/>
          <w:rFonts w:ascii="Times New Roman" w:hAnsi="Times New Roman" w:cs="Times New Roman"/>
          <w:color w:val="000000"/>
          <w:sz w:val="24"/>
          <w:szCs w:val="24"/>
          <w:shd w:val="clear" w:color="auto" w:fill="FFFFFF"/>
        </w:rPr>
        <w:t> </w:t>
      </w:r>
      <w:r w:rsidR="00A755F5" w:rsidRPr="00251B2C">
        <w:rPr>
          <w:rFonts w:ascii="Times New Roman" w:hAnsi="Times New Roman" w:cs="Times New Roman"/>
          <w:color w:val="000000"/>
          <w:sz w:val="24"/>
          <w:szCs w:val="24"/>
          <w:shd w:val="clear" w:color="auto" w:fill="FFFFFF"/>
        </w:rPr>
        <w:t xml:space="preserve">portfolios are </w:t>
      </w:r>
      <w:r w:rsidR="00021AE2">
        <w:rPr>
          <w:rFonts w:ascii="Times New Roman" w:hAnsi="Times New Roman" w:cs="Times New Roman"/>
          <w:color w:val="000000"/>
          <w:sz w:val="24"/>
          <w:szCs w:val="24"/>
          <w:shd w:val="clear" w:color="auto" w:fill="FFFFFF"/>
        </w:rPr>
        <w:t>greater</w:t>
      </w:r>
      <w:r w:rsidR="00A755F5" w:rsidRPr="00251B2C">
        <w:rPr>
          <w:rFonts w:ascii="Times New Roman" w:hAnsi="Times New Roman" w:cs="Times New Roman"/>
          <w:color w:val="000000"/>
          <w:sz w:val="24"/>
          <w:szCs w:val="24"/>
          <w:shd w:val="clear" w:color="auto" w:fill="FFFFFF"/>
        </w:rPr>
        <w:t xml:space="preserve"> than a portfolio of bonds </w:t>
      </w:r>
      <w:r w:rsidR="000F4C35">
        <w:rPr>
          <w:rFonts w:ascii="Times New Roman" w:hAnsi="Times New Roman" w:cs="Times New Roman"/>
          <w:color w:val="000000"/>
          <w:sz w:val="24"/>
          <w:szCs w:val="24"/>
          <w:shd w:val="clear" w:color="auto" w:fill="FFFFFF"/>
        </w:rPr>
        <w:t xml:space="preserve">with </w:t>
      </w:r>
      <w:r w:rsidR="00A755F5" w:rsidRPr="00251B2C">
        <w:rPr>
          <w:rFonts w:ascii="Times New Roman" w:hAnsi="Times New Roman" w:cs="Times New Roman"/>
          <w:color w:val="000000"/>
          <w:sz w:val="24"/>
          <w:szCs w:val="24"/>
          <w:shd w:val="clear" w:color="auto" w:fill="FFFFFF"/>
        </w:rPr>
        <w:t>a value of 47%. Similarly, the results of Monte Carlo simulation show that the percentage change of</w:t>
      </w:r>
      <w:r>
        <w:rPr>
          <w:rFonts w:ascii="Times New Roman" w:hAnsi="Times New Roman" w:cs="Times New Roman"/>
          <w:color w:val="000000"/>
          <w:sz w:val="24"/>
          <w:szCs w:val="24"/>
          <w:shd w:val="clear" w:color="auto" w:fill="FFFFFF"/>
        </w:rPr>
        <w:t xml:space="preserve"> both methods are close to the h</w:t>
      </w:r>
      <w:r w:rsidR="00A755F5" w:rsidRPr="00251B2C">
        <w:rPr>
          <w:rFonts w:ascii="Times New Roman" w:hAnsi="Times New Roman" w:cs="Times New Roman"/>
          <w:color w:val="000000"/>
          <w:sz w:val="24"/>
          <w:szCs w:val="24"/>
          <w:shd w:val="clear" w:color="auto" w:fill="FFFFFF"/>
        </w:rPr>
        <w:t xml:space="preserve">istorical simulation method which </w:t>
      </w:r>
      <w:r w:rsidR="00021AE2">
        <w:rPr>
          <w:rFonts w:ascii="Times New Roman" w:hAnsi="Times New Roman" w:cs="Times New Roman"/>
          <w:color w:val="000000"/>
          <w:sz w:val="24"/>
          <w:szCs w:val="24"/>
          <w:shd w:val="clear" w:color="auto" w:fill="FFFFFF"/>
        </w:rPr>
        <w:t>highlights</w:t>
      </w:r>
      <w:r w:rsidR="00A755F5" w:rsidRPr="00251B2C">
        <w:rPr>
          <w:rFonts w:ascii="Times New Roman" w:hAnsi="Times New Roman" w:cs="Times New Roman"/>
          <w:color w:val="000000"/>
          <w:sz w:val="24"/>
          <w:szCs w:val="24"/>
          <w:shd w:val="clear" w:color="auto" w:fill="FFFFFF"/>
        </w:rPr>
        <w:t xml:space="preserve"> that the findings are robust</w:t>
      </w:r>
      <w:r w:rsidR="00BB03B6">
        <w:rPr>
          <w:rFonts w:ascii="Times New Roman" w:hAnsi="Times New Roman" w:cs="Times New Roman"/>
          <w:color w:val="000000"/>
          <w:sz w:val="24"/>
          <w:szCs w:val="24"/>
          <w:shd w:val="clear" w:color="auto" w:fill="FFFFFF"/>
        </w:rPr>
        <w:t xml:space="preserve"> when compared</w:t>
      </w:r>
      <w:r w:rsidR="00A755F5" w:rsidRPr="00251B2C">
        <w:rPr>
          <w:rFonts w:ascii="Times New Roman" w:hAnsi="Times New Roman" w:cs="Times New Roman"/>
          <w:color w:val="000000"/>
          <w:sz w:val="24"/>
          <w:szCs w:val="24"/>
          <w:shd w:val="clear" w:color="auto" w:fill="FFFFFF"/>
        </w:rPr>
        <w:t xml:space="preserve"> to each other. For example, the expected daily losses of</w:t>
      </w:r>
      <w:r w:rsidR="00A755F5" w:rsidRPr="00251B2C">
        <w:rPr>
          <w:rStyle w:val="apple-converted-space"/>
          <w:rFonts w:ascii="Times New Roman" w:hAnsi="Times New Roman" w:cs="Times New Roman"/>
          <w:color w:val="000000"/>
          <w:sz w:val="24"/>
          <w:szCs w:val="24"/>
          <w:shd w:val="clear" w:color="auto" w:fill="FFFFFF"/>
        </w:rPr>
        <w:t> </w:t>
      </w:r>
      <w:r w:rsidR="000F4C35" w:rsidRPr="00226846">
        <w:rPr>
          <w:rFonts w:ascii="Times New Roman" w:hAnsi="Times New Roman" w:cs="Times New Roman"/>
          <w:i/>
          <w:iCs/>
          <w:sz w:val="24"/>
          <w:szCs w:val="24"/>
        </w:rPr>
        <w:t>Sukuk</w:t>
      </w:r>
      <w:r w:rsidR="00A755F5" w:rsidRPr="00251B2C">
        <w:rPr>
          <w:rStyle w:val="apple-converted-space"/>
          <w:rFonts w:ascii="Times New Roman" w:hAnsi="Times New Roman" w:cs="Times New Roman"/>
          <w:color w:val="000000"/>
          <w:sz w:val="24"/>
          <w:szCs w:val="24"/>
          <w:shd w:val="clear" w:color="auto" w:fill="FFFFFF"/>
        </w:rPr>
        <w:t> </w:t>
      </w:r>
      <w:r w:rsidR="00A755F5" w:rsidRPr="00251B2C">
        <w:rPr>
          <w:rStyle w:val="mceitemhidden"/>
          <w:rFonts w:ascii="Times New Roman" w:hAnsi="Times New Roman" w:cs="Times New Roman"/>
          <w:color w:val="000000"/>
          <w:sz w:val="24"/>
          <w:szCs w:val="24"/>
          <w:shd w:val="clear" w:color="auto" w:fill="FFFFFF"/>
        </w:rPr>
        <w:t xml:space="preserve">portfolios are </w:t>
      </w:r>
      <w:r w:rsidR="00BB03B6">
        <w:rPr>
          <w:rStyle w:val="mceitemhidden"/>
          <w:rFonts w:ascii="Times New Roman" w:hAnsi="Times New Roman" w:cs="Times New Roman"/>
          <w:color w:val="000000"/>
          <w:sz w:val="24"/>
          <w:szCs w:val="24"/>
          <w:shd w:val="clear" w:color="auto" w:fill="FFFFFF"/>
        </w:rPr>
        <w:t>higher</w:t>
      </w:r>
      <w:r w:rsidR="00A755F5" w:rsidRPr="00251B2C">
        <w:rPr>
          <w:rStyle w:val="mceitemhidden"/>
          <w:rFonts w:ascii="Times New Roman" w:hAnsi="Times New Roman" w:cs="Times New Roman"/>
          <w:color w:val="000000"/>
          <w:sz w:val="24"/>
          <w:szCs w:val="24"/>
          <w:shd w:val="clear" w:color="auto" w:fill="FFFFFF"/>
        </w:rPr>
        <w:t xml:space="preserve"> than </w:t>
      </w:r>
      <w:r w:rsidR="00BB03B6">
        <w:rPr>
          <w:rStyle w:val="mceitemhidden"/>
          <w:rFonts w:ascii="Times New Roman" w:hAnsi="Times New Roman" w:cs="Times New Roman"/>
          <w:color w:val="000000"/>
          <w:sz w:val="24"/>
          <w:szCs w:val="24"/>
          <w:shd w:val="clear" w:color="auto" w:fill="FFFFFF"/>
        </w:rPr>
        <w:t xml:space="preserve">those of </w:t>
      </w:r>
      <w:r w:rsidR="00A755F5" w:rsidRPr="00251B2C">
        <w:rPr>
          <w:rStyle w:val="mceitemhidden"/>
          <w:rFonts w:ascii="Times New Roman" w:hAnsi="Times New Roman" w:cs="Times New Roman"/>
          <w:color w:val="000000"/>
          <w:sz w:val="24"/>
          <w:szCs w:val="24"/>
          <w:shd w:val="clear" w:color="auto" w:fill="FFFFFF"/>
        </w:rPr>
        <w:t>conventional bonds</w:t>
      </w:r>
      <w:r w:rsidR="00BB03B6">
        <w:rPr>
          <w:rStyle w:val="mceitemhidden"/>
          <w:rFonts w:ascii="Times New Roman" w:hAnsi="Times New Roman" w:cs="Times New Roman"/>
          <w:color w:val="000000"/>
          <w:sz w:val="24"/>
          <w:szCs w:val="24"/>
          <w:shd w:val="clear" w:color="auto" w:fill="FFFFFF"/>
        </w:rPr>
        <w:t>,</w:t>
      </w:r>
      <w:r w:rsidR="000F4C35">
        <w:rPr>
          <w:rStyle w:val="mceitemhidden"/>
          <w:rFonts w:ascii="Times New Roman" w:hAnsi="Times New Roman" w:cs="Times New Roman"/>
          <w:color w:val="000000"/>
          <w:sz w:val="24"/>
          <w:szCs w:val="24"/>
          <w:shd w:val="clear" w:color="auto" w:fill="FFFFFF"/>
        </w:rPr>
        <w:t>’</w:t>
      </w:r>
      <w:r w:rsidR="00A755F5" w:rsidRPr="00251B2C">
        <w:rPr>
          <w:rStyle w:val="mceitemhidden"/>
          <w:rFonts w:ascii="Times New Roman" w:hAnsi="Times New Roman" w:cs="Times New Roman"/>
          <w:color w:val="000000"/>
          <w:sz w:val="24"/>
          <w:szCs w:val="24"/>
          <w:shd w:val="clear" w:color="auto" w:fill="FFFFFF"/>
        </w:rPr>
        <w:t xml:space="preserve"> </w:t>
      </w:r>
      <w:r w:rsidR="00BB03B6">
        <w:rPr>
          <w:rStyle w:val="mceitemhidden"/>
          <w:rFonts w:ascii="Times New Roman" w:hAnsi="Times New Roman" w:cs="Times New Roman"/>
          <w:color w:val="000000"/>
          <w:sz w:val="24"/>
          <w:szCs w:val="24"/>
          <w:shd w:val="clear" w:color="auto" w:fill="FFFFFF"/>
        </w:rPr>
        <w:t xml:space="preserve">illustrating </w:t>
      </w:r>
      <w:r w:rsidR="00A755F5" w:rsidRPr="00251B2C">
        <w:rPr>
          <w:rStyle w:val="mceitemhidden"/>
          <w:rFonts w:ascii="Times New Roman" w:hAnsi="Times New Roman" w:cs="Times New Roman"/>
          <w:color w:val="000000"/>
          <w:sz w:val="24"/>
          <w:szCs w:val="24"/>
          <w:shd w:val="clear" w:color="auto" w:fill="FFFFFF"/>
        </w:rPr>
        <w:t xml:space="preserve">50% in </w:t>
      </w:r>
      <w:r w:rsidR="00D01AD0">
        <w:rPr>
          <w:rStyle w:val="mceitemhidden"/>
          <w:rFonts w:ascii="Times New Roman" w:hAnsi="Times New Roman" w:cs="Times New Roman"/>
          <w:color w:val="000000"/>
          <w:sz w:val="24"/>
          <w:szCs w:val="24"/>
          <w:shd w:val="clear" w:color="auto" w:fill="FFFFFF"/>
        </w:rPr>
        <w:t xml:space="preserve">a </w:t>
      </w:r>
      <w:r w:rsidR="00D01AD0" w:rsidRPr="00251B2C">
        <w:rPr>
          <w:rStyle w:val="mceitemhidden"/>
          <w:rFonts w:ascii="Times New Roman" w:hAnsi="Times New Roman" w:cs="Times New Roman"/>
          <w:color w:val="000000"/>
          <w:sz w:val="24"/>
          <w:szCs w:val="24"/>
          <w:shd w:val="clear" w:color="auto" w:fill="FFFFFF"/>
        </w:rPr>
        <w:t>10</w:t>
      </w:r>
      <w:r w:rsidR="00D01AD0">
        <w:rPr>
          <w:rStyle w:val="mceitemhidden"/>
          <w:rFonts w:ascii="Times New Roman" w:hAnsi="Times New Roman" w:cs="Times New Roman"/>
          <w:color w:val="000000"/>
          <w:sz w:val="24"/>
          <w:szCs w:val="24"/>
          <w:shd w:val="clear" w:color="auto" w:fill="FFFFFF"/>
        </w:rPr>
        <w:t>-</w:t>
      </w:r>
      <w:r w:rsidR="00D01AD0" w:rsidRPr="00251B2C">
        <w:rPr>
          <w:rStyle w:val="mceitemhidden"/>
          <w:rFonts w:ascii="Times New Roman" w:hAnsi="Times New Roman" w:cs="Times New Roman"/>
          <w:color w:val="000000"/>
          <w:sz w:val="24"/>
          <w:szCs w:val="24"/>
          <w:shd w:val="clear" w:color="auto" w:fill="FFFFFF"/>
        </w:rPr>
        <w:t>day</w:t>
      </w:r>
      <w:r w:rsidR="00A755F5" w:rsidRPr="00251B2C">
        <w:rPr>
          <w:rStyle w:val="mceitemhidden"/>
          <w:rFonts w:ascii="Times New Roman" w:hAnsi="Times New Roman" w:cs="Times New Roman"/>
          <w:color w:val="000000"/>
          <w:sz w:val="24"/>
          <w:szCs w:val="24"/>
          <w:shd w:val="clear" w:color="auto" w:fill="FFFFFF"/>
        </w:rPr>
        <w:t xml:space="preserve"> holding period. Whereas, the second method shows that </w:t>
      </w:r>
      <w:r w:rsidR="000F4C35" w:rsidRPr="00226846">
        <w:rPr>
          <w:rStyle w:val="mceitemhidden"/>
          <w:rFonts w:ascii="Times New Roman" w:hAnsi="Times New Roman" w:cs="Times New Roman"/>
          <w:i/>
          <w:iCs/>
          <w:color w:val="000000"/>
          <w:sz w:val="24"/>
          <w:szCs w:val="24"/>
          <w:shd w:val="clear" w:color="auto" w:fill="FFFFFF"/>
        </w:rPr>
        <w:t>Sukuk</w:t>
      </w:r>
      <w:r w:rsidR="00A755F5" w:rsidRPr="00251B2C">
        <w:rPr>
          <w:rStyle w:val="mceitemhidden"/>
          <w:rFonts w:ascii="Times New Roman" w:hAnsi="Times New Roman" w:cs="Times New Roman"/>
          <w:color w:val="000000"/>
          <w:sz w:val="24"/>
          <w:szCs w:val="24"/>
          <w:shd w:val="clear" w:color="auto" w:fill="FFFFFF"/>
        </w:rPr>
        <w:t xml:space="preserve"> have higher losses of 47% compared to conventional bonds. </w:t>
      </w:r>
      <w:r w:rsidR="00A755F5" w:rsidRPr="00251B2C">
        <w:rPr>
          <w:rStyle w:val="mceitemhidden"/>
          <w:rFonts w:ascii="Times New Roman" w:hAnsi="Times New Roman" w:cs="Times New Roman"/>
          <w:sz w:val="24"/>
          <w:szCs w:val="24"/>
          <w:shd w:val="clear" w:color="auto" w:fill="FFFFFF"/>
        </w:rPr>
        <w:t xml:space="preserve">However, the slight differences </w:t>
      </w:r>
      <w:r w:rsidR="003237BA">
        <w:rPr>
          <w:rStyle w:val="mceitemhidden"/>
          <w:rFonts w:ascii="Times New Roman" w:hAnsi="Times New Roman" w:cs="Times New Roman"/>
          <w:sz w:val="24"/>
          <w:szCs w:val="24"/>
          <w:shd w:val="clear" w:color="auto" w:fill="FFFFFF"/>
        </w:rPr>
        <w:t xml:space="preserve">apparent </w:t>
      </w:r>
      <w:r w:rsidR="00317837">
        <w:rPr>
          <w:rStyle w:val="mceitemhidden"/>
          <w:rFonts w:ascii="Times New Roman" w:hAnsi="Times New Roman" w:cs="Times New Roman"/>
          <w:sz w:val="24"/>
          <w:szCs w:val="24"/>
          <w:shd w:val="clear" w:color="auto" w:fill="FFFFFF"/>
        </w:rPr>
        <w:t>to</w:t>
      </w:r>
      <w:r w:rsidR="00A755F5" w:rsidRPr="00251B2C">
        <w:rPr>
          <w:rStyle w:val="mceitemhidden"/>
          <w:rFonts w:ascii="Times New Roman" w:hAnsi="Times New Roman" w:cs="Times New Roman"/>
          <w:sz w:val="24"/>
          <w:szCs w:val="24"/>
          <w:shd w:val="clear" w:color="auto" w:fill="FFFFFF"/>
        </w:rPr>
        <w:t xml:space="preserve"> both methods</w:t>
      </w:r>
      <w:r w:rsidR="00A755F5" w:rsidRPr="00251B2C">
        <w:rPr>
          <w:rStyle w:val="apple-converted-space"/>
          <w:rFonts w:ascii="Times New Roman" w:hAnsi="Times New Roman" w:cs="Times New Roman"/>
          <w:sz w:val="24"/>
          <w:szCs w:val="24"/>
          <w:shd w:val="clear" w:color="auto" w:fill="FFFFFF"/>
        </w:rPr>
        <w:t> </w:t>
      </w:r>
      <w:r w:rsidR="00A755F5" w:rsidRPr="00251B2C">
        <w:rPr>
          <w:rStyle w:val="hiddengrammarerror"/>
          <w:rFonts w:ascii="Times New Roman" w:hAnsi="Times New Roman" w:cs="Times New Roman"/>
          <w:sz w:val="24"/>
          <w:szCs w:val="24"/>
          <w:shd w:val="clear" w:color="auto" w:fill="FFFFFF"/>
        </w:rPr>
        <w:t>can be</w:t>
      </w:r>
      <w:r w:rsidR="00A755F5" w:rsidRPr="00251B2C">
        <w:rPr>
          <w:rStyle w:val="apple-converted-space"/>
          <w:rFonts w:ascii="Times New Roman" w:hAnsi="Times New Roman" w:cs="Times New Roman"/>
          <w:sz w:val="24"/>
          <w:szCs w:val="24"/>
          <w:shd w:val="clear" w:color="auto" w:fill="FFFFFF"/>
        </w:rPr>
        <w:t> </w:t>
      </w:r>
      <w:r w:rsidR="00A755F5" w:rsidRPr="00251B2C">
        <w:rPr>
          <w:rStyle w:val="mceitemhidden"/>
          <w:rFonts w:ascii="Times New Roman" w:hAnsi="Times New Roman" w:cs="Times New Roman"/>
          <w:sz w:val="24"/>
          <w:szCs w:val="24"/>
          <w:shd w:val="clear" w:color="auto" w:fill="FFFFFF"/>
        </w:rPr>
        <w:t xml:space="preserve">attributed to the extent </w:t>
      </w:r>
      <w:r w:rsidR="00D01AD0">
        <w:rPr>
          <w:rStyle w:val="mceitemhidden"/>
          <w:rFonts w:ascii="Times New Roman" w:hAnsi="Times New Roman" w:cs="Times New Roman"/>
          <w:sz w:val="24"/>
          <w:szCs w:val="24"/>
          <w:shd w:val="clear" w:color="auto" w:fill="FFFFFF"/>
        </w:rPr>
        <w:t>to which</w:t>
      </w:r>
      <w:r w:rsidR="00A755F5" w:rsidRPr="00251B2C">
        <w:rPr>
          <w:rStyle w:val="mceitemhidden"/>
          <w:rFonts w:ascii="Times New Roman" w:hAnsi="Times New Roman" w:cs="Times New Roman"/>
          <w:sz w:val="24"/>
          <w:szCs w:val="24"/>
          <w:shd w:val="clear" w:color="auto" w:fill="FFFFFF"/>
        </w:rPr>
        <w:t xml:space="preserve"> returns on</w:t>
      </w:r>
      <w:r w:rsidR="00A755F5" w:rsidRPr="00251B2C">
        <w:rPr>
          <w:rStyle w:val="apple-converted-space"/>
          <w:rFonts w:ascii="Times New Roman" w:hAnsi="Times New Roman" w:cs="Times New Roman"/>
          <w:sz w:val="24"/>
          <w:szCs w:val="24"/>
          <w:shd w:val="clear" w:color="auto" w:fill="FFFFFF"/>
        </w:rPr>
        <w:t> </w:t>
      </w:r>
      <w:r w:rsidR="000F4C35" w:rsidRPr="00226846">
        <w:rPr>
          <w:rFonts w:ascii="Times New Roman" w:hAnsi="Times New Roman" w:cs="Times New Roman"/>
          <w:i/>
          <w:iCs/>
          <w:sz w:val="24"/>
          <w:szCs w:val="24"/>
        </w:rPr>
        <w:t>Sukuk</w:t>
      </w:r>
      <w:r w:rsidR="00A755F5" w:rsidRPr="00251B2C">
        <w:rPr>
          <w:rStyle w:val="apple-converted-space"/>
          <w:rFonts w:ascii="Times New Roman" w:hAnsi="Times New Roman" w:cs="Times New Roman"/>
          <w:sz w:val="24"/>
          <w:szCs w:val="24"/>
          <w:shd w:val="clear" w:color="auto" w:fill="FFFFFF"/>
        </w:rPr>
        <w:t> </w:t>
      </w:r>
      <w:r w:rsidR="00A755F5" w:rsidRPr="00251B2C">
        <w:rPr>
          <w:rFonts w:ascii="Times New Roman" w:hAnsi="Times New Roman" w:cs="Times New Roman"/>
          <w:sz w:val="24"/>
          <w:szCs w:val="24"/>
          <w:shd w:val="clear" w:color="auto" w:fill="FFFFFF"/>
        </w:rPr>
        <w:t>and bonds diverge</w:t>
      </w:r>
      <w:r w:rsidR="00A755F5" w:rsidRPr="00251B2C">
        <w:rPr>
          <w:rStyle w:val="apple-converted-space"/>
          <w:rFonts w:ascii="Times New Roman" w:hAnsi="Times New Roman" w:cs="Times New Roman"/>
          <w:sz w:val="24"/>
          <w:szCs w:val="24"/>
          <w:shd w:val="clear" w:color="auto" w:fill="FFFFFF"/>
        </w:rPr>
        <w:t> </w:t>
      </w:r>
      <w:r w:rsidR="00226846" w:rsidRPr="00251B2C">
        <w:rPr>
          <w:rStyle w:val="mceitemhidden"/>
          <w:rFonts w:ascii="Times New Roman" w:hAnsi="Times New Roman" w:cs="Times New Roman"/>
          <w:sz w:val="24"/>
          <w:szCs w:val="24"/>
          <w:shd w:val="clear" w:color="auto" w:fill="FFFFFF"/>
        </w:rPr>
        <w:t>from normal</w:t>
      </w:r>
      <w:r w:rsidR="00A755F5" w:rsidRPr="00251B2C">
        <w:rPr>
          <w:rStyle w:val="mceitemhidden"/>
          <w:rFonts w:ascii="Times New Roman" w:hAnsi="Times New Roman" w:cs="Times New Roman"/>
          <w:sz w:val="24"/>
          <w:szCs w:val="24"/>
          <w:shd w:val="clear" w:color="auto" w:fill="FFFFFF"/>
        </w:rPr>
        <w:t xml:space="preserve"> presumptions, </w:t>
      </w:r>
      <w:r w:rsidR="00574830">
        <w:rPr>
          <w:rStyle w:val="mceitemhidden"/>
          <w:rFonts w:ascii="Times New Roman" w:hAnsi="Times New Roman" w:cs="Times New Roman"/>
          <w:sz w:val="24"/>
          <w:szCs w:val="24"/>
          <w:shd w:val="clear" w:color="auto" w:fill="FFFFFF"/>
        </w:rPr>
        <w:t>whereby,</w:t>
      </w:r>
      <w:r w:rsidR="00A755F5" w:rsidRPr="00251B2C">
        <w:rPr>
          <w:rStyle w:val="mceitemhidden"/>
          <w:rFonts w:ascii="Times New Roman" w:hAnsi="Times New Roman" w:cs="Times New Roman"/>
          <w:sz w:val="24"/>
          <w:szCs w:val="24"/>
          <w:shd w:val="clear" w:color="auto" w:fill="FFFFFF"/>
        </w:rPr>
        <w:t xml:space="preserve"> deviation from normality can lead to a different estimate of VaR when </w:t>
      </w:r>
      <w:r w:rsidR="00574830">
        <w:rPr>
          <w:rStyle w:val="mceitemhidden"/>
          <w:rFonts w:ascii="Times New Roman" w:hAnsi="Times New Roman" w:cs="Times New Roman"/>
          <w:sz w:val="24"/>
          <w:szCs w:val="24"/>
          <w:shd w:val="clear" w:color="auto" w:fill="FFFFFF"/>
        </w:rPr>
        <w:t xml:space="preserve">a </w:t>
      </w:r>
      <w:r w:rsidR="00A755F5" w:rsidRPr="00251B2C">
        <w:rPr>
          <w:rStyle w:val="mceitemhidden"/>
          <w:rFonts w:ascii="Times New Roman" w:hAnsi="Times New Roman" w:cs="Times New Roman"/>
          <w:sz w:val="24"/>
          <w:szCs w:val="24"/>
          <w:shd w:val="clear" w:color="auto" w:fill="FFFFFF"/>
        </w:rPr>
        <w:t>normality assumption</w:t>
      </w:r>
      <w:r w:rsidR="00A755F5" w:rsidRPr="00251B2C">
        <w:rPr>
          <w:rStyle w:val="apple-converted-space"/>
          <w:rFonts w:ascii="Times New Roman" w:hAnsi="Times New Roman" w:cs="Times New Roman"/>
          <w:sz w:val="24"/>
          <w:szCs w:val="24"/>
          <w:shd w:val="clear" w:color="auto" w:fill="FFFFFF"/>
        </w:rPr>
        <w:t> </w:t>
      </w:r>
      <w:r w:rsidR="00A755F5" w:rsidRPr="00251B2C">
        <w:rPr>
          <w:rStyle w:val="hiddengrammarerror"/>
          <w:rFonts w:ascii="Times New Roman" w:hAnsi="Times New Roman" w:cs="Times New Roman"/>
          <w:sz w:val="24"/>
          <w:szCs w:val="24"/>
          <w:shd w:val="clear" w:color="auto" w:fill="FFFFFF"/>
        </w:rPr>
        <w:t>is dropped</w:t>
      </w:r>
      <w:r w:rsidR="00A755F5" w:rsidRPr="00251B2C">
        <w:rPr>
          <w:rStyle w:val="apple-converted-space"/>
          <w:rFonts w:ascii="Times New Roman" w:hAnsi="Times New Roman" w:cs="Times New Roman"/>
          <w:sz w:val="24"/>
          <w:szCs w:val="24"/>
          <w:shd w:val="clear" w:color="auto" w:fill="FFFFFF"/>
        </w:rPr>
        <w:t> </w:t>
      </w:r>
      <w:r w:rsidR="00A755F5" w:rsidRPr="00251B2C">
        <w:rPr>
          <w:rStyle w:val="mceitemhidden"/>
          <w:rFonts w:ascii="Times New Roman" w:hAnsi="Times New Roman" w:cs="Times New Roman"/>
          <w:sz w:val="24"/>
          <w:szCs w:val="24"/>
          <w:shd w:val="clear" w:color="auto" w:fill="FFFFFF"/>
        </w:rPr>
        <w:t>both in Historical simulation and the MCS method</w:t>
      </w:r>
      <w:r w:rsidR="00574830">
        <w:rPr>
          <w:rStyle w:val="mceitemhidden"/>
          <w:rFonts w:ascii="Times New Roman" w:hAnsi="Times New Roman" w:cs="Times New Roman"/>
          <w:sz w:val="24"/>
          <w:szCs w:val="24"/>
          <w:shd w:val="clear" w:color="auto" w:fill="FFFFFF"/>
        </w:rPr>
        <w:t>s</w:t>
      </w:r>
      <w:r w:rsidR="00A755F5" w:rsidRPr="00251B2C">
        <w:rPr>
          <w:rStyle w:val="mceitemhidden"/>
          <w:rFonts w:ascii="Times New Roman" w:hAnsi="Times New Roman" w:cs="Times New Roman"/>
          <w:sz w:val="24"/>
          <w:szCs w:val="24"/>
          <w:shd w:val="clear" w:color="auto" w:fill="FFFFFF"/>
        </w:rPr>
        <w:t xml:space="preserve">. </w:t>
      </w:r>
      <w:bookmarkEnd w:id="105"/>
      <w:r w:rsidR="00A755F5" w:rsidRPr="00251B2C">
        <w:rPr>
          <w:rFonts w:ascii="Times New Roman" w:hAnsi="Times New Roman" w:cs="Times New Roman"/>
          <w:sz w:val="24"/>
          <w:szCs w:val="24"/>
        </w:rPr>
        <w:t>As illustrated</w:t>
      </w:r>
      <w:r w:rsidR="00574830">
        <w:rPr>
          <w:rFonts w:ascii="Times New Roman" w:hAnsi="Times New Roman" w:cs="Times New Roman"/>
          <w:sz w:val="24"/>
          <w:szCs w:val="24"/>
        </w:rPr>
        <w:t xml:space="preserve"> in</w:t>
      </w:r>
      <w:r w:rsidR="00A755F5" w:rsidRPr="00251B2C">
        <w:rPr>
          <w:rFonts w:ascii="Times New Roman" w:hAnsi="Times New Roman" w:cs="Times New Roman"/>
          <w:sz w:val="24"/>
          <w:szCs w:val="24"/>
        </w:rPr>
        <w:t xml:space="preserve"> the above </w:t>
      </w:r>
      <w:r w:rsidR="009B1361">
        <w:rPr>
          <w:rFonts w:ascii="Times New Roman" w:hAnsi="Times New Roman" w:cs="Times New Roman"/>
          <w:sz w:val="24"/>
          <w:szCs w:val="24"/>
        </w:rPr>
        <w:t>Table 6</w:t>
      </w:r>
      <w:r w:rsidR="00A755F5" w:rsidRPr="00251B2C">
        <w:rPr>
          <w:rFonts w:ascii="Times New Roman" w:hAnsi="Times New Roman" w:cs="Times New Roman"/>
          <w:sz w:val="24"/>
          <w:szCs w:val="24"/>
        </w:rPr>
        <w:t xml:space="preserve">, </w:t>
      </w:r>
      <w:r w:rsidR="000F4C35" w:rsidRPr="00226846">
        <w:rPr>
          <w:rFonts w:ascii="Times New Roman" w:hAnsi="Times New Roman" w:cs="Times New Roman"/>
          <w:i/>
          <w:iCs/>
          <w:sz w:val="24"/>
          <w:szCs w:val="24"/>
        </w:rPr>
        <w:t>Sukuk</w:t>
      </w:r>
      <w:r w:rsidR="00A755F5" w:rsidRPr="00251B2C">
        <w:rPr>
          <w:rFonts w:ascii="Times New Roman" w:hAnsi="Times New Roman" w:cs="Times New Roman"/>
          <w:sz w:val="24"/>
          <w:szCs w:val="24"/>
        </w:rPr>
        <w:t xml:space="preserve"> portfolios have a higher VaR risk level </w:t>
      </w:r>
      <w:r w:rsidR="00A755F5" w:rsidRPr="00251B2C">
        <w:rPr>
          <w:rFonts w:ascii="Times New Roman" w:hAnsi="Times New Roman" w:cs="Times New Roman"/>
          <w:sz w:val="24"/>
          <w:szCs w:val="24"/>
        </w:rPr>
        <w:lastRenderedPageBreak/>
        <w:t xml:space="preserve">of expected daily losses than the conventional bonds. </w:t>
      </w:r>
      <w:r w:rsidR="00897B5F" w:rsidRPr="00251B2C">
        <w:rPr>
          <w:rFonts w:ascii="Times New Roman" w:hAnsi="Times New Roman" w:cs="Times New Roman"/>
          <w:sz w:val="24"/>
          <w:szCs w:val="24"/>
        </w:rPr>
        <w:t>This</w:t>
      </w:r>
      <w:r w:rsidR="00897B5F">
        <w:rPr>
          <w:rFonts w:ascii="Times New Roman" w:hAnsi="Times New Roman" w:cs="Times New Roman"/>
          <w:sz w:val="24"/>
          <w:szCs w:val="24"/>
        </w:rPr>
        <w:t xml:space="preserve"> </w:t>
      </w:r>
      <w:r w:rsidR="00897B5F" w:rsidRPr="00251B2C">
        <w:rPr>
          <w:rFonts w:ascii="Times New Roman" w:hAnsi="Times New Roman" w:cs="Times New Roman"/>
          <w:sz w:val="24"/>
          <w:szCs w:val="24"/>
        </w:rPr>
        <w:t>highlight</w:t>
      </w:r>
      <w:r w:rsidR="00A755F5" w:rsidRPr="00251B2C">
        <w:rPr>
          <w:rFonts w:ascii="Times New Roman" w:hAnsi="Times New Roman" w:cs="Times New Roman"/>
          <w:sz w:val="24"/>
          <w:szCs w:val="24"/>
        </w:rPr>
        <w:t xml:space="preserve"> </w:t>
      </w:r>
      <w:r w:rsidR="000F4C35" w:rsidRPr="00226846">
        <w:rPr>
          <w:rFonts w:ascii="Times New Roman" w:hAnsi="Times New Roman" w:cs="Times New Roman"/>
          <w:i/>
          <w:iCs/>
          <w:sz w:val="24"/>
          <w:szCs w:val="24"/>
        </w:rPr>
        <w:t>Sukuk</w:t>
      </w:r>
      <w:r w:rsidR="00A755F5" w:rsidRPr="00251B2C">
        <w:rPr>
          <w:rFonts w:ascii="Times New Roman" w:hAnsi="Times New Roman" w:cs="Times New Roman"/>
          <w:sz w:val="24"/>
          <w:szCs w:val="24"/>
        </w:rPr>
        <w:t xml:space="preserve"> a</w:t>
      </w:r>
      <w:r w:rsidR="00574830">
        <w:rPr>
          <w:rFonts w:ascii="Times New Roman" w:hAnsi="Times New Roman" w:cs="Times New Roman"/>
          <w:sz w:val="24"/>
          <w:szCs w:val="24"/>
        </w:rPr>
        <w:t>s</w:t>
      </w:r>
      <w:r w:rsidR="00A755F5" w:rsidRPr="00251B2C">
        <w:rPr>
          <w:rFonts w:ascii="Times New Roman" w:hAnsi="Times New Roman" w:cs="Times New Roman"/>
          <w:sz w:val="24"/>
          <w:szCs w:val="24"/>
        </w:rPr>
        <w:t xml:space="preserve"> riskier </w:t>
      </w:r>
      <w:r w:rsidR="009257A1" w:rsidRPr="00251B2C">
        <w:rPr>
          <w:rFonts w:ascii="Times New Roman" w:hAnsi="Times New Roman" w:cs="Times New Roman"/>
          <w:sz w:val="24"/>
          <w:szCs w:val="24"/>
        </w:rPr>
        <w:t>than conventional</w:t>
      </w:r>
      <w:r w:rsidR="00A755F5" w:rsidRPr="00251B2C">
        <w:rPr>
          <w:rFonts w:ascii="Times New Roman" w:hAnsi="Times New Roman" w:cs="Times New Roman"/>
          <w:sz w:val="24"/>
          <w:szCs w:val="24"/>
        </w:rPr>
        <w:t xml:space="preserve"> bonds. </w:t>
      </w:r>
    </w:p>
    <w:p w14:paraId="28627114" w14:textId="734A5BC5" w:rsidR="00A755F5" w:rsidRPr="00251B2C" w:rsidRDefault="00A755F5" w:rsidP="00E92E69">
      <w:pPr>
        <w:pStyle w:val="ListParagraph"/>
        <w:spacing w:before="120" w:after="120" w:line="360" w:lineRule="auto"/>
        <w:ind w:left="0"/>
        <w:contextualSpacing w:val="0"/>
        <w:jc w:val="both"/>
        <w:rPr>
          <w:rFonts w:ascii="Times New Roman" w:hAnsi="Times New Roman" w:cs="Times New Roman"/>
          <w:sz w:val="24"/>
          <w:szCs w:val="24"/>
          <w:shd w:val="clear" w:color="auto" w:fill="FFFFFF"/>
        </w:rPr>
      </w:pPr>
      <w:r w:rsidRPr="00251B2C">
        <w:rPr>
          <w:rFonts w:ascii="Times New Roman" w:hAnsi="Times New Roman" w:cs="Times New Roman"/>
          <w:sz w:val="24"/>
          <w:szCs w:val="24"/>
          <w:shd w:val="clear" w:color="auto" w:fill="FFFFFF"/>
        </w:rPr>
        <w:t xml:space="preserve">However, </w:t>
      </w:r>
      <w:r w:rsidR="005024DD">
        <w:rPr>
          <w:rFonts w:ascii="Times New Roman" w:hAnsi="Times New Roman" w:cs="Times New Roman"/>
          <w:sz w:val="24"/>
          <w:szCs w:val="24"/>
          <w:shd w:val="clear" w:color="auto" w:fill="FFFFFF"/>
        </w:rPr>
        <w:t>differences</w:t>
      </w:r>
      <w:bookmarkStart w:id="106" w:name="OLE_LINK31"/>
      <w:bookmarkStart w:id="107" w:name="OLE_LINK32"/>
      <w:r w:rsidRPr="00251B2C">
        <w:rPr>
          <w:rFonts w:ascii="Times New Roman" w:hAnsi="Times New Roman" w:cs="Times New Roman"/>
          <w:sz w:val="24"/>
          <w:szCs w:val="24"/>
          <w:shd w:val="clear" w:color="auto" w:fill="FFFFFF"/>
        </w:rPr>
        <w:t xml:space="preserve"> between </w:t>
      </w:r>
      <w:r w:rsidR="000F4C35" w:rsidRPr="00226846">
        <w:rPr>
          <w:rFonts w:ascii="Times New Roman" w:hAnsi="Times New Roman" w:cs="Times New Roman"/>
          <w:i/>
          <w:iCs/>
          <w:sz w:val="24"/>
          <w:szCs w:val="24"/>
          <w:shd w:val="clear" w:color="auto" w:fill="FFFFFF"/>
        </w:rPr>
        <w:t>Sukuk</w:t>
      </w:r>
      <w:r w:rsidRPr="00251B2C">
        <w:rPr>
          <w:rFonts w:ascii="Times New Roman" w:hAnsi="Times New Roman" w:cs="Times New Roman"/>
          <w:sz w:val="24"/>
          <w:szCs w:val="24"/>
          <w:shd w:val="clear" w:color="auto" w:fill="FFFFFF"/>
        </w:rPr>
        <w:t xml:space="preserve"> and conventional bonds risk level </w:t>
      </w:r>
      <w:bookmarkEnd w:id="106"/>
      <w:bookmarkEnd w:id="107"/>
      <w:r w:rsidR="001D5D3C">
        <w:rPr>
          <w:rFonts w:ascii="Times New Roman" w:hAnsi="Times New Roman" w:cs="Times New Roman"/>
          <w:sz w:val="24"/>
          <w:szCs w:val="24"/>
          <w:shd w:val="clear" w:color="auto" w:fill="FFFFFF"/>
        </w:rPr>
        <w:t xml:space="preserve">were tested </w:t>
      </w:r>
      <w:r w:rsidRPr="00251B2C">
        <w:rPr>
          <w:rFonts w:ascii="Times New Roman" w:hAnsi="Times New Roman" w:cs="Times New Roman"/>
          <w:sz w:val="24"/>
          <w:szCs w:val="24"/>
          <w:shd w:val="clear" w:color="auto" w:fill="FFFFFF"/>
        </w:rPr>
        <w:t xml:space="preserve">using the F-test model by </w:t>
      </w:r>
      <w:r w:rsidR="009257A1" w:rsidRPr="00251B2C">
        <w:rPr>
          <w:rFonts w:ascii="Times New Roman" w:hAnsi="Times New Roman" w:cs="Times New Roman"/>
          <w:sz w:val="24"/>
          <w:szCs w:val="24"/>
          <w:shd w:val="clear" w:color="auto" w:fill="FFFFFF"/>
        </w:rPr>
        <w:t>employing Minitab</w:t>
      </w:r>
      <w:r w:rsidRPr="00251B2C">
        <w:rPr>
          <w:rFonts w:ascii="Times New Roman" w:hAnsi="Times New Roman" w:cs="Times New Roman"/>
          <w:sz w:val="24"/>
          <w:szCs w:val="24"/>
          <w:shd w:val="clear" w:color="auto" w:fill="FFFFFF"/>
        </w:rPr>
        <w:t xml:space="preserve"> software. The results show that p-value is less than 0.01 with </w:t>
      </w:r>
      <w:r w:rsidR="00F34DDB">
        <w:rPr>
          <w:rFonts w:ascii="Times New Roman" w:hAnsi="Times New Roman" w:cs="Times New Roman"/>
          <w:sz w:val="24"/>
          <w:szCs w:val="24"/>
          <w:shd w:val="clear" w:color="auto" w:fill="FFFFFF"/>
        </w:rPr>
        <w:t xml:space="preserve">a </w:t>
      </w:r>
      <w:r w:rsidRPr="00251B2C">
        <w:rPr>
          <w:rFonts w:ascii="Times New Roman" w:hAnsi="Times New Roman" w:cs="Times New Roman"/>
          <w:sz w:val="24"/>
          <w:szCs w:val="24"/>
          <w:shd w:val="clear" w:color="auto" w:fill="FFFFFF"/>
        </w:rPr>
        <w:t xml:space="preserve">99% confidence level as presented in </w:t>
      </w:r>
      <w:r w:rsidR="009B1361">
        <w:rPr>
          <w:rFonts w:ascii="Times New Roman" w:hAnsi="Times New Roman" w:cs="Times New Roman"/>
          <w:sz w:val="24"/>
          <w:szCs w:val="24"/>
          <w:shd w:val="clear" w:color="auto" w:fill="FFFFFF"/>
        </w:rPr>
        <w:t>Figure 8</w:t>
      </w:r>
      <w:r w:rsidRPr="00251B2C">
        <w:rPr>
          <w:rFonts w:ascii="Times New Roman" w:hAnsi="Times New Roman" w:cs="Times New Roman"/>
          <w:sz w:val="24"/>
          <w:szCs w:val="24"/>
          <w:shd w:val="clear" w:color="auto" w:fill="FFFFFF"/>
        </w:rPr>
        <w:t xml:space="preserve">, which confirms that there are significance differences between the risk level of </w:t>
      </w:r>
      <w:r w:rsidR="000F4C35" w:rsidRPr="00226846">
        <w:rPr>
          <w:rFonts w:ascii="Times New Roman" w:hAnsi="Times New Roman" w:cs="Times New Roman"/>
          <w:i/>
          <w:iCs/>
          <w:sz w:val="24"/>
          <w:szCs w:val="24"/>
          <w:shd w:val="clear" w:color="auto" w:fill="FFFFFF"/>
        </w:rPr>
        <w:t>Sukuk</w:t>
      </w:r>
      <w:r w:rsidRPr="00251B2C">
        <w:rPr>
          <w:rFonts w:ascii="Times New Roman" w:hAnsi="Times New Roman" w:cs="Times New Roman"/>
          <w:sz w:val="24"/>
          <w:szCs w:val="24"/>
          <w:shd w:val="clear" w:color="auto" w:fill="FFFFFF"/>
        </w:rPr>
        <w:t xml:space="preserve"> and conventional bonds (</w:t>
      </w:r>
      <w:r w:rsidR="009257A1" w:rsidRPr="00251B2C">
        <w:rPr>
          <w:rFonts w:ascii="Times New Roman" w:hAnsi="Times New Roman" w:cs="Times New Roman"/>
          <w:sz w:val="24"/>
          <w:szCs w:val="24"/>
          <w:shd w:val="clear" w:color="auto" w:fill="FFFFFF"/>
        </w:rPr>
        <w:t>see Appendix</w:t>
      </w:r>
      <w:r w:rsidRPr="00251B2C">
        <w:rPr>
          <w:rFonts w:ascii="Times New Roman" w:hAnsi="Times New Roman" w:cs="Times New Roman"/>
          <w:sz w:val="24"/>
          <w:szCs w:val="24"/>
          <w:shd w:val="clear" w:color="auto" w:fill="FFFFFF"/>
        </w:rPr>
        <w:t xml:space="preserve"> D). Therefore, this results in </w:t>
      </w:r>
      <w:r w:rsidR="00F34DDB">
        <w:rPr>
          <w:rFonts w:ascii="Times New Roman" w:hAnsi="Times New Roman" w:cs="Times New Roman"/>
          <w:sz w:val="24"/>
          <w:szCs w:val="24"/>
          <w:shd w:val="clear" w:color="auto" w:fill="FFFFFF"/>
        </w:rPr>
        <w:t xml:space="preserve">a </w:t>
      </w:r>
      <w:r w:rsidRPr="00251B2C">
        <w:rPr>
          <w:rFonts w:ascii="Times New Roman" w:hAnsi="Times New Roman" w:cs="Times New Roman"/>
          <w:sz w:val="24"/>
          <w:szCs w:val="24"/>
          <w:shd w:val="clear" w:color="auto" w:fill="FFFFFF"/>
        </w:rPr>
        <w:t>null hypothesis to be rejected</w:t>
      </w:r>
      <w:r w:rsidR="00F34DDB">
        <w:rPr>
          <w:rFonts w:ascii="Times New Roman" w:hAnsi="Times New Roman" w:cs="Times New Roman"/>
          <w:sz w:val="24"/>
          <w:szCs w:val="24"/>
          <w:shd w:val="clear" w:color="auto" w:fill="FFFFFF"/>
        </w:rPr>
        <w:t>,</w:t>
      </w:r>
      <w:r w:rsidRPr="00251B2C">
        <w:rPr>
          <w:rFonts w:ascii="Times New Roman" w:hAnsi="Times New Roman" w:cs="Times New Roman"/>
          <w:sz w:val="24"/>
          <w:szCs w:val="24"/>
          <w:shd w:val="clear" w:color="auto" w:fill="FFFFFF"/>
        </w:rPr>
        <w:t xml:space="preserve"> and</w:t>
      </w:r>
      <w:r w:rsidR="00F34DDB">
        <w:rPr>
          <w:rFonts w:ascii="Times New Roman" w:hAnsi="Times New Roman" w:cs="Times New Roman"/>
          <w:sz w:val="24"/>
          <w:szCs w:val="24"/>
          <w:shd w:val="clear" w:color="auto" w:fill="FFFFFF"/>
        </w:rPr>
        <w:t>,</w:t>
      </w:r>
      <w:r w:rsidRPr="00251B2C">
        <w:rPr>
          <w:rFonts w:ascii="Times New Roman" w:hAnsi="Times New Roman" w:cs="Times New Roman"/>
          <w:sz w:val="24"/>
          <w:szCs w:val="24"/>
          <w:shd w:val="clear" w:color="auto" w:fill="FFFFFF"/>
        </w:rPr>
        <w:t xml:space="preserve"> hence</w:t>
      </w:r>
      <w:r w:rsidR="00F34DDB">
        <w:rPr>
          <w:rFonts w:ascii="Times New Roman" w:hAnsi="Times New Roman" w:cs="Times New Roman"/>
          <w:sz w:val="24"/>
          <w:szCs w:val="24"/>
          <w:shd w:val="clear" w:color="auto" w:fill="FFFFFF"/>
        </w:rPr>
        <w:t>,</w:t>
      </w:r>
      <w:r w:rsidRPr="00251B2C">
        <w:rPr>
          <w:rFonts w:ascii="Times New Roman" w:hAnsi="Times New Roman" w:cs="Times New Roman"/>
          <w:sz w:val="24"/>
          <w:szCs w:val="24"/>
          <w:shd w:val="clear" w:color="auto" w:fill="FFFFFF"/>
        </w:rPr>
        <w:t xml:space="preserve"> accept the opposite. </w:t>
      </w:r>
      <w:r w:rsidRPr="00251B2C">
        <w:rPr>
          <w:rFonts w:ascii="Times New Roman" w:hAnsi="Times New Roman" w:cs="Times New Roman"/>
          <w:sz w:val="24"/>
          <w:szCs w:val="24"/>
        </w:rPr>
        <w:t xml:space="preserve">Therefore, </w:t>
      </w:r>
      <w:r w:rsidR="00327AF8">
        <w:rPr>
          <w:rFonts w:ascii="Times New Roman" w:hAnsi="Times New Roman" w:cs="Times New Roman"/>
          <w:sz w:val="24"/>
          <w:szCs w:val="24"/>
        </w:rPr>
        <w:t>the</w:t>
      </w:r>
      <w:r w:rsidRPr="00251B2C">
        <w:rPr>
          <w:rFonts w:ascii="Times New Roman" w:hAnsi="Times New Roman" w:cs="Times New Roman"/>
          <w:sz w:val="24"/>
          <w:szCs w:val="24"/>
        </w:rPr>
        <w:t xml:space="preserve"> statement that </w:t>
      </w:r>
      <w:r w:rsidR="000F4C35" w:rsidRPr="00226846">
        <w:rPr>
          <w:rFonts w:ascii="Times New Roman" w:hAnsi="Times New Roman" w:cs="Times New Roman"/>
          <w:i/>
          <w:iCs/>
          <w:sz w:val="24"/>
          <w:szCs w:val="24"/>
        </w:rPr>
        <w:t>Sukuk</w:t>
      </w:r>
      <w:r w:rsidRPr="00251B2C">
        <w:rPr>
          <w:rFonts w:ascii="Times New Roman" w:hAnsi="Times New Roman" w:cs="Times New Roman"/>
          <w:sz w:val="24"/>
          <w:szCs w:val="24"/>
        </w:rPr>
        <w:t xml:space="preserve"> and bonds should have similar level</w:t>
      </w:r>
      <w:r w:rsidR="00327AF8">
        <w:rPr>
          <w:rFonts w:ascii="Times New Roman" w:hAnsi="Times New Roman" w:cs="Times New Roman"/>
          <w:sz w:val="24"/>
          <w:szCs w:val="24"/>
        </w:rPr>
        <w:t>s</w:t>
      </w:r>
      <w:r w:rsidRPr="00251B2C">
        <w:rPr>
          <w:rFonts w:ascii="Times New Roman" w:hAnsi="Times New Roman" w:cs="Times New Roman"/>
          <w:sz w:val="24"/>
          <w:szCs w:val="24"/>
        </w:rPr>
        <w:t xml:space="preserve"> of risk were incorrect as revealed </w:t>
      </w:r>
      <w:r w:rsidR="00327AF8">
        <w:rPr>
          <w:rFonts w:ascii="Times New Roman" w:hAnsi="Times New Roman" w:cs="Times New Roman"/>
          <w:sz w:val="24"/>
          <w:szCs w:val="24"/>
        </w:rPr>
        <w:t xml:space="preserve">through </w:t>
      </w:r>
      <w:r w:rsidRPr="00251B2C">
        <w:rPr>
          <w:rFonts w:ascii="Times New Roman" w:hAnsi="Times New Roman" w:cs="Times New Roman"/>
          <w:sz w:val="24"/>
          <w:szCs w:val="24"/>
        </w:rPr>
        <w:t xml:space="preserve">the above </w:t>
      </w:r>
      <w:r w:rsidR="00226846">
        <w:rPr>
          <w:rFonts w:ascii="Times New Roman" w:hAnsi="Times New Roman" w:cs="Times New Roman"/>
          <w:sz w:val="24"/>
          <w:szCs w:val="24"/>
        </w:rPr>
        <w:t>figures</w:t>
      </w:r>
      <w:r w:rsidRPr="00251B2C">
        <w:rPr>
          <w:rFonts w:ascii="Times New Roman" w:hAnsi="Times New Roman" w:cs="Times New Roman"/>
          <w:sz w:val="24"/>
          <w:szCs w:val="24"/>
        </w:rPr>
        <w:t>, hence</w:t>
      </w:r>
      <w:r w:rsidR="00327AF8">
        <w:rPr>
          <w:rFonts w:ascii="Times New Roman" w:hAnsi="Times New Roman" w:cs="Times New Roman"/>
          <w:sz w:val="24"/>
          <w:szCs w:val="24"/>
        </w:rPr>
        <w:t xml:space="preserve">, </w:t>
      </w:r>
      <w:r w:rsidR="00A24D11">
        <w:rPr>
          <w:rFonts w:ascii="Times New Roman" w:hAnsi="Times New Roman" w:cs="Times New Roman"/>
          <w:sz w:val="24"/>
          <w:szCs w:val="24"/>
        </w:rPr>
        <w:t>a</w:t>
      </w:r>
      <w:r w:rsidRPr="00251B2C">
        <w:rPr>
          <w:rFonts w:ascii="Times New Roman" w:hAnsi="Times New Roman" w:cs="Times New Roman"/>
          <w:sz w:val="24"/>
          <w:szCs w:val="24"/>
        </w:rPr>
        <w:t xml:space="preserve"> reject</w:t>
      </w:r>
      <w:r w:rsidR="00A24D11">
        <w:rPr>
          <w:rFonts w:ascii="Times New Roman" w:hAnsi="Times New Roman" w:cs="Times New Roman"/>
          <w:sz w:val="24"/>
          <w:szCs w:val="24"/>
        </w:rPr>
        <w:t>ion of</w:t>
      </w:r>
      <w:r w:rsidRPr="00251B2C">
        <w:rPr>
          <w:rFonts w:ascii="Times New Roman" w:hAnsi="Times New Roman" w:cs="Times New Roman"/>
          <w:sz w:val="24"/>
          <w:szCs w:val="24"/>
        </w:rPr>
        <w:t xml:space="preserve"> the null hypothesis, which </w:t>
      </w:r>
      <w:r w:rsidR="00A24D11">
        <w:rPr>
          <w:rFonts w:ascii="Times New Roman" w:hAnsi="Times New Roman" w:cs="Times New Roman"/>
          <w:sz w:val="24"/>
          <w:szCs w:val="24"/>
        </w:rPr>
        <w:t>illustrates</w:t>
      </w:r>
      <w:r w:rsidRPr="00251B2C">
        <w:rPr>
          <w:rFonts w:ascii="Times New Roman" w:hAnsi="Times New Roman" w:cs="Times New Roman"/>
          <w:sz w:val="24"/>
          <w:szCs w:val="24"/>
        </w:rPr>
        <w:t xml:space="preserve"> no difference between </w:t>
      </w:r>
      <w:r w:rsidR="000F4C35" w:rsidRPr="00226846">
        <w:rPr>
          <w:rFonts w:ascii="Times New Roman" w:hAnsi="Times New Roman" w:cs="Times New Roman"/>
          <w:i/>
          <w:iCs/>
          <w:sz w:val="24"/>
          <w:szCs w:val="24"/>
        </w:rPr>
        <w:t>Sukuk</w:t>
      </w:r>
      <w:r w:rsidRPr="00251B2C">
        <w:rPr>
          <w:rFonts w:ascii="Times New Roman" w:hAnsi="Times New Roman" w:cs="Times New Roman"/>
          <w:sz w:val="24"/>
          <w:szCs w:val="24"/>
        </w:rPr>
        <w:t xml:space="preserve"> and conventional bonds, and the results support the alternative hypothesis that stated </w:t>
      </w:r>
      <w:r w:rsidR="000F4C35" w:rsidRPr="00226846">
        <w:rPr>
          <w:rFonts w:ascii="Times New Roman" w:hAnsi="Times New Roman" w:cs="Times New Roman"/>
          <w:i/>
          <w:iCs/>
          <w:sz w:val="24"/>
          <w:szCs w:val="24"/>
        </w:rPr>
        <w:t>Sukuk</w:t>
      </w:r>
      <w:r w:rsidRPr="00251B2C">
        <w:rPr>
          <w:rFonts w:ascii="Times New Roman" w:hAnsi="Times New Roman" w:cs="Times New Roman"/>
          <w:sz w:val="24"/>
          <w:szCs w:val="24"/>
        </w:rPr>
        <w:t xml:space="preserve"> are riskier than conventional bonds. </w:t>
      </w:r>
      <w:r w:rsidRPr="00251B2C">
        <w:rPr>
          <w:rFonts w:ascii="Times New Roman" w:hAnsi="Times New Roman" w:cs="Times New Roman"/>
          <w:sz w:val="24"/>
          <w:szCs w:val="24"/>
          <w:shd w:val="clear" w:color="auto" w:fill="FFFFFF"/>
        </w:rPr>
        <w:t xml:space="preserve"> </w:t>
      </w:r>
    </w:p>
    <w:p w14:paraId="6398E428" w14:textId="24DC9D67" w:rsidR="00A755F5" w:rsidRPr="00104535" w:rsidRDefault="009B1361" w:rsidP="00A755F5">
      <w:pPr>
        <w:pStyle w:val="Caption"/>
        <w:keepNext/>
        <w:rPr>
          <w:rFonts w:ascii="Times New Roman" w:hAnsi="Times New Roman" w:cs="Times New Roman"/>
          <w:sz w:val="24"/>
          <w:szCs w:val="24"/>
        </w:rPr>
      </w:pPr>
      <w:bookmarkStart w:id="108" w:name="_Toc481617439"/>
      <w:r w:rsidRPr="009B1361">
        <w:rPr>
          <w:rFonts w:ascii="Times New Roman" w:hAnsi="Times New Roman" w:cs="Times New Roman"/>
          <w:sz w:val="24"/>
          <w:szCs w:val="24"/>
        </w:rPr>
        <w:t>Figure 8</w:t>
      </w:r>
      <w:r w:rsidR="00104535" w:rsidRPr="009B1361">
        <w:rPr>
          <w:rFonts w:ascii="Times New Roman" w:hAnsi="Times New Roman" w:cs="Times New Roman"/>
          <w:sz w:val="24"/>
          <w:szCs w:val="24"/>
        </w:rPr>
        <w:t>:</w:t>
      </w:r>
      <w:r w:rsidR="00104535" w:rsidRPr="00104535">
        <w:rPr>
          <w:rFonts w:ascii="Times New Roman" w:hAnsi="Times New Roman" w:cs="Times New Roman"/>
          <w:sz w:val="24"/>
          <w:szCs w:val="24"/>
        </w:rPr>
        <w:t xml:space="preserve"> F-Test R</w:t>
      </w:r>
      <w:r w:rsidR="00A755F5" w:rsidRPr="00104535">
        <w:rPr>
          <w:rFonts w:ascii="Times New Roman" w:hAnsi="Times New Roman" w:cs="Times New Roman"/>
          <w:sz w:val="24"/>
          <w:szCs w:val="24"/>
        </w:rPr>
        <w:t xml:space="preserve">esults for </w:t>
      </w:r>
      <w:r w:rsidR="000F4C35" w:rsidRPr="00104535">
        <w:rPr>
          <w:rFonts w:ascii="Times New Roman" w:hAnsi="Times New Roman" w:cs="Times New Roman"/>
          <w:sz w:val="24"/>
          <w:szCs w:val="24"/>
        </w:rPr>
        <w:t>Sukuk</w:t>
      </w:r>
      <w:r w:rsidR="00104535" w:rsidRPr="00104535">
        <w:rPr>
          <w:rFonts w:ascii="Times New Roman" w:hAnsi="Times New Roman" w:cs="Times New Roman"/>
          <w:sz w:val="24"/>
          <w:szCs w:val="24"/>
        </w:rPr>
        <w:t xml:space="preserve"> and Conventional B</w:t>
      </w:r>
      <w:r w:rsidR="00A755F5" w:rsidRPr="00104535">
        <w:rPr>
          <w:rFonts w:ascii="Times New Roman" w:hAnsi="Times New Roman" w:cs="Times New Roman"/>
          <w:sz w:val="24"/>
          <w:szCs w:val="24"/>
        </w:rPr>
        <w:t>onds</w:t>
      </w:r>
      <w:bookmarkEnd w:id="108"/>
    </w:p>
    <w:p w14:paraId="7B75AED7" w14:textId="77777777" w:rsidR="00A755F5" w:rsidRPr="00A858A8" w:rsidRDefault="00A755F5" w:rsidP="00A755F5">
      <w:pPr>
        <w:pStyle w:val="ListParagraph"/>
        <w:spacing w:before="120" w:after="120" w:line="360" w:lineRule="auto"/>
        <w:ind w:left="0"/>
        <w:jc w:val="center"/>
        <w:rPr>
          <w:rFonts w:ascii="Times New Roman" w:hAnsi="Times New Roman" w:cs="Times New Roman"/>
          <w:color w:val="000000"/>
          <w:sz w:val="24"/>
          <w:szCs w:val="24"/>
          <w:shd w:val="clear" w:color="auto" w:fill="FFFFFF"/>
          <w14:shadow w14:blurRad="50800" w14:dist="50800" w14:dir="5400000" w14:sx="0" w14:sy="0" w14:kx="0" w14:ky="0" w14:algn="ctr">
            <w14:schemeClr w14:val="bg1"/>
          </w14:shadow>
        </w:rPr>
      </w:pPr>
      <w:r w:rsidRPr="00251B2C">
        <w:rPr>
          <w:rFonts w:ascii="Times New Roman" w:hAnsi="Times New Roman" w:cs="Times New Roman"/>
          <w:noProof/>
          <w:sz w:val="24"/>
          <w:szCs w:val="24"/>
          <w:lang w:eastAsia="en-GB"/>
        </w:rPr>
        <w:drawing>
          <wp:inline distT="0" distB="0" distL="0" distR="0" wp14:anchorId="408A7795" wp14:editId="45E194DB">
            <wp:extent cx="5334000" cy="2777490"/>
            <wp:effectExtent l="0" t="0" r="0" b="3810"/>
            <wp:docPr id="66" name="Picture 6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4"/>
                    <a:srcRect l="4795" t="8080" r="1587" b="26010"/>
                    <a:stretch/>
                  </pic:blipFill>
                  <pic:spPr bwMode="auto">
                    <a:xfrm>
                      <a:off x="0" y="0"/>
                      <a:ext cx="5336566" cy="2778826"/>
                    </a:xfrm>
                    <a:prstGeom prst="rect">
                      <a:avLst/>
                    </a:prstGeom>
                    <a:blipFill dpi="0" rotWithShape="1">
                      <a:blip r:embed="rId25">
                        <a:alphaModFix amt="3000"/>
                      </a:blip>
                      <a:srcRect/>
                      <a:tile tx="0" ty="0" sx="100000" sy="100000" flip="none" algn="tl"/>
                    </a:blipFill>
                    <a:ln>
                      <a:noFill/>
                    </a:ln>
                    <a:extLst>
                      <a:ext uri="{53640926-AAD7-44D8-BBD7-CCE9431645EC}">
                        <a14:shadowObscured xmlns:a14="http://schemas.microsoft.com/office/drawing/2010/main"/>
                      </a:ext>
                    </a:extLst>
                  </pic:spPr>
                </pic:pic>
              </a:graphicData>
            </a:graphic>
          </wp:inline>
        </w:drawing>
      </w:r>
    </w:p>
    <w:p w14:paraId="526FACEE" w14:textId="1007B945" w:rsidR="00A755F5" w:rsidRPr="00251B2C" w:rsidRDefault="00A755F5" w:rsidP="00A755F5">
      <w:pPr>
        <w:spacing w:before="120" w:after="120" w:line="360" w:lineRule="auto"/>
        <w:jc w:val="both"/>
        <w:rPr>
          <w:rFonts w:ascii="Times New Roman" w:hAnsi="Times New Roman" w:cs="Times New Roman"/>
          <w:noProof/>
          <w:sz w:val="24"/>
          <w:szCs w:val="24"/>
        </w:rPr>
      </w:pPr>
      <w:bookmarkStart w:id="109" w:name="OLE_LINK179"/>
      <w:bookmarkStart w:id="110" w:name="OLE_LINK180"/>
      <w:bookmarkStart w:id="111" w:name="OLE_LINK76"/>
      <w:r w:rsidRPr="00251B2C">
        <w:rPr>
          <w:rFonts w:ascii="Times New Roman" w:hAnsi="Times New Roman" w:cs="Times New Roman"/>
          <w:color w:val="000000" w:themeColor="text1"/>
          <w:sz w:val="24"/>
          <w:szCs w:val="24"/>
        </w:rPr>
        <w:t xml:space="preserve">Furthermore, the study shows that </w:t>
      </w:r>
      <w:r w:rsidR="000F4C35" w:rsidRPr="00226846">
        <w:rPr>
          <w:rFonts w:ascii="Times New Roman" w:hAnsi="Times New Roman" w:cs="Times New Roman"/>
          <w:i/>
          <w:iCs/>
          <w:color w:val="000000" w:themeColor="text1"/>
          <w:sz w:val="24"/>
          <w:szCs w:val="24"/>
        </w:rPr>
        <w:t>Sukuk</w:t>
      </w:r>
      <w:r w:rsidRPr="00251B2C">
        <w:rPr>
          <w:rFonts w:ascii="Times New Roman" w:hAnsi="Times New Roman" w:cs="Times New Roman"/>
          <w:color w:val="000000" w:themeColor="text1"/>
          <w:sz w:val="24"/>
          <w:szCs w:val="24"/>
        </w:rPr>
        <w:t xml:space="preserve"> inherits higher market and credit risk</w:t>
      </w:r>
      <w:r w:rsidR="00A24D11">
        <w:rPr>
          <w:rFonts w:ascii="Times New Roman" w:hAnsi="Times New Roman" w:cs="Times New Roman"/>
          <w:color w:val="000000" w:themeColor="text1"/>
          <w:sz w:val="24"/>
          <w:szCs w:val="24"/>
        </w:rPr>
        <w:t>s</w:t>
      </w:r>
      <w:r w:rsidRPr="00251B2C">
        <w:rPr>
          <w:rFonts w:ascii="Times New Roman" w:hAnsi="Times New Roman" w:cs="Times New Roman"/>
          <w:color w:val="000000" w:themeColor="text1"/>
          <w:sz w:val="24"/>
          <w:szCs w:val="24"/>
        </w:rPr>
        <w:t xml:space="preserve"> than conventional bonds due to some </w:t>
      </w:r>
      <w:r w:rsidR="00226846" w:rsidRPr="00251B2C">
        <w:rPr>
          <w:rFonts w:ascii="Times New Roman" w:hAnsi="Times New Roman" w:cs="Times New Roman"/>
          <w:color w:val="000000" w:themeColor="text1"/>
          <w:sz w:val="24"/>
          <w:szCs w:val="24"/>
        </w:rPr>
        <w:t>restrictions</w:t>
      </w:r>
      <w:r w:rsidRPr="00251B2C">
        <w:rPr>
          <w:rFonts w:ascii="Times New Roman" w:hAnsi="Times New Roman" w:cs="Times New Roman"/>
          <w:color w:val="000000" w:themeColor="text1"/>
          <w:sz w:val="24"/>
          <w:szCs w:val="24"/>
        </w:rPr>
        <w:t xml:space="preserve"> that </w:t>
      </w:r>
      <w:proofErr w:type="spellStart"/>
      <w:r w:rsidRPr="00251B2C">
        <w:rPr>
          <w:rFonts w:ascii="Times New Roman" w:hAnsi="Times New Roman" w:cs="Times New Roman"/>
          <w:color w:val="000000" w:themeColor="text1"/>
          <w:sz w:val="24"/>
          <w:szCs w:val="24"/>
        </w:rPr>
        <w:t>Shar</w:t>
      </w:r>
      <w:r w:rsidR="00226846">
        <w:rPr>
          <w:rFonts w:ascii="Times New Roman" w:hAnsi="Times New Roman" w:cs="Times New Roman"/>
          <w:color w:val="000000" w:themeColor="text1"/>
          <w:sz w:val="24"/>
          <w:szCs w:val="24"/>
        </w:rPr>
        <w:t>’</w:t>
      </w:r>
      <w:r w:rsidRPr="00251B2C">
        <w:rPr>
          <w:rFonts w:ascii="Times New Roman" w:hAnsi="Times New Roman" w:cs="Times New Roman"/>
          <w:color w:val="000000" w:themeColor="text1"/>
          <w:sz w:val="24"/>
          <w:szCs w:val="24"/>
        </w:rPr>
        <w:t>iah</w:t>
      </w:r>
      <w:proofErr w:type="spellEnd"/>
      <w:r w:rsidRPr="00251B2C">
        <w:rPr>
          <w:rFonts w:ascii="Times New Roman" w:hAnsi="Times New Roman" w:cs="Times New Roman"/>
          <w:color w:val="000000" w:themeColor="text1"/>
          <w:sz w:val="24"/>
          <w:szCs w:val="24"/>
        </w:rPr>
        <w:t xml:space="preserve"> principles impose on </w:t>
      </w:r>
      <w:r w:rsidR="000F4C35" w:rsidRPr="00226846">
        <w:rPr>
          <w:rFonts w:ascii="Times New Roman" w:hAnsi="Times New Roman" w:cs="Times New Roman"/>
          <w:i/>
          <w:iCs/>
          <w:color w:val="000000" w:themeColor="text1"/>
          <w:sz w:val="24"/>
          <w:szCs w:val="24"/>
        </w:rPr>
        <w:t>Sukuk</w:t>
      </w:r>
      <w:r w:rsidRPr="00251B2C">
        <w:rPr>
          <w:rFonts w:ascii="Times New Roman" w:hAnsi="Times New Roman" w:cs="Times New Roman"/>
          <w:color w:val="000000" w:themeColor="text1"/>
          <w:sz w:val="24"/>
          <w:szCs w:val="24"/>
        </w:rPr>
        <w:t xml:space="preserve"> risk management. Also, other risks related </w:t>
      </w:r>
      <w:r w:rsidR="00A24D11">
        <w:rPr>
          <w:rFonts w:ascii="Times New Roman" w:hAnsi="Times New Roman" w:cs="Times New Roman"/>
          <w:color w:val="000000" w:themeColor="text1"/>
          <w:sz w:val="24"/>
          <w:szCs w:val="24"/>
        </w:rPr>
        <w:t>to</w:t>
      </w:r>
      <w:r w:rsidRPr="00251B2C">
        <w:rPr>
          <w:rFonts w:ascii="Times New Roman" w:hAnsi="Times New Roman" w:cs="Times New Roman"/>
          <w:color w:val="000000" w:themeColor="text1"/>
          <w:sz w:val="24"/>
          <w:szCs w:val="24"/>
        </w:rPr>
        <w:t xml:space="preserve"> </w:t>
      </w:r>
      <w:r w:rsidR="000F4C35" w:rsidRPr="00226846">
        <w:rPr>
          <w:rFonts w:ascii="Times New Roman" w:hAnsi="Times New Roman" w:cs="Times New Roman"/>
          <w:i/>
          <w:iCs/>
          <w:color w:val="000000" w:themeColor="text1"/>
          <w:sz w:val="24"/>
          <w:szCs w:val="24"/>
        </w:rPr>
        <w:t>Sukuk</w:t>
      </w:r>
      <w:r w:rsidRPr="00251B2C">
        <w:rPr>
          <w:rFonts w:ascii="Times New Roman" w:hAnsi="Times New Roman" w:cs="Times New Roman"/>
          <w:color w:val="000000" w:themeColor="text1"/>
          <w:sz w:val="24"/>
          <w:szCs w:val="24"/>
        </w:rPr>
        <w:t xml:space="preserve"> are </w:t>
      </w:r>
      <w:r w:rsidRPr="00251B2C">
        <w:rPr>
          <w:rFonts w:ascii="Times New Roman" w:hAnsi="Times New Roman" w:cs="Times New Roman"/>
          <w:noProof/>
          <w:sz w:val="24"/>
          <w:szCs w:val="24"/>
        </w:rPr>
        <w:t xml:space="preserve">legal and regulatory risks  specific to </w:t>
      </w:r>
      <w:r w:rsidR="000F4C35" w:rsidRPr="00226846">
        <w:rPr>
          <w:rFonts w:ascii="Times New Roman" w:hAnsi="Times New Roman" w:cs="Times New Roman"/>
          <w:i/>
          <w:iCs/>
          <w:noProof/>
          <w:sz w:val="24"/>
          <w:szCs w:val="24"/>
        </w:rPr>
        <w:t>Sukuk</w:t>
      </w:r>
      <w:r w:rsidRPr="00251B2C">
        <w:rPr>
          <w:rFonts w:ascii="Times New Roman" w:hAnsi="Times New Roman" w:cs="Times New Roman"/>
          <w:noProof/>
          <w:sz w:val="24"/>
          <w:szCs w:val="24"/>
        </w:rPr>
        <w:t xml:space="preserve">  may effect the </w:t>
      </w:r>
      <w:r w:rsidR="000F4C35" w:rsidRPr="00226846">
        <w:rPr>
          <w:rFonts w:ascii="Times New Roman" w:hAnsi="Times New Roman" w:cs="Times New Roman"/>
          <w:i/>
          <w:iCs/>
          <w:noProof/>
          <w:sz w:val="24"/>
          <w:szCs w:val="24"/>
        </w:rPr>
        <w:t>Sukuk</w:t>
      </w:r>
      <w:r w:rsidRPr="00251B2C">
        <w:rPr>
          <w:rFonts w:ascii="Times New Roman" w:hAnsi="Times New Roman" w:cs="Times New Roman"/>
          <w:noProof/>
          <w:sz w:val="24"/>
          <w:szCs w:val="24"/>
        </w:rPr>
        <w:t xml:space="preserve"> returns, and operational risks, which </w:t>
      </w:r>
      <w:r w:rsidR="000770C6">
        <w:rPr>
          <w:rFonts w:ascii="Times New Roman" w:hAnsi="Times New Roman" w:cs="Times New Roman"/>
          <w:noProof/>
          <w:sz w:val="24"/>
          <w:szCs w:val="24"/>
        </w:rPr>
        <w:t>do</w:t>
      </w:r>
      <w:r w:rsidRPr="00251B2C">
        <w:rPr>
          <w:rFonts w:ascii="Times New Roman" w:hAnsi="Times New Roman" w:cs="Times New Roman"/>
          <w:noProof/>
          <w:sz w:val="24"/>
          <w:szCs w:val="24"/>
        </w:rPr>
        <w:t>not effect conventional bonds. Therefore, these risk factors p</w:t>
      </w:r>
      <w:r w:rsidR="0073229F">
        <w:rPr>
          <w:rFonts w:ascii="Times New Roman" w:hAnsi="Times New Roman" w:cs="Times New Roman"/>
          <w:noProof/>
          <w:sz w:val="24"/>
          <w:szCs w:val="24"/>
        </w:rPr>
        <w:t>lace</w:t>
      </w:r>
      <w:r w:rsidRPr="00251B2C">
        <w:rPr>
          <w:rFonts w:ascii="Times New Roman" w:hAnsi="Times New Roman" w:cs="Times New Roman"/>
          <w:noProof/>
          <w:sz w:val="24"/>
          <w:szCs w:val="24"/>
        </w:rPr>
        <w:t xml:space="preserve"> </w:t>
      </w:r>
      <w:r w:rsidR="000770C6">
        <w:rPr>
          <w:rFonts w:ascii="Times New Roman" w:hAnsi="Times New Roman" w:cs="Times New Roman"/>
          <w:noProof/>
          <w:sz w:val="24"/>
          <w:szCs w:val="24"/>
        </w:rPr>
        <w:t xml:space="preserve">a </w:t>
      </w:r>
      <w:r w:rsidRPr="00251B2C">
        <w:rPr>
          <w:rFonts w:ascii="Times New Roman" w:hAnsi="Times New Roman" w:cs="Times New Roman"/>
          <w:noProof/>
          <w:sz w:val="24"/>
          <w:szCs w:val="24"/>
        </w:rPr>
        <w:t xml:space="preserve">major disadvantage </w:t>
      </w:r>
      <w:r w:rsidR="000770C6">
        <w:rPr>
          <w:rFonts w:ascii="Times New Roman" w:hAnsi="Times New Roman" w:cs="Times New Roman"/>
          <w:noProof/>
          <w:sz w:val="24"/>
          <w:szCs w:val="24"/>
        </w:rPr>
        <w:t xml:space="preserve">on </w:t>
      </w:r>
      <w:r w:rsidR="000F4C35" w:rsidRPr="00226846">
        <w:rPr>
          <w:rFonts w:ascii="Times New Roman" w:hAnsi="Times New Roman" w:cs="Times New Roman"/>
          <w:i/>
          <w:iCs/>
          <w:noProof/>
          <w:sz w:val="24"/>
          <w:szCs w:val="24"/>
        </w:rPr>
        <w:t>Sukuk</w:t>
      </w:r>
      <w:r w:rsidRPr="00251B2C">
        <w:rPr>
          <w:rFonts w:ascii="Times New Roman" w:hAnsi="Times New Roman" w:cs="Times New Roman"/>
          <w:noProof/>
          <w:sz w:val="24"/>
          <w:szCs w:val="24"/>
        </w:rPr>
        <w:t xml:space="preserve"> competiv</w:t>
      </w:r>
      <w:r w:rsidR="004B12A3">
        <w:rPr>
          <w:rFonts w:ascii="Times New Roman" w:hAnsi="Times New Roman" w:cs="Times New Roman"/>
          <w:noProof/>
          <w:sz w:val="24"/>
          <w:szCs w:val="24"/>
        </w:rPr>
        <w:t>e</w:t>
      </w:r>
      <w:r w:rsidRPr="00251B2C">
        <w:rPr>
          <w:rFonts w:ascii="Times New Roman" w:hAnsi="Times New Roman" w:cs="Times New Roman"/>
          <w:noProof/>
          <w:sz w:val="24"/>
          <w:szCs w:val="24"/>
        </w:rPr>
        <w:t xml:space="preserve">ness in the global market as </w:t>
      </w:r>
      <w:r w:rsidR="000770C6">
        <w:rPr>
          <w:rFonts w:ascii="Times New Roman" w:hAnsi="Times New Roman" w:cs="Times New Roman"/>
          <w:noProof/>
          <w:sz w:val="24"/>
          <w:szCs w:val="24"/>
        </w:rPr>
        <w:t xml:space="preserve">an </w:t>
      </w:r>
      <w:r w:rsidRPr="00251B2C">
        <w:rPr>
          <w:rFonts w:ascii="Times New Roman" w:hAnsi="Times New Roman" w:cs="Times New Roman"/>
          <w:noProof/>
          <w:sz w:val="24"/>
          <w:szCs w:val="24"/>
        </w:rPr>
        <w:t>alternative investment product.</w:t>
      </w:r>
      <w:bookmarkEnd w:id="109"/>
      <w:bookmarkEnd w:id="110"/>
    </w:p>
    <w:p w14:paraId="214A0818" w14:textId="77777777" w:rsidR="00A755F5" w:rsidRPr="00251B2C" w:rsidRDefault="00A755F5" w:rsidP="00A755F5">
      <w:pPr>
        <w:rPr>
          <w:rFonts w:ascii="Times New Roman" w:hAnsi="Times New Roman" w:cs="Times New Roman"/>
          <w:noProof/>
          <w:sz w:val="24"/>
          <w:szCs w:val="24"/>
        </w:rPr>
      </w:pPr>
      <w:r w:rsidRPr="00251B2C">
        <w:rPr>
          <w:rFonts w:ascii="Times New Roman" w:hAnsi="Times New Roman" w:cs="Times New Roman"/>
          <w:noProof/>
          <w:sz w:val="24"/>
          <w:szCs w:val="24"/>
        </w:rPr>
        <w:br w:type="page"/>
      </w:r>
    </w:p>
    <w:p w14:paraId="30254E32" w14:textId="016D3221" w:rsidR="00A755F5" w:rsidRPr="00251B2C" w:rsidRDefault="00A755F5" w:rsidP="00D5786B">
      <w:pPr>
        <w:pStyle w:val="Heading1"/>
        <w:numPr>
          <w:ilvl w:val="0"/>
          <w:numId w:val="19"/>
        </w:numPr>
        <w:rPr>
          <w:rFonts w:ascii="Times New Roman" w:hAnsi="Times New Roman" w:cs="Times New Roman"/>
          <w:sz w:val="24"/>
          <w:szCs w:val="24"/>
        </w:rPr>
      </w:pPr>
      <w:bookmarkStart w:id="112" w:name="_Toc481617411"/>
      <w:bookmarkEnd w:id="111"/>
      <w:r w:rsidRPr="00251B2C">
        <w:rPr>
          <w:rFonts w:ascii="Times New Roman" w:hAnsi="Times New Roman" w:cs="Times New Roman"/>
          <w:sz w:val="24"/>
          <w:szCs w:val="24"/>
        </w:rPr>
        <w:lastRenderedPageBreak/>
        <w:t xml:space="preserve">CONCLUSION </w:t>
      </w:r>
      <w:bookmarkEnd w:id="112"/>
    </w:p>
    <w:p w14:paraId="26B9D959" w14:textId="479FEE81" w:rsidR="000F4C35" w:rsidRPr="000F4C35" w:rsidRDefault="000F4C35" w:rsidP="000F4C35">
      <w:pPr>
        <w:spacing w:before="120" w:after="120" w:line="360" w:lineRule="auto"/>
        <w:jc w:val="both"/>
        <w:rPr>
          <w:rFonts w:ascii="Times New Roman" w:hAnsi="Times New Roman" w:cs="Times New Roman"/>
          <w:sz w:val="24"/>
          <w:szCs w:val="24"/>
        </w:rPr>
      </w:pPr>
      <w:r w:rsidRPr="00226846">
        <w:rPr>
          <w:rFonts w:ascii="Times New Roman" w:hAnsi="Times New Roman" w:cs="Times New Roman"/>
          <w:i/>
          <w:iCs/>
          <w:sz w:val="24"/>
          <w:szCs w:val="24"/>
        </w:rPr>
        <w:t>Sukuk</w:t>
      </w:r>
      <w:r w:rsidRPr="000F4C35">
        <w:rPr>
          <w:rFonts w:ascii="Times New Roman" w:hAnsi="Times New Roman" w:cs="Times New Roman"/>
          <w:sz w:val="24"/>
          <w:szCs w:val="24"/>
        </w:rPr>
        <w:t xml:space="preserve"> </w:t>
      </w:r>
      <w:r w:rsidR="00427F54">
        <w:rPr>
          <w:rFonts w:ascii="Times New Roman" w:hAnsi="Times New Roman" w:cs="Times New Roman"/>
          <w:sz w:val="24"/>
          <w:szCs w:val="24"/>
        </w:rPr>
        <w:t>is an</w:t>
      </w:r>
      <w:r w:rsidRPr="000F4C35">
        <w:rPr>
          <w:rFonts w:ascii="Times New Roman" w:hAnsi="Times New Roman" w:cs="Times New Roman"/>
          <w:sz w:val="24"/>
          <w:szCs w:val="24"/>
        </w:rPr>
        <w:t xml:space="preserve"> </w:t>
      </w:r>
      <w:proofErr w:type="gramStart"/>
      <w:r w:rsidRPr="000F4C35">
        <w:rPr>
          <w:rFonts w:ascii="Times New Roman" w:hAnsi="Times New Roman" w:cs="Times New Roman"/>
          <w:sz w:val="24"/>
          <w:szCs w:val="24"/>
        </w:rPr>
        <w:t xml:space="preserve">important instruments of </w:t>
      </w:r>
      <w:r w:rsidR="00176C58">
        <w:rPr>
          <w:rFonts w:ascii="Times New Roman" w:hAnsi="Times New Roman" w:cs="Times New Roman"/>
          <w:sz w:val="24"/>
          <w:szCs w:val="24"/>
        </w:rPr>
        <w:t xml:space="preserve">an </w:t>
      </w:r>
      <w:r w:rsidRPr="000F4C35">
        <w:rPr>
          <w:rFonts w:ascii="Times New Roman" w:hAnsi="Times New Roman" w:cs="Times New Roman"/>
          <w:sz w:val="24"/>
          <w:szCs w:val="24"/>
        </w:rPr>
        <w:t xml:space="preserve">Islamic </w:t>
      </w:r>
      <w:r w:rsidR="00C97050">
        <w:rPr>
          <w:rFonts w:ascii="Times New Roman" w:hAnsi="Times New Roman" w:cs="Times New Roman"/>
          <w:sz w:val="24"/>
          <w:szCs w:val="24"/>
        </w:rPr>
        <w:t>financial system</w:t>
      </w:r>
      <w:proofErr w:type="gramEnd"/>
      <w:r w:rsidR="00C97050">
        <w:rPr>
          <w:rFonts w:ascii="Times New Roman" w:hAnsi="Times New Roman" w:cs="Times New Roman"/>
          <w:sz w:val="24"/>
          <w:szCs w:val="24"/>
        </w:rPr>
        <w:t>, and normally,</w:t>
      </w:r>
      <w:r w:rsidRPr="000F4C35">
        <w:rPr>
          <w:rFonts w:ascii="Times New Roman" w:hAnsi="Times New Roman" w:cs="Times New Roman"/>
          <w:sz w:val="24"/>
          <w:szCs w:val="24"/>
        </w:rPr>
        <w:t xml:space="preserve"> allow mobilisation of resources. This helps Islamic financial institutions to match their assets and liabilities. Whereas, </w:t>
      </w:r>
      <w:r w:rsidR="00F30002">
        <w:rPr>
          <w:rFonts w:ascii="Times New Roman" w:hAnsi="Times New Roman" w:cs="Times New Roman"/>
          <w:sz w:val="24"/>
          <w:szCs w:val="24"/>
        </w:rPr>
        <w:t xml:space="preserve">the </w:t>
      </w:r>
      <w:r w:rsidRPr="00226846">
        <w:rPr>
          <w:rFonts w:ascii="Times New Roman" w:hAnsi="Times New Roman" w:cs="Times New Roman"/>
          <w:i/>
          <w:iCs/>
          <w:sz w:val="24"/>
          <w:szCs w:val="24"/>
        </w:rPr>
        <w:t>Sukuk</w:t>
      </w:r>
      <w:r w:rsidRPr="000F4C35">
        <w:rPr>
          <w:rFonts w:ascii="Times New Roman" w:hAnsi="Times New Roman" w:cs="Times New Roman"/>
          <w:sz w:val="24"/>
          <w:szCs w:val="24"/>
        </w:rPr>
        <w:t xml:space="preserve"> market has</w:t>
      </w:r>
      <w:r w:rsidR="00F30002">
        <w:rPr>
          <w:rFonts w:ascii="Times New Roman" w:hAnsi="Times New Roman" w:cs="Times New Roman"/>
          <w:sz w:val="24"/>
          <w:szCs w:val="24"/>
        </w:rPr>
        <w:t xml:space="preserve"> </w:t>
      </w:r>
      <w:r w:rsidR="004141ED">
        <w:rPr>
          <w:rFonts w:ascii="Times New Roman" w:hAnsi="Times New Roman" w:cs="Times New Roman"/>
          <w:sz w:val="24"/>
          <w:szCs w:val="24"/>
        </w:rPr>
        <w:t>diverged</w:t>
      </w:r>
      <w:r w:rsidRPr="000F4C35">
        <w:rPr>
          <w:rFonts w:ascii="Times New Roman" w:hAnsi="Times New Roman" w:cs="Times New Roman"/>
          <w:sz w:val="24"/>
          <w:szCs w:val="24"/>
        </w:rPr>
        <w:t xml:space="preserve"> from initial </w:t>
      </w:r>
      <w:r w:rsidRPr="00226846">
        <w:rPr>
          <w:rFonts w:ascii="Times New Roman" w:hAnsi="Times New Roman" w:cs="Times New Roman"/>
          <w:i/>
          <w:iCs/>
          <w:sz w:val="24"/>
          <w:szCs w:val="24"/>
        </w:rPr>
        <w:t>Sukuk</w:t>
      </w:r>
      <w:r w:rsidRPr="000F4C35">
        <w:rPr>
          <w:rFonts w:ascii="Times New Roman" w:hAnsi="Times New Roman" w:cs="Times New Roman"/>
          <w:sz w:val="24"/>
          <w:szCs w:val="24"/>
        </w:rPr>
        <w:t xml:space="preserve"> issuances by financial institutions to issuers ranging from infrastructure development, aircraft financing, socially responsible investing, </w:t>
      </w:r>
      <w:r w:rsidRPr="00427F54">
        <w:rPr>
          <w:rFonts w:ascii="Times New Roman" w:hAnsi="Times New Roman" w:cs="Times New Roman"/>
          <w:i/>
          <w:sz w:val="24"/>
          <w:szCs w:val="24"/>
        </w:rPr>
        <w:t>Takaful</w:t>
      </w:r>
      <w:r w:rsidRPr="000F4C35">
        <w:rPr>
          <w:rFonts w:ascii="Times New Roman" w:hAnsi="Times New Roman" w:cs="Times New Roman"/>
          <w:sz w:val="24"/>
          <w:szCs w:val="24"/>
        </w:rPr>
        <w:t xml:space="preserve"> sector, capital enhancement purposes, and so forth. Also, </w:t>
      </w:r>
      <w:r w:rsidRPr="00226846">
        <w:rPr>
          <w:rFonts w:ascii="Times New Roman" w:hAnsi="Times New Roman" w:cs="Times New Roman"/>
          <w:i/>
          <w:iCs/>
          <w:sz w:val="24"/>
          <w:szCs w:val="24"/>
        </w:rPr>
        <w:t>Sukuk</w:t>
      </w:r>
      <w:r w:rsidRPr="000F4C35">
        <w:rPr>
          <w:rFonts w:ascii="Times New Roman" w:hAnsi="Times New Roman" w:cs="Times New Roman"/>
          <w:sz w:val="24"/>
          <w:szCs w:val="24"/>
        </w:rPr>
        <w:t xml:space="preserve"> </w:t>
      </w:r>
      <w:r w:rsidR="00226846" w:rsidRPr="000F4C35">
        <w:rPr>
          <w:rFonts w:ascii="Times New Roman" w:hAnsi="Times New Roman" w:cs="Times New Roman"/>
          <w:sz w:val="24"/>
          <w:szCs w:val="24"/>
        </w:rPr>
        <w:t>encourages small</w:t>
      </w:r>
      <w:r w:rsidRPr="000F4C35">
        <w:rPr>
          <w:rFonts w:ascii="Times New Roman" w:hAnsi="Times New Roman" w:cs="Times New Roman"/>
          <w:sz w:val="24"/>
          <w:szCs w:val="24"/>
        </w:rPr>
        <w:t xml:space="preserve"> investors to participate in Islamic financing and earn profits at the same time. </w:t>
      </w:r>
    </w:p>
    <w:p w14:paraId="42D3F2F7" w14:textId="0824F3F6" w:rsidR="000F4C35" w:rsidRPr="000F4C35" w:rsidRDefault="000F4C35" w:rsidP="000F4C35">
      <w:pPr>
        <w:spacing w:before="120" w:after="120" w:line="360" w:lineRule="auto"/>
        <w:jc w:val="both"/>
        <w:rPr>
          <w:rFonts w:ascii="Times New Roman" w:hAnsi="Times New Roman" w:cs="Times New Roman"/>
          <w:sz w:val="24"/>
          <w:szCs w:val="24"/>
        </w:rPr>
      </w:pPr>
      <w:r w:rsidRPr="000F4C35">
        <w:rPr>
          <w:rFonts w:ascii="Times New Roman" w:hAnsi="Times New Roman" w:cs="Times New Roman"/>
          <w:sz w:val="24"/>
          <w:szCs w:val="24"/>
        </w:rPr>
        <w:t xml:space="preserve">The uniqueness of </w:t>
      </w:r>
      <w:r w:rsidRPr="00226846">
        <w:rPr>
          <w:rFonts w:ascii="Times New Roman" w:hAnsi="Times New Roman" w:cs="Times New Roman"/>
          <w:i/>
          <w:iCs/>
          <w:sz w:val="24"/>
          <w:szCs w:val="24"/>
        </w:rPr>
        <w:t>Sukuk</w:t>
      </w:r>
      <w:r w:rsidRPr="000F4C35">
        <w:rPr>
          <w:rFonts w:ascii="Times New Roman" w:hAnsi="Times New Roman" w:cs="Times New Roman"/>
          <w:sz w:val="24"/>
          <w:szCs w:val="24"/>
        </w:rPr>
        <w:t xml:space="preserve"> from its conventional counterparts has been a debatable issue among scholars and </w:t>
      </w:r>
      <w:r w:rsidR="00D35BD4">
        <w:rPr>
          <w:rFonts w:ascii="Times New Roman" w:hAnsi="Times New Roman" w:cs="Times New Roman"/>
          <w:sz w:val="24"/>
          <w:szCs w:val="24"/>
        </w:rPr>
        <w:t>within rel</w:t>
      </w:r>
      <w:r w:rsidR="00F6659B">
        <w:rPr>
          <w:rFonts w:ascii="Times New Roman" w:hAnsi="Times New Roman" w:cs="Times New Roman"/>
          <w:sz w:val="24"/>
          <w:szCs w:val="24"/>
        </w:rPr>
        <w:t>evant</w:t>
      </w:r>
      <w:r w:rsidRPr="000F4C35">
        <w:rPr>
          <w:rFonts w:ascii="Times New Roman" w:hAnsi="Times New Roman" w:cs="Times New Roman"/>
          <w:sz w:val="24"/>
          <w:szCs w:val="24"/>
        </w:rPr>
        <w:t xml:space="preserve"> literature as </w:t>
      </w:r>
      <w:r w:rsidR="00866113">
        <w:rPr>
          <w:rFonts w:ascii="Times New Roman" w:hAnsi="Times New Roman" w:cs="Times New Roman"/>
          <w:sz w:val="24"/>
          <w:szCs w:val="24"/>
        </w:rPr>
        <w:t>an</w:t>
      </w:r>
      <w:r w:rsidRPr="000F4C35">
        <w:rPr>
          <w:rFonts w:ascii="Times New Roman" w:hAnsi="Times New Roman" w:cs="Times New Roman"/>
          <w:sz w:val="24"/>
          <w:szCs w:val="24"/>
        </w:rPr>
        <w:t xml:space="preserve"> alternative to investment products. This study introduced a portfolio of </w:t>
      </w:r>
      <w:r w:rsidRPr="00226846">
        <w:rPr>
          <w:rFonts w:ascii="Times New Roman" w:hAnsi="Times New Roman" w:cs="Times New Roman"/>
          <w:i/>
          <w:iCs/>
          <w:sz w:val="24"/>
          <w:szCs w:val="24"/>
        </w:rPr>
        <w:t>Sukuk</w:t>
      </w:r>
      <w:r w:rsidRPr="000F4C35">
        <w:rPr>
          <w:rFonts w:ascii="Times New Roman" w:hAnsi="Times New Roman" w:cs="Times New Roman"/>
          <w:sz w:val="24"/>
          <w:szCs w:val="24"/>
        </w:rPr>
        <w:t xml:space="preserve"> and conventional bonds to evaluate the risk level of </w:t>
      </w:r>
      <w:r>
        <w:rPr>
          <w:rFonts w:ascii="Times New Roman" w:hAnsi="Times New Roman" w:cs="Times New Roman"/>
          <w:sz w:val="24"/>
          <w:szCs w:val="24"/>
        </w:rPr>
        <w:t>Sukuk</w:t>
      </w:r>
      <w:r w:rsidRPr="000F4C35">
        <w:rPr>
          <w:rFonts w:ascii="Times New Roman" w:hAnsi="Times New Roman" w:cs="Times New Roman"/>
          <w:sz w:val="24"/>
          <w:szCs w:val="24"/>
        </w:rPr>
        <w:t xml:space="preserve"> and conventional bonds. The results show that </w:t>
      </w:r>
      <w:r w:rsidRPr="00226846">
        <w:rPr>
          <w:rFonts w:ascii="Times New Roman" w:hAnsi="Times New Roman" w:cs="Times New Roman"/>
          <w:i/>
          <w:iCs/>
          <w:sz w:val="24"/>
          <w:szCs w:val="24"/>
        </w:rPr>
        <w:t>Sukuk</w:t>
      </w:r>
      <w:r w:rsidRPr="000F4C35">
        <w:rPr>
          <w:rFonts w:ascii="Times New Roman" w:hAnsi="Times New Roman" w:cs="Times New Roman"/>
          <w:sz w:val="24"/>
          <w:szCs w:val="24"/>
        </w:rPr>
        <w:t xml:space="preserve"> portfolios have a higher VaR risk level of the expected daily losses than the traditional bonds in both Historical simulation and Monte Carlo simulation. </w:t>
      </w:r>
      <w:r w:rsidR="009257A1" w:rsidRPr="000F4C35">
        <w:rPr>
          <w:rFonts w:ascii="Times New Roman" w:hAnsi="Times New Roman" w:cs="Times New Roman"/>
          <w:sz w:val="24"/>
          <w:szCs w:val="24"/>
        </w:rPr>
        <w:t>Therefore,</w:t>
      </w:r>
      <w:r w:rsidR="009257A1">
        <w:rPr>
          <w:rFonts w:ascii="Times New Roman" w:hAnsi="Times New Roman" w:cs="Times New Roman"/>
          <w:sz w:val="24"/>
          <w:szCs w:val="24"/>
        </w:rPr>
        <w:t xml:space="preserve"> the</w:t>
      </w:r>
      <w:r w:rsidR="009257A1" w:rsidRPr="000F4C35">
        <w:rPr>
          <w:rFonts w:ascii="Times New Roman" w:hAnsi="Times New Roman" w:cs="Times New Roman"/>
          <w:sz w:val="24"/>
          <w:szCs w:val="24"/>
        </w:rPr>
        <w:t xml:space="preserve"> empirical</w:t>
      </w:r>
      <w:r w:rsidRPr="000F4C35">
        <w:rPr>
          <w:rFonts w:ascii="Times New Roman" w:hAnsi="Times New Roman" w:cs="Times New Roman"/>
          <w:sz w:val="24"/>
          <w:szCs w:val="24"/>
        </w:rPr>
        <w:t xml:space="preserve"> evidence reveals that </w:t>
      </w:r>
      <w:r w:rsidRPr="00226846">
        <w:rPr>
          <w:rFonts w:ascii="Times New Roman" w:hAnsi="Times New Roman" w:cs="Times New Roman"/>
          <w:i/>
          <w:iCs/>
          <w:sz w:val="24"/>
          <w:szCs w:val="24"/>
        </w:rPr>
        <w:t>Sukuk</w:t>
      </w:r>
      <w:r w:rsidRPr="000F4C35">
        <w:rPr>
          <w:rFonts w:ascii="Times New Roman" w:hAnsi="Times New Roman" w:cs="Times New Roman"/>
          <w:sz w:val="24"/>
          <w:szCs w:val="24"/>
        </w:rPr>
        <w:t xml:space="preserve"> instruments are different to</w:t>
      </w:r>
      <w:r w:rsidR="00866113">
        <w:rPr>
          <w:rFonts w:ascii="Times New Roman" w:hAnsi="Times New Roman" w:cs="Times New Roman"/>
          <w:sz w:val="24"/>
          <w:szCs w:val="24"/>
        </w:rPr>
        <w:t>,</w:t>
      </w:r>
      <w:r w:rsidRPr="000F4C35">
        <w:rPr>
          <w:rFonts w:ascii="Times New Roman" w:hAnsi="Times New Roman" w:cs="Times New Roman"/>
          <w:sz w:val="24"/>
          <w:szCs w:val="24"/>
        </w:rPr>
        <w:t xml:space="preserve"> </w:t>
      </w:r>
      <w:r w:rsidR="00226846" w:rsidRPr="000F4C35">
        <w:rPr>
          <w:rFonts w:ascii="Times New Roman" w:hAnsi="Times New Roman" w:cs="Times New Roman"/>
          <w:sz w:val="24"/>
          <w:szCs w:val="24"/>
        </w:rPr>
        <w:t>and riskier</w:t>
      </w:r>
      <w:r w:rsidRPr="000F4C35">
        <w:rPr>
          <w:rFonts w:ascii="Times New Roman" w:hAnsi="Times New Roman" w:cs="Times New Roman"/>
          <w:sz w:val="24"/>
          <w:szCs w:val="24"/>
        </w:rPr>
        <w:t xml:space="preserve"> than</w:t>
      </w:r>
      <w:r w:rsidR="00866113">
        <w:rPr>
          <w:rFonts w:ascii="Times New Roman" w:hAnsi="Times New Roman" w:cs="Times New Roman"/>
          <w:sz w:val="24"/>
          <w:szCs w:val="24"/>
        </w:rPr>
        <w:t>,</w:t>
      </w:r>
      <w:r w:rsidRPr="000F4C35">
        <w:rPr>
          <w:rFonts w:ascii="Times New Roman" w:hAnsi="Times New Roman" w:cs="Times New Roman"/>
          <w:sz w:val="24"/>
          <w:szCs w:val="24"/>
        </w:rPr>
        <w:t xml:space="preserve"> conventional bonds. However, the study shows that </w:t>
      </w:r>
      <w:r w:rsidRPr="00226846">
        <w:rPr>
          <w:rFonts w:ascii="Times New Roman" w:hAnsi="Times New Roman" w:cs="Times New Roman"/>
          <w:i/>
          <w:iCs/>
          <w:sz w:val="24"/>
          <w:szCs w:val="24"/>
        </w:rPr>
        <w:t>Sukuk</w:t>
      </w:r>
      <w:r w:rsidRPr="000F4C35">
        <w:rPr>
          <w:rFonts w:ascii="Times New Roman" w:hAnsi="Times New Roman" w:cs="Times New Roman"/>
          <w:sz w:val="24"/>
          <w:szCs w:val="24"/>
        </w:rPr>
        <w:t xml:space="preserve"> inherits higher market and credit risk than traditional bonds due to some restrictions that Shari</w:t>
      </w:r>
      <w:r w:rsidR="00226846">
        <w:rPr>
          <w:rFonts w:ascii="Times New Roman" w:hAnsi="Times New Roman" w:cs="Times New Roman"/>
          <w:sz w:val="24"/>
          <w:szCs w:val="24"/>
        </w:rPr>
        <w:t>’</w:t>
      </w:r>
      <w:r w:rsidRPr="000F4C35">
        <w:rPr>
          <w:rFonts w:ascii="Times New Roman" w:hAnsi="Times New Roman" w:cs="Times New Roman"/>
          <w:sz w:val="24"/>
          <w:szCs w:val="24"/>
        </w:rPr>
        <w:t xml:space="preserve">ah principles impose on </w:t>
      </w:r>
      <w:r w:rsidRPr="00226846">
        <w:rPr>
          <w:rFonts w:ascii="Times New Roman" w:hAnsi="Times New Roman" w:cs="Times New Roman"/>
          <w:i/>
          <w:iCs/>
          <w:sz w:val="24"/>
          <w:szCs w:val="24"/>
        </w:rPr>
        <w:t>Sukuk</w:t>
      </w:r>
      <w:r w:rsidRPr="000F4C35">
        <w:rPr>
          <w:rFonts w:ascii="Times New Roman" w:hAnsi="Times New Roman" w:cs="Times New Roman"/>
          <w:sz w:val="24"/>
          <w:szCs w:val="24"/>
        </w:rPr>
        <w:t xml:space="preserve"> risk management.  Also, the results confirm that these risks may</w:t>
      </w:r>
      <w:r>
        <w:rPr>
          <w:rFonts w:ascii="Times New Roman" w:hAnsi="Times New Roman" w:cs="Times New Roman"/>
          <w:sz w:val="24"/>
          <w:szCs w:val="24"/>
        </w:rPr>
        <w:t xml:space="preserve"> be</w:t>
      </w:r>
      <w:r w:rsidRPr="000F4C35">
        <w:rPr>
          <w:rFonts w:ascii="Times New Roman" w:hAnsi="Times New Roman" w:cs="Times New Roman"/>
          <w:sz w:val="24"/>
          <w:szCs w:val="24"/>
        </w:rPr>
        <w:t xml:space="preserve"> associated with other risk factors of </w:t>
      </w:r>
      <w:r w:rsidRPr="00226846">
        <w:rPr>
          <w:rFonts w:ascii="Times New Roman" w:hAnsi="Times New Roman" w:cs="Times New Roman"/>
          <w:i/>
          <w:iCs/>
          <w:sz w:val="24"/>
          <w:szCs w:val="24"/>
        </w:rPr>
        <w:t>Sukuk</w:t>
      </w:r>
      <w:r w:rsidR="00866113">
        <w:rPr>
          <w:rFonts w:ascii="Times New Roman" w:hAnsi="Times New Roman" w:cs="Times New Roman"/>
          <w:sz w:val="24"/>
          <w:szCs w:val="24"/>
        </w:rPr>
        <w:t>,</w:t>
      </w:r>
      <w:r w:rsidRPr="00866113">
        <w:rPr>
          <w:rFonts w:ascii="Times New Roman" w:hAnsi="Times New Roman" w:cs="Times New Roman"/>
          <w:sz w:val="24"/>
          <w:szCs w:val="24"/>
        </w:rPr>
        <w:t xml:space="preserve"> </w:t>
      </w:r>
      <w:r w:rsidRPr="000F4C35">
        <w:rPr>
          <w:rFonts w:ascii="Times New Roman" w:hAnsi="Times New Roman" w:cs="Times New Roman"/>
          <w:sz w:val="24"/>
          <w:szCs w:val="24"/>
        </w:rPr>
        <w:t>such as</w:t>
      </w:r>
      <w:r w:rsidR="00866113">
        <w:rPr>
          <w:rFonts w:ascii="Times New Roman" w:hAnsi="Times New Roman" w:cs="Times New Roman"/>
          <w:sz w:val="24"/>
          <w:szCs w:val="24"/>
        </w:rPr>
        <w:t>,</w:t>
      </w:r>
      <w:r w:rsidRPr="000F4C35">
        <w:rPr>
          <w:rFonts w:ascii="Times New Roman" w:hAnsi="Times New Roman" w:cs="Times New Roman"/>
          <w:sz w:val="24"/>
          <w:szCs w:val="24"/>
        </w:rPr>
        <w:t xml:space="preserve"> legal</w:t>
      </w:r>
      <w:r w:rsidR="00866113">
        <w:rPr>
          <w:rFonts w:ascii="Times New Roman" w:hAnsi="Times New Roman" w:cs="Times New Roman"/>
          <w:sz w:val="24"/>
          <w:szCs w:val="24"/>
        </w:rPr>
        <w:t>,</w:t>
      </w:r>
      <w:r w:rsidRPr="000F4C35">
        <w:rPr>
          <w:rFonts w:ascii="Times New Roman" w:hAnsi="Times New Roman" w:cs="Times New Roman"/>
          <w:sz w:val="24"/>
          <w:szCs w:val="24"/>
        </w:rPr>
        <w:t xml:space="preserve"> regulatory</w:t>
      </w:r>
      <w:r w:rsidR="00866113">
        <w:rPr>
          <w:rFonts w:ascii="Times New Roman" w:hAnsi="Times New Roman" w:cs="Times New Roman"/>
          <w:sz w:val="24"/>
          <w:szCs w:val="24"/>
        </w:rPr>
        <w:t>,</w:t>
      </w:r>
      <w:r w:rsidRPr="000F4C35">
        <w:rPr>
          <w:rFonts w:ascii="Times New Roman" w:hAnsi="Times New Roman" w:cs="Times New Roman"/>
          <w:sz w:val="24"/>
          <w:szCs w:val="24"/>
        </w:rPr>
        <w:t xml:space="preserve"> </w:t>
      </w:r>
      <w:r w:rsidR="00067897">
        <w:rPr>
          <w:rFonts w:ascii="Times New Roman" w:hAnsi="Times New Roman" w:cs="Times New Roman"/>
          <w:sz w:val="24"/>
          <w:szCs w:val="24"/>
        </w:rPr>
        <w:t>and</w:t>
      </w:r>
      <w:r w:rsidRPr="000F4C35">
        <w:rPr>
          <w:rFonts w:ascii="Times New Roman" w:hAnsi="Times New Roman" w:cs="Times New Roman"/>
          <w:sz w:val="24"/>
          <w:szCs w:val="24"/>
        </w:rPr>
        <w:t xml:space="preserve"> operational risks</w:t>
      </w:r>
      <w:r w:rsidR="00067897">
        <w:rPr>
          <w:rFonts w:ascii="Times New Roman" w:hAnsi="Times New Roman" w:cs="Times New Roman"/>
          <w:sz w:val="24"/>
          <w:szCs w:val="24"/>
        </w:rPr>
        <w:t>, not affecting</w:t>
      </w:r>
      <w:r w:rsidRPr="000F4C35">
        <w:rPr>
          <w:rFonts w:ascii="Times New Roman" w:hAnsi="Times New Roman" w:cs="Times New Roman"/>
          <w:sz w:val="24"/>
          <w:szCs w:val="24"/>
        </w:rPr>
        <w:t xml:space="preserve"> conventional bonds. Therefore, these specific risks may </w:t>
      </w:r>
      <w:r w:rsidR="00067897">
        <w:rPr>
          <w:rFonts w:ascii="Times New Roman" w:hAnsi="Times New Roman" w:cs="Times New Roman"/>
          <w:sz w:val="24"/>
          <w:szCs w:val="24"/>
        </w:rPr>
        <w:t>place</w:t>
      </w:r>
      <w:r w:rsidRPr="000F4C35">
        <w:rPr>
          <w:rFonts w:ascii="Times New Roman" w:hAnsi="Times New Roman" w:cs="Times New Roman"/>
          <w:sz w:val="24"/>
          <w:szCs w:val="24"/>
        </w:rPr>
        <w:t xml:space="preserve"> significant disadvantage </w:t>
      </w:r>
      <w:r w:rsidR="00067897">
        <w:rPr>
          <w:rFonts w:ascii="Times New Roman" w:hAnsi="Times New Roman" w:cs="Times New Roman"/>
          <w:sz w:val="24"/>
          <w:szCs w:val="24"/>
        </w:rPr>
        <w:t xml:space="preserve">on the competitiveness </w:t>
      </w:r>
      <w:r w:rsidR="009257A1">
        <w:rPr>
          <w:rFonts w:ascii="Times New Roman" w:hAnsi="Times New Roman" w:cs="Times New Roman"/>
          <w:sz w:val="24"/>
          <w:szCs w:val="24"/>
        </w:rPr>
        <w:t xml:space="preserve">of </w:t>
      </w:r>
      <w:r w:rsidR="009257A1" w:rsidRPr="00226846">
        <w:rPr>
          <w:rFonts w:ascii="Times New Roman" w:hAnsi="Times New Roman" w:cs="Times New Roman"/>
          <w:i/>
          <w:iCs/>
          <w:sz w:val="24"/>
          <w:szCs w:val="24"/>
        </w:rPr>
        <w:t>Sukuk</w:t>
      </w:r>
      <w:r w:rsidR="009257A1" w:rsidRPr="000F4C35">
        <w:rPr>
          <w:rFonts w:ascii="Times New Roman" w:hAnsi="Times New Roman" w:cs="Times New Roman"/>
          <w:sz w:val="24"/>
          <w:szCs w:val="24"/>
        </w:rPr>
        <w:t xml:space="preserve"> </w:t>
      </w:r>
      <w:r w:rsidR="00226846" w:rsidRPr="000F4C35">
        <w:rPr>
          <w:rFonts w:ascii="Times New Roman" w:hAnsi="Times New Roman" w:cs="Times New Roman"/>
          <w:sz w:val="24"/>
          <w:szCs w:val="24"/>
        </w:rPr>
        <w:t>in global</w:t>
      </w:r>
      <w:r w:rsidRPr="000F4C35">
        <w:rPr>
          <w:rFonts w:ascii="Times New Roman" w:hAnsi="Times New Roman" w:cs="Times New Roman"/>
          <w:sz w:val="24"/>
          <w:szCs w:val="24"/>
        </w:rPr>
        <w:t xml:space="preserve"> markets as </w:t>
      </w:r>
      <w:r w:rsidR="004A37C5">
        <w:rPr>
          <w:rFonts w:ascii="Times New Roman" w:hAnsi="Times New Roman" w:cs="Times New Roman"/>
          <w:sz w:val="24"/>
          <w:szCs w:val="24"/>
        </w:rPr>
        <w:t xml:space="preserve">an </w:t>
      </w:r>
      <w:r w:rsidR="00226846" w:rsidRPr="000F4C35">
        <w:rPr>
          <w:rFonts w:ascii="Times New Roman" w:hAnsi="Times New Roman" w:cs="Times New Roman"/>
          <w:sz w:val="24"/>
          <w:szCs w:val="24"/>
        </w:rPr>
        <w:t>alternative investment</w:t>
      </w:r>
      <w:r w:rsidRPr="000F4C35">
        <w:rPr>
          <w:rFonts w:ascii="Times New Roman" w:hAnsi="Times New Roman" w:cs="Times New Roman"/>
          <w:sz w:val="24"/>
          <w:szCs w:val="24"/>
        </w:rPr>
        <w:t xml:space="preserve"> product.</w:t>
      </w:r>
    </w:p>
    <w:p w14:paraId="581CBA15" w14:textId="2BF53C82" w:rsidR="000F4C35" w:rsidRPr="000F4C35" w:rsidRDefault="000F4C35" w:rsidP="000F4C35">
      <w:pPr>
        <w:spacing w:before="120" w:after="120" w:line="360" w:lineRule="auto"/>
        <w:jc w:val="both"/>
        <w:rPr>
          <w:rFonts w:ascii="Times New Roman" w:hAnsi="Times New Roman" w:cs="Times New Roman"/>
          <w:sz w:val="24"/>
          <w:szCs w:val="24"/>
        </w:rPr>
      </w:pPr>
      <w:r w:rsidRPr="000F4C35">
        <w:rPr>
          <w:rFonts w:ascii="Times New Roman" w:hAnsi="Times New Roman" w:cs="Times New Roman"/>
          <w:sz w:val="24"/>
          <w:szCs w:val="24"/>
        </w:rPr>
        <w:t xml:space="preserve">There is little research regarding </w:t>
      </w:r>
      <w:r w:rsidRPr="00226846">
        <w:rPr>
          <w:rFonts w:ascii="Times New Roman" w:hAnsi="Times New Roman" w:cs="Times New Roman"/>
          <w:i/>
          <w:iCs/>
          <w:sz w:val="24"/>
          <w:szCs w:val="24"/>
        </w:rPr>
        <w:t>Sukuk</w:t>
      </w:r>
      <w:r w:rsidRPr="000F4C35">
        <w:rPr>
          <w:rFonts w:ascii="Times New Roman" w:hAnsi="Times New Roman" w:cs="Times New Roman"/>
          <w:sz w:val="24"/>
          <w:szCs w:val="24"/>
        </w:rPr>
        <w:t xml:space="preserve"> </w:t>
      </w:r>
      <w:r w:rsidR="00123826">
        <w:rPr>
          <w:rFonts w:ascii="Times New Roman" w:hAnsi="Times New Roman" w:cs="Times New Roman"/>
          <w:sz w:val="24"/>
          <w:szCs w:val="24"/>
        </w:rPr>
        <w:t xml:space="preserve">compared to </w:t>
      </w:r>
      <w:r w:rsidR="004D0F63">
        <w:rPr>
          <w:rFonts w:ascii="Times New Roman" w:hAnsi="Times New Roman" w:cs="Times New Roman"/>
          <w:sz w:val="24"/>
          <w:szCs w:val="24"/>
        </w:rPr>
        <w:t>conventional products in literature.</w:t>
      </w:r>
      <w:r w:rsidRPr="000F4C35">
        <w:rPr>
          <w:rFonts w:ascii="Times New Roman" w:hAnsi="Times New Roman" w:cs="Times New Roman"/>
          <w:sz w:val="24"/>
          <w:szCs w:val="24"/>
        </w:rPr>
        <w:t xml:space="preserve"> Therefore, this study fills the gap by </w:t>
      </w:r>
      <w:r w:rsidR="009257A1" w:rsidRPr="000F4C35">
        <w:rPr>
          <w:rFonts w:ascii="Times New Roman" w:hAnsi="Times New Roman" w:cs="Times New Roman"/>
          <w:sz w:val="24"/>
          <w:szCs w:val="24"/>
        </w:rPr>
        <w:t>examining risk</w:t>
      </w:r>
      <w:r w:rsidRPr="000F4C35">
        <w:rPr>
          <w:rFonts w:ascii="Times New Roman" w:hAnsi="Times New Roman" w:cs="Times New Roman"/>
          <w:sz w:val="24"/>
          <w:szCs w:val="24"/>
        </w:rPr>
        <w:t xml:space="preserve"> level</w:t>
      </w:r>
      <w:r w:rsidR="004D0F63">
        <w:rPr>
          <w:rFonts w:ascii="Times New Roman" w:hAnsi="Times New Roman" w:cs="Times New Roman"/>
          <w:sz w:val="24"/>
          <w:szCs w:val="24"/>
        </w:rPr>
        <w:t>s</w:t>
      </w:r>
      <w:r w:rsidRPr="000F4C35">
        <w:rPr>
          <w:rFonts w:ascii="Times New Roman" w:hAnsi="Times New Roman" w:cs="Times New Roman"/>
          <w:sz w:val="24"/>
          <w:szCs w:val="24"/>
        </w:rPr>
        <w:t xml:space="preserve"> of </w:t>
      </w:r>
      <w:r>
        <w:rPr>
          <w:rFonts w:ascii="Times New Roman" w:hAnsi="Times New Roman" w:cs="Times New Roman"/>
          <w:sz w:val="24"/>
          <w:szCs w:val="24"/>
        </w:rPr>
        <w:t>Sukuk</w:t>
      </w:r>
      <w:r w:rsidRPr="000F4C35">
        <w:rPr>
          <w:rFonts w:ascii="Times New Roman" w:hAnsi="Times New Roman" w:cs="Times New Roman"/>
          <w:sz w:val="24"/>
          <w:szCs w:val="24"/>
        </w:rPr>
        <w:t xml:space="preserve"> instruments, </w:t>
      </w:r>
      <w:r w:rsidR="004D0F63">
        <w:rPr>
          <w:rFonts w:ascii="Times New Roman" w:hAnsi="Times New Roman" w:cs="Times New Roman"/>
          <w:sz w:val="24"/>
          <w:szCs w:val="24"/>
        </w:rPr>
        <w:t>when</w:t>
      </w:r>
      <w:r w:rsidR="00104535">
        <w:rPr>
          <w:rFonts w:ascii="Times New Roman" w:hAnsi="Times New Roman" w:cs="Times New Roman"/>
          <w:sz w:val="24"/>
          <w:szCs w:val="24"/>
        </w:rPr>
        <w:t xml:space="preserve"> </w:t>
      </w:r>
      <w:r w:rsidRPr="000F4C35">
        <w:rPr>
          <w:rFonts w:ascii="Times New Roman" w:hAnsi="Times New Roman" w:cs="Times New Roman"/>
          <w:sz w:val="24"/>
          <w:szCs w:val="24"/>
        </w:rPr>
        <w:t>compared to conventional bonds.</w:t>
      </w:r>
      <w:r w:rsidR="00104535">
        <w:rPr>
          <w:rFonts w:ascii="Times New Roman" w:hAnsi="Times New Roman" w:cs="Times New Roman"/>
          <w:sz w:val="24"/>
          <w:szCs w:val="24"/>
        </w:rPr>
        <w:t xml:space="preserve"> </w:t>
      </w:r>
      <w:r w:rsidR="004D0F63">
        <w:rPr>
          <w:rFonts w:ascii="Times New Roman" w:hAnsi="Times New Roman" w:cs="Times New Roman"/>
          <w:sz w:val="24"/>
          <w:szCs w:val="24"/>
        </w:rPr>
        <w:t>The</w:t>
      </w:r>
      <w:r w:rsidRPr="000F4C35">
        <w:rPr>
          <w:rFonts w:ascii="Times New Roman" w:hAnsi="Times New Roman" w:cs="Times New Roman"/>
          <w:sz w:val="24"/>
          <w:szCs w:val="24"/>
        </w:rPr>
        <w:t xml:space="preserve"> findings </w:t>
      </w:r>
      <w:r w:rsidR="004D0F63">
        <w:rPr>
          <w:rFonts w:ascii="Times New Roman" w:hAnsi="Times New Roman" w:cs="Times New Roman"/>
          <w:sz w:val="24"/>
          <w:szCs w:val="24"/>
        </w:rPr>
        <w:t>reflect</w:t>
      </w:r>
      <w:r w:rsidRPr="000F4C35">
        <w:rPr>
          <w:rFonts w:ascii="Times New Roman" w:hAnsi="Times New Roman" w:cs="Times New Roman"/>
          <w:sz w:val="24"/>
          <w:szCs w:val="24"/>
        </w:rPr>
        <w:t xml:space="preserve"> those of </w:t>
      </w:r>
      <w:proofErr w:type="spellStart"/>
      <w:r w:rsidRPr="000F4C35">
        <w:rPr>
          <w:rFonts w:ascii="Times New Roman" w:hAnsi="Times New Roman" w:cs="Times New Roman"/>
          <w:sz w:val="24"/>
          <w:szCs w:val="24"/>
        </w:rPr>
        <w:t>Cakir</w:t>
      </w:r>
      <w:proofErr w:type="spellEnd"/>
      <w:r w:rsidRPr="000F4C35">
        <w:rPr>
          <w:rFonts w:ascii="Times New Roman" w:hAnsi="Times New Roman" w:cs="Times New Roman"/>
          <w:sz w:val="24"/>
          <w:szCs w:val="24"/>
        </w:rPr>
        <w:t xml:space="preserve"> and </w:t>
      </w:r>
      <w:proofErr w:type="spellStart"/>
      <w:r w:rsidRPr="000F4C35">
        <w:rPr>
          <w:rFonts w:ascii="Times New Roman" w:hAnsi="Times New Roman" w:cs="Times New Roman"/>
          <w:sz w:val="24"/>
          <w:szCs w:val="24"/>
        </w:rPr>
        <w:t>Raei</w:t>
      </w:r>
      <w:proofErr w:type="spellEnd"/>
      <w:r w:rsidRPr="000F4C35">
        <w:rPr>
          <w:rFonts w:ascii="Times New Roman" w:hAnsi="Times New Roman" w:cs="Times New Roman"/>
          <w:sz w:val="24"/>
          <w:szCs w:val="24"/>
        </w:rPr>
        <w:t xml:space="preserve"> (2007) and Hassan (2012)</w:t>
      </w:r>
      <w:r w:rsidR="00235E3F">
        <w:rPr>
          <w:rFonts w:ascii="Times New Roman" w:hAnsi="Times New Roman" w:cs="Times New Roman"/>
          <w:sz w:val="24"/>
          <w:szCs w:val="24"/>
        </w:rPr>
        <w:t>.</w:t>
      </w:r>
      <w:r w:rsidRPr="000F4C35">
        <w:rPr>
          <w:rFonts w:ascii="Times New Roman" w:hAnsi="Times New Roman" w:cs="Times New Roman"/>
          <w:sz w:val="24"/>
          <w:szCs w:val="24"/>
        </w:rPr>
        <w:t xml:space="preserve"> </w:t>
      </w:r>
    </w:p>
    <w:p w14:paraId="611B94FD" w14:textId="0B171AC8" w:rsidR="000F4C35" w:rsidRPr="000F4C35" w:rsidRDefault="00867A89" w:rsidP="000F4C3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Finally,</w:t>
      </w:r>
      <w:r w:rsidR="00C97050">
        <w:rPr>
          <w:rFonts w:ascii="Times New Roman" w:hAnsi="Times New Roman" w:cs="Times New Roman"/>
          <w:sz w:val="24"/>
          <w:szCs w:val="24"/>
        </w:rPr>
        <w:t xml:space="preserve"> this study</w:t>
      </w:r>
      <w:r w:rsidR="000F4C35" w:rsidRPr="000F4C35">
        <w:rPr>
          <w:rFonts w:ascii="Times New Roman" w:hAnsi="Times New Roman" w:cs="Times New Roman"/>
          <w:sz w:val="24"/>
          <w:szCs w:val="24"/>
        </w:rPr>
        <w:t xml:space="preserve"> evaluate</w:t>
      </w:r>
      <w:r>
        <w:rPr>
          <w:rFonts w:ascii="Times New Roman" w:hAnsi="Times New Roman" w:cs="Times New Roman"/>
          <w:sz w:val="24"/>
          <w:szCs w:val="24"/>
        </w:rPr>
        <w:t>s</w:t>
      </w:r>
      <w:r w:rsidR="000F4C35" w:rsidRPr="000F4C35">
        <w:rPr>
          <w:rFonts w:ascii="Times New Roman" w:hAnsi="Times New Roman" w:cs="Times New Roman"/>
          <w:sz w:val="24"/>
          <w:szCs w:val="24"/>
        </w:rPr>
        <w:t xml:space="preserve"> risk</w:t>
      </w:r>
      <w:r>
        <w:rPr>
          <w:rFonts w:ascii="Times New Roman" w:hAnsi="Times New Roman" w:cs="Times New Roman"/>
          <w:sz w:val="24"/>
          <w:szCs w:val="24"/>
        </w:rPr>
        <w:t>s</w:t>
      </w:r>
      <w:r w:rsidR="000F4C35" w:rsidRPr="000F4C35">
        <w:rPr>
          <w:rFonts w:ascii="Times New Roman" w:hAnsi="Times New Roman" w:cs="Times New Roman"/>
          <w:sz w:val="24"/>
          <w:szCs w:val="24"/>
        </w:rPr>
        <w:t xml:space="preserve"> of </w:t>
      </w:r>
      <w:r w:rsidR="000F4C35" w:rsidRPr="00226846">
        <w:rPr>
          <w:rFonts w:ascii="Times New Roman" w:hAnsi="Times New Roman" w:cs="Times New Roman"/>
          <w:i/>
          <w:iCs/>
          <w:sz w:val="24"/>
          <w:szCs w:val="24"/>
        </w:rPr>
        <w:t>Sukuk</w:t>
      </w:r>
      <w:r w:rsidR="000F4C35" w:rsidRPr="000F4C35">
        <w:rPr>
          <w:rFonts w:ascii="Times New Roman" w:hAnsi="Times New Roman" w:cs="Times New Roman"/>
          <w:sz w:val="24"/>
          <w:szCs w:val="24"/>
        </w:rPr>
        <w:t xml:space="preserve"> </w:t>
      </w:r>
      <w:r>
        <w:rPr>
          <w:rFonts w:ascii="Times New Roman" w:hAnsi="Times New Roman" w:cs="Times New Roman"/>
          <w:sz w:val="24"/>
          <w:szCs w:val="24"/>
        </w:rPr>
        <w:t xml:space="preserve">when </w:t>
      </w:r>
      <w:r w:rsidR="000F4C35" w:rsidRPr="000F4C35">
        <w:rPr>
          <w:rFonts w:ascii="Times New Roman" w:hAnsi="Times New Roman" w:cs="Times New Roman"/>
          <w:sz w:val="24"/>
          <w:szCs w:val="24"/>
        </w:rPr>
        <w:t xml:space="preserve">compared to conventional bonds by investigating it as </w:t>
      </w:r>
      <w:r w:rsidR="00FD061C">
        <w:rPr>
          <w:rFonts w:ascii="Times New Roman" w:hAnsi="Times New Roman" w:cs="Times New Roman"/>
          <w:sz w:val="24"/>
          <w:szCs w:val="24"/>
        </w:rPr>
        <w:t xml:space="preserve">an </w:t>
      </w:r>
      <w:r w:rsidR="000F4C35" w:rsidRPr="000F4C35">
        <w:rPr>
          <w:rFonts w:ascii="Times New Roman" w:hAnsi="Times New Roman" w:cs="Times New Roman"/>
          <w:sz w:val="24"/>
          <w:szCs w:val="24"/>
        </w:rPr>
        <w:t xml:space="preserve">alternative investment instrument. Although, the findings of this study are based on a reasonable sample </w:t>
      </w:r>
      <w:r w:rsidR="009257A1" w:rsidRPr="000F4C35">
        <w:rPr>
          <w:rFonts w:ascii="Times New Roman" w:hAnsi="Times New Roman" w:cs="Times New Roman"/>
          <w:sz w:val="24"/>
          <w:szCs w:val="24"/>
        </w:rPr>
        <w:t xml:space="preserve">of </w:t>
      </w:r>
      <w:r w:rsidR="009257A1" w:rsidRPr="00226846">
        <w:rPr>
          <w:rFonts w:ascii="Times New Roman" w:hAnsi="Times New Roman" w:cs="Times New Roman"/>
          <w:i/>
          <w:iCs/>
          <w:sz w:val="24"/>
          <w:szCs w:val="24"/>
        </w:rPr>
        <w:t>Sukuk</w:t>
      </w:r>
      <w:r w:rsidR="000F4C35" w:rsidRPr="000F4C35">
        <w:rPr>
          <w:rFonts w:ascii="Times New Roman" w:hAnsi="Times New Roman" w:cs="Times New Roman"/>
          <w:sz w:val="24"/>
          <w:szCs w:val="24"/>
        </w:rPr>
        <w:t xml:space="preserve"> and </w:t>
      </w:r>
      <w:r w:rsidR="00104535">
        <w:rPr>
          <w:rFonts w:ascii="Times New Roman" w:hAnsi="Times New Roman" w:cs="Times New Roman"/>
          <w:sz w:val="24"/>
          <w:szCs w:val="24"/>
        </w:rPr>
        <w:t>conventional bonds' portfolios,</w:t>
      </w:r>
      <w:r w:rsidR="000F4C35" w:rsidRPr="000F4C35">
        <w:rPr>
          <w:rFonts w:ascii="Times New Roman" w:hAnsi="Times New Roman" w:cs="Times New Roman"/>
          <w:sz w:val="24"/>
          <w:szCs w:val="24"/>
        </w:rPr>
        <w:t xml:space="preserve"> further studies includ</w:t>
      </w:r>
      <w:r w:rsidR="000C04EE">
        <w:rPr>
          <w:rFonts w:ascii="Times New Roman" w:hAnsi="Times New Roman" w:cs="Times New Roman"/>
          <w:sz w:val="24"/>
          <w:szCs w:val="24"/>
        </w:rPr>
        <w:t>ing</w:t>
      </w:r>
      <w:r w:rsidR="000F4C35" w:rsidRPr="000F4C35">
        <w:rPr>
          <w:rFonts w:ascii="Times New Roman" w:hAnsi="Times New Roman" w:cs="Times New Roman"/>
          <w:sz w:val="24"/>
          <w:szCs w:val="24"/>
        </w:rPr>
        <w:t xml:space="preserve"> corporate and sovereign </w:t>
      </w:r>
      <w:r w:rsidR="000F4C35" w:rsidRPr="00226846">
        <w:rPr>
          <w:rFonts w:ascii="Times New Roman" w:hAnsi="Times New Roman" w:cs="Times New Roman"/>
          <w:i/>
          <w:iCs/>
          <w:sz w:val="24"/>
          <w:szCs w:val="24"/>
        </w:rPr>
        <w:t>Sukuk</w:t>
      </w:r>
      <w:r w:rsidR="000F4C35" w:rsidRPr="000F4C35">
        <w:rPr>
          <w:rFonts w:ascii="Times New Roman" w:hAnsi="Times New Roman" w:cs="Times New Roman"/>
          <w:sz w:val="24"/>
          <w:szCs w:val="24"/>
        </w:rPr>
        <w:t xml:space="preserve"> and conventional bonds issuers, such as Qatar, Bahrain, Kuwait, and Saudi </w:t>
      </w:r>
      <w:r w:rsidR="009257A1" w:rsidRPr="000F4C35">
        <w:rPr>
          <w:rFonts w:ascii="Times New Roman" w:hAnsi="Times New Roman" w:cs="Times New Roman"/>
          <w:sz w:val="24"/>
          <w:szCs w:val="24"/>
        </w:rPr>
        <w:t>Arabia will</w:t>
      </w:r>
      <w:r w:rsidR="000F4C35" w:rsidRPr="000F4C35">
        <w:rPr>
          <w:rFonts w:ascii="Times New Roman" w:hAnsi="Times New Roman" w:cs="Times New Roman"/>
          <w:sz w:val="24"/>
          <w:szCs w:val="24"/>
        </w:rPr>
        <w:t xml:space="preserve"> produce better evaluation</w:t>
      </w:r>
      <w:r w:rsidR="00BE585E">
        <w:rPr>
          <w:rFonts w:ascii="Times New Roman" w:hAnsi="Times New Roman" w:cs="Times New Roman"/>
          <w:sz w:val="24"/>
          <w:szCs w:val="24"/>
        </w:rPr>
        <w:t>s</w:t>
      </w:r>
      <w:r w:rsidR="000F4C35" w:rsidRPr="000F4C35">
        <w:rPr>
          <w:rFonts w:ascii="Times New Roman" w:hAnsi="Times New Roman" w:cs="Times New Roman"/>
          <w:sz w:val="24"/>
          <w:szCs w:val="24"/>
        </w:rPr>
        <w:t xml:space="preserve"> of </w:t>
      </w:r>
      <w:r w:rsidR="000F4C35" w:rsidRPr="00226846">
        <w:rPr>
          <w:rFonts w:ascii="Times New Roman" w:hAnsi="Times New Roman" w:cs="Times New Roman"/>
          <w:i/>
          <w:iCs/>
          <w:sz w:val="24"/>
          <w:szCs w:val="24"/>
        </w:rPr>
        <w:t>Sukuk</w:t>
      </w:r>
      <w:r w:rsidR="000F4C35" w:rsidRPr="000F4C35">
        <w:rPr>
          <w:rFonts w:ascii="Times New Roman" w:hAnsi="Times New Roman" w:cs="Times New Roman"/>
          <w:sz w:val="24"/>
          <w:szCs w:val="24"/>
        </w:rPr>
        <w:t xml:space="preserve"> effec</w:t>
      </w:r>
      <w:r w:rsidR="00BE585E">
        <w:rPr>
          <w:rFonts w:ascii="Times New Roman" w:hAnsi="Times New Roman" w:cs="Times New Roman"/>
          <w:sz w:val="24"/>
          <w:szCs w:val="24"/>
        </w:rPr>
        <w:t>ts</w:t>
      </w:r>
      <w:r w:rsidR="000F4C35" w:rsidRPr="000F4C35">
        <w:rPr>
          <w:rFonts w:ascii="Times New Roman" w:hAnsi="Times New Roman" w:cs="Times New Roman"/>
          <w:sz w:val="24"/>
          <w:szCs w:val="24"/>
        </w:rPr>
        <w:t xml:space="preserve"> </w:t>
      </w:r>
      <w:r w:rsidR="00BE585E">
        <w:rPr>
          <w:rFonts w:ascii="Times New Roman" w:hAnsi="Times New Roman" w:cs="Times New Roman"/>
          <w:sz w:val="24"/>
          <w:szCs w:val="24"/>
        </w:rPr>
        <w:t>o</w:t>
      </w:r>
      <w:r w:rsidR="000F4C35" w:rsidRPr="000F4C35">
        <w:rPr>
          <w:rFonts w:ascii="Times New Roman" w:hAnsi="Times New Roman" w:cs="Times New Roman"/>
          <w:sz w:val="24"/>
          <w:szCs w:val="24"/>
        </w:rPr>
        <w:t>n investment portfolios.</w:t>
      </w:r>
    </w:p>
    <w:p w14:paraId="24A49807" w14:textId="7DEFA6C7" w:rsidR="00A755F5" w:rsidRPr="00251B2C" w:rsidRDefault="00C772D5" w:rsidP="000F4C35">
      <w:pPr>
        <w:spacing w:before="120" w:after="12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I</w:t>
      </w:r>
      <w:r w:rsidR="000F4C35" w:rsidRPr="000F4C35">
        <w:rPr>
          <w:rFonts w:ascii="Times New Roman" w:hAnsi="Times New Roman" w:cs="Times New Roman"/>
          <w:sz w:val="24"/>
          <w:szCs w:val="24"/>
        </w:rPr>
        <w:t xml:space="preserve">nteresting </w:t>
      </w:r>
      <w:r>
        <w:rPr>
          <w:rFonts w:ascii="Times New Roman" w:hAnsi="Times New Roman" w:cs="Times New Roman"/>
          <w:sz w:val="24"/>
          <w:szCs w:val="24"/>
        </w:rPr>
        <w:t xml:space="preserve">aspects for </w:t>
      </w:r>
      <w:r w:rsidR="000F4C35" w:rsidRPr="000F4C35">
        <w:rPr>
          <w:rFonts w:ascii="Times New Roman" w:hAnsi="Times New Roman" w:cs="Times New Roman"/>
          <w:sz w:val="24"/>
          <w:szCs w:val="24"/>
        </w:rPr>
        <w:t xml:space="preserve">future </w:t>
      </w:r>
      <w:r w:rsidR="009257A1" w:rsidRPr="000F4C35">
        <w:rPr>
          <w:rFonts w:ascii="Times New Roman" w:hAnsi="Times New Roman" w:cs="Times New Roman"/>
          <w:sz w:val="24"/>
          <w:szCs w:val="24"/>
        </w:rPr>
        <w:t>research include</w:t>
      </w:r>
      <w:r w:rsidR="000F4C35" w:rsidRPr="000F4C35">
        <w:rPr>
          <w:rFonts w:ascii="Times New Roman" w:hAnsi="Times New Roman" w:cs="Times New Roman"/>
          <w:sz w:val="24"/>
          <w:szCs w:val="24"/>
        </w:rPr>
        <w:t xml:space="preserve"> </w:t>
      </w:r>
      <w:r w:rsidR="002E4EF4">
        <w:rPr>
          <w:rFonts w:ascii="Times New Roman" w:hAnsi="Times New Roman" w:cs="Times New Roman"/>
          <w:sz w:val="24"/>
          <w:szCs w:val="24"/>
        </w:rPr>
        <w:t xml:space="preserve">an </w:t>
      </w:r>
      <w:r w:rsidR="000F4C35" w:rsidRPr="000F4C35">
        <w:rPr>
          <w:rFonts w:ascii="Times New Roman" w:hAnsi="Times New Roman" w:cs="Times New Roman"/>
          <w:sz w:val="24"/>
          <w:szCs w:val="24"/>
        </w:rPr>
        <w:t>examin</w:t>
      </w:r>
      <w:r w:rsidR="00C624F2">
        <w:rPr>
          <w:rFonts w:ascii="Times New Roman" w:hAnsi="Times New Roman" w:cs="Times New Roman"/>
          <w:sz w:val="24"/>
          <w:szCs w:val="24"/>
        </w:rPr>
        <w:t>ation</w:t>
      </w:r>
      <w:r w:rsidR="000F4C35" w:rsidRPr="000F4C35">
        <w:rPr>
          <w:rFonts w:ascii="Times New Roman" w:hAnsi="Times New Roman" w:cs="Times New Roman"/>
          <w:sz w:val="24"/>
          <w:szCs w:val="24"/>
        </w:rPr>
        <w:t xml:space="preserve"> and compar</w:t>
      </w:r>
      <w:r w:rsidR="00C624F2">
        <w:rPr>
          <w:rFonts w:ascii="Times New Roman" w:hAnsi="Times New Roman" w:cs="Times New Roman"/>
          <w:sz w:val="24"/>
          <w:szCs w:val="24"/>
        </w:rPr>
        <w:t>ison of</w:t>
      </w:r>
      <w:r w:rsidR="000F4C35" w:rsidRPr="000F4C35">
        <w:rPr>
          <w:rFonts w:ascii="Times New Roman" w:hAnsi="Times New Roman" w:cs="Times New Roman"/>
          <w:sz w:val="24"/>
          <w:szCs w:val="24"/>
        </w:rPr>
        <w:t xml:space="preserve"> different industry sectors of </w:t>
      </w:r>
      <w:r w:rsidR="000F4C35" w:rsidRPr="00226846">
        <w:rPr>
          <w:rFonts w:ascii="Times New Roman" w:hAnsi="Times New Roman" w:cs="Times New Roman"/>
          <w:i/>
          <w:iCs/>
          <w:sz w:val="24"/>
          <w:szCs w:val="24"/>
        </w:rPr>
        <w:t>Sukuk</w:t>
      </w:r>
      <w:r w:rsidR="000F4C35" w:rsidRPr="000F4C35">
        <w:rPr>
          <w:rFonts w:ascii="Times New Roman" w:hAnsi="Times New Roman" w:cs="Times New Roman"/>
          <w:sz w:val="24"/>
          <w:szCs w:val="24"/>
        </w:rPr>
        <w:t xml:space="preserve"> and conventional bonds in the Gulf </w:t>
      </w:r>
      <w:r w:rsidR="00524877">
        <w:rPr>
          <w:rFonts w:ascii="Times New Roman" w:hAnsi="Times New Roman" w:cs="Times New Roman"/>
          <w:sz w:val="24"/>
          <w:szCs w:val="24"/>
        </w:rPr>
        <w:t>states</w:t>
      </w:r>
      <w:r w:rsidR="000F4C35" w:rsidRPr="000F4C35">
        <w:rPr>
          <w:rFonts w:ascii="Times New Roman" w:hAnsi="Times New Roman" w:cs="Times New Roman"/>
          <w:sz w:val="24"/>
          <w:szCs w:val="24"/>
        </w:rPr>
        <w:t xml:space="preserve">. </w:t>
      </w:r>
      <w:r w:rsidR="00524877">
        <w:rPr>
          <w:rFonts w:ascii="Times New Roman" w:hAnsi="Times New Roman" w:cs="Times New Roman"/>
          <w:sz w:val="24"/>
          <w:szCs w:val="24"/>
        </w:rPr>
        <w:t>Here,</w:t>
      </w:r>
      <w:r w:rsidR="000F4C35" w:rsidRPr="000F4C35">
        <w:rPr>
          <w:rFonts w:ascii="Times New Roman" w:hAnsi="Times New Roman" w:cs="Times New Roman"/>
          <w:sz w:val="24"/>
          <w:szCs w:val="24"/>
        </w:rPr>
        <w:t xml:space="preserve"> other methods of </w:t>
      </w:r>
      <w:r w:rsidR="000F4C35" w:rsidRPr="00226846">
        <w:rPr>
          <w:rFonts w:ascii="Times New Roman" w:hAnsi="Times New Roman" w:cs="Times New Roman"/>
          <w:i/>
          <w:iCs/>
          <w:sz w:val="24"/>
          <w:szCs w:val="24"/>
        </w:rPr>
        <w:t>Sukuk</w:t>
      </w:r>
      <w:r w:rsidR="000F4C35" w:rsidRPr="000F4C35">
        <w:rPr>
          <w:rFonts w:ascii="Times New Roman" w:hAnsi="Times New Roman" w:cs="Times New Roman"/>
          <w:sz w:val="24"/>
          <w:szCs w:val="24"/>
        </w:rPr>
        <w:t xml:space="preserve"> risk evaluation may be applied </w:t>
      </w:r>
      <w:r w:rsidR="00290CC7">
        <w:rPr>
          <w:rFonts w:ascii="Times New Roman" w:hAnsi="Times New Roman" w:cs="Times New Roman"/>
          <w:sz w:val="24"/>
          <w:szCs w:val="24"/>
        </w:rPr>
        <w:t>using</w:t>
      </w:r>
      <w:r w:rsidR="000F4C35" w:rsidRPr="000F4C35">
        <w:rPr>
          <w:rFonts w:ascii="Times New Roman" w:hAnsi="Times New Roman" w:cs="Times New Roman"/>
          <w:sz w:val="24"/>
          <w:szCs w:val="24"/>
        </w:rPr>
        <w:t xml:space="preserve"> suitable software, </w:t>
      </w:r>
      <w:r w:rsidR="009257A1" w:rsidRPr="000F4C35">
        <w:rPr>
          <w:rFonts w:ascii="Times New Roman" w:hAnsi="Times New Roman" w:cs="Times New Roman"/>
          <w:sz w:val="24"/>
          <w:szCs w:val="24"/>
        </w:rPr>
        <w:t>since recent</w:t>
      </w:r>
      <w:r w:rsidR="000F4C35" w:rsidRPr="000F4C35">
        <w:rPr>
          <w:rFonts w:ascii="Times New Roman" w:hAnsi="Times New Roman" w:cs="Times New Roman"/>
          <w:sz w:val="24"/>
          <w:szCs w:val="24"/>
        </w:rPr>
        <w:t xml:space="preserve"> risk evaluation studies on </w:t>
      </w:r>
      <w:r w:rsidR="000F4C35" w:rsidRPr="00226846">
        <w:rPr>
          <w:rFonts w:ascii="Times New Roman" w:hAnsi="Times New Roman" w:cs="Times New Roman"/>
          <w:i/>
          <w:iCs/>
          <w:sz w:val="24"/>
          <w:szCs w:val="24"/>
        </w:rPr>
        <w:t>Sukuk</w:t>
      </w:r>
      <w:r w:rsidR="000F4C35" w:rsidRPr="000F4C35">
        <w:rPr>
          <w:rFonts w:ascii="Times New Roman" w:hAnsi="Times New Roman" w:cs="Times New Roman"/>
          <w:sz w:val="24"/>
          <w:szCs w:val="24"/>
        </w:rPr>
        <w:t xml:space="preserve"> and bonds </w:t>
      </w:r>
      <w:r w:rsidR="008B247B">
        <w:rPr>
          <w:rFonts w:ascii="Times New Roman" w:hAnsi="Times New Roman" w:cs="Times New Roman"/>
          <w:sz w:val="24"/>
          <w:szCs w:val="24"/>
        </w:rPr>
        <w:t xml:space="preserve">rely </w:t>
      </w:r>
      <w:r w:rsidR="000F4C35" w:rsidRPr="000F4C35">
        <w:rPr>
          <w:rFonts w:ascii="Times New Roman" w:hAnsi="Times New Roman" w:cs="Times New Roman"/>
          <w:sz w:val="24"/>
          <w:szCs w:val="24"/>
        </w:rPr>
        <w:t xml:space="preserve">mainly </w:t>
      </w:r>
      <w:r w:rsidR="001171FF">
        <w:rPr>
          <w:rFonts w:ascii="Times New Roman" w:hAnsi="Times New Roman" w:cs="Times New Roman"/>
          <w:sz w:val="24"/>
          <w:szCs w:val="24"/>
        </w:rPr>
        <w:t>on</w:t>
      </w:r>
      <w:r w:rsidR="00104535">
        <w:rPr>
          <w:rFonts w:ascii="Times New Roman" w:hAnsi="Times New Roman" w:cs="Times New Roman"/>
          <w:sz w:val="24"/>
          <w:szCs w:val="24"/>
        </w:rPr>
        <w:t xml:space="preserve"> </w:t>
      </w:r>
      <w:r w:rsidR="000F4C35" w:rsidRPr="000F4C35">
        <w:rPr>
          <w:rFonts w:ascii="Times New Roman" w:hAnsi="Times New Roman" w:cs="Times New Roman"/>
          <w:sz w:val="24"/>
          <w:szCs w:val="24"/>
        </w:rPr>
        <w:t>VaR Method analysis.</w:t>
      </w:r>
    </w:p>
    <w:bookmarkEnd w:id="6"/>
    <w:bookmarkEnd w:id="7"/>
    <w:bookmarkEnd w:id="8"/>
    <w:p w14:paraId="469F9A98" w14:textId="4E3BE203" w:rsidR="00A755F5" w:rsidRPr="00251B2C" w:rsidRDefault="00546532" w:rsidP="00A755F5">
      <w:pPr>
        <w:spacing w:before="180" w:after="120" w:line="360" w:lineRule="auto"/>
        <w:rPr>
          <w:rFonts w:ascii="Times New Roman" w:hAnsi="Times New Roman" w:cs="Times New Roman"/>
          <w:b/>
          <w:sz w:val="24"/>
          <w:szCs w:val="24"/>
          <w:shd w:val="clear" w:color="auto" w:fill="FFFFFF"/>
        </w:rPr>
      </w:pPr>
      <w:r w:rsidRPr="00251B2C">
        <w:rPr>
          <w:rFonts w:ascii="Times New Roman" w:hAnsi="Times New Roman" w:cs="Times New Roman"/>
          <w:b/>
          <w:sz w:val="24"/>
          <w:szCs w:val="24"/>
          <w:shd w:val="clear" w:color="auto" w:fill="FFFFFF"/>
        </w:rPr>
        <w:t>REFERENCES</w:t>
      </w:r>
    </w:p>
    <w:p w14:paraId="73FA8678" w14:textId="4F9DEFE5" w:rsidR="00A755F5" w:rsidRPr="00251B2C" w:rsidRDefault="00A755F5" w:rsidP="009B1361">
      <w:pPr>
        <w:spacing w:before="120" w:after="0" w:line="240" w:lineRule="auto"/>
        <w:rPr>
          <w:rFonts w:ascii="Times New Roman" w:hAnsi="Times New Roman" w:cs="Times New Roman"/>
          <w:color w:val="000000"/>
          <w:sz w:val="24"/>
          <w:szCs w:val="24"/>
        </w:rPr>
      </w:pPr>
      <w:r w:rsidRPr="00251B2C">
        <w:rPr>
          <w:rFonts w:ascii="Times New Roman" w:hAnsi="Times New Roman" w:cs="Times New Roman"/>
          <w:color w:val="000000"/>
          <w:sz w:val="24"/>
          <w:szCs w:val="24"/>
        </w:rPr>
        <w:t xml:space="preserve">Abd Aziz, H., Chalabi, A., Idris, U. (2016). </w:t>
      </w:r>
      <w:r w:rsidR="00A858A8">
        <w:rPr>
          <w:rFonts w:ascii="Times New Roman" w:hAnsi="Times New Roman" w:cs="Times New Roman"/>
          <w:color w:val="000000"/>
          <w:sz w:val="24"/>
          <w:szCs w:val="24"/>
        </w:rPr>
        <w:t>“</w:t>
      </w:r>
      <w:r w:rsidRPr="00251B2C">
        <w:rPr>
          <w:rFonts w:ascii="Times New Roman" w:hAnsi="Times New Roman" w:cs="Times New Roman"/>
          <w:color w:val="000000"/>
          <w:sz w:val="24"/>
          <w:szCs w:val="24"/>
        </w:rPr>
        <w:t xml:space="preserve">Does </w:t>
      </w:r>
      <w:r w:rsidR="000F4C35">
        <w:rPr>
          <w:rFonts w:ascii="Times New Roman" w:hAnsi="Times New Roman" w:cs="Times New Roman"/>
          <w:color w:val="000000"/>
          <w:sz w:val="24"/>
          <w:szCs w:val="24"/>
        </w:rPr>
        <w:t>Sukuk</w:t>
      </w:r>
      <w:r w:rsidRPr="00251B2C">
        <w:rPr>
          <w:rFonts w:ascii="Times New Roman" w:hAnsi="Times New Roman" w:cs="Times New Roman"/>
          <w:color w:val="000000"/>
          <w:sz w:val="24"/>
          <w:szCs w:val="24"/>
        </w:rPr>
        <w:t xml:space="preserve"> Financing Promote Economic Growth? An Emphasis on the Major Issuing Countries</w:t>
      </w:r>
      <w:r w:rsidR="00A858A8">
        <w:rPr>
          <w:rFonts w:ascii="Times New Roman" w:hAnsi="Times New Roman" w:cs="Times New Roman"/>
          <w:color w:val="000000"/>
          <w:sz w:val="24"/>
          <w:szCs w:val="24"/>
        </w:rPr>
        <w:t>”,</w:t>
      </w:r>
      <w:r w:rsidRPr="00251B2C">
        <w:rPr>
          <w:rStyle w:val="apple-converted-space"/>
          <w:rFonts w:ascii="Times New Roman" w:hAnsi="Times New Roman" w:cs="Times New Roman"/>
          <w:color w:val="000000"/>
          <w:sz w:val="24"/>
          <w:szCs w:val="24"/>
        </w:rPr>
        <w:t> </w:t>
      </w:r>
      <w:r w:rsidRPr="00251B2C">
        <w:rPr>
          <w:rFonts w:ascii="Times New Roman" w:hAnsi="Times New Roman" w:cs="Times New Roman"/>
          <w:i/>
          <w:iCs/>
          <w:color w:val="000000"/>
          <w:sz w:val="24"/>
          <w:szCs w:val="24"/>
        </w:rPr>
        <w:t>Turkish Journal of Islamic Economics</w:t>
      </w:r>
      <w:r w:rsidRPr="00251B2C">
        <w:rPr>
          <w:rFonts w:ascii="Times New Roman" w:hAnsi="Times New Roman" w:cs="Times New Roman"/>
          <w:color w:val="000000"/>
          <w:sz w:val="24"/>
          <w:szCs w:val="24"/>
        </w:rPr>
        <w:t>. 3 (2), 63-73.</w:t>
      </w:r>
    </w:p>
    <w:p w14:paraId="6D058DD8" w14:textId="1838F20C" w:rsidR="00A755F5" w:rsidRPr="00251B2C" w:rsidRDefault="00A755F5" w:rsidP="009B1361">
      <w:pPr>
        <w:spacing w:before="120" w:after="0" w:line="240" w:lineRule="auto"/>
        <w:rPr>
          <w:rFonts w:ascii="Times New Roman" w:eastAsia="Calibri" w:hAnsi="Times New Roman" w:cs="Times New Roman"/>
          <w:sz w:val="24"/>
          <w:szCs w:val="24"/>
        </w:rPr>
      </w:pPr>
      <w:r w:rsidRPr="00251B2C">
        <w:rPr>
          <w:rFonts w:ascii="Times New Roman" w:hAnsi="Times New Roman" w:cs="Times New Roman"/>
          <w:color w:val="000000"/>
          <w:sz w:val="24"/>
          <w:szCs w:val="24"/>
        </w:rPr>
        <w:t xml:space="preserve">Abdullah, A., Jamaluddin, M.S. and Yazidi, A.S. (2014). </w:t>
      </w:r>
      <w:r w:rsidR="00A858A8">
        <w:rPr>
          <w:rFonts w:ascii="Times New Roman" w:hAnsi="Times New Roman" w:cs="Times New Roman"/>
          <w:color w:val="000000"/>
          <w:sz w:val="24"/>
          <w:szCs w:val="24"/>
        </w:rPr>
        <w:t>“</w:t>
      </w:r>
      <w:r w:rsidRPr="00251B2C">
        <w:rPr>
          <w:rFonts w:ascii="Times New Roman" w:hAnsi="Times New Roman" w:cs="Times New Roman"/>
          <w:color w:val="000000"/>
          <w:sz w:val="24"/>
          <w:szCs w:val="24"/>
        </w:rPr>
        <w:t xml:space="preserve">Risk in Funding Infrastructure Projects through </w:t>
      </w:r>
      <w:r w:rsidR="000F4C35">
        <w:rPr>
          <w:rFonts w:ascii="Times New Roman" w:hAnsi="Times New Roman" w:cs="Times New Roman"/>
          <w:color w:val="000000"/>
          <w:sz w:val="24"/>
          <w:szCs w:val="24"/>
        </w:rPr>
        <w:t>Sukuk</w:t>
      </w:r>
      <w:r w:rsidRPr="00251B2C">
        <w:rPr>
          <w:rFonts w:ascii="Times New Roman" w:hAnsi="Times New Roman" w:cs="Times New Roman"/>
          <w:color w:val="000000"/>
          <w:sz w:val="24"/>
          <w:szCs w:val="24"/>
        </w:rPr>
        <w:t xml:space="preserve"> or Islamic Bonds</w:t>
      </w:r>
      <w:r w:rsidR="00A858A8">
        <w:rPr>
          <w:rFonts w:ascii="Times New Roman" w:hAnsi="Times New Roman" w:cs="Times New Roman"/>
          <w:color w:val="000000"/>
          <w:sz w:val="24"/>
          <w:szCs w:val="24"/>
        </w:rPr>
        <w:t>”,</w:t>
      </w:r>
      <w:r w:rsidRPr="00251B2C">
        <w:rPr>
          <w:rStyle w:val="apple-converted-space"/>
          <w:rFonts w:ascii="Times New Roman" w:hAnsi="Times New Roman" w:cs="Times New Roman"/>
          <w:color w:val="000000"/>
          <w:sz w:val="24"/>
          <w:szCs w:val="24"/>
        </w:rPr>
        <w:t> </w:t>
      </w:r>
      <w:r w:rsidRPr="00251B2C">
        <w:rPr>
          <w:rFonts w:ascii="Times New Roman" w:hAnsi="Times New Roman" w:cs="Times New Roman"/>
          <w:i/>
          <w:iCs/>
          <w:color w:val="000000"/>
          <w:sz w:val="24"/>
          <w:szCs w:val="24"/>
        </w:rPr>
        <w:t>International Review of Management and Business Research</w:t>
      </w:r>
      <w:r w:rsidRPr="00251B2C">
        <w:rPr>
          <w:rFonts w:ascii="Times New Roman" w:hAnsi="Times New Roman" w:cs="Times New Roman"/>
          <w:color w:val="000000"/>
          <w:sz w:val="24"/>
          <w:szCs w:val="24"/>
        </w:rPr>
        <w:t>. 3 (2).</w:t>
      </w:r>
    </w:p>
    <w:p w14:paraId="091F992C" w14:textId="68E6DBEA" w:rsidR="00A755F5" w:rsidRPr="00251B2C" w:rsidRDefault="00A755F5" w:rsidP="009B1361">
      <w:pPr>
        <w:spacing w:before="120" w:after="0" w:line="240" w:lineRule="auto"/>
        <w:jc w:val="both"/>
        <w:rPr>
          <w:rFonts w:ascii="Times New Roman" w:hAnsi="Times New Roman" w:cs="Times New Roman"/>
          <w:sz w:val="24"/>
          <w:szCs w:val="24"/>
        </w:rPr>
      </w:pPr>
      <w:r w:rsidRPr="00251B2C">
        <w:rPr>
          <w:rFonts w:ascii="Times New Roman" w:hAnsi="Times New Roman" w:cs="Times New Roman"/>
          <w:sz w:val="24"/>
          <w:szCs w:val="24"/>
        </w:rPr>
        <w:t xml:space="preserve">Accounting and Auditing Organization for Islamic Financial Institutions (AAOIFI) (2008). </w:t>
      </w:r>
      <w:r w:rsidR="000F4C35">
        <w:rPr>
          <w:rFonts w:ascii="Times New Roman" w:hAnsi="Times New Roman" w:cs="Times New Roman"/>
          <w:i/>
          <w:sz w:val="24"/>
          <w:szCs w:val="24"/>
        </w:rPr>
        <w:t>Sukuk</w:t>
      </w:r>
      <w:r w:rsidRPr="00251B2C">
        <w:rPr>
          <w:rFonts w:ascii="Times New Roman" w:hAnsi="Times New Roman" w:cs="Times New Roman"/>
          <w:i/>
          <w:sz w:val="24"/>
          <w:szCs w:val="24"/>
        </w:rPr>
        <w:t xml:space="preserve"> Shariah standards</w:t>
      </w:r>
      <w:r w:rsidRPr="00251B2C">
        <w:rPr>
          <w:rFonts w:ascii="Times New Roman" w:hAnsi="Times New Roman" w:cs="Times New Roman"/>
          <w:sz w:val="24"/>
          <w:szCs w:val="24"/>
        </w:rPr>
        <w:t>. Available at: www.aaoiﬁ.com</w:t>
      </w:r>
      <w:r w:rsidR="00A858A8">
        <w:rPr>
          <w:rFonts w:ascii="Times New Roman" w:hAnsi="Times New Roman" w:cs="Times New Roman"/>
          <w:sz w:val="24"/>
          <w:szCs w:val="24"/>
        </w:rPr>
        <w:t>. Accessed Date: 14</w:t>
      </w:r>
      <w:r w:rsidR="00A858A8" w:rsidRPr="00A858A8">
        <w:rPr>
          <w:rFonts w:ascii="Times New Roman" w:hAnsi="Times New Roman" w:cs="Times New Roman"/>
          <w:sz w:val="24"/>
          <w:szCs w:val="24"/>
          <w:vertAlign w:val="superscript"/>
        </w:rPr>
        <w:t>th</w:t>
      </w:r>
      <w:r w:rsidR="00A858A8">
        <w:rPr>
          <w:rFonts w:ascii="Times New Roman" w:hAnsi="Times New Roman" w:cs="Times New Roman"/>
          <w:sz w:val="24"/>
          <w:szCs w:val="24"/>
        </w:rPr>
        <w:t xml:space="preserve"> May 2017.</w:t>
      </w:r>
    </w:p>
    <w:p w14:paraId="1C43F0A6" w14:textId="7B8FA1C8" w:rsidR="00A755F5" w:rsidRPr="00251B2C" w:rsidRDefault="00A755F5" w:rsidP="009B1361">
      <w:pPr>
        <w:pStyle w:val="NormalWeb"/>
        <w:spacing w:before="120" w:beforeAutospacing="0" w:after="0" w:afterAutospacing="0"/>
        <w:rPr>
          <w:color w:val="000000"/>
        </w:rPr>
      </w:pPr>
      <w:r w:rsidRPr="00251B2C">
        <w:rPr>
          <w:color w:val="000000"/>
        </w:rPr>
        <w:t>Afshar, T.A. (2013).</w:t>
      </w:r>
      <w:r w:rsidRPr="00251B2C">
        <w:rPr>
          <w:rStyle w:val="apple-converted-space"/>
          <w:color w:val="000000"/>
        </w:rPr>
        <w:t> </w:t>
      </w:r>
      <w:r w:rsidRPr="00251B2C">
        <w:rPr>
          <w:i/>
          <w:iCs/>
          <w:color w:val="000000"/>
        </w:rPr>
        <w:t xml:space="preserve">Compare </w:t>
      </w:r>
      <w:r w:rsidR="000F4C35">
        <w:rPr>
          <w:i/>
          <w:iCs/>
          <w:color w:val="000000"/>
        </w:rPr>
        <w:t>Sukuk</w:t>
      </w:r>
      <w:r w:rsidRPr="00251B2C">
        <w:rPr>
          <w:i/>
          <w:iCs/>
          <w:color w:val="000000"/>
        </w:rPr>
        <w:t xml:space="preserve"> (Islamic Bonds) with conventional bonds, Are they compatible?</w:t>
      </w:r>
      <w:r w:rsidRPr="00251B2C">
        <w:rPr>
          <w:rStyle w:val="apple-converted-space"/>
          <w:color w:val="000000"/>
        </w:rPr>
        <w:t> </w:t>
      </w:r>
      <w:r w:rsidRPr="00251B2C">
        <w:rPr>
          <w:color w:val="000000"/>
        </w:rPr>
        <w:t xml:space="preserve">Available: http://www.jgbm.org/page/5%20Tahmoures%20A%20%20Afshar.pdf. </w:t>
      </w:r>
      <w:r w:rsidR="00A858A8">
        <w:rPr>
          <w:color w:val="000000"/>
        </w:rPr>
        <w:t>A</w:t>
      </w:r>
      <w:r w:rsidRPr="00251B2C">
        <w:rPr>
          <w:color w:val="000000"/>
        </w:rPr>
        <w:t>ccessed</w:t>
      </w:r>
      <w:r w:rsidR="00A858A8">
        <w:rPr>
          <w:color w:val="000000"/>
        </w:rPr>
        <w:t xml:space="preserve"> Date:</w:t>
      </w:r>
      <w:r w:rsidRPr="00251B2C">
        <w:rPr>
          <w:color w:val="000000"/>
        </w:rPr>
        <w:t xml:space="preserve"> 30</w:t>
      </w:r>
      <w:r w:rsidR="00A858A8" w:rsidRPr="00A858A8">
        <w:rPr>
          <w:color w:val="000000"/>
          <w:vertAlign w:val="superscript"/>
        </w:rPr>
        <w:t>th</w:t>
      </w:r>
      <w:r w:rsidR="00A858A8">
        <w:rPr>
          <w:color w:val="000000"/>
        </w:rPr>
        <w:t xml:space="preserve"> April </w:t>
      </w:r>
      <w:r w:rsidRPr="00251B2C">
        <w:rPr>
          <w:color w:val="000000"/>
        </w:rPr>
        <w:t>2017.</w:t>
      </w:r>
    </w:p>
    <w:p w14:paraId="7573C49A" w14:textId="7C47D2FD" w:rsidR="00A755F5" w:rsidRPr="00251B2C" w:rsidRDefault="00A858A8" w:rsidP="009B1361">
      <w:pPr>
        <w:spacing w:before="120" w:after="0" w:line="240" w:lineRule="auto"/>
        <w:rPr>
          <w:rFonts w:ascii="Times New Roman" w:hAnsi="Times New Roman" w:cs="Times New Roman"/>
          <w:sz w:val="24"/>
          <w:szCs w:val="24"/>
        </w:rPr>
      </w:pPr>
      <w:r>
        <w:rPr>
          <w:rFonts w:ascii="Times New Roman" w:hAnsi="Times New Roman" w:cs="Times New Roman"/>
          <w:sz w:val="24"/>
          <w:szCs w:val="24"/>
        </w:rPr>
        <w:t>Ahmad, N.W.; Bihari, N.F.; R.I. Pain, N.</w:t>
      </w:r>
      <w:r w:rsidR="00A755F5" w:rsidRPr="00251B2C">
        <w:rPr>
          <w:rFonts w:ascii="Times New Roman" w:hAnsi="Times New Roman" w:cs="Times New Roman"/>
          <w:sz w:val="24"/>
          <w:szCs w:val="24"/>
        </w:rPr>
        <w:t xml:space="preserve"> and Shah Shamar, W.S. (2015). </w:t>
      </w:r>
      <w:r>
        <w:rPr>
          <w:rFonts w:ascii="Times New Roman" w:hAnsi="Times New Roman" w:cs="Times New Roman"/>
          <w:sz w:val="24"/>
          <w:szCs w:val="24"/>
        </w:rPr>
        <w:t>Growth and Prospect o</w:t>
      </w:r>
      <w:r w:rsidRPr="00251B2C">
        <w:rPr>
          <w:rFonts w:ascii="Times New Roman" w:hAnsi="Times New Roman" w:cs="Times New Roman"/>
          <w:sz w:val="24"/>
          <w:szCs w:val="24"/>
        </w:rPr>
        <w:t xml:space="preserve">f </w:t>
      </w:r>
      <w:r>
        <w:rPr>
          <w:rFonts w:ascii="Times New Roman" w:hAnsi="Times New Roman" w:cs="Times New Roman"/>
          <w:sz w:val="24"/>
          <w:szCs w:val="24"/>
        </w:rPr>
        <w:t>Sukuk i</w:t>
      </w:r>
      <w:r w:rsidRPr="00251B2C">
        <w:rPr>
          <w:rFonts w:ascii="Times New Roman" w:hAnsi="Times New Roman" w:cs="Times New Roman"/>
          <w:sz w:val="24"/>
          <w:szCs w:val="24"/>
        </w:rPr>
        <w:t>n Malaysian Market: A Review</w:t>
      </w:r>
      <w:r w:rsidR="00A755F5" w:rsidRPr="00251B2C">
        <w:rPr>
          <w:rFonts w:ascii="Times New Roman" w:hAnsi="Times New Roman" w:cs="Times New Roman"/>
          <w:sz w:val="24"/>
          <w:szCs w:val="24"/>
        </w:rPr>
        <w:t xml:space="preserve">. Proceeding of the 2nd International Conference on Management and Mamola. Available: </w:t>
      </w:r>
      <w:hyperlink r:id="rId26" w:history="1">
        <w:r w:rsidR="00A755F5" w:rsidRPr="00546532">
          <w:rPr>
            <w:rStyle w:val="Hyperlink"/>
            <w:rFonts w:ascii="Times New Roman" w:hAnsi="Times New Roman" w:cs="Times New Roman"/>
            <w:color w:val="000000" w:themeColor="text1"/>
            <w:sz w:val="24"/>
            <w:szCs w:val="24"/>
            <w:u w:val="none"/>
          </w:rPr>
          <w:t>http://www.kuis.edu.my/icomm/2nd/download/IC%20021.pdf</w:t>
        </w:r>
      </w:hyperlink>
      <w:r w:rsidR="00A755F5" w:rsidRPr="00546532">
        <w:rPr>
          <w:rFonts w:ascii="Times New Roman" w:hAnsi="Times New Roman" w:cs="Times New Roman"/>
          <w:color w:val="000000" w:themeColor="text1"/>
          <w:sz w:val="24"/>
          <w:szCs w:val="24"/>
        </w:rPr>
        <w:t xml:space="preserve">. </w:t>
      </w:r>
      <w:r>
        <w:rPr>
          <w:rFonts w:ascii="Times New Roman" w:hAnsi="Times New Roman" w:cs="Times New Roman"/>
          <w:sz w:val="24"/>
          <w:szCs w:val="24"/>
        </w:rPr>
        <w:t>A</w:t>
      </w:r>
      <w:r w:rsidR="00A755F5" w:rsidRPr="00251B2C">
        <w:rPr>
          <w:rFonts w:ascii="Times New Roman" w:hAnsi="Times New Roman" w:cs="Times New Roman"/>
          <w:sz w:val="24"/>
          <w:szCs w:val="24"/>
        </w:rPr>
        <w:t>ccessed</w:t>
      </w:r>
      <w:r>
        <w:rPr>
          <w:rFonts w:ascii="Times New Roman" w:hAnsi="Times New Roman" w:cs="Times New Roman"/>
          <w:sz w:val="24"/>
          <w:szCs w:val="24"/>
        </w:rPr>
        <w:t xml:space="preserve"> Date:</w:t>
      </w:r>
      <w:r w:rsidR="00A755F5" w:rsidRPr="00251B2C">
        <w:rPr>
          <w:rFonts w:ascii="Times New Roman" w:hAnsi="Times New Roman" w:cs="Times New Roman"/>
          <w:sz w:val="24"/>
          <w:szCs w:val="24"/>
        </w:rPr>
        <w:t xml:space="preserve"> 20</w:t>
      </w:r>
      <w:r w:rsidRPr="00A858A8">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546532">
        <w:rPr>
          <w:rFonts w:ascii="Times New Roman" w:hAnsi="Times New Roman" w:cs="Times New Roman"/>
          <w:sz w:val="24"/>
          <w:szCs w:val="24"/>
        </w:rPr>
        <w:t>March</w:t>
      </w:r>
      <w:r>
        <w:rPr>
          <w:rFonts w:ascii="Times New Roman" w:hAnsi="Times New Roman" w:cs="Times New Roman"/>
          <w:sz w:val="24"/>
          <w:szCs w:val="24"/>
        </w:rPr>
        <w:t xml:space="preserve"> </w:t>
      </w:r>
      <w:r w:rsidR="00A755F5" w:rsidRPr="00251B2C">
        <w:rPr>
          <w:rFonts w:ascii="Times New Roman" w:hAnsi="Times New Roman" w:cs="Times New Roman"/>
          <w:sz w:val="24"/>
          <w:szCs w:val="24"/>
        </w:rPr>
        <w:t>2017.</w:t>
      </w:r>
    </w:p>
    <w:p w14:paraId="754A3FE7" w14:textId="14E23818" w:rsidR="00A755F5" w:rsidRPr="00251B2C" w:rsidRDefault="00A858A8" w:rsidP="009B1361">
      <w:pPr>
        <w:spacing w:before="120" w:after="0" w:line="240" w:lineRule="auto"/>
        <w:rPr>
          <w:rFonts w:ascii="Times New Roman" w:hAnsi="Times New Roman" w:cs="Times New Roman"/>
          <w:sz w:val="24"/>
          <w:szCs w:val="24"/>
        </w:rPr>
      </w:pPr>
      <w:r>
        <w:rPr>
          <w:rFonts w:ascii="Times New Roman" w:hAnsi="Times New Roman" w:cs="Times New Roman"/>
          <w:sz w:val="24"/>
          <w:szCs w:val="24"/>
        </w:rPr>
        <w:t>Ahmed, F.; Ahmed, M.; Hamedan, M.; Kasi, A. S. and</w:t>
      </w:r>
      <w:r w:rsidR="00A755F5" w:rsidRPr="00251B2C">
        <w:rPr>
          <w:rFonts w:ascii="Times New Roman" w:hAnsi="Times New Roman" w:cs="Times New Roman"/>
          <w:sz w:val="24"/>
          <w:szCs w:val="24"/>
        </w:rPr>
        <w:t xml:space="preserve"> Khosi, A.A. (2016). </w:t>
      </w:r>
      <w:r>
        <w:rPr>
          <w:rFonts w:ascii="Times New Roman" w:hAnsi="Times New Roman" w:cs="Times New Roman"/>
          <w:sz w:val="24"/>
          <w:szCs w:val="24"/>
        </w:rPr>
        <w:t>“</w:t>
      </w:r>
      <w:r w:rsidR="00A755F5" w:rsidRPr="00251B2C">
        <w:rPr>
          <w:rFonts w:ascii="Times New Roman" w:hAnsi="Times New Roman" w:cs="Times New Roman"/>
          <w:sz w:val="24"/>
          <w:szCs w:val="24"/>
        </w:rPr>
        <w:t xml:space="preserve">A comparative study between </w:t>
      </w:r>
      <w:r w:rsidR="000F4C35">
        <w:rPr>
          <w:rFonts w:ascii="Times New Roman" w:hAnsi="Times New Roman" w:cs="Times New Roman"/>
          <w:sz w:val="24"/>
          <w:szCs w:val="24"/>
        </w:rPr>
        <w:t>Sukuk</w:t>
      </w:r>
      <w:r w:rsidR="00A755F5" w:rsidRPr="00251B2C">
        <w:rPr>
          <w:rFonts w:ascii="Times New Roman" w:hAnsi="Times New Roman" w:cs="Times New Roman"/>
          <w:sz w:val="24"/>
          <w:szCs w:val="24"/>
        </w:rPr>
        <w:t xml:space="preserve"> bonds and conventional b</w:t>
      </w:r>
      <w:r>
        <w:rPr>
          <w:rFonts w:ascii="Times New Roman" w:hAnsi="Times New Roman" w:cs="Times New Roman"/>
          <w:sz w:val="24"/>
          <w:szCs w:val="24"/>
        </w:rPr>
        <w:t>onds in Pakistan capital market”,”</w:t>
      </w:r>
      <w:r w:rsidR="00A755F5" w:rsidRPr="00251B2C">
        <w:rPr>
          <w:rFonts w:ascii="Times New Roman" w:hAnsi="Times New Roman" w:cs="Times New Roman"/>
          <w:sz w:val="24"/>
          <w:szCs w:val="24"/>
        </w:rPr>
        <w:t xml:space="preserve"> </w:t>
      </w:r>
      <w:r w:rsidR="00A755F5" w:rsidRPr="00251B2C">
        <w:rPr>
          <w:rFonts w:ascii="Times New Roman" w:hAnsi="Times New Roman" w:cs="Times New Roman"/>
          <w:i/>
          <w:sz w:val="24"/>
          <w:szCs w:val="24"/>
        </w:rPr>
        <w:t>International Journal of Multidisciplinary Research and Development</w:t>
      </w:r>
      <w:r w:rsidR="00546532">
        <w:rPr>
          <w:rFonts w:ascii="Times New Roman" w:hAnsi="Times New Roman" w:cs="Times New Roman"/>
          <w:sz w:val="24"/>
          <w:szCs w:val="24"/>
        </w:rPr>
        <w:t>,</w:t>
      </w:r>
      <w:r w:rsidR="00A755F5" w:rsidRPr="00251B2C">
        <w:rPr>
          <w:rFonts w:ascii="Times New Roman" w:hAnsi="Times New Roman" w:cs="Times New Roman"/>
          <w:sz w:val="24"/>
          <w:szCs w:val="24"/>
        </w:rPr>
        <w:t xml:space="preserve"> 3 (7), 6 -11.</w:t>
      </w:r>
    </w:p>
    <w:p w14:paraId="3C8279C7" w14:textId="699313EC" w:rsidR="00A755F5" w:rsidRPr="00251B2C" w:rsidRDefault="00A755F5" w:rsidP="009B1361">
      <w:pPr>
        <w:spacing w:before="120" w:after="0" w:line="240" w:lineRule="auto"/>
        <w:rPr>
          <w:rFonts w:ascii="Times New Roman" w:hAnsi="Times New Roman" w:cs="Times New Roman"/>
          <w:sz w:val="24"/>
          <w:szCs w:val="24"/>
        </w:rPr>
      </w:pPr>
      <w:r w:rsidRPr="00251B2C">
        <w:rPr>
          <w:rFonts w:ascii="Times New Roman" w:hAnsi="Times New Roman" w:cs="Times New Roman"/>
          <w:sz w:val="24"/>
          <w:szCs w:val="24"/>
        </w:rPr>
        <w:t xml:space="preserve">Ali, A. T. and Huayno, D. (2007). Risks of </w:t>
      </w:r>
      <w:r w:rsidR="000F4C35">
        <w:rPr>
          <w:rFonts w:ascii="Times New Roman" w:hAnsi="Times New Roman" w:cs="Times New Roman"/>
          <w:sz w:val="24"/>
          <w:szCs w:val="24"/>
        </w:rPr>
        <w:t>Sukuk</w:t>
      </w:r>
      <w:r w:rsidRPr="00251B2C">
        <w:rPr>
          <w:rFonts w:ascii="Times New Roman" w:hAnsi="Times New Roman" w:cs="Times New Roman"/>
          <w:sz w:val="24"/>
          <w:szCs w:val="24"/>
        </w:rPr>
        <w:t xml:space="preserve"> Structures: Implications for Resource Mobilization</w:t>
      </w:r>
      <w:r w:rsidR="00A858A8">
        <w:rPr>
          <w:rFonts w:ascii="Times New Roman" w:hAnsi="Times New Roman" w:cs="Times New Roman"/>
          <w:sz w:val="24"/>
          <w:szCs w:val="24"/>
        </w:rPr>
        <w:t>”,</w:t>
      </w:r>
      <w:r w:rsidRPr="00251B2C">
        <w:rPr>
          <w:rFonts w:ascii="Times New Roman" w:hAnsi="Times New Roman" w:cs="Times New Roman"/>
          <w:sz w:val="24"/>
          <w:szCs w:val="24"/>
        </w:rPr>
        <w:t xml:space="preserve"> </w:t>
      </w:r>
      <w:r w:rsidRPr="00251B2C">
        <w:rPr>
          <w:rFonts w:ascii="Times New Roman" w:hAnsi="Times New Roman" w:cs="Times New Roman"/>
          <w:i/>
          <w:sz w:val="24"/>
          <w:szCs w:val="24"/>
        </w:rPr>
        <w:t>Thunderbird International Business Review</w:t>
      </w:r>
      <w:r w:rsidR="00546532">
        <w:rPr>
          <w:rFonts w:ascii="Times New Roman" w:hAnsi="Times New Roman" w:cs="Times New Roman"/>
          <w:sz w:val="24"/>
          <w:szCs w:val="24"/>
        </w:rPr>
        <w:t xml:space="preserve">, </w:t>
      </w:r>
      <w:r w:rsidR="00A858A8">
        <w:rPr>
          <w:rFonts w:ascii="Times New Roman" w:hAnsi="Times New Roman" w:cs="Times New Roman"/>
          <w:sz w:val="24"/>
          <w:szCs w:val="24"/>
        </w:rPr>
        <w:t>49 (2),</w:t>
      </w:r>
      <w:r w:rsidRPr="00251B2C">
        <w:rPr>
          <w:rFonts w:ascii="Times New Roman" w:hAnsi="Times New Roman" w:cs="Times New Roman"/>
          <w:sz w:val="24"/>
          <w:szCs w:val="24"/>
        </w:rPr>
        <w:t xml:space="preserve"> 203–223. </w:t>
      </w:r>
    </w:p>
    <w:p w14:paraId="7486A0AE" w14:textId="7B781676" w:rsidR="00A755F5" w:rsidRPr="00251B2C" w:rsidRDefault="00A755F5" w:rsidP="009B1361">
      <w:pPr>
        <w:spacing w:before="120" w:after="0" w:line="240" w:lineRule="auto"/>
        <w:rPr>
          <w:rFonts w:ascii="Times New Roman" w:hAnsi="Times New Roman" w:cs="Times New Roman"/>
          <w:color w:val="000000"/>
          <w:sz w:val="24"/>
          <w:szCs w:val="24"/>
        </w:rPr>
      </w:pPr>
      <w:r w:rsidRPr="00251B2C">
        <w:rPr>
          <w:rFonts w:ascii="Times New Roman" w:hAnsi="Times New Roman" w:cs="Times New Roman"/>
          <w:color w:val="000000"/>
          <w:sz w:val="24"/>
          <w:szCs w:val="24"/>
        </w:rPr>
        <w:t xml:space="preserve">Al-Sayed, O. (2013). </w:t>
      </w:r>
      <w:r w:rsidR="00A858A8">
        <w:rPr>
          <w:rFonts w:ascii="Times New Roman" w:hAnsi="Times New Roman" w:cs="Times New Roman"/>
          <w:color w:val="000000"/>
          <w:sz w:val="24"/>
          <w:szCs w:val="24"/>
        </w:rPr>
        <w:t>“</w:t>
      </w:r>
      <w:r w:rsidR="000F4C35">
        <w:rPr>
          <w:rFonts w:ascii="Times New Roman" w:hAnsi="Times New Roman" w:cs="Times New Roman"/>
          <w:color w:val="000000"/>
          <w:sz w:val="24"/>
          <w:szCs w:val="24"/>
        </w:rPr>
        <w:t>Sukuk</w:t>
      </w:r>
      <w:r w:rsidRPr="00251B2C">
        <w:rPr>
          <w:rFonts w:ascii="Times New Roman" w:hAnsi="Times New Roman" w:cs="Times New Roman"/>
          <w:color w:val="000000"/>
          <w:sz w:val="24"/>
          <w:szCs w:val="24"/>
        </w:rPr>
        <w:t xml:space="preserve"> Risk: Analysis and Management</w:t>
      </w:r>
      <w:r w:rsidR="00A858A8">
        <w:rPr>
          <w:rFonts w:ascii="Times New Roman" w:hAnsi="Times New Roman" w:cs="Times New Roman"/>
          <w:color w:val="000000"/>
          <w:sz w:val="24"/>
          <w:szCs w:val="24"/>
        </w:rPr>
        <w:t>”,</w:t>
      </w:r>
      <w:r w:rsidRPr="00251B2C">
        <w:rPr>
          <w:rStyle w:val="apple-converted-space"/>
          <w:rFonts w:ascii="Times New Roman" w:hAnsi="Times New Roman" w:cs="Times New Roman"/>
          <w:color w:val="000000"/>
          <w:sz w:val="24"/>
          <w:szCs w:val="24"/>
        </w:rPr>
        <w:t> </w:t>
      </w:r>
      <w:r w:rsidRPr="00251B2C">
        <w:rPr>
          <w:rFonts w:ascii="Times New Roman" w:hAnsi="Times New Roman" w:cs="Times New Roman"/>
          <w:i/>
          <w:iCs/>
          <w:color w:val="000000"/>
          <w:sz w:val="24"/>
          <w:szCs w:val="24"/>
        </w:rPr>
        <w:t>European Journal of Applied Social Sciences Research (EJASSR)</w:t>
      </w:r>
      <w:r w:rsidR="00A858A8">
        <w:rPr>
          <w:rFonts w:ascii="Times New Roman" w:hAnsi="Times New Roman" w:cs="Times New Roman"/>
          <w:color w:val="000000"/>
          <w:sz w:val="24"/>
          <w:szCs w:val="24"/>
        </w:rPr>
        <w:t>,</w:t>
      </w:r>
      <w:r w:rsidRPr="00251B2C">
        <w:rPr>
          <w:rFonts w:ascii="Times New Roman" w:hAnsi="Times New Roman" w:cs="Times New Roman"/>
          <w:color w:val="000000"/>
          <w:sz w:val="24"/>
          <w:szCs w:val="24"/>
        </w:rPr>
        <w:t xml:space="preserve"> 1 (3), 67-76.</w:t>
      </w:r>
    </w:p>
    <w:p w14:paraId="6BCF27CC" w14:textId="1694A26A" w:rsidR="00A755F5" w:rsidRPr="00251B2C" w:rsidRDefault="00A858A8" w:rsidP="009B1361">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Boutte, R. and </w:t>
      </w:r>
      <w:r w:rsidR="00A755F5" w:rsidRPr="00251B2C">
        <w:rPr>
          <w:rFonts w:ascii="Times New Roman" w:hAnsi="Times New Roman" w:cs="Times New Roman"/>
          <w:sz w:val="24"/>
          <w:szCs w:val="24"/>
        </w:rPr>
        <w:t xml:space="preserve">El Mosaic, F. (2014). </w:t>
      </w:r>
      <w:r>
        <w:rPr>
          <w:rFonts w:ascii="Times New Roman" w:hAnsi="Times New Roman" w:cs="Times New Roman"/>
          <w:sz w:val="24"/>
          <w:szCs w:val="24"/>
        </w:rPr>
        <w:t>“</w:t>
      </w:r>
      <w:r w:rsidR="000F4C35">
        <w:rPr>
          <w:rFonts w:ascii="Times New Roman" w:hAnsi="Times New Roman" w:cs="Times New Roman"/>
          <w:sz w:val="24"/>
          <w:szCs w:val="24"/>
        </w:rPr>
        <w:t>Sukuk</w:t>
      </w:r>
      <w:r w:rsidR="00A755F5" w:rsidRPr="00251B2C">
        <w:rPr>
          <w:rFonts w:ascii="Times New Roman" w:hAnsi="Times New Roman" w:cs="Times New Roman"/>
          <w:sz w:val="24"/>
          <w:szCs w:val="24"/>
        </w:rPr>
        <w:t xml:space="preserve"> and Bond Performance in Malaysia</w:t>
      </w:r>
      <w:r>
        <w:rPr>
          <w:rFonts w:ascii="Times New Roman" w:hAnsi="Times New Roman" w:cs="Times New Roman"/>
          <w:sz w:val="24"/>
          <w:szCs w:val="24"/>
        </w:rPr>
        <w:t>”,</w:t>
      </w:r>
      <w:r w:rsidR="00A755F5" w:rsidRPr="00251B2C">
        <w:rPr>
          <w:rFonts w:ascii="Times New Roman" w:hAnsi="Times New Roman" w:cs="Times New Roman"/>
          <w:sz w:val="24"/>
          <w:szCs w:val="24"/>
        </w:rPr>
        <w:t xml:space="preserve"> </w:t>
      </w:r>
      <w:r w:rsidR="00A755F5" w:rsidRPr="00251B2C">
        <w:rPr>
          <w:rFonts w:ascii="Times New Roman" w:hAnsi="Times New Roman" w:cs="Times New Roman"/>
          <w:i/>
          <w:sz w:val="24"/>
          <w:szCs w:val="24"/>
        </w:rPr>
        <w:t>International Journal of Economics and Finance</w:t>
      </w:r>
      <w:r w:rsidR="00A755F5" w:rsidRPr="00251B2C">
        <w:rPr>
          <w:rFonts w:ascii="Times New Roman" w:hAnsi="Times New Roman" w:cs="Times New Roman"/>
          <w:sz w:val="24"/>
          <w:szCs w:val="24"/>
        </w:rPr>
        <w:t xml:space="preserve">. 6 (2). </w:t>
      </w:r>
    </w:p>
    <w:p w14:paraId="0536AF3B" w14:textId="77777777" w:rsidR="00A755F5" w:rsidRPr="00251B2C" w:rsidRDefault="00A755F5" w:rsidP="009B1361">
      <w:pPr>
        <w:spacing w:before="120" w:after="0" w:line="240" w:lineRule="auto"/>
        <w:rPr>
          <w:rFonts w:ascii="Times New Roman" w:hAnsi="Times New Roman" w:cs="Times New Roman"/>
          <w:sz w:val="24"/>
          <w:szCs w:val="24"/>
        </w:rPr>
      </w:pPr>
      <w:r w:rsidRPr="00251B2C">
        <w:rPr>
          <w:rFonts w:ascii="Times New Roman" w:hAnsi="Times New Roman" w:cs="Times New Roman"/>
          <w:sz w:val="24"/>
          <w:szCs w:val="24"/>
        </w:rPr>
        <w:t xml:space="preserve">Bryman, A. (2001). </w:t>
      </w:r>
      <w:r w:rsidRPr="00251B2C">
        <w:rPr>
          <w:rFonts w:ascii="Times New Roman" w:hAnsi="Times New Roman" w:cs="Times New Roman"/>
          <w:i/>
          <w:sz w:val="24"/>
          <w:szCs w:val="24"/>
        </w:rPr>
        <w:t>Social Research Methods</w:t>
      </w:r>
      <w:r w:rsidRPr="00251B2C">
        <w:rPr>
          <w:rFonts w:ascii="Times New Roman" w:hAnsi="Times New Roman" w:cs="Times New Roman"/>
          <w:sz w:val="24"/>
          <w:szCs w:val="24"/>
        </w:rPr>
        <w:t>. 1</w:t>
      </w:r>
      <w:r w:rsidRPr="00251B2C">
        <w:rPr>
          <w:rFonts w:ascii="Times New Roman" w:hAnsi="Times New Roman" w:cs="Times New Roman"/>
          <w:sz w:val="24"/>
          <w:szCs w:val="24"/>
          <w:vertAlign w:val="superscript"/>
        </w:rPr>
        <w:t>st</w:t>
      </w:r>
      <w:r w:rsidRPr="00251B2C">
        <w:rPr>
          <w:rFonts w:ascii="Times New Roman" w:hAnsi="Times New Roman" w:cs="Times New Roman"/>
          <w:sz w:val="24"/>
          <w:szCs w:val="24"/>
        </w:rPr>
        <w:t xml:space="preserve"> ed. Oxford: Oxford University Press. </w:t>
      </w:r>
    </w:p>
    <w:p w14:paraId="1DED1020" w14:textId="77777777" w:rsidR="00A755F5" w:rsidRPr="00251B2C" w:rsidRDefault="00A755F5" w:rsidP="009B1361">
      <w:pPr>
        <w:pStyle w:val="NormalWeb"/>
        <w:spacing w:before="120" w:beforeAutospacing="0" w:after="0" w:afterAutospacing="0"/>
        <w:rPr>
          <w:color w:val="000000"/>
        </w:rPr>
      </w:pPr>
      <w:r w:rsidRPr="00251B2C">
        <w:rPr>
          <w:color w:val="000000"/>
        </w:rPr>
        <w:t>Bryman, A. (2008).</w:t>
      </w:r>
      <w:r w:rsidRPr="00251B2C">
        <w:rPr>
          <w:rStyle w:val="apple-converted-space"/>
          <w:color w:val="000000"/>
        </w:rPr>
        <w:t> </w:t>
      </w:r>
      <w:r w:rsidRPr="00251B2C">
        <w:rPr>
          <w:i/>
          <w:iCs/>
          <w:color w:val="000000"/>
        </w:rPr>
        <w:t>Social Science Research Methods</w:t>
      </w:r>
      <w:r w:rsidRPr="00251B2C">
        <w:rPr>
          <w:color w:val="000000"/>
        </w:rPr>
        <w:t>. 3rd ed. Oxford: Oxford University Press.</w:t>
      </w:r>
    </w:p>
    <w:p w14:paraId="2A905D1D" w14:textId="293D596D" w:rsidR="00A755F5" w:rsidRPr="00251B2C" w:rsidRDefault="00A755F5" w:rsidP="009B1361">
      <w:pPr>
        <w:spacing w:before="120" w:after="0" w:line="240" w:lineRule="auto"/>
        <w:rPr>
          <w:rFonts w:ascii="Times New Roman" w:hAnsi="Times New Roman" w:cs="Times New Roman"/>
          <w:sz w:val="24"/>
          <w:szCs w:val="24"/>
        </w:rPr>
      </w:pPr>
      <w:r w:rsidRPr="00251B2C">
        <w:rPr>
          <w:rFonts w:ascii="Times New Roman" w:hAnsi="Times New Roman" w:cs="Times New Roman"/>
          <w:sz w:val="24"/>
          <w:szCs w:val="24"/>
        </w:rPr>
        <w:t xml:space="preserve">Bryman, A. (2012). </w:t>
      </w:r>
      <w:r w:rsidRPr="00251B2C">
        <w:rPr>
          <w:rFonts w:ascii="Times New Roman" w:hAnsi="Times New Roman" w:cs="Times New Roman"/>
          <w:i/>
          <w:sz w:val="24"/>
          <w:szCs w:val="24"/>
        </w:rPr>
        <w:t>Social Science Research Methods</w:t>
      </w:r>
      <w:r w:rsidRPr="00251B2C">
        <w:rPr>
          <w:rFonts w:ascii="Times New Roman" w:hAnsi="Times New Roman" w:cs="Times New Roman"/>
          <w:sz w:val="24"/>
          <w:szCs w:val="24"/>
        </w:rPr>
        <w:t>. 4</w:t>
      </w:r>
      <w:r w:rsidRPr="00251B2C">
        <w:rPr>
          <w:rFonts w:ascii="Times New Roman" w:hAnsi="Times New Roman" w:cs="Times New Roman"/>
          <w:sz w:val="24"/>
          <w:szCs w:val="24"/>
          <w:vertAlign w:val="superscript"/>
        </w:rPr>
        <w:t>th</w:t>
      </w:r>
      <w:r w:rsidRPr="00251B2C">
        <w:rPr>
          <w:rFonts w:ascii="Times New Roman" w:hAnsi="Times New Roman" w:cs="Times New Roman"/>
          <w:sz w:val="24"/>
          <w:szCs w:val="24"/>
        </w:rPr>
        <w:t xml:space="preserve"> ed. Oxford: Oxford University Press.</w:t>
      </w:r>
    </w:p>
    <w:p w14:paraId="7F50F1EE" w14:textId="77777777" w:rsidR="00A755F5" w:rsidRPr="00251B2C" w:rsidRDefault="00A755F5" w:rsidP="009B1361">
      <w:pPr>
        <w:spacing w:before="120" w:after="0" w:line="240" w:lineRule="auto"/>
        <w:rPr>
          <w:rFonts w:ascii="Times New Roman" w:hAnsi="Times New Roman" w:cs="Times New Roman"/>
          <w:sz w:val="24"/>
          <w:szCs w:val="24"/>
        </w:rPr>
      </w:pPr>
      <w:proofErr w:type="spellStart"/>
      <w:r w:rsidRPr="00251B2C">
        <w:rPr>
          <w:rFonts w:ascii="Times New Roman" w:eastAsia="+mn-ea" w:hAnsi="Times New Roman" w:cs="Times New Roman"/>
          <w:color w:val="000000"/>
          <w:kern w:val="24"/>
          <w:sz w:val="24"/>
          <w:szCs w:val="24"/>
          <w:lang w:val="nb-NO"/>
        </w:rPr>
        <w:t>Creswell</w:t>
      </w:r>
      <w:proofErr w:type="spellEnd"/>
      <w:r w:rsidRPr="00251B2C">
        <w:rPr>
          <w:rFonts w:ascii="Times New Roman" w:eastAsia="+mn-ea" w:hAnsi="Times New Roman" w:cs="Times New Roman"/>
          <w:color w:val="000000"/>
          <w:kern w:val="24"/>
          <w:sz w:val="24"/>
          <w:szCs w:val="24"/>
          <w:lang w:val="nb-NO"/>
        </w:rPr>
        <w:t>, J. W. (2003</w:t>
      </w:r>
      <w:r w:rsidRPr="00251B2C">
        <w:rPr>
          <w:rFonts w:ascii="Times New Roman" w:eastAsia="+mn-ea" w:hAnsi="Times New Roman" w:cs="Times New Roman"/>
          <w:i/>
          <w:color w:val="000000"/>
          <w:kern w:val="24"/>
          <w:sz w:val="24"/>
          <w:szCs w:val="24"/>
          <w:lang w:val="nb-NO"/>
        </w:rPr>
        <w:t xml:space="preserve">). Research Design. </w:t>
      </w:r>
      <w:proofErr w:type="spellStart"/>
      <w:r w:rsidRPr="00251B2C">
        <w:rPr>
          <w:rFonts w:ascii="Times New Roman" w:eastAsia="+mn-ea" w:hAnsi="Times New Roman" w:cs="Times New Roman"/>
          <w:i/>
          <w:color w:val="000000"/>
          <w:kern w:val="24"/>
          <w:sz w:val="24"/>
          <w:szCs w:val="24"/>
          <w:lang w:val="nb-NO"/>
        </w:rPr>
        <w:t>Qualitative</w:t>
      </w:r>
      <w:proofErr w:type="spellEnd"/>
      <w:r w:rsidRPr="00251B2C">
        <w:rPr>
          <w:rFonts w:ascii="Times New Roman" w:eastAsia="+mn-ea" w:hAnsi="Times New Roman" w:cs="Times New Roman"/>
          <w:i/>
          <w:color w:val="000000"/>
          <w:kern w:val="24"/>
          <w:sz w:val="24"/>
          <w:szCs w:val="24"/>
          <w:lang w:val="nb-NO"/>
        </w:rPr>
        <w:t xml:space="preserve">, </w:t>
      </w:r>
      <w:proofErr w:type="spellStart"/>
      <w:r w:rsidRPr="00251B2C">
        <w:rPr>
          <w:rFonts w:ascii="Times New Roman" w:eastAsia="+mn-ea" w:hAnsi="Times New Roman" w:cs="Times New Roman"/>
          <w:i/>
          <w:color w:val="000000"/>
          <w:kern w:val="24"/>
          <w:sz w:val="24"/>
          <w:szCs w:val="24"/>
          <w:lang w:val="nb-NO"/>
        </w:rPr>
        <w:t>Quantitative</w:t>
      </w:r>
      <w:proofErr w:type="spellEnd"/>
      <w:r w:rsidRPr="00251B2C">
        <w:rPr>
          <w:rFonts w:ascii="Times New Roman" w:eastAsia="+mn-ea" w:hAnsi="Times New Roman" w:cs="Times New Roman"/>
          <w:i/>
          <w:color w:val="000000"/>
          <w:kern w:val="24"/>
          <w:sz w:val="24"/>
          <w:szCs w:val="24"/>
          <w:lang w:val="nb-NO"/>
        </w:rPr>
        <w:t xml:space="preserve"> and Mixed Methods </w:t>
      </w:r>
      <w:proofErr w:type="spellStart"/>
      <w:r w:rsidRPr="00251B2C">
        <w:rPr>
          <w:rFonts w:ascii="Times New Roman" w:eastAsia="+mn-ea" w:hAnsi="Times New Roman" w:cs="Times New Roman"/>
          <w:i/>
          <w:color w:val="000000"/>
          <w:kern w:val="24"/>
          <w:sz w:val="24"/>
          <w:szCs w:val="24"/>
          <w:lang w:val="nb-NO"/>
        </w:rPr>
        <w:t>Approaches</w:t>
      </w:r>
      <w:proofErr w:type="spellEnd"/>
      <w:r w:rsidRPr="00251B2C">
        <w:rPr>
          <w:rFonts w:ascii="Times New Roman" w:eastAsia="+mn-ea" w:hAnsi="Times New Roman" w:cs="Times New Roman"/>
          <w:color w:val="000000"/>
          <w:kern w:val="24"/>
          <w:sz w:val="24"/>
          <w:szCs w:val="24"/>
          <w:lang w:val="nb-NO"/>
        </w:rPr>
        <w:t>. 2nd ed. London: Sage Publications.</w:t>
      </w:r>
    </w:p>
    <w:p w14:paraId="5F5E33D7" w14:textId="77777777" w:rsidR="00A755F5" w:rsidRPr="00251B2C" w:rsidRDefault="00A755F5" w:rsidP="009B1361">
      <w:pPr>
        <w:spacing w:before="120" w:after="0" w:line="240" w:lineRule="auto"/>
        <w:rPr>
          <w:rFonts w:ascii="Times New Roman" w:hAnsi="Times New Roman" w:cs="Times New Roman"/>
          <w:sz w:val="24"/>
          <w:szCs w:val="24"/>
        </w:rPr>
      </w:pPr>
      <w:proofErr w:type="spellStart"/>
      <w:r w:rsidRPr="00251B2C">
        <w:rPr>
          <w:rFonts w:ascii="Times New Roman" w:eastAsia="+mn-ea" w:hAnsi="Times New Roman" w:cs="Times New Roman"/>
          <w:color w:val="000000"/>
          <w:kern w:val="24"/>
          <w:sz w:val="24"/>
          <w:szCs w:val="24"/>
          <w:lang w:val="nb-NO"/>
        </w:rPr>
        <w:t>Creswell</w:t>
      </w:r>
      <w:proofErr w:type="spellEnd"/>
      <w:r w:rsidRPr="00251B2C">
        <w:rPr>
          <w:rFonts w:ascii="Times New Roman" w:eastAsia="+mn-ea" w:hAnsi="Times New Roman" w:cs="Times New Roman"/>
          <w:color w:val="000000"/>
          <w:kern w:val="24"/>
          <w:sz w:val="24"/>
          <w:szCs w:val="24"/>
          <w:lang w:val="nb-NO"/>
        </w:rPr>
        <w:t>, J. W. (2014</w:t>
      </w:r>
      <w:r w:rsidRPr="00251B2C">
        <w:rPr>
          <w:rFonts w:ascii="Times New Roman" w:eastAsia="+mn-ea" w:hAnsi="Times New Roman" w:cs="Times New Roman"/>
          <w:i/>
          <w:color w:val="000000"/>
          <w:kern w:val="24"/>
          <w:sz w:val="24"/>
          <w:szCs w:val="24"/>
          <w:lang w:val="nb-NO"/>
        </w:rPr>
        <w:t xml:space="preserve">). Research Design. </w:t>
      </w:r>
      <w:proofErr w:type="spellStart"/>
      <w:r w:rsidRPr="00251B2C">
        <w:rPr>
          <w:rFonts w:ascii="Times New Roman" w:eastAsia="+mn-ea" w:hAnsi="Times New Roman" w:cs="Times New Roman"/>
          <w:i/>
          <w:color w:val="000000"/>
          <w:kern w:val="24"/>
          <w:sz w:val="24"/>
          <w:szCs w:val="24"/>
          <w:lang w:val="nb-NO"/>
        </w:rPr>
        <w:t>Qualitative</w:t>
      </w:r>
      <w:proofErr w:type="spellEnd"/>
      <w:r w:rsidRPr="00251B2C">
        <w:rPr>
          <w:rFonts w:ascii="Times New Roman" w:eastAsia="+mn-ea" w:hAnsi="Times New Roman" w:cs="Times New Roman"/>
          <w:i/>
          <w:color w:val="000000"/>
          <w:kern w:val="24"/>
          <w:sz w:val="24"/>
          <w:szCs w:val="24"/>
          <w:lang w:val="nb-NO"/>
        </w:rPr>
        <w:t xml:space="preserve">, </w:t>
      </w:r>
      <w:proofErr w:type="spellStart"/>
      <w:r w:rsidRPr="00251B2C">
        <w:rPr>
          <w:rFonts w:ascii="Times New Roman" w:eastAsia="+mn-ea" w:hAnsi="Times New Roman" w:cs="Times New Roman"/>
          <w:i/>
          <w:color w:val="000000"/>
          <w:kern w:val="24"/>
          <w:sz w:val="24"/>
          <w:szCs w:val="24"/>
          <w:lang w:val="nb-NO"/>
        </w:rPr>
        <w:t>Quantitative</w:t>
      </w:r>
      <w:proofErr w:type="spellEnd"/>
      <w:r w:rsidRPr="00251B2C">
        <w:rPr>
          <w:rFonts w:ascii="Times New Roman" w:eastAsia="+mn-ea" w:hAnsi="Times New Roman" w:cs="Times New Roman"/>
          <w:i/>
          <w:color w:val="000000"/>
          <w:kern w:val="24"/>
          <w:sz w:val="24"/>
          <w:szCs w:val="24"/>
          <w:lang w:val="nb-NO"/>
        </w:rPr>
        <w:t xml:space="preserve"> and Mixed Methods </w:t>
      </w:r>
      <w:proofErr w:type="spellStart"/>
      <w:r w:rsidRPr="00251B2C">
        <w:rPr>
          <w:rFonts w:ascii="Times New Roman" w:eastAsia="+mn-ea" w:hAnsi="Times New Roman" w:cs="Times New Roman"/>
          <w:i/>
          <w:color w:val="000000"/>
          <w:kern w:val="24"/>
          <w:sz w:val="24"/>
          <w:szCs w:val="24"/>
          <w:lang w:val="nb-NO"/>
        </w:rPr>
        <w:t>Approaches</w:t>
      </w:r>
      <w:proofErr w:type="spellEnd"/>
      <w:r w:rsidRPr="00251B2C">
        <w:rPr>
          <w:rFonts w:ascii="Times New Roman" w:eastAsia="+mn-ea" w:hAnsi="Times New Roman" w:cs="Times New Roman"/>
          <w:color w:val="000000"/>
          <w:kern w:val="24"/>
          <w:sz w:val="24"/>
          <w:szCs w:val="24"/>
          <w:lang w:val="nb-NO"/>
        </w:rPr>
        <w:t>. 4</w:t>
      </w:r>
      <w:r w:rsidRPr="00251B2C">
        <w:rPr>
          <w:rFonts w:ascii="Times New Roman" w:eastAsia="+mn-ea" w:hAnsi="Times New Roman" w:cs="Times New Roman"/>
          <w:color w:val="000000"/>
          <w:kern w:val="24"/>
          <w:sz w:val="24"/>
          <w:szCs w:val="24"/>
          <w:vertAlign w:val="superscript"/>
          <w:lang w:val="nb-NO"/>
        </w:rPr>
        <w:t xml:space="preserve">th </w:t>
      </w:r>
      <w:r w:rsidRPr="00251B2C">
        <w:rPr>
          <w:rFonts w:ascii="Times New Roman" w:eastAsia="+mn-ea" w:hAnsi="Times New Roman" w:cs="Times New Roman"/>
          <w:color w:val="000000"/>
          <w:kern w:val="24"/>
          <w:sz w:val="24"/>
          <w:szCs w:val="24"/>
          <w:lang w:val="nb-NO"/>
        </w:rPr>
        <w:t>ed. London: Sage Publications.</w:t>
      </w:r>
    </w:p>
    <w:p w14:paraId="3BF7AD07" w14:textId="77777777" w:rsidR="00A755F5" w:rsidRPr="00251B2C" w:rsidRDefault="00A755F5" w:rsidP="009B1361">
      <w:pPr>
        <w:spacing w:before="120" w:after="0" w:line="240" w:lineRule="auto"/>
        <w:rPr>
          <w:rFonts w:ascii="Times New Roman" w:hAnsi="Times New Roman" w:cs="Times New Roman"/>
          <w:sz w:val="24"/>
          <w:szCs w:val="24"/>
        </w:rPr>
      </w:pPr>
      <w:r w:rsidRPr="00251B2C">
        <w:rPr>
          <w:rFonts w:ascii="Times New Roman" w:hAnsi="Times New Roman" w:cs="Times New Roman"/>
          <w:sz w:val="24"/>
          <w:szCs w:val="24"/>
        </w:rPr>
        <w:lastRenderedPageBreak/>
        <w:t>Dowd, K. (2005). Measuring Market Risk. 2</w:t>
      </w:r>
      <w:r w:rsidRPr="00251B2C">
        <w:rPr>
          <w:rFonts w:ascii="Times New Roman" w:hAnsi="Times New Roman" w:cs="Times New Roman"/>
          <w:sz w:val="24"/>
          <w:szCs w:val="24"/>
          <w:vertAlign w:val="superscript"/>
        </w:rPr>
        <w:t>nd</w:t>
      </w:r>
      <w:r w:rsidRPr="00251B2C">
        <w:rPr>
          <w:rFonts w:ascii="Times New Roman" w:hAnsi="Times New Roman" w:cs="Times New Roman"/>
          <w:sz w:val="24"/>
          <w:szCs w:val="24"/>
        </w:rPr>
        <w:t xml:space="preserve"> ed. West Sussex: Wiley and Sons, Ltd. </w:t>
      </w:r>
    </w:p>
    <w:p w14:paraId="27B5AAEE" w14:textId="77777777" w:rsidR="00A755F5" w:rsidRPr="00251B2C" w:rsidRDefault="00A755F5" w:rsidP="009B1361">
      <w:pPr>
        <w:spacing w:before="120" w:after="0" w:line="240" w:lineRule="auto"/>
        <w:rPr>
          <w:rFonts w:ascii="Times New Roman" w:hAnsi="Times New Roman" w:cs="Times New Roman"/>
          <w:sz w:val="24"/>
          <w:szCs w:val="24"/>
        </w:rPr>
      </w:pPr>
      <w:proofErr w:type="spellStart"/>
      <w:r w:rsidRPr="00251B2C">
        <w:rPr>
          <w:rFonts w:ascii="Times New Roman" w:hAnsi="Times New Roman" w:cs="Times New Roman"/>
          <w:sz w:val="24"/>
          <w:szCs w:val="24"/>
        </w:rPr>
        <w:t>Dusuki</w:t>
      </w:r>
      <w:proofErr w:type="spellEnd"/>
      <w:r w:rsidRPr="00251B2C">
        <w:rPr>
          <w:rFonts w:ascii="Times New Roman" w:hAnsi="Times New Roman" w:cs="Times New Roman"/>
          <w:sz w:val="24"/>
          <w:szCs w:val="24"/>
        </w:rPr>
        <w:t>, W.A. (2013).</w:t>
      </w:r>
      <w:r w:rsidRPr="00251B2C">
        <w:rPr>
          <w:rStyle w:val="apple-converted-space"/>
          <w:rFonts w:ascii="Times New Roman" w:hAnsi="Times New Roman" w:cs="Times New Roman"/>
          <w:sz w:val="24"/>
          <w:szCs w:val="24"/>
        </w:rPr>
        <w:t> </w:t>
      </w:r>
      <w:r w:rsidRPr="00251B2C">
        <w:rPr>
          <w:rFonts w:ascii="Times New Roman" w:hAnsi="Times New Roman" w:cs="Times New Roman"/>
          <w:i/>
          <w:iCs/>
          <w:sz w:val="24"/>
          <w:szCs w:val="24"/>
        </w:rPr>
        <w:t xml:space="preserve">Islamic Financial System: Principles &amp; Operations, </w:t>
      </w:r>
      <w:r w:rsidRPr="00251B2C">
        <w:rPr>
          <w:rFonts w:ascii="Times New Roman" w:hAnsi="Times New Roman" w:cs="Times New Roman"/>
          <w:sz w:val="24"/>
          <w:szCs w:val="24"/>
        </w:rPr>
        <w:t>Kuala Lumpur, Malaysia: 2</w:t>
      </w:r>
      <w:r w:rsidRPr="00251B2C">
        <w:rPr>
          <w:rFonts w:ascii="Times New Roman" w:hAnsi="Times New Roman" w:cs="Times New Roman"/>
          <w:sz w:val="24"/>
          <w:szCs w:val="24"/>
          <w:vertAlign w:val="superscript"/>
        </w:rPr>
        <w:t>nd</w:t>
      </w:r>
      <w:r w:rsidRPr="00251B2C">
        <w:rPr>
          <w:rFonts w:ascii="Times New Roman" w:hAnsi="Times New Roman" w:cs="Times New Roman"/>
          <w:sz w:val="24"/>
          <w:szCs w:val="24"/>
        </w:rPr>
        <w:t xml:space="preserve"> print, ISRA.</w:t>
      </w:r>
    </w:p>
    <w:p w14:paraId="7F6B2793" w14:textId="0007908C" w:rsidR="00A755F5" w:rsidRPr="00251B2C" w:rsidRDefault="00A858A8" w:rsidP="009B1361">
      <w:pPr>
        <w:spacing w:before="120" w:after="0" w:line="240" w:lineRule="auto"/>
        <w:rPr>
          <w:rFonts w:ascii="Times New Roman" w:hAnsi="Times New Roman" w:cs="Times New Roman"/>
          <w:sz w:val="24"/>
          <w:szCs w:val="24"/>
        </w:rPr>
      </w:pPr>
      <w:r>
        <w:rPr>
          <w:rFonts w:ascii="Times New Roman" w:hAnsi="Times New Roman" w:cs="Times New Roman"/>
          <w:sz w:val="24"/>
          <w:szCs w:val="24"/>
        </w:rPr>
        <w:t>Essayed, E.; Lee, E. and</w:t>
      </w:r>
      <w:r w:rsidR="00A755F5" w:rsidRPr="00251B2C">
        <w:rPr>
          <w:rFonts w:ascii="Times New Roman" w:hAnsi="Times New Roman" w:cs="Times New Roman"/>
          <w:sz w:val="24"/>
          <w:szCs w:val="24"/>
        </w:rPr>
        <w:t xml:space="preserve"> Tariq Ullah, K. (2014). </w:t>
      </w:r>
      <w:r>
        <w:rPr>
          <w:rFonts w:ascii="Times New Roman" w:hAnsi="Times New Roman" w:cs="Times New Roman"/>
          <w:sz w:val="24"/>
          <w:szCs w:val="24"/>
        </w:rPr>
        <w:t>“</w:t>
      </w:r>
      <w:r w:rsidR="00A755F5" w:rsidRPr="00251B2C">
        <w:rPr>
          <w:rFonts w:ascii="Times New Roman" w:hAnsi="Times New Roman" w:cs="Times New Roman"/>
          <w:sz w:val="24"/>
          <w:szCs w:val="24"/>
        </w:rPr>
        <w:t xml:space="preserve">Legal and Regulatory Issues in Issuing </w:t>
      </w:r>
      <w:r w:rsidR="000F4C35">
        <w:rPr>
          <w:rFonts w:ascii="Times New Roman" w:hAnsi="Times New Roman" w:cs="Times New Roman"/>
          <w:sz w:val="24"/>
          <w:szCs w:val="24"/>
        </w:rPr>
        <w:t>Sukuk</w:t>
      </w:r>
      <w:r w:rsidR="00A755F5" w:rsidRPr="00251B2C">
        <w:rPr>
          <w:rFonts w:ascii="Times New Roman" w:hAnsi="Times New Roman" w:cs="Times New Roman"/>
          <w:sz w:val="24"/>
          <w:szCs w:val="24"/>
        </w:rPr>
        <w:t xml:space="preserve"> in South Korea Lessons from Developed Countries’ Experience</w:t>
      </w:r>
      <w:r>
        <w:rPr>
          <w:rFonts w:ascii="Times New Roman" w:hAnsi="Times New Roman" w:cs="Times New Roman"/>
          <w:sz w:val="24"/>
          <w:szCs w:val="24"/>
        </w:rPr>
        <w:t>”,</w:t>
      </w:r>
      <w:r w:rsidR="00A755F5" w:rsidRPr="00251B2C">
        <w:rPr>
          <w:rStyle w:val="apple-converted-space"/>
          <w:rFonts w:ascii="Times New Roman" w:hAnsi="Times New Roman" w:cs="Times New Roman"/>
          <w:color w:val="000000"/>
          <w:sz w:val="24"/>
          <w:szCs w:val="24"/>
        </w:rPr>
        <w:t> </w:t>
      </w:r>
      <w:r w:rsidR="00A755F5" w:rsidRPr="00A858A8">
        <w:rPr>
          <w:rFonts w:ascii="Times New Roman" w:hAnsi="Times New Roman" w:cs="Times New Roman"/>
          <w:i/>
          <w:iCs/>
          <w:sz w:val="24"/>
          <w:szCs w:val="24"/>
        </w:rPr>
        <w:t>International Journal of Economics, Commerce and Management</w:t>
      </w:r>
      <w:r w:rsidR="00A755F5" w:rsidRPr="00251B2C">
        <w:rPr>
          <w:rFonts w:ascii="Times New Roman" w:hAnsi="Times New Roman" w:cs="Times New Roman"/>
          <w:sz w:val="24"/>
          <w:szCs w:val="24"/>
        </w:rPr>
        <w:t>. 2 (7).</w:t>
      </w:r>
    </w:p>
    <w:p w14:paraId="4CDA3EAB" w14:textId="5E6339AA" w:rsidR="00A755F5" w:rsidRPr="00251B2C" w:rsidRDefault="00A755F5" w:rsidP="009B1361">
      <w:pPr>
        <w:spacing w:before="120" w:after="0" w:line="240" w:lineRule="auto"/>
        <w:rPr>
          <w:rFonts w:ascii="Times New Roman" w:hAnsi="Times New Roman" w:cs="Times New Roman"/>
          <w:bCs/>
          <w:sz w:val="24"/>
          <w:szCs w:val="24"/>
        </w:rPr>
      </w:pPr>
      <w:r w:rsidRPr="00251B2C">
        <w:rPr>
          <w:rFonts w:ascii="Times New Roman" w:hAnsi="Times New Roman" w:cs="Times New Roman"/>
          <w:sz w:val="24"/>
          <w:szCs w:val="24"/>
        </w:rPr>
        <w:t xml:space="preserve">NIST (2013). Engineering Statistics Handbook: </w:t>
      </w:r>
      <w:r w:rsidRPr="00251B2C">
        <w:rPr>
          <w:rFonts w:ascii="Times New Roman" w:hAnsi="Times New Roman" w:cs="Times New Roman"/>
          <w:bCs/>
          <w:sz w:val="24"/>
          <w:szCs w:val="24"/>
        </w:rPr>
        <w:t>F-Test for Equality of Two Variances. Available:</w:t>
      </w:r>
      <w:r w:rsidRPr="00251B2C">
        <w:rPr>
          <w:rFonts w:ascii="Times New Roman" w:hAnsi="Times New Roman" w:cs="Times New Roman"/>
          <w:sz w:val="24"/>
          <w:szCs w:val="24"/>
        </w:rPr>
        <w:t xml:space="preserve"> </w:t>
      </w:r>
      <w:hyperlink r:id="rId27" w:history="1">
        <w:r w:rsidRPr="00546532">
          <w:rPr>
            <w:rStyle w:val="Hyperlink"/>
            <w:rFonts w:ascii="Times New Roman" w:hAnsi="Times New Roman" w:cs="Times New Roman"/>
            <w:color w:val="000000" w:themeColor="text1"/>
            <w:sz w:val="24"/>
            <w:szCs w:val="24"/>
            <w:u w:val="none"/>
          </w:rPr>
          <w:t>http://www.itl.nist.gov/div898/handbook/eda/section3/eda359.htm</w:t>
        </w:r>
      </w:hyperlink>
      <w:r w:rsidRPr="00546532">
        <w:rPr>
          <w:rFonts w:ascii="Times New Roman" w:hAnsi="Times New Roman" w:cs="Times New Roman"/>
          <w:bCs/>
          <w:color w:val="000000" w:themeColor="text1"/>
          <w:sz w:val="24"/>
          <w:szCs w:val="24"/>
        </w:rPr>
        <w:t xml:space="preserve">. </w:t>
      </w:r>
      <w:r w:rsidR="00A858A8">
        <w:rPr>
          <w:rFonts w:ascii="Times New Roman" w:hAnsi="Times New Roman" w:cs="Times New Roman"/>
          <w:bCs/>
          <w:sz w:val="24"/>
          <w:szCs w:val="24"/>
        </w:rPr>
        <w:t>A</w:t>
      </w:r>
      <w:r w:rsidRPr="00251B2C">
        <w:rPr>
          <w:rFonts w:ascii="Times New Roman" w:hAnsi="Times New Roman" w:cs="Times New Roman"/>
          <w:bCs/>
          <w:sz w:val="24"/>
          <w:szCs w:val="24"/>
        </w:rPr>
        <w:t>ccessed</w:t>
      </w:r>
      <w:r w:rsidR="00A858A8">
        <w:rPr>
          <w:rFonts w:ascii="Times New Roman" w:hAnsi="Times New Roman" w:cs="Times New Roman"/>
          <w:bCs/>
          <w:sz w:val="24"/>
          <w:szCs w:val="24"/>
        </w:rPr>
        <w:t xml:space="preserve"> Date: </w:t>
      </w:r>
      <w:r w:rsidRPr="00251B2C">
        <w:rPr>
          <w:rFonts w:ascii="Times New Roman" w:hAnsi="Times New Roman" w:cs="Times New Roman"/>
          <w:bCs/>
          <w:sz w:val="24"/>
          <w:szCs w:val="24"/>
        </w:rPr>
        <w:t xml:space="preserve"> 02</w:t>
      </w:r>
      <w:r w:rsidR="00A858A8" w:rsidRPr="00A858A8">
        <w:rPr>
          <w:rFonts w:ascii="Times New Roman" w:hAnsi="Times New Roman" w:cs="Times New Roman"/>
          <w:bCs/>
          <w:sz w:val="24"/>
          <w:szCs w:val="24"/>
          <w:vertAlign w:val="superscript"/>
        </w:rPr>
        <w:t>nd</w:t>
      </w:r>
      <w:r w:rsidR="00A858A8">
        <w:rPr>
          <w:rFonts w:ascii="Times New Roman" w:hAnsi="Times New Roman" w:cs="Times New Roman"/>
          <w:bCs/>
          <w:sz w:val="24"/>
          <w:szCs w:val="24"/>
        </w:rPr>
        <w:t xml:space="preserve"> May 2017</w:t>
      </w:r>
      <w:r w:rsidRPr="00251B2C">
        <w:rPr>
          <w:rFonts w:ascii="Times New Roman" w:hAnsi="Times New Roman" w:cs="Times New Roman"/>
          <w:bCs/>
          <w:sz w:val="24"/>
          <w:szCs w:val="24"/>
        </w:rPr>
        <w:t xml:space="preserve">. </w:t>
      </w:r>
    </w:p>
    <w:p w14:paraId="6BA30128" w14:textId="7F3DA047" w:rsidR="00A755F5" w:rsidRPr="00251B2C" w:rsidRDefault="00A858A8" w:rsidP="009B1361">
      <w:pPr>
        <w:spacing w:before="120"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Godlewski, C.; Turk-Arsis, R. and</w:t>
      </w:r>
      <w:r w:rsidR="00A755F5" w:rsidRPr="00251B2C">
        <w:rPr>
          <w:rFonts w:ascii="Times New Roman" w:hAnsi="Times New Roman" w:cs="Times New Roman"/>
          <w:color w:val="000000"/>
          <w:sz w:val="24"/>
          <w:szCs w:val="24"/>
        </w:rPr>
        <w:t xml:space="preserve"> Weill, L. (2013). </w:t>
      </w:r>
      <w:r>
        <w:rPr>
          <w:rFonts w:ascii="Times New Roman" w:hAnsi="Times New Roman" w:cs="Times New Roman"/>
          <w:color w:val="000000"/>
          <w:sz w:val="24"/>
          <w:szCs w:val="24"/>
        </w:rPr>
        <w:t>“</w:t>
      </w:r>
      <w:r w:rsidR="000F4C35">
        <w:rPr>
          <w:rFonts w:ascii="Times New Roman" w:hAnsi="Times New Roman" w:cs="Times New Roman"/>
          <w:color w:val="000000"/>
          <w:sz w:val="24"/>
          <w:szCs w:val="24"/>
        </w:rPr>
        <w:t>Sukuk</w:t>
      </w:r>
      <w:r w:rsidR="00A755F5" w:rsidRPr="00251B2C">
        <w:rPr>
          <w:rFonts w:ascii="Times New Roman" w:hAnsi="Times New Roman" w:cs="Times New Roman"/>
          <w:color w:val="000000"/>
          <w:sz w:val="24"/>
          <w:szCs w:val="24"/>
        </w:rPr>
        <w:t xml:space="preserve"> vs conventional bonds: A stock market perspective</w:t>
      </w:r>
      <w:r>
        <w:rPr>
          <w:rFonts w:ascii="Times New Roman" w:hAnsi="Times New Roman" w:cs="Times New Roman"/>
          <w:color w:val="000000"/>
          <w:sz w:val="24"/>
          <w:szCs w:val="24"/>
        </w:rPr>
        <w:t>”,</w:t>
      </w:r>
      <w:r w:rsidR="00A755F5" w:rsidRPr="00251B2C">
        <w:rPr>
          <w:rStyle w:val="apple-converted-space"/>
          <w:rFonts w:ascii="Times New Roman" w:hAnsi="Times New Roman" w:cs="Times New Roman"/>
          <w:color w:val="000000"/>
          <w:sz w:val="24"/>
          <w:szCs w:val="24"/>
        </w:rPr>
        <w:t> </w:t>
      </w:r>
      <w:r w:rsidR="00A755F5" w:rsidRPr="00251B2C">
        <w:rPr>
          <w:rFonts w:ascii="Times New Roman" w:hAnsi="Times New Roman" w:cs="Times New Roman"/>
          <w:i/>
          <w:iCs/>
          <w:color w:val="000000"/>
          <w:sz w:val="24"/>
          <w:szCs w:val="24"/>
        </w:rPr>
        <w:t>Journal of Comparative Economics</w:t>
      </w:r>
      <w:r w:rsidR="00A755F5" w:rsidRPr="00251B2C">
        <w:rPr>
          <w:rFonts w:ascii="Times New Roman" w:hAnsi="Times New Roman" w:cs="Times New Roman"/>
          <w:color w:val="000000"/>
          <w:sz w:val="24"/>
          <w:szCs w:val="24"/>
        </w:rPr>
        <w:t>. 41, 745–761.</w:t>
      </w:r>
    </w:p>
    <w:p w14:paraId="5AB8C16C" w14:textId="77777777" w:rsidR="00A755F5" w:rsidRPr="00251B2C" w:rsidRDefault="00A755F5" w:rsidP="009B1361">
      <w:pPr>
        <w:spacing w:before="120" w:after="0" w:line="240" w:lineRule="auto"/>
        <w:jc w:val="both"/>
        <w:rPr>
          <w:rFonts w:ascii="Times New Roman" w:hAnsi="Times New Roman" w:cs="Times New Roman"/>
          <w:sz w:val="24"/>
          <w:szCs w:val="24"/>
        </w:rPr>
      </w:pPr>
      <w:r w:rsidRPr="00251B2C">
        <w:rPr>
          <w:rFonts w:ascii="Times New Roman" w:hAnsi="Times New Roman" w:cs="Times New Roman"/>
          <w:color w:val="000000"/>
          <w:sz w:val="24"/>
          <w:szCs w:val="24"/>
        </w:rPr>
        <w:t xml:space="preserve">Habib, F., Muhammad, M. and </w:t>
      </w:r>
      <w:proofErr w:type="spellStart"/>
      <w:r w:rsidRPr="00251B2C">
        <w:rPr>
          <w:rFonts w:ascii="Times New Roman" w:hAnsi="Times New Roman" w:cs="Times New Roman"/>
          <w:color w:val="000000"/>
          <w:sz w:val="24"/>
          <w:szCs w:val="24"/>
        </w:rPr>
        <w:t>Sairally</w:t>
      </w:r>
      <w:proofErr w:type="spellEnd"/>
      <w:r w:rsidRPr="00251B2C">
        <w:rPr>
          <w:rFonts w:ascii="Times New Roman" w:hAnsi="Times New Roman" w:cs="Times New Roman"/>
          <w:color w:val="000000"/>
          <w:sz w:val="24"/>
          <w:szCs w:val="24"/>
        </w:rPr>
        <w:t>, B.S (2015).</w:t>
      </w:r>
      <w:r w:rsidRPr="00251B2C">
        <w:rPr>
          <w:rStyle w:val="apple-converted-space"/>
          <w:rFonts w:ascii="Times New Roman" w:hAnsi="Times New Roman" w:cs="Times New Roman"/>
          <w:color w:val="000000"/>
          <w:sz w:val="24"/>
          <w:szCs w:val="24"/>
        </w:rPr>
        <w:t> </w:t>
      </w:r>
      <w:r w:rsidRPr="00251B2C">
        <w:rPr>
          <w:rFonts w:ascii="Times New Roman" w:hAnsi="Times New Roman" w:cs="Times New Roman"/>
          <w:i/>
          <w:iCs/>
          <w:color w:val="000000"/>
          <w:sz w:val="24"/>
          <w:szCs w:val="24"/>
        </w:rPr>
        <w:t>Islamic Capital Markets: Principles and Practices</w:t>
      </w:r>
      <w:r w:rsidRPr="00251B2C">
        <w:rPr>
          <w:rFonts w:ascii="Times New Roman" w:hAnsi="Times New Roman" w:cs="Times New Roman"/>
          <w:color w:val="000000"/>
          <w:sz w:val="24"/>
          <w:szCs w:val="24"/>
        </w:rPr>
        <w:t>. Kuala Lumpur. Malaysia: ISRA.</w:t>
      </w:r>
    </w:p>
    <w:p w14:paraId="7CE12E63" w14:textId="78FE4FBB" w:rsidR="00A755F5" w:rsidRPr="00251B2C" w:rsidRDefault="00A755F5" w:rsidP="009B1361">
      <w:pPr>
        <w:spacing w:before="120" w:after="0" w:line="240" w:lineRule="auto"/>
        <w:rPr>
          <w:rFonts w:ascii="Times New Roman" w:hAnsi="Times New Roman" w:cs="Times New Roman"/>
          <w:sz w:val="24"/>
          <w:szCs w:val="24"/>
        </w:rPr>
      </w:pPr>
      <w:r w:rsidRPr="00251B2C">
        <w:rPr>
          <w:rFonts w:ascii="Times New Roman" w:hAnsi="Times New Roman" w:cs="Times New Roman"/>
          <w:color w:val="000000"/>
          <w:sz w:val="24"/>
          <w:szCs w:val="24"/>
        </w:rPr>
        <w:t>Hassan, A. (2006).</w:t>
      </w:r>
      <w:r w:rsidRPr="00251B2C">
        <w:rPr>
          <w:rStyle w:val="apple-converted-space"/>
          <w:rFonts w:ascii="Times New Roman" w:hAnsi="Times New Roman" w:cs="Times New Roman"/>
          <w:color w:val="000000"/>
          <w:sz w:val="24"/>
          <w:szCs w:val="24"/>
        </w:rPr>
        <w:t> </w:t>
      </w:r>
      <w:r w:rsidRPr="00251B2C">
        <w:rPr>
          <w:rFonts w:ascii="Times New Roman" w:hAnsi="Times New Roman" w:cs="Times New Roman"/>
          <w:i/>
          <w:iCs/>
          <w:color w:val="000000"/>
          <w:sz w:val="24"/>
          <w:szCs w:val="24"/>
        </w:rPr>
        <w:t xml:space="preserve">Islamic Features of a </w:t>
      </w:r>
      <w:r w:rsidR="000F4C35">
        <w:rPr>
          <w:rFonts w:ascii="Times New Roman" w:hAnsi="Times New Roman" w:cs="Times New Roman"/>
          <w:i/>
          <w:iCs/>
          <w:color w:val="000000"/>
          <w:sz w:val="24"/>
          <w:szCs w:val="24"/>
        </w:rPr>
        <w:t>Sukuk</w:t>
      </w:r>
      <w:r w:rsidRPr="00251B2C">
        <w:rPr>
          <w:rFonts w:ascii="Times New Roman" w:hAnsi="Times New Roman" w:cs="Times New Roman"/>
          <w:i/>
          <w:iCs/>
          <w:color w:val="000000"/>
          <w:sz w:val="24"/>
          <w:szCs w:val="24"/>
        </w:rPr>
        <w:t>.</w:t>
      </w:r>
      <w:r w:rsidRPr="00251B2C">
        <w:rPr>
          <w:rStyle w:val="apple-converted-space"/>
          <w:rFonts w:ascii="Times New Roman" w:hAnsi="Times New Roman" w:cs="Times New Roman"/>
          <w:color w:val="000000"/>
          <w:sz w:val="24"/>
          <w:szCs w:val="24"/>
        </w:rPr>
        <w:t> </w:t>
      </w:r>
      <w:r w:rsidRPr="00251B2C">
        <w:rPr>
          <w:rFonts w:ascii="Times New Roman" w:hAnsi="Times New Roman" w:cs="Times New Roman"/>
          <w:color w:val="000000"/>
          <w:sz w:val="24"/>
          <w:szCs w:val="24"/>
        </w:rPr>
        <w:t>Available</w:t>
      </w:r>
      <w:r w:rsidRPr="00A858A8">
        <w:rPr>
          <w:rFonts w:ascii="Times New Roman" w:hAnsi="Times New Roman" w:cs="Times New Roman"/>
          <w:color w:val="000000" w:themeColor="text1"/>
          <w:sz w:val="24"/>
          <w:szCs w:val="24"/>
        </w:rPr>
        <w:t xml:space="preserve">: </w:t>
      </w:r>
      <w:hyperlink r:id="rId28" w:history="1">
        <w:r w:rsidRPr="00A858A8">
          <w:rPr>
            <w:rStyle w:val="Hyperlink"/>
            <w:rFonts w:ascii="Times New Roman" w:hAnsi="Times New Roman" w:cs="Times New Roman"/>
            <w:color w:val="000000" w:themeColor="text1"/>
            <w:sz w:val="24"/>
            <w:szCs w:val="24"/>
            <w:u w:val="none"/>
          </w:rPr>
          <w:t>www.meinsurancereview.com</w:t>
        </w:r>
      </w:hyperlink>
      <w:r w:rsidRPr="00A858A8">
        <w:rPr>
          <w:rFonts w:ascii="Times New Roman" w:hAnsi="Times New Roman" w:cs="Times New Roman"/>
          <w:color w:val="000000" w:themeColor="text1"/>
          <w:sz w:val="24"/>
          <w:szCs w:val="24"/>
        </w:rPr>
        <w:t xml:space="preserve">. </w:t>
      </w:r>
      <w:r w:rsidR="00A858A8">
        <w:rPr>
          <w:rFonts w:ascii="Times New Roman" w:hAnsi="Times New Roman" w:cs="Times New Roman"/>
          <w:color w:val="000000"/>
          <w:sz w:val="24"/>
          <w:szCs w:val="24"/>
        </w:rPr>
        <w:t>A</w:t>
      </w:r>
      <w:r w:rsidRPr="00251B2C">
        <w:rPr>
          <w:rFonts w:ascii="Times New Roman" w:hAnsi="Times New Roman" w:cs="Times New Roman"/>
          <w:color w:val="000000"/>
          <w:sz w:val="24"/>
          <w:szCs w:val="24"/>
        </w:rPr>
        <w:t>ccessed</w:t>
      </w:r>
      <w:r w:rsidR="00A858A8">
        <w:rPr>
          <w:rFonts w:ascii="Times New Roman" w:hAnsi="Times New Roman" w:cs="Times New Roman"/>
          <w:color w:val="000000"/>
          <w:sz w:val="24"/>
          <w:szCs w:val="24"/>
        </w:rPr>
        <w:t xml:space="preserve"> Date:</w:t>
      </w:r>
      <w:r w:rsidRPr="00251B2C">
        <w:rPr>
          <w:rFonts w:ascii="Times New Roman" w:hAnsi="Times New Roman" w:cs="Times New Roman"/>
          <w:color w:val="000000"/>
          <w:sz w:val="24"/>
          <w:szCs w:val="24"/>
        </w:rPr>
        <w:t xml:space="preserve"> 04</w:t>
      </w:r>
      <w:r w:rsidR="00A858A8" w:rsidRPr="00A858A8">
        <w:rPr>
          <w:rFonts w:ascii="Times New Roman" w:hAnsi="Times New Roman" w:cs="Times New Roman"/>
          <w:color w:val="000000"/>
          <w:sz w:val="24"/>
          <w:szCs w:val="24"/>
          <w:vertAlign w:val="superscript"/>
        </w:rPr>
        <w:t>th</w:t>
      </w:r>
      <w:r w:rsidR="00A858A8">
        <w:rPr>
          <w:rFonts w:ascii="Times New Roman" w:hAnsi="Times New Roman" w:cs="Times New Roman"/>
          <w:color w:val="000000"/>
          <w:sz w:val="24"/>
          <w:szCs w:val="24"/>
        </w:rPr>
        <w:t xml:space="preserve">June </w:t>
      </w:r>
      <w:r w:rsidRPr="00251B2C">
        <w:rPr>
          <w:rFonts w:ascii="Times New Roman" w:hAnsi="Times New Roman" w:cs="Times New Roman"/>
          <w:color w:val="000000"/>
          <w:sz w:val="24"/>
          <w:szCs w:val="24"/>
        </w:rPr>
        <w:t>2017.</w:t>
      </w:r>
    </w:p>
    <w:p w14:paraId="65BD8A38" w14:textId="77777777" w:rsidR="00A755F5" w:rsidRPr="00251B2C" w:rsidRDefault="00A755F5" w:rsidP="009B1361">
      <w:pPr>
        <w:pStyle w:val="NormalWeb"/>
        <w:spacing w:before="120" w:beforeAutospacing="0" w:after="0" w:afterAutospacing="0"/>
        <w:rPr>
          <w:color w:val="000000"/>
        </w:rPr>
      </w:pPr>
      <w:r w:rsidRPr="00251B2C">
        <w:rPr>
          <w:color w:val="000000"/>
        </w:rPr>
        <w:t>Heffernan, S (2003).</w:t>
      </w:r>
      <w:r w:rsidRPr="00251B2C">
        <w:rPr>
          <w:rStyle w:val="apple-converted-space"/>
          <w:color w:val="000000"/>
        </w:rPr>
        <w:t> </w:t>
      </w:r>
      <w:r w:rsidRPr="00251B2C">
        <w:rPr>
          <w:i/>
          <w:iCs/>
          <w:color w:val="000000"/>
        </w:rPr>
        <w:t>Modern Banking in Theory and Practice</w:t>
      </w:r>
      <w:r w:rsidRPr="00251B2C">
        <w:rPr>
          <w:color w:val="000000"/>
        </w:rPr>
        <w:t>. Chichester: John Wiley and Sons.</w:t>
      </w:r>
    </w:p>
    <w:p w14:paraId="36B910DC" w14:textId="2577D3D1" w:rsidR="00A858A8" w:rsidRDefault="00A755F5" w:rsidP="009B1361">
      <w:pPr>
        <w:spacing w:before="120" w:after="0" w:line="240" w:lineRule="auto"/>
        <w:rPr>
          <w:rFonts w:ascii="Times New Roman" w:hAnsi="Times New Roman" w:cs="Times New Roman"/>
          <w:color w:val="000000"/>
          <w:sz w:val="24"/>
          <w:szCs w:val="24"/>
        </w:rPr>
      </w:pPr>
      <w:r w:rsidRPr="00251B2C">
        <w:rPr>
          <w:rFonts w:ascii="Times New Roman" w:hAnsi="Times New Roman" w:cs="Times New Roman"/>
          <w:color w:val="000000"/>
          <w:sz w:val="24"/>
          <w:szCs w:val="24"/>
        </w:rPr>
        <w:t xml:space="preserve">Hussain, M., </w:t>
      </w:r>
      <w:proofErr w:type="spellStart"/>
      <w:r w:rsidRPr="00251B2C">
        <w:rPr>
          <w:rFonts w:ascii="Times New Roman" w:hAnsi="Times New Roman" w:cs="Times New Roman"/>
          <w:color w:val="000000"/>
          <w:sz w:val="24"/>
          <w:szCs w:val="24"/>
        </w:rPr>
        <w:t>Shahmoradi</w:t>
      </w:r>
      <w:proofErr w:type="spellEnd"/>
      <w:r w:rsidRPr="00251B2C">
        <w:rPr>
          <w:rFonts w:ascii="Times New Roman" w:hAnsi="Times New Roman" w:cs="Times New Roman"/>
          <w:color w:val="000000"/>
          <w:sz w:val="24"/>
          <w:szCs w:val="24"/>
        </w:rPr>
        <w:t>, and Turk, R. (2015). (2015).</w:t>
      </w:r>
      <w:r w:rsidRPr="00251B2C">
        <w:rPr>
          <w:rStyle w:val="apple-converted-space"/>
          <w:rFonts w:ascii="Times New Roman" w:hAnsi="Times New Roman" w:cs="Times New Roman"/>
          <w:color w:val="000000"/>
          <w:sz w:val="24"/>
          <w:szCs w:val="24"/>
        </w:rPr>
        <w:t> </w:t>
      </w:r>
      <w:r w:rsidRPr="00251B2C">
        <w:rPr>
          <w:rFonts w:ascii="Times New Roman" w:hAnsi="Times New Roman" w:cs="Times New Roman"/>
          <w:i/>
          <w:iCs/>
          <w:color w:val="000000"/>
          <w:sz w:val="24"/>
          <w:szCs w:val="24"/>
        </w:rPr>
        <w:t xml:space="preserve">An Overview of Islamic Finance. </w:t>
      </w:r>
      <w:r w:rsidRPr="00251B2C">
        <w:rPr>
          <w:rFonts w:ascii="Times New Roman" w:hAnsi="Times New Roman" w:cs="Times New Roman"/>
          <w:iCs/>
          <w:color w:val="000000"/>
          <w:sz w:val="24"/>
          <w:szCs w:val="24"/>
        </w:rPr>
        <w:t>IMF Working Paper, WP/15/120.</w:t>
      </w:r>
      <w:r w:rsidRPr="00251B2C">
        <w:rPr>
          <w:rStyle w:val="apple-converted-space"/>
          <w:rFonts w:ascii="Times New Roman" w:hAnsi="Times New Roman" w:cs="Times New Roman"/>
          <w:color w:val="000000"/>
          <w:sz w:val="24"/>
          <w:szCs w:val="24"/>
        </w:rPr>
        <w:t> </w:t>
      </w:r>
      <w:r w:rsidRPr="00251B2C">
        <w:rPr>
          <w:rFonts w:ascii="Times New Roman" w:hAnsi="Times New Roman" w:cs="Times New Roman"/>
          <w:color w:val="000000"/>
          <w:sz w:val="24"/>
          <w:szCs w:val="24"/>
        </w:rPr>
        <w:t xml:space="preserve">Available: https://www.imf.org/external/pubs/ft/wp/2015/wp15120.pdf. </w:t>
      </w:r>
      <w:r w:rsidR="00A858A8">
        <w:rPr>
          <w:rFonts w:ascii="Times New Roman" w:hAnsi="Times New Roman" w:cs="Times New Roman"/>
          <w:color w:val="000000"/>
          <w:sz w:val="24"/>
          <w:szCs w:val="24"/>
        </w:rPr>
        <w:t>A</w:t>
      </w:r>
      <w:r w:rsidRPr="00251B2C">
        <w:rPr>
          <w:rFonts w:ascii="Times New Roman" w:hAnsi="Times New Roman" w:cs="Times New Roman"/>
          <w:color w:val="000000"/>
          <w:sz w:val="24"/>
          <w:szCs w:val="24"/>
        </w:rPr>
        <w:t>ccessed</w:t>
      </w:r>
      <w:r w:rsidR="00A858A8">
        <w:rPr>
          <w:rFonts w:ascii="Times New Roman" w:hAnsi="Times New Roman" w:cs="Times New Roman"/>
          <w:color w:val="000000"/>
          <w:sz w:val="24"/>
          <w:szCs w:val="24"/>
        </w:rPr>
        <w:t xml:space="preserve"> Date: </w:t>
      </w:r>
      <w:r w:rsidRPr="00251B2C">
        <w:rPr>
          <w:rFonts w:ascii="Times New Roman" w:hAnsi="Times New Roman" w:cs="Times New Roman"/>
          <w:color w:val="000000"/>
          <w:sz w:val="24"/>
          <w:szCs w:val="24"/>
        </w:rPr>
        <w:t xml:space="preserve"> 20</w:t>
      </w:r>
      <w:r w:rsidR="00A858A8" w:rsidRPr="00A858A8">
        <w:rPr>
          <w:rFonts w:ascii="Times New Roman" w:hAnsi="Times New Roman" w:cs="Times New Roman"/>
          <w:color w:val="000000"/>
          <w:sz w:val="24"/>
          <w:szCs w:val="24"/>
          <w:vertAlign w:val="superscript"/>
        </w:rPr>
        <w:t>th</w:t>
      </w:r>
      <w:r w:rsidR="00A858A8">
        <w:rPr>
          <w:rFonts w:ascii="Times New Roman" w:hAnsi="Times New Roman" w:cs="Times New Roman"/>
          <w:color w:val="000000"/>
          <w:sz w:val="24"/>
          <w:szCs w:val="24"/>
        </w:rPr>
        <w:t xml:space="preserve"> February 2018</w:t>
      </w:r>
      <w:r w:rsidRPr="00251B2C">
        <w:rPr>
          <w:rFonts w:ascii="Times New Roman" w:hAnsi="Times New Roman" w:cs="Times New Roman"/>
          <w:color w:val="000000"/>
          <w:sz w:val="24"/>
          <w:szCs w:val="24"/>
        </w:rPr>
        <w:t>.</w:t>
      </w:r>
    </w:p>
    <w:p w14:paraId="336C62BB" w14:textId="4074783E" w:rsidR="00A755F5" w:rsidRPr="00251B2C" w:rsidRDefault="00A858A8" w:rsidP="009B1361">
      <w:pPr>
        <w:spacing w:before="120" w:after="0" w:line="240" w:lineRule="auto"/>
        <w:rPr>
          <w:rFonts w:ascii="Times New Roman" w:hAnsi="Times New Roman" w:cs="Times New Roman"/>
          <w:sz w:val="24"/>
          <w:szCs w:val="24"/>
        </w:rPr>
      </w:pPr>
      <w:r>
        <w:rPr>
          <w:rFonts w:ascii="Times New Roman" w:hAnsi="Times New Roman" w:cs="Times New Roman"/>
          <w:sz w:val="24"/>
          <w:szCs w:val="24"/>
        </w:rPr>
        <w:t>Hussain, M.;</w:t>
      </w:r>
      <w:r w:rsidR="00A755F5" w:rsidRPr="00251B2C">
        <w:rPr>
          <w:rFonts w:ascii="Times New Roman" w:hAnsi="Times New Roman" w:cs="Times New Roman"/>
          <w:sz w:val="24"/>
          <w:szCs w:val="24"/>
        </w:rPr>
        <w:t xml:space="preserve"> </w:t>
      </w:r>
      <w:proofErr w:type="spellStart"/>
      <w:r w:rsidR="00A755F5" w:rsidRPr="00251B2C">
        <w:rPr>
          <w:rFonts w:ascii="Times New Roman" w:hAnsi="Times New Roman" w:cs="Times New Roman"/>
          <w:sz w:val="24"/>
          <w:szCs w:val="24"/>
        </w:rPr>
        <w:t>Shahmoradi</w:t>
      </w:r>
      <w:proofErr w:type="spellEnd"/>
      <w:r w:rsidR="00A755F5" w:rsidRPr="00251B2C">
        <w:rPr>
          <w:rFonts w:ascii="Times New Roman" w:hAnsi="Times New Roman" w:cs="Times New Roman"/>
          <w:sz w:val="24"/>
          <w:szCs w:val="24"/>
        </w:rPr>
        <w:t>, and Turk, R. (2015). An Overview of Islamic Finance. IMF Working Paper, WP/15/120.</w:t>
      </w:r>
    </w:p>
    <w:p w14:paraId="37AC3C9C" w14:textId="1B71D5AD" w:rsidR="00A858A8" w:rsidRDefault="00A755F5" w:rsidP="009B1361">
      <w:pPr>
        <w:spacing w:before="120" w:after="0" w:line="240" w:lineRule="auto"/>
        <w:rPr>
          <w:rFonts w:ascii="Times New Roman" w:hAnsi="Times New Roman" w:cs="Times New Roman"/>
          <w:sz w:val="24"/>
          <w:szCs w:val="24"/>
        </w:rPr>
      </w:pPr>
      <w:r w:rsidRPr="00251B2C">
        <w:rPr>
          <w:rFonts w:ascii="Times New Roman" w:hAnsi="Times New Roman" w:cs="Times New Roman"/>
          <w:color w:val="000000"/>
          <w:sz w:val="24"/>
          <w:szCs w:val="24"/>
        </w:rPr>
        <w:t>Investinganswers.com. (2017).</w:t>
      </w:r>
      <w:r w:rsidRPr="00251B2C">
        <w:rPr>
          <w:rStyle w:val="apple-converted-space"/>
          <w:rFonts w:ascii="Times New Roman" w:hAnsi="Times New Roman" w:cs="Times New Roman"/>
          <w:color w:val="000000"/>
          <w:sz w:val="24"/>
          <w:szCs w:val="24"/>
        </w:rPr>
        <w:t xml:space="preserve"> </w:t>
      </w:r>
      <w:r w:rsidRPr="00251B2C">
        <w:rPr>
          <w:rFonts w:ascii="Times New Roman" w:hAnsi="Times New Roman" w:cs="Times New Roman"/>
          <w:i/>
          <w:iCs/>
          <w:color w:val="000000"/>
          <w:sz w:val="24"/>
          <w:szCs w:val="24"/>
        </w:rPr>
        <w:t>Default Risk.</w:t>
      </w:r>
      <w:r w:rsidRPr="00251B2C">
        <w:rPr>
          <w:rStyle w:val="apple-converted-space"/>
          <w:rFonts w:ascii="Times New Roman" w:hAnsi="Times New Roman" w:cs="Times New Roman"/>
          <w:color w:val="000000"/>
          <w:sz w:val="24"/>
          <w:szCs w:val="24"/>
        </w:rPr>
        <w:t> </w:t>
      </w:r>
      <w:r w:rsidRPr="00251B2C">
        <w:rPr>
          <w:rFonts w:ascii="Times New Roman" w:hAnsi="Times New Roman" w:cs="Times New Roman"/>
          <w:color w:val="000000"/>
          <w:sz w:val="24"/>
          <w:szCs w:val="24"/>
        </w:rPr>
        <w:t xml:space="preserve">Available: </w:t>
      </w:r>
      <w:hyperlink r:id="rId29" w:history="1">
        <w:r w:rsidRPr="00A858A8">
          <w:rPr>
            <w:rStyle w:val="Hyperlink"/>
            <w:rFonts w:ascii="Times New Roman" w:hAnsi="Times New Roman" w:cs="Times New Roman"/>
            <w:color w:val="000000" w:themeColor="text1"/>
            <w:sz w:val="24"/>
            <w:szCs w:val="24"/>
            <w:u w:val="none"/>
          </w:rPr>
          <w:t>http://www.investinganswers.com/financial-dictionary/bonds/default-risk-1313. Last accessed 26/03/2017</w:t>
        </w:r>
      </w:hyperlink>
      <w:r w:rsidRPr="00251B2C">
        <w:rPr>
          <w:rFonts w:ascii="Times New Roman" w:hAnsi="Times New Roman" w:cs="Times New Roman"/>
          <w:sz w:val="24"/>
          <w:szCs w:val="24"/>
        </w:rPr>
        <w:t>.</w:t>
      </w:r>
      <w:r w:rsidR="00A858A8">
        <w:rPr>
          <w:rFonts w:ascii="Times New Roman" w:hAnsi="Times New Roman" w:cs="Times New Roman"/>
          <w:sz w:val="24"/>
          <w:szCs w:val="24"/>
        </w:rPr>
        <w:t xml:space="preserve"> </w:t>
      </w:r>
      <w:r w:rsidR="00A858A8" w:rsidRPr="00A858A8">
        <w:rPr>
          <w:rStyle w:val="Hyperlink"/>
          <w:rFonts w:ascii="Times New Roman" w:eastAsia="Arial" w:hAnsi="Times New Roman" w:cs="Times New Roman"/>
          <w:color w:val="000000" w:themeColor="text1"/>
          <w:sz w:val="24"/>
          <w:szCs w:val="24"/>
          <w:u w:val="none"/>
          <w:lang w:val="en-US"/>
        </w:rPr>
        <w:t>Accessed Date: 21</w:t>
      </w:r>
      <w:r w:rsidR="00A858A8" w:rsidRPr="00A858A8">
        <w:rPr>
          <w:rStyle w:val="Hyperlink"/>
          <w:rFonts w:ascii="Times New Roman" w:eastAsia="Arial" w:hAnsi="Times New Roman" w:cs="Times New Roman"/>
          <w:color w:val="000000" w:themeColor="text1"/>
          <w:sz w:val="24"/>
          <w:szCs w:val="24"/>
          <w:u w:val="none"/>
          <w:vertAlign w:val="superscript"/>
          <w:lang w:val="en-US"/>
        </w:rPr>
        <w:t>st</w:t>
      </w:r>
      <w:r w:rsidR="00A858A8">
        <w:rPr>
          <w:rStyle w:val="Hyperlink"/>
          <w:rFonts w:ascii="Times New Roman" w:eastAsia="Arial" w:hAnsi="Times New Roman" w:cs="Times New Roman"/>
          <w:color w:val="000000" w:themeColor="text1"/>
          <w:sz w:val="24"/>
          <w:szCs w:val="24"/>
          <w:u w:val="none"/>
          <w:lang w:val="en-US"/>
        </w:rPr>
        <w:t xml:space="preserve"> May 2017</w:t>
      </w:r>
      <w:r w:rsidR="00A858A8" w:rsidRPr="00A858A8">
        <w:rPr>
          <w:rStyle w:val="Hyperlink"/>
          <w:rFonts w:ascii="Times New Roman" w:eastAsia="Arial" w:hAnsi="Times New Roman" w:cs="Times New Roman"/>
          <w:color w:val="000000" w:themeColor="text1"/>
          <w:sz w:val="24"/>
          <w:szCs w:val="24"/>
          <w:u w:val="none"/>
          <w:lang w:val="en-US"/>
        </w:rPr>
        <w:t>.</w:t>
      </w:r>
    </w:p>
    <w:p w14:paraId="60147859" w14:textId="24D2F6FD" w:rsidR="00A755F5" w:rsidRPr="00251B2C" w:rsidRDefault="00A858A8" w:rsidP="009B1361">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Jobs, A.; </w:t>
      </w:r>
      <w:proofErr w:type="spellStart"/>
      <w:r>
        <w:rPr>
          <w:rFonts w:ascii="Times New Roman" w:hAnsi="Times New Roman" w:cs="Times New Roman"/>
          <w:sz w:val="24"/>
          <w:szCs w:val="24"/>
        </w:rPr>
        <w:t>Kunzel</w:t>
      </w:r>
      <w:proofErr w:type="spellEnd"/>
      <w:r>
        <w:rPr>
          <w:rFonts w:ascii="Times New Roman" w:hAnsi="Times New Roman" w:cs="Times New Roman"/>
          <w:sz w:val="24"/>
          <w:szCs w:val="24"/>
        </w:rPr>
        <w:t>, P.;</w:t>
      </w:r>
      <w:r w:rsidR="00A755F5" w:rsidRPr="00251B2C">
        <w:rPr>
          <w:rFonts w:ascii="Times New Roman" w:hAnsi="Times New Roman" w:cs="Times New Roman"/>
          <w:sz w:val="24"/>
          <w:szCs w:val="24"/>
        </w:rPr>
        <w:t xml:space="preserve"> Mills, P</w:t>
      </w:r>
      <w:r>
        <w:rPr>
          <w:rFonts w:ascii="Times New Roman" w:hAnsi="Times New Roman" w:cs="Times New Roman"/>
          <w:sz w:val="24"/>
          <w:szCs w:val="24"/>
        </w:rPr>
        <w:t>. and</w:t>
      </w:r>
      <w:r w:rsidR="00A755F5" w:rsidRPr="00251B2C">
        <w:rPr>
          <w:rFonts w:ascii="Times New Roman" w:hAnsi="Times New Roman" w:cs="Times New Roman"/>
          <w:sz w:val="24"/>
          <w:szCs w:val="24"/>
        </w:rPr>
        <w:t xml:space="preserve"> Sy, A. (2008). </w:t>
      </w:r>
      <w:r w:rsidR="00A755F5" w:rsidRPr="00251B2C">
        <w:rPr>
          <w:rFonts w:ascii="Times New Roman" w:hAnsi="Times New Roman" w:cs="Times New Roman"/>
          <w:i/>
          <w:sz w:val="24"/>
          <w:szCs w:val="24"/>
        </w:rPr>
        <w:t>Islamic Bond Issuance— What Sovereign Debt Managers Need to Know</w:t>
      </w:r>
      <w:r w:rsidR="00A755F5" w:rsidRPr="00251B2C">
        <w:rPr>
          <w:rFonts w:ascii="Times New Roman" w:hAnsi="Times New Roman" w:cs="Times New Roman"/>
          <w:sz w:val="24"/>
          <w:szCs w:val="24"/>
        </w:rPr>
        <w:t xml:space="preserve">. IFM Policy Discussion Paper. Available: </w:t>
      </w:r>
      <w:hyperlink r:id="rId30" w:history="1">
        <w:r w:rsidR="00A755F5" w:rsidRPr="00A858A8">
          <w:rPr>
            <w:rStyle w:val="Hyperlink"/>
            <w:rFonts w:ascii="Times New Roman" w:hAnsi="Times New Roman" w:cs="Times New Roman"/>
            <w:color w:val="000000" w:themeColor="text1"/>
            <w:sz w:val="24"/>
            <w:szCs w:val="24"/>
            <w:u w:val="none"/>
          </w:rPr>
          <w:t>https://www.imf.org/external/pubs/ft/pdp/2008/pdp03.pdf</w:t>
        </w:r>
      </w:hyperlink>
      <w:r w:rsidR="00A755F5" w:rsidRPr="00A858A8">
        <w:rPr>
          <w:rFonts w:ascii="Times New Roman" w:hAnsi="Times New Roman" w:cs="Times New Roman"/>
          <w:color w:val="000000" w:themeColor="text1"/>
          <w:sz w:val="24"/>
          <w:szCs w:val="24"/>
        </w:rPr>
        <w:t>.</w:t>
      </w:r>
      <w:r w:rsidRPr="00A858A8">
        <w:rPr>
          <w:rFonts w:ascii="Times New Roman" w:hAnsi="Times New Roman" w:cs="Times New Roman"/>
          <w:color w:val="000000" w:themeColor="text1"/>
          <w:sz w:val="24"/>
          <w:szCs w:val="24"/>
        </w:rPr>
        <w:t xml:space="preserve"> </w:t>
      </w:r>
      <w:r w:rsidRPr="00A858A8">
        <w:rPr>
          <w:rStyle w:val="Hyperlink"/>
          <w:rFonts w:ascii="Times New Roman" w:eastAsia="Arial" w:hAnsi="Times New Roman" w:cs="Times New Roman"/>
          <w:color w:val="000000" w:themeColor="text1"/>
          <w:sz w:val="24"/>
          <w:szCs w:val="24"/>
          <w:u w:val="none"/>
          <w:lang w:val="en-US"/>
        </w:rPr>
        <w:t>Accessed Date: 21</w:t>
      </w:r>
      <w:r w:rsidRPr="00A858A8">
        <w:rPr>
          <w:rStyle w:val="Hyperlink"/>
          <w:rFonts w:ascii="Times New Roman" w:eastAsia="Arial" w:hAnsi="Times New Roman" w:cs="Times New Roman"/>
          <w:color w:val="000000" w:themeColor="text1"/>
          <w:sz w:val="24"/>
          <w:szCs w:val="24"/>
          <w:u w:val="none"/>
          <w:vertAlign w:val="superscript"/>
          <w:lang w:val="en-US"/>
        </w:rPr>
        <w:t>st</w:t>
      </w:r>
      <w:r w:rsidRPr="00A858A8">
        <w:rPr>
          <w:rStyle w:val="Hyperlink"/>
          <w:rFonts w:ascii="Times New Roman" w:eastAsia="Arial" w:hAnsi="Times New Roman" w:cs="Times New Roman"/>
          <w:color w:val="000000" w:themeColor="text1"/>
          <w:sz w:val="24"/>
          <w:szCs w:val="24"/>
          <w:u w:val="none"/>
          <w:lang w:val="en-US"/>
        </w:rPr>
        <w:t xml:space="preserve"> May 2018.</w:t>
      </w:r>
    </w:p>
    <w:p w14:paraId="0C59D510" w14:textId="1A3DD163" w:rsidR="00A755F5" w:rsidRPr="00251B2C" w:rsidRDefault="00A755F5" w:rsidP="009B1361">
      <w:pPr>
        <w:spacing w:before="120" w:after="0" w:line="240" w:lineRule="auto"/>
        <w:rPr>
          <w:rFonts w:ascii="Times New Roman" w:hAnsi="Times New Roman" w:cs="Times New Roman"/>
          <w:sz w:val="24"/>
          <w:szCs w:val="24"/>
        </w:rPr>
      </w:pPr>
      <w:proofErr w:type="spellStart"/>
      <w:r w:rsidRPr="00251B2C">
        <w:rPr>
          <w:rFonts w:ascii="Times New Roman" w:eastAsia="Arial" w:hAnsi="Times New Roman" w:cs="Times New Roman"/>
          <w:sz w:val="24"/>
          <w:szCs w:val="24"/>
          <w:lang w:val="en-US"/>
        </w:rPr>
        <w:t>Kammer</w:t>
      </w:r>
      <w:proofErr w:type="spellEnd"/>
      <w:r w:rsidRPr="00251B2C">
        <w:rPr>
          <w:rFonts w:ascii="Times New Roman" w:eastAsia="Arial" w:hAnsi="Times New Roman" w:cs="Times New Roman"/>
          <w:sz w:val="24"/>
          <w:szCs w:val="24"/>
          <w:lang w:val="en-US"/>
        </w:rPr>
        <w:t xml:space="preserve">, A., </w:t>
      </w:r>
      <w:proofErr w:type="spellStart"/>
      <w:r w:rsidRPr="00251B2C">
        <w:rPr>
          <w:rFonts w:ascii="Times New Roman" w:eastAsia="Arial" w:hAnsi="Times New Roman" w:cs="Times New Roman"/>
          <w:sz w:val="24"/>
          <w:szCs w:val="24"/>
          <w:lang w:val="en-US"/>
        </w:rPr>
        <w:t>Norat.M</w:t>
      </w:r>
      <w:proofErr w:type="spellEnd"/>
      <w:r w:rsidRPr="00251B2C">
        <w:rPr>
          <w:rFonts w:ascii="Times New Roman" w:eastAsia="Arial" w:hAnsi="Times New Roman" w:cs="Times New Roman"/>
          <w:sz w:val="24"/>
          <w:szCs w:val="24"/>
          <w:lang w:val="en-US"/>
        </w:rPr>
        <w:t xml:space="preserve">., Pinon, M., Prasad, A., </w:t>
      </w:r>
      <w:proofErr w:type="spellStart"/>
      <w:r w:rsidRPr="00251B2C">
        <w:rPr>
          <w:rFonts w:ascii="Times New Roman" w:eastAsia="Arial" w:hAnsi="Times New Roman" w:cs="Times New Roman"/>
          <w:sz w:val="24"/>
          <w:szCs w:val="24"/>
          <w:lang w:val="en-US"/>
        </w:rPr>
        <w:t>Towe</w:t>
      </w:r>
      <w:proofErr w:type="spellEnd"/>
      <w:r w:rsidRPr="00251B2C">
        <w:rPr>
          <w:rFonts w:ascii="Times New Roman" w:eastAsia="Arial" w:hAnsi="Times New Roman" w:cs="Times New Roman"/>
          <w:sz w:val="24"/>
          <w:szCs w:val="24"/>
          <w:lang w:val="en-US"/>
        </w:rPr>
        <w:t xml:space="preserve">, C., and </w:t>
      </w:r>
      <w:proofErr w:type="spellStart"/>
      <w:r w:rsidRPr="00251B2C">
        <w:rPr>
          <w:rFonts w:ascii="Times New Roman" w:eastAsia="Arial" w:hAnsi="Times New Roman" w:cs="Times New Roman"/>
          <w:sz w:val="24"/>
          <w:szCs w:val="24"/>
          <w:lang w:val="en-US"/>
        </w:rPr>
        <w:t>Zeidane</w:t>
      </w:r>
      <w:proofErr w:type="spellEnd"/>
      <w:r w:rsidRPr="00251B2C">
        <w:rPr>
          <w:rFonts w:ascii="Times New Roman" w:eastAsia="Arial" w:hAnsi="Times New Roman" w:cs="Times New Roman"/>
          <w:sz w:val="24"/>
          <w:szCs w:val="24"/>
          <w:lang w:val="en-US"/>
        </w:rPr>
        <w:t xml:space="preserve">, Z. (2015).  </w:t>
      </w:r>
      <w:r w:rsidRPr="00251B2C">
        <w:rPr>
          <w:rFonts w:ascii="Times New Roman" w:eastAsia="Arial" w:hAnsi="Times New Roman" w:cs="Times New Roman"/>
          <w:i/>
          <w:sz w:val="24"/>
          <w:szCs w:val="24"/>
          <w:lang w:val="en-US"/>
        </w:rPr>
        <w:t xml:space="preserve">Islamic Finance: Opportunities, Challenges, and Policy Options: IMF Discussion Note. Available: </w:t>
      </w:r>
      <w:hyperlink r:id="rId31" w:history="1">
        <w:r w:rsidRPr="00A858A8">
          <w:rPr>
            <w:rStyle w:val="Hyperlink"/>
            <w:rFonts w:ascii="Times New Roman" w:eastAsia="Arial" w:hAnsi="Times New Roman" w:cs="Times New Roman"/>
            <w:color w:val="000000" w:themeColor="text1"/>
            <w:sz w:val="24"/>
            <w:szCs w:val="24"/>
            <w:u w:val="none"/>
            <w:lang w:val="en-US"/>
          </w:rPr>
          <w:t xml:space="preserve">http://www.imf.org/external/pubs/ft/sdn/2015/sdn1505.pdf. Last accessed 20/04/2017. </w:t>
        </w:r>
      </w:hyperlink>
      <w:r w:rsidR="00A858A8" w:rsidRPr="00A858A8">
        <w:rPr>
          <w:rStyle w:val="Hyperlink"/>
          <w:rFonts w:ascii="Times New Roman" w:eastAsia="Arial" w:hAnsi="Times New Roman" w:cs="Times New Roman"/>
          <w:color w:val="000000" w:themeColor="text1"/>
          <w:sz w:val="24"/>
          <w:szCs w:val="24"/>
          <w:u w:val="none"/>
          <w:lang w:val="en-US"/>
        </w:rPr>
        <w:t>Accessed Date: 21</w:t>
      </w:r>
      <w:r w:rsidR="00A858A8" w:rsidRPr="00A858A8">
        <w:rPr>
          <w:rStyle w:val="Hyperlink"/>
          <w:rFonts w:ascii="Times New Roman" w:eastAsia="Arial" w:hAnsi="Times New Roman" w:cs="Times New Roman"/>
          <w:color w:val="000000" w:themeColor="text1"/>
          <w:sz w:val="24"/>
          <w:szCs w:val="24"/>
          <w:u w:val="none"/>
          <w:vertAlign w:val="superscript"/>
          <w:lang w:val="en-US"/>
        </w:rPr>
        <w:t>st</w:t>
      </w:r>
      <w:r w:rsidR="00A858A8" w:rsidRPr="00A858A8">
        <w:rPr>
          <w:rStyle w:val="Hyperlink"/>
          <w:rFonts w:ascii="Times New Roman" w:eastAsia="Arial" w:hAnsi="Times New Roman" w:cs="Times New Roman"/>
          <w:color w:val="000000" w:themeColor="text1"/>
          <w:sz w:val="24"/>
          <w:szCs w:val="24"/>
          <w:u w:val="none"/>
          <w:lang w:val="en-US"/>
        </w:rPr>
        <w:t xml:space="preserve"> May 2018.</w:t>
      </w:r>
    </w:p>
    <w:p w14:paraId="6D4F7B69" w14:textId="287A755B" w:rsidR="00A755F5" w:rsidRPr="00251B2C" w:rsidRDefault="00A755F5" w:rsidP="009B1361">
      <w:pPr>
        <w:spacing w:before="120" w:after="0" w:line="240" w:lineRule="auto"/>
        <w:rPr>
          <w:rFonts w:ascii="Times New Roman" w:hAnsi="Times New Roman" w:cs="Times New Roman"/>
          <w:sz w:val="24"/>
          <w:szCs w:val="24"/>
        </w:rPr>
      </w:pPr>
      <w:r w:rsidRPr="00251B2C">
        <w:rPr>
          <w:rFonts w:ascii="Times New Roman" w:hAnsi="Times New Roman" w:cs="Times New Roman"/>
          <w:color w:val="000000"/>
          <w:sz w:val="24"/>
          <w:szCs w:val="24"/>
        </w:rPr>
        <w:t>Kumar, R. (2011).</w:t>
      </w:r>
      <w:r w:rsidRPr="00251B2C">
        <w:rPr>
          <w:rStyle w:val="apple-converted-space"/>
          <w:rFonts w:ascii="Times New Roman" w:hAnsi="Times New Roman" w:cs="Times New Roman"/>
          <w:color w:val="000000"/>
          <w:sz w:val="24"/>
          <w:szCs w:val="24"/>
        </w:rPr>
        <w:t> </w:t>
      </w:r>
      <w:r w:rsidRPr="00251B2C">
        <w:rPr>
          <w:rFonts w:ascii="Times New Roman" w:hAnsi="Times New Roman" w:cs="Times New Roman"/>
          <w:i/>
          <w:iCs/>
          <w:color w:val="000000"/>
          <w:sz w:val="24"/>
          <w:szCs w:val="24"/>
        </w:rPr>
        <w:t>Research Methodology: A Step-by-Step Guide for Beginners</w:t>
      </w:r>
      <w:r w:rsidRPr="00251B2C">
        <w:rPr>
          <w:rFonts w:ascii="Times New Roman" w:hAnsi="Times New Roman" w:cs="Times New Roman"/>
          <w:color w:val="000000"/>
          <w:sz w:val="24"/>
          <w:szCs w:val="24"/>
        </w:rPr>
        <w:t xml:space="preserve">. 3rd ed. </w:t>
      </w:r>
      <w:r w:rsidR="00A858A8">
        <w:rPr>
          <w:rFonts w:ascii="Times New Roman" w:hAnsi="Times New Roman" w:cs="Times New Roman"/>
          <w:color w:val="000000"/>
          <w:sz w:val="24"/>
          <w:szCs w:val="24"/>
        </w:rPr>
        <w:t>London: Sage Publications Ltd</w:t>
      </w:r>
      <w:r w:rsidRPr="00251B2C">
        <w:rPr>
          <w:rFonts w:ascii="Times New Roman" w:hAnsi="Times New Roman" w:cs="Times New Roman"/>
          <w:color w:val="000000"/>
          <w:sz w:val="24"/>
          <w:szCs w:val="24"/>
        </w:rPr>
        <w:t>.</w:t>
      </w:r>
      <w:r w:rsidRPr="00251B2C">
        <w:rPr>
          <w:rFonts w:ascii="Times New Roman" w:hAnsi="Times New Roman" w:cs="Times New Roman"/>
          <w:sz w:val="24"/>
          <w:szCs w:val="24"/>
        </w:rPr>
        <w:t xml:space="preserve"> </w:t>
      </w:r>
    </w:p>
    <w:p w14:paraId="1D3E589E" w14:textId="530EF619" w:rsidR="00A755F5" w:rsidRPr="00251B2C" w:rsidRDefault="00A755F5" w:rsidP="009B1361">
      <w:pPr>
        <w:spacing w:before="120" w:after="0" w:line="240" w:lineRule="auto"/>
        <w:rPr>
          <w:rFonts w:ascii="Times New Roman" w:hAnsi="Times New Roman" w:cs="Times New Roman"/>
          <w:sz w:val="24"/>
          <w:szCs w:val="24"/>
        </w:rPr>
      </w:pPr>
      <w:proofErr w:type="spellStart"/>
      <w:r w:rsidRPr="00251B2C">
        <w:rPr>
          <w:rFonts w:ascii="Times New Roman" w:hAnsi="Times New Roman" w:cs="Times New Roman"/>
          <w:color w:val="000000"/>
          <w:sz w:val="24"/>
          <w:szCs w:val="24"/>
        </w:rPr>
        <w:t>Lackmann</w:t>
      </w:r>
      <w:proofErr w:type="spellEnd"/>
      <w:r w:rsidRPr="00251B2C">
        <w:rPr>
          <w:rFonts w:ascii="Times New Roman" w:hAnsi="Times New Roman" w:cs="Times New Roman"/>
          <w:color w:val="000000"/>
          <w:sz w:val="24"/>
          <w:szCs w:val="24"/>
        </w:rPr>
        <w:t xml:space="preserve">, B.J. (2015). Types of </w:t>
      </w:r>
      <w:r w:rsidR="000F4C35">
        <w:rPr>
          <w:rFonts w:ascii="Times New Roman" w:hAnsi="Times New Roman" w:cs="Times New Roman"/>
          <w:color w:val="000000"/>
          <w:sz w:val="24"/>
          <w:szCs w:val="24"/>
        </w:rPr>
        <w:t>Sukuk</w:t>
      </w:r>
      <w:r w:rsidRPr="00251B2C">
        <w:rPr>
          <w:rFonts w:ascii="Times New Roman" w:hAnsi="Times New Roman" w:cs="Times New Roman"/>
          <w:color w:val="000000"/>
          <w:sz w:val="24"/>
          <w:szCs w:val="24"/>
        </w:rPr>
        <w:t xml:space="preserve"> (Islamic Bonds) and history of Japanese company issuance.</w:t>
      </w:r>
      <w:r w:rsidRPr="00251B2C">
        <w:rPr>
          <w:rStyle w:val="apple-converted-space"/>
          <w:rFonts w:ascii="Times New Roman" w:hAnsi="Times New Roman" w:cs="Times New Roman"/>
          <w:color w:val="000000"/>
          <w:sz w:val="24"/>
          <w:szCs w:val="24"/>
        </w:rPr>
        <w:t> </w:t>
      </w:r>
      <w:r w:rsidRPr="00251B2C">
        <w:rPr>
          <w:rFonts w:ascii="Times New Roman" w:hAnsi="Times New Roman" w:cs="Times New Roman"/>
          <w:i/>
          <w:iCs/>
          <w:color w:val="000000"/>
          <w:sz w:val="24"/>
          <w:szCs w:val="24"/>
        </w:rPr>
        <w:t>Nomura Journal of Capital Markets</w:t>
      </w:r>
      <w:r w:rsidRPr="00251B2C">
        <w:rPr>
          <w:rFonts w:ascii="Times New Roman" w:hAnsi="Times New Roman" w:cs="Times New Roman"/>
          <w:color w:val="000000"/>
          <w:sz w:val="24"/>
          <w:szCs w:val="24"/>
        </w:rPr>
        <w:t>. 6 (3), 1-20.</w:t>
      </w:r>
      <w:r w:rsidRPr="00251B2C">
        <w:rPr>
          <w:rFonts w:ascii="Times New Roman" w:hAnsi="Times New Roman" w:cs="Times New Roman"/>
          <w:sz w:val="24"/>
          <w:szCs w:val="24"/>
        </w:rPr>
        <w:t xml:space="preserve"> </w:t>
      </w:r>
    </w:p>
    <w:p w14:paraId="7BDA6768" w14:textId="31F77FE1" w:rsidR="00A755F5" w:rsidRPr="00251B2C" w:rsidRDefault="00A755F5" w:rsidP="009B1361">
      <w:pPr>
        <w:spacing w:before="120" w:after="0" w:line="240" w:lineRule="auto"/>
        <w:jc w:val="both"/>
        <w:rPr>
          <w:rFonts w:ascii="Times New Roman" w:eastAsia="Times New Roman" w:hAnsi="Times New Roman" w:cs="Times New Roman"/>
          <w:sz w:val="24"/>
          <w:szCs w:val="24"/>
          <w:lang w:eastAsia="en-GB"/>
        </w:rPr>
      </w:pPr>
      <w:proofErr w:type="spellStart"/>
      <w:r w:rsidRPr="00251B2C">
        <w:rPr>
          <w:rFonts w:ascii="Times New Roman" w:eastAsia="Times New Roman" w:hAnsi="Times New Roman" w:cs="Times New Roman"/>
          <w:sz w:val="24"/>
          <w:szCs w:val="24"/>
          <w:lang w:eastAsia="en-GB"/>
        </w:rPr>
        <w:t>Meysam</w:t>
      </w:r>
      <w:proofErr w:type="spellEnd"/>
      <w:r w:rsidRPr="00251B2C">
        <w:rPr>
          <w:rFonts w:ascii="Times New Roman" w:eastAsia="Times New Roman" w:hAnsi="Times New Roman" w:cs="Times New Roman"/>
          <w:sz w:val="24"/>
          <w:szCs w:val="24"/>
          <w:lang w:eastAsia="en-GB"/>
        </w:rPr>
        <w:t xml:space="preserve">, S. (2013). </w:t>
      </w:r>
      <w:r w:rsidR="00A858A8">
        <w:rPr>
          <w:rFonts w:ascii="Times New Roman" w:eastAsia="Times New Roman" w:hAnsi="Times New Roman" w:cs="Times New Roman"/>
          <w:sz w:val="24"/>
          <w:szCs w:val="24"/>
          <w:lang w:eastAsia="en-GB"/>
        </w:rPr>
        <w:t>“</w:t>
      </w:r>
      <w:r w:rsidRPr="00251B2C">
        <w:rPr>
          <w:rFonts w:ascii="Times New Roman" w:eastAsia="Times New Roman" w:hAnsi="Times New Roman" w:cs="Times New Roman"/>
          <w:sz w:val="24"/>
          <w:szCs w:val="24"/>
          <w:lang w:eastAsia="en-GB"/>
        </w:rPr>
        <w:t xml:space="preserve">Contractual structures and payoff patterns of </w:t>
      </w:r>
      <w:r w:rsidR="000F4C35">
        <w:rPr>
          <w:rFonts w:ascii="Times New Roman" w:eastAsia="Times New Roman" w:hAnsi="Times New Roman" w:cs="Times New Roman"/>
          <w:sz w:val="24"/>
          <w:szCs w:val="24"/>
          <w:lang w:eastAsia="en-GB"/>
        </w:rPr>
        <w:t>Sukuk</w:t>
      </w:r>
      <w:r w:rsidRPr="00251B2C">
        <w:rPr>
          <w:rFonts w:ascii="Times New Roman" w:eastAsia="Times New Roman" w:hAnsi="Times New Roman" w:cs="Times New Roman"/>
          <w:sz w:val="24"/>
          <w:szCs w:val="24"/>
          <w:lang w:eastAsia="en-GB"/>
        </w:rPr>
        <w:t xml:space="preserve"> securities</w:t>
      </w:r>
      <w:r w:rsidR="00A858A8">
        <w:rPr>
          <w:rFonts w:ascii="Times New Roman" w:eastAsia="Times New Roman" w:hAnsi="Times New Roman" w:cs="Times New Roman"/>
          <w:sz w:val="24"/>
          <w:szCs w:val="24"/>
          <w:lang w:eastAsia="en-GB"/>
        </w:rPr>
        <w:t>”,</w:t>
      </w:r>
      <w:r w:rsidRPr="00251B2C">
        <w:rPr>
          <w:rFonts w:ascii="Times New Roman" w:eastAsia="Times New Roman" w:hAnsi="Times New Roman" w:cs="Times New Roman"/>
          <w:sz w:val="24"/>
          <w:szCs w:val="24"/>
          <w:lang w:eastAsia="en-GB"/>
        </w:rPr>
        <w:t> </w:t>
      </w:r>
      <w:r w:rsidRPr="00251B2C">
        <w:rPr>
          <w:rFonts w:ascii="Times New Roman" w:eastAsia="Times New Roman" w:hAnsi="Times New Roman" w:cs="Times New Roman"/>
          <w:i/>
          <w:iCs/>
          <w:sz w:val="24"/>
          <w:szCs w:val="24"/>
          <w:lang w:eastAsia="en-GB"/>
        </w:rPr>
        <w:t>International Journal of Banking and Finance</w:t>
      </w:r>
      <w:r w:rsidRPr="00251B2C">
        <w:rPr>
          <w:rFonts w:ascii="Times New Roman" w:eastAsia="Times New Roman" w:hAnsi="Times New Roman" w:cs="Times New Roman"/>
          <w:sz w:val="24"/>
          <w:szCs w:val="24"/>
          <w:lang w:eastAsia="en-GB"/>
        </w:rPr>
        <w:t>. 10 (2), 1-27.</w:t>
      </w:r>
    </w:p>
    <w:p w14:paraId="04BE01F6" w14:textId="1596B588" w:rsidR="00A755F5" w:rsidRPr="00251B2C" w:rsidRDefault="00A755F5" w:rsidP="009B1361">
      <w:pPr>
        <w:spacing w:before="120" w:after="0" w:line="240" w:lineRule="auto"/>
        <w:rPr>
          <w:rFonts w:ascii="Times New Roman" w:hAnsi="Times New Roman" w:cs="Times New Roman"/>
          <w:color w:val="000000"/>
          <w:sz w:val="24"/>
          <w:szCs w:val="24"/>
        </w:rPr>
      </w:pPr>
      <w:r w:rsidRPr="00251B2C">
        <w:rPr>
          <w:rFonts w:ascii="Times New Roman" w:hAnsi="Times New Roman" w:cs="Times New Roman"/>
          <w:color w:val="000000"/>
          <w:sz w:val="24"/>
          <w:szCs w:val="24"/>
        </w:rPr>
        <w:t xml:space="preserve">Najeeb, S. F. (2013). Managing Business and Financial Risks of </w:t>
      </w:r>
      <w:r w:rsidR="000F4C35">
        <w:rPr>
          <w:rFonts w:ascii="Times New Roman" w:hAnsi="Times New Roman" w:cs="Times New Roman"/>
          <w:color w:val="000000"/>
          <w:sz w:val="24"/>
          <w:szCs w:val="24"/>
        </w:rPr>
        <w:t>Sukuk</w:t>
      </w:r>
      <w:r w:rsidRPr="00251B2C">
        <w:rPr>
          <w:rFonts w:ascii="Times New Roman" w:hAnsi="Times New Roman" w:cs="Times New Roman"/>
          <w:color w:val="000000"/>
          <w:sz w:val="24"/>
          <w:szCs w:val="24"/>
        </w:rPr>
        <w:t>: An Islamic Risk Management Perspective.</w:t>
      </w:r>
      <w:r w:rsidRPr="00251B2C">
        <w:rPr>
          <w:rStyle w:val="apple-converted-space"/>
          <w:rFonts w:ascii="Times New Roman" w:hAnsi="Times New Roman" w:cs="Times New Roman"/>
          <w:color w:val="000000"/>
          <w:sz w:val="24"/>
          <w:szCs w:val="24"/>
        </w:rPr>
        <w:t> </w:t>
      </w:r>
      <w:r w:rsidRPr="00251B2C">
        <w:rPr>
          <w:rFonts w:ascii="Times New Roman" w:hAnsi="Times New Roman" w:cs="Times New Roman"/>
          <w:i/>
          <w:iCs/>
          <w:color w:val="000000"/>
          <w:sz w:val="24"/>
          <w:szCs w:val="24"/>
        </w:rPr>
        <w:t>Journal of Islamic Business and Management</w:t>
      </w:r>
      <w:r w:rsidRPr="00251B2C">
        <w:rPr>
          <w:rFonts w:ascii="Times New Roman" w:hAnsi="Times New Roman" w:cs="Times New Roman"/>
          <w:color w:val="000000"/>
          <w:sz w:val="24"/>
          <w:szCs w:val="24"/>
        </w:rPr>
        <w:t>. 3 (2).</w:t>
      </w:r>
    </w:p>
    <w:p w14:paraId="085DF38B" w14:textId="54A003EF" w:rsidR="00A755F5" w:rsidRPr="00251B2C" w:rsidRDefault="00A755F5" w:rsidP="009B1361">
      <w:pPr>
        <w:spacing w:before="120" w:after="0" w:line="240" w:lineRule="auto"/>
        <w:rPr>
          <w:rFonts w:ascii="Times New Roman" w:eastAsia="Calibri" w:hAnsi="Times New Roman" w:cs="Times New Roman"/>
          <w:sz w:val="24"/>
          <w:szCs w:val="24"/>
        </w:rPr>
      </w:pPr>
      <w:proofErr w:type="spellStart"/>
      <w:r w:rsidRPr="00251B2C">
        <w:rPr>
          <w:rFonts w:ascii="Times New Roman" w:eastAsia="Calibri" w:hAnsi="Times New Roman" w:cs="Times New Roman"/>
          <w:sz w:val="24"/>
          <w:szCs w:val="24"/>
        </w:rPr>
        <w:lastRenderedPageBreak/>
        <w:t>Parvees</w:t>
      </w:r>
      <w:proofErr w:type="spellEnd"/>
      <w:r w:rsidRPr="00251B2C">
        <w:rPr>
          <w:rFonts w:ascii="Times New Roman" w:eastAsia="Calibri" w:hAnsi="Times New Roman" w:cs="Times New Roman"/>
          <w:sz w:val="24"/>
          <w:szCs w:val="24"/>
        </w:rPr>
        <w:t>, T. (2015). </w:t>
      </w:r>
      <w:r w:rsidRPr="00251B2C">
        <w:rPr>
          <w:rFonts w:ascii="Times New Roman" w:eastAsia="Calibri" w:hAnsi="Times New Roman" w:cs="Times New Roman"/>
          <w:i/>
          <w:iCs/>
          <w:sz w:val="24"/>
          <w:szCs w:val="24"/>
        </w:rPr>
        <w:t xml:space="preserve">A Compilation of Contemporary </w:t>
      </w:r>
      <w:r w:rsidR="000F4C35">
        <w:rPr>
          <w:rFonts w:ascii="Times New Roman" w:eastAsia="Calibri" w:hAnsi="Times New Roman" w:cs="Times New Roman"/>
          <w:i/>
          <w:iCs/>
          <w:sz w:val="24"/>
          <w:szCs w:val="24"/>
        </w:rPr>
        <w:t>Sukuk</w:t>
      </w:r>
      <w:r w:rsidRPr="00251B2C">
        <w:rPr>
          <w:rFonts w:ascii="Times New Roman" w:eastAsia="Calibri" w:hAnsi="Times New Roman" w:cs="Times New Roman"/>
          <w:i/>
          <w:iCs/>
          <w:sz w:val="24"/>
          <w:szCs w:val="24"/>
        </w:rPr>
        <w:t xml:space="preserve"> Risks. </w:t>
      </w:r>
      <w:r w:rsidRPr="00251B2C">
        <w:rPr>
          <w:rFonts w:ascii="Times New Roman" w:eastAsia="Calibri" w:hAnsi="Times New Roman" w:cs="Times New Roman"/>
          <w:sz w:val="24"/>
          <w:szCs w:val="24"/>
        </w:rPr>
        <w:t xml:space="preserve">Available:  </w:t>
      </w:r>
      <w:hyperlink r:id="rId32" w:history="1">
        <w:r w:rsidRPr="00546532">
          <w:rPr>
            <w:rStyle w:val="Hyperlink"/>
            <w:rFonts w:ascii="Times New Roman" w:eastAsia="Calibri" w:hAnsi="Times New Roman" w:cs="Times New Roman"/>
            <w:color w:val="000000" w:themeColor="text1"/>
            <w:sz w:val="24"/>
            <w:szCs w:val="24"/>
            <w:u w:val="none"/>
          </w:rPr>
          <w:t>https://www.theinternationaljournal.org/ojs/index.php?journal=rjebs&amp;page=article&amp;op=view&amp;path%5B%5D=4340&amp;path%5B%5D=pdf</w:t>
        </w:r>
      </w:hyperlink>
      <w:r w:rsidR="00A858A8" w:rsidRPr="00546532">
        <w:rPr>
          <w:rFonts w:ascii="Times New Roman" w:eastAsia="Calibri" w:hAnsi="Times New Roman" w:cs="Times New Roman"/>
          <w:color w:val="000000" w:themeColor="text1"/>
          <w:sz w:val="24"/>
          <w:szCs w:val="24"/>
        </w:rPr>
        <w:t xml:space="preserve">. </w:t>
      </w:r>
      <w:r w:rsidR="00A858A8">
        <w:rPr>
          <w:rFonts w:ascii="Times New Roman" w:eastAsia="Calibri" w:hAnsi="Times New Roman" w:cs="Times New Roman"/>
          <w:sz w:val="24"/>
          <w:szCs w:val="24"/>
        </w:rPr>
        <w:t>A</w:t>
      </w:r>
      <w:r w:rsidRPr="00251B2C">
        <w:rPr>
          <w:rFonts w:ascii="Times New Roman" w:eastAsia="Calibri" w:hAnsi="Times New Roman" w:cs="Times New Roman"/>
          <w:sz w:val="24"/>
          <w:szCs w:val="24"/>
        </w:rPr>
        <w:t>ccessed</w:t>
      </w:r>
      <w:r w:rsidR="00A858A8">
        <w:rPr>
          <w:rFonts w:ascii="Times New Roman" w:eastAsia="Calibri" w:hAnsi="Times New Roman" w:cs="Times New Roman"/>
          <w:sz w:val="24"/>
          <w:szCs w:val="24"/>
        </w:rPr>
        <w:t xml:space="preserve"> Date: </w:t>
      </w:r>
      <w:r w:rsidRPr="00251B2C">
        <w:rPr>
          <w:rFonts w:ascii="Times New Roman" w:eastAsia="Calibri" w:hAnsi="Times New Roman" w:cs="Times New Roman"/>
          <w:sz w:val="24"/>
          <w:szCs w:val="24"/>
        </w:rPr>
        <w:t>21</w:t>
      </w:r>
      <w:r w:rsidR="00A858A8" w:rsidRPr="00A858A8">
        <w:rPr>
          <w:rFonts w:ascii="Times New Roman" w:eastAsia="Calibri" w:hAnsi="Times New Roman" w:cs="Times New Roman"/>
          <w:sz w:val="24"/>
          <w:szCs w:val="24"/>
          <w:vertAlign w:val="superscript"/>
        </w:rPr>
        <w:t>st</w:t>
      </w:r>
      <w:r w:rsidR="00A858A8">
        <w:rPr>
          <w:rFonts w:ascii="Times New Roman" w:eastAsia="Calibri" w:hAnsi="Times New Roman" w:cs="Times New Roman"/>
          <w:sz w:val="24"/>
          <w:szCs w:val="24"/>
        </w:rPr>
        <w:t xml:space="preserve"> May 2018</w:t>
      </w:r>
      <w:r w:rsidRPr="00251B2C">
        <w:rPr>
          <w:rFonts w:ascii="Times New Roman" w:eastAsia="Calibri" w:hAnsi="Times New Roman" w:cs="Times New Roman"/>
          <w:sz w:val="24"/>
          <w:szCs w:val="24"/>
        </w:rPr>
        <w:t>.</w:t>
      </w:r>
    </w:p>
    <w:p w14:paraId="1754BF51" w14:textId="333510A9" w:rsidR="00A755F5" w:rsidRPr="00251B2C" w:rsidRDefault="00A858A8" w:rsidP="009B1361">
      <w:pPr>
        <w:spacing w:before="120"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Salem, M.B; </w:t>
      </w:r>
      <w:proofErr w:type="spellStart"/>
      <w:r>
        <w:rPr>
          <w:rFonts w:ascii="Times New Roman" w:hAnsi="Times New Roman" w:cs="Times New Roman"/>
          <w:color w:val="000000"/>
          <w:sz w:val="24"/>
          <w:szCs w:val="24"/>
        </w:rPr>
        <w:t>Fakfekh</w:t>
      </w:r>
      <w:proofErr w:type="spellEnd"/>
      <w:r>
        <w:rPr>
          <w:rFonts w:ascii="Times New Roman" w:hAnsi="Times New Roman" w:cs="Times New Roman"/>
          <w:color w:val="000000"/>
          <w:sz w:val="24"/>
          <w:szCs w:val="24"/>
        </w:rPr>
        <w:t xml:space="preserve">, M. and </w:t>
      </w:r>
      <w:r w:rsidR="00A755F5" w:rsidRPr="00251B2C">
        <w:rPr>
          <w:rFonts w:ascii="Times New Roman" w:hAnsi="Times New Roman" w:cs="Times New Roman"/>
          <w:color w:val="000000"/>
          <w:sz w:val="24"/>
          <w:szCs w:val="24"/>
        </w:rPr>
        <w:t xml:space="preserve"> </w:t>
      </w:r>
      <w:proofErr w:type="spellStart"/>
      <w:r w:rsidR="00A755F5" w:rsidRPr="00251B2C">
        <w:rPr>
          <w:rFonts w:ascii="Times New Roman" w:hAnsi="Times New Roman" w:cs="Times New Roman"/>
          <w:color w:val="000000"/>
          <w:sz w:val="24"/>
          <w:szCs w:val="24"/>
        </w:rPr>
        <w:t>Hachicha</w:t>
      </w:r>
      <w:proofErr w:type="spellEnd"/>
      <w:r w:rsidR="00A755F5" w:rsidRPr="00251B2C">
        <w:rPr>
          <w:rFonts w:ascii="Times New Roman" w:hAnsi="Times New Roman" w:cs="Times New Roman"/>
          <w:color w:val="000000"/>
          <w:sz w:val="24"/>
          <w:szCs w:val="24"/>
        </w:rPr>
        <w:t xml:space="preserve">, N. (2016). </w:t>
      </w:r>
      <w:r>
        <w:rPr>
          <w:rFonts w:ascii="Times New Roman" w:hAnsi="Times New Roman" w:cs="Times New Roman"/>
          <w:color w:val="000000"/>
          <w:sz w:val="24"/>
          <w:szCs w:val="24"/>
        </w:rPr>
        <w:t>“</w:t>
      </w:r>
      <w:r w:rsidR="000F4C35">
        <w:rPr>
          <w:rFonts w:ascii="Times New Roman" w:hAnsi="Times New Roman" w:cs="Times New Roman"/>
          <w:color w:val="000000"/>
          <w:sz w:val="24"/>
          <w:szCs w:val="24"/>
        </w:rPr>
        <w:t>Sukuk</w:t>
      </w:r>
      <w:r w:rsidR="00A755F5" w:rsidRPr="00251B2C">
        <w:rPr>
          <w:rFonts w:ascii="Times New Roman" w:hAnsi="Times New Roman" w:cs="Times New Roman"/>
          <w:color w:val="000000"/>
          <w:sz w:val="24"/>
          <w:szCs w:val="24"/>
        </w:rPr>
        <w:t xml:space="preserve"> issuance and economic growth: the Malaysian Case. </w:t>
      </w:r>
      <w:r w:rsidR="00A755F5" w:rsidRPr="00251B2C">
        <w:rPr>
          <w:rFonts w:ascii="Times New Roman" w:hAnsi="Times New Roman" w:cs="Times New Roman"/>
          <w:i/>
          <w:iCs/>
          <w:color w:val="000000"/>
          <w:sz w:val="24"/>
          <w:szCs w:val="24"/>
        </w:rPr>
        <w:t>Journal of Islamic Economics, banking and Finance</w:t>
      </w:r>
      <w:r w:rsidR="00546532">
        <w:rPr>
          <w:rFonts w:ascii="Times New Roman" w:hAnsi="Times New Roman" w:cs="Times New Roman"/>
          <w:color w:val="000000"/>
          <w:sz w:val="24"/>
          <w:szCs w:val="24"/>
        </w:rPr>
        <w:t>. 12 (2)</w:t>
      </w:r>
      <w:r w:rsidR="00A755F5" w:rsidRPr="00251B2C">
        <w:rPr>
          <w:rFonts w:ascii="Times New Roman" w:hAnsi="Times New Roman" w:cs="Times New Roman"/>
          <w:color w:val="000000"/>
          <w:sz w:val="24"/>
          <w:szCs w:val="24"/>
        </w:rPr>
        <w:t>.</w:t>
      </w:r>
    </w:p>
    <w:p w14:paraId="293C3329" w14:textId="77777777" w:rsidR="00A755F5" w:rsidRPr="00251B2C" w:rsidRDefault="00A755F5" w:rsidP="009B1361">
      <w:pPr>
        <w:spacing w:before="120" w:after="0" w:line="240" w:lineRule="auto"/>
        <w:rPr>
          <w:rFonts w:ascii="Times New Roman" w:hAnsi="Times New Roman" w:cs="Times New Roman"/>
          <w:sz w:val="24"/>
          <w:szCs w:val="24"/>
        </w:rPr>
      </w:pPr>
      <w:r w:rsidRPr="00251B2C">
        <w:rPr>
          <w:rFonts w:ascii="Times New Roman" w:hAnsi="Times New Roman" w:cs="Times New Roman"/>
          <w:sz w:val="24"/>
          <w:szCs w:val="24"/>
        </w:rPr>
        <w:t xml:space="preserve">Saunders, M., Lewis, P. and Thornhill, A. (2009). </w:t>
      </w:r>
      <w:r w:rsidRPr="00251B2C">
        <w:rPr>
          <w:rFonts w:ascii="Times New Roman" w:hAnsi="Times New Roman" w:cs="Times New Roman"/>
          <w:i/>
          <w:sz w:val="24"/>
          <w:szCs w:val="24"/>
        </w:rPr>
        <w:t>Research methods for business students</w:t>
      </w:r>
      <w:r w:rsidRPr="00251B2C">
        <w:rPr>
          <w:rFonts w:ascii="Times New Roman" w:hAnsi="Times New Roman" w:cs="Times New Roman"/>
          <w:sz w:val="24"/>
          <w:szCs w:val="24"/>
        </w:rPr>
        <w:t>. 5</w:t>
      </w:r>
      <w:r w:rsidRPr="00251B2C">
        <w:rPr>
          <w:rFonts w:ascii="Times New Roman" w:hAnsi="Times New Roman" w:cs="Times New Roman"/>
          <w:sz w:val="24"/>
          <w:szCs w:val="24"/>
          <w:vertAlign w:val="superscript"/>
        </w:rPr>
        <w:t>th</w:t>
      </w:r>
      <w:r w:rsidRPr="00251B2C">
        <w:rPr>
          <w:rFonts w:ascii="Times New Roman" w:hAnsi="Times New Roman" w:cs="Times New Roman"/>
          <w:sz w:val="24"/>
          <w:szCs w:val="24"/>
        </w:rPr>
        <w:t xml:space="preserve"> ed. Harlow: Pearson Education Ltd.</w:t>
      </w:r>
    </w:p>
    <w:p w14:paraId="0583703C" w14:textId="4F2C1C2C" w:rsidR="00A755F5" w:rsidRPr="00251B2C" w:rsidRDefault="00A755F5" w:rsidP="009B1361">
      <w:pPr>
        <w:pStyle w:val="NormalWeb"/>
        <w:spacing w:before="120" w:beforeAutospacing="0" w:after="0" w:afterAutospacing="0"/>
        <w:rPr>
          <w:color w:val="000000"/>
        </w:rPr>
      </w:pPr>
      <w:proofErr w:type="spellStart"/>
      <w:r w:rsidRPr="00251B2C">
        <w:rPr>
          <w:color w:val="000000"/>
        </w:rPr>
        <w:t>Taoual</w:t>
      </w:r>
      <w:proofErr w:type="spellEnd"/>
      <w:r w:rsidRPr="00251B2C">
        <w:rPr>
          <w:color w:val="000000"/>
        </w:rPr>
        <w:t>, S. (2016).</w:t>
      </w:r>
      <w:r w:rsidRPr="00251B2C">
        <w:rPr>
          <w:rStyle w:val="apple-converted-space"/>
          <w:color w:val="000000"/>
        </w:rPr>
        <w:t> </w:t>
      </w:r>
      <w:r w:rsidRPr="00251B2C">
        <w:rPr>
          <w:i/>
          <w:iCs/>
          <w:color w:val="000000"/>
        </w:rPr>
        <w:t>A Potential for Stability and Development in the GCC. Economic Discussion Papers 2016-7. Kingston University, London.</w:t>
      </w:r>
      <w:r w:rsidRPr="00251B2C">
        <w:rPr>
          <w:rStyle w:val="apple-converted-space"/>
          <w:color w:val="000000"/>
        </w:rPr>
        <w:t> </w:t>
      </w:r>
      <w:r w:rsidRPr="00251B2C">
        <w:rPr>
          <w:color w:val="000000"/>
        </w:rPr>
        <w:t>Available: http://eprints.kingston.a</w:t>
      </w:r>
      <w:r w:rsidR="00A858A8">
        <w:rPr>
          <w:color w:val="000000"/>
        </w:rPr>
        <w:t>c.uk/34924/1/2016_007.pdf. A</w:t>
      </w:r>
      <w:r w:rsidRPr="00251B2C">
        <w:rPr>
          <w:color w:val="000000"/>
        </w:rPr>
        <w:t>ccessed</w:t>
      </w:r>
      <w:r w:rsidR="00A858A8">
        <w:rPr>
          <w:color w:val="000000"/>
        </w:rPr>
        <w:t xml:space="preserve"> Date:</w:t>
      </w:r>
      <w:r w:rsidRPr="00251B2C">
        <w:rPr>
          <w:color w:val="000000"/>
        </w:rPr>
        <w:t xml:space="preserve"> 22</w:t>
      </w:r>
      <w:r w:rsidR="00A858A8" w:rsidRPr="00A858A8">
        <w:rPr>
          <w:color w:val="000000"/>
          <w:vertAlign w:val="superscript"/>
        </w:rPr>
        <w:t>nd</w:t>
      </w:r>
      <w:r w:rsidR="00A858A8">
        <w:rPr>
          <w:color w:val="000000"/>
        </w:rPr>
        <w:t xml:space="preserve"> March 2018</w:t>
      </w:r>
      <w:r w:rsidRPr="00251B2C">
        <w:rPr>
          <w:color w:val="000000"/>
        </w:rPr>
        <w:t>.</w:t>
      </w:r>
    </w:p>
    <w:p w14:paraId="1E755416" w14:textId="67C1B82E" w:rsidR="00A755F5" w:rsidRPr="00251B2C" w:rsidRDefault="00A755F5" w:rsidP="009B1361">
      <w:pPr>
        <w:pStyle w:val="NormalWeb"/>
        <w:spacing w:before="120" w:beforeAutospacing="0" w:after="0" w:afterAutospacing="0"/>
        <w:rPr>
          <w:color w:val="000000"/>
        </w:rPr>
      </w:pPr>
      <w:proofErr w:type="spellStart"/>
      <w:r w:rsidRPr="00251B2C">
        <w:rPr>
          <w:color w:val="000000"/>
        </w:rPr>
        <w:t>Ud</w:t>
      </w:r>
      <w:proofErr w:type="spellEnd"/>
      <w:r w:rsidRPr="00251B2C">
        <w:rPr>
          <w:color w:val="000000"/>
        </w:rPr>
        <w:t xml:space="preserve"> Din, S. (2016). Conceptual and Structural Differences between Conventional Bonds and Islamic </w:t>
      </w:r>
      <w:r w:rsidR="000F4C35">
        <w:rPr>
          <w:color w:val="000000"/>
        </w:rPr>
        <w:t>Sukuk</w:t>
      </w:r>
      <w:r w:rsidRPr="00251B2C">
        <w:rPr>
          <w:color w:val="000000"/>
        </w:rPr>
        <w:t>.</w:t>
      </w:r>
      <w:r w:rsidRPr="00251B2C">
        <w:rPr>
          <w:rStyle w:val="apple-converted-space"/>
          <w:color w:val="000000"/>
        </w:rPr>
        <w:t> </w:t>
      </w:r>
      <w:r w:rsidRPr="00251B2C">
        <w:rPr>
          <w:i/>
          <w:iCs/>
          <w:color w:val="000000"/>
        </w:rPr>
        <w:t>Australian Journal of Business and Management Research New South Wales Research Centre Australia</w:t>
      </w:r>
      <w:r w:rsidRPr="00251B2C">
        <w:rPr>
          <w:color w:val="000000"/>
        </w:rPr>
        <w:t>. 5 (5).</w:t>
      </w:r>
    </w:p>
    <w:p w14:paraId="1627A2DE" w14:textId="29640C7C" w:rsidR="00A755F5" w:rsidRPr="00251B2C" w:rsidRDefault="00A755F5" w:rsidP="009B1361">
      <w:pPr>
        <w:spacing w:before="120" w:after="0" w:line="240" w:lineRule="auto"/>
        <w:rPr>
          <w:rFonts w:ascii="Times New Roman" w:hAnsi="Times New Roman" w:cs="Times New Roman"/>
          <w:color w:val="000000"/>
          <w:sz w:val="24"/>
          <w:szCs w:val="24"/>
          <w:shd w:val="clear" w:color="auto" w:fill="FFFFFF"/>
        </w:rPr>
      </w:pPr>
      <w:proofErr w:type="spellStart"/>
      <w:r w:rsidRPr="00251B2C">
        <w:rPr>
          <w:rFonts w:ascii="Times New Roman" w:hAnsi="Times New Roman" w:cs="Times New Roman"/>
          <w:color w:val="000000"/>
          <w:sz w:val="24"/>
          <w:szCs w:val="24"/>
          <w:shd w:val="clear" w:color="auto" w:fill="FFFFFF"/>
        </w:rPr>
        <w:t>Usmani</w:t>
      </w:r>
      <w:proofErr w:type="spellEnd"/>
      <w:r w:rsidRPr="00251B2C">
        <w:rPr>
          <w:rFonts w:ascii="Times New Roman" w:hAnsi="Times New Roman" w:cs="Times New Roman"/>
          <w:color w:val="000000"/>
          <w:sz w:val="24"/>
          <w:szCs w:val="24"/>
          <w:shd w:val="clear" w:color="auto" w:fill="FFFFFF"/>
        </w:rPr>
        <w:t xml:space="preserve">, M.T. (2008). </w:t>
      </w:r>
      <w:r w:rsidR="000F4C35">
        <w:rPr>
          <w:rFonts w:ascii="Times New Roman" w:hAnsi="Times New Roman" w:cs="Times New Roman"/>
          <w:i/>
          <w:color w:val="000000"/>
          <w:sz w:val="24"/>
          <w:szCs w:val="24"/>
          <w:shd w:val="clear" w:color="auto" w:fill="FFFFFF"/>
        </w:rPr>
        <w:t>Sukuk</w:t>
      </w:r>
      <w:r w:rsidRPr="00251B2C">
        <w:rPr>
          <w:rFonts w:ascii="Times New Roman" w:hAnsi="Times New Roman" w:cs="Times New Roman"/>
          <w:i/>
          <w:color w:val="000000"/>
          <w:sz w:val="24"/>
          <w:szCs w:val="24"/>
          <w:shd w:val="clear" w:color="auto" w:fill="FFFFFF"/>
        </w:rPr>
        <w:t xml:space="preserve"> and their contemporary applications</w:t>
      </w:r>
      <w:r w:rsidRPr="00251B2C">
        <w:rPr>
          <w:rFonts w:ascii="Times New Roman" w:hAnsi="Times New Roman" w:cs="Times New Roman"/>
          <w:color w:val="000000"/>
          <w:sz w:val="24"/>
          <w:szCs w:val="24"/>
          <w:shd w:val="clear" w:color="auto" w:fill="FFFFFF"/>
        </w:rPr>
        <w:t>. AAOIFI Shariah Council, Bahrain.</w:t>
      </w:r>
    </w:p>
    <w:p w14:paraId="099FCE15" w14:textId="77777777" w:rsidR="00A755F5" w:rsidRPr="00251B2C" w:rsidRDefault="00A755F5" w:rsidP="009B1361">
      <w:pPr>
        <w:pStyle w:val="NormalWeb"/>
        <w:spacing w:before="120" w:beforeAutospacing="0" w:after="0" w:afterAutospacing="0"/>
        <w:textAlignment w:val="baseline"/>
        <w:rPr>
          <w:color w:val="000000"/>
        </w:rPr>
      </w:pPr>
      <w:r w:rsidRPr="00251B2C">
        <w:rPr>
          <w:color w:val="000000"/>
        </w:rPr>
        <w:t>Williams, C. (2007). Research Methods.</w:t>
      </w:r>
      <w:r w:rsidRPr="00251B2C">
        <w:rPr>
          <w:rStyle w:val="apple-converted-space"/>
          <w:color w:val="000000"/>
        </w:rPr>
        <w:t> </w:t>
      </w:r>
      <w:r w:rsidRPr="00251B2C">
        <w:rPr>
          <w:i/>
          <w:iCs/>
          <w:color w:val="000000"/>
        </w:rPr>
        <w:t>Journal of Business &amp; Economic Research</w:t>
      </w:r>
      <w:r w:rsidRPr="00251B2C">
        <w:rPr>
          <w:color w:val="000000"/>
        </w:rPr>
        <w:t>. 5 (3), 65-71.</w:t>
      </w:r>
    </w:p>
    <w:p w14:paraId="52B1AE48" w14:textId="7A2702FD" w:rsidR="00A755F5" w:rsidRPr="00251B2C" w:rsidRDefault="00A755F5" w:rsidP="009B1361">
      <w:pPr>
        <w:spacing w:before="120" w:after="0" w:line="240" w:lineRule="auto"/>
        <w:rPr>
          <w:rFonts w:ascii="Times New Roman" w:hAnsi="Times New Roman" w:cs="Times New Roman"/>
          <w:sz w:val="24"/>
          <w:szCs w:val="24"/>
        </w:rPr>
      </w:pPr>
      <w:proofErr w:type="spellStart"/>
      <w:r w:rsidRPr="00251B2C">
        <w:rPr>
          <w:rFonts w:ascii="Times New Roman" w:hAnsi="Times New Roman" w:cs="Times New Roman"/>
          <w:sz w:val="24"/>
          <w:szCs w:val="24"/>
        </w:rPr>
        <w:t>Zaidi,A</w:t>
      </w:r>
      <w:proofErr w:type="spellEnd"/>
      <w:r w:rsidRPr="00251B2C">
        <w:rPr>
          <w:rFonts w:ascii="Times New Roman" w:hAnsi="Times New Roman" w:cs="Times New Roman"/>
          <w:sz w:val="24"/>
          <w:szCs w:val="24"/>
        </w:rPr>
        <w:t xml:space="preserve">. (2009). </w:t>
      </w:r>
      <w:r w:rsidRPr="00251B2C">
        <w:rPr>
          <w:rFonts w:ascii="Times New Roman" w:hAnsi="Times New Roman" w:cs="Times New Roman"/>
          <w:i/>
          <w:sz w:val="24"/>
          <w:szCs w:val="24"/>
        </w:rPr>
        <w:t xml:space="preserve">Nature of Risks Present in </w:t>
      </w:r>
      <w:r w:rsidR="000F4C35">
        <w:rPr>
          <w:rFonts w:ascii="Times New Roman" w:hAnsi="Times New Roman" w:cs="Times New Roman"/>
          <w:i/>
          <w:sz w:val="24"/>
          <w:szCs w:val="24"/>
        </w:rPr>
        <w:t>Sukuk</w:t>
      </w:r>
      <w:r w:rsidRPr="00251B2C">
        <w:rPr>
          <w:rFonts w:ascii="Times New Roman" w:hAnsi="Times New Roman" w:cs="Times New Roman"/>
          <w:i/>
          <w:sz w:val="24"/>
          <w:szCs w:val="24"/>
        </w:rPr>
        <w:t xml:space="preserve"> Structures-Rating Agency Perspective in </w:t>
      </w:r>
      <w:r w:rsidR="000F4C35">
        <w:rPr>
          <w:rFonts w:ascii="Times New Roman" w:hAnsi="Times New Roman" w:cs="Times New Roman"/>
          <w:i/>
          <w:sz w:val="24"/>
          <w:szCs w:val="24"/>
        </w:rPr>
        <w:t>Sukuk</w:t>
      </w:r>
      <w:r w:rsidRPr="00251B2C">
        <w:rPr>
          <w:rFonts w:ascii="Times New Roman" w:hAnsi="Times New Roman" w:cs="Times New Roman"/>
          <w:sz w:val="24"/>
          <w:szCs w:val="24"/>
        </w:rPr>
        <w:t>. Malaysia: Sweet &amp; Maxwell Asia.</w:t>
      </w:r>
    </w:p>
    <w:p w14:paraId="0577D1E8" w14:textId="36C1AFF0" w:rsidR="00A755F5" w:rsidRPr="00251B2C" w:rsidRDefault="00A755F5" w:rsidP="009B1361">
      <w:pPr>
        <w:spacing w:before="120" w:after="0" w:line="240" w:lineRule="auto"/>
        <w:rPr>
          <w:rFonts w:ascii="Times New Roman" w:hAnsi="Times New Roman" w:cs="Times New Roman"/>
          <w:sz w:val="24"/>
          <w:szCs w:val="24"/>
        </w:rPr>
      </w:pPr>
      <w:r w:rsidRPr="00251B2C">
        <w:rPr>
          <w:rFonts w:ascii="Times New Roman" w:hAnsi="Times New Roman" w:cs="Times New Roman"/>
          <w:sz w:val="24"/>
          <w:szCs w:val="24"/>
        </w:rPr>
        <w:t xml:space="preserve">Zulkhibri, M. (2015). </w:t>
      </w:r>
      <w:r w:rsidRPr="00251B2C">
        <w:rPr>
          <w:rFonts w:ascii="Times New Roman" w:hAnsi="Times New Roman" w:cs="Times New Roman"/>
          <w:i/>
          <w:sz w:val="24"/>
          <w:szCs w:val="24"/>
        </w:rPr>
        <w:t xml:space="preserve">A synthesis of theoretical and empirical research on </w:t>
      </w:r>
      <w:r w:rsidR="000F4C35">
        <w:rPr>
          <w:rFonts w:ascii="Times New Roman" w:hAnsi="Times New Roman" w:cs="Times New Roman"/>
          <w:i/>
          <w:sz w:val="24"/>
          <w:szCs w:val="24"/>
        </w:rPr>
        <w:t>Sukuk</w:t>
      </w:r>
      <w:r w:rsidRPr="00251B2C">
        <w:rPr>
          <w:rFonts w:ascii="Times New Roman" w:hAnsi="Times New Roman" w:cs="Times New Roman"/>
          <w:sz w:val="24"/>
          <w:szCs w:val="24"/>
        </w:rPr>
        <w:t xml:space="preserve">. Available: </w:t>
      </w:r>
      <w:hyperlink r:id="rId33" w:history="1">
        <w:r w:rsidRPr="00546532">
          <w:rPr>
            <w:rStyle w:val="Hyperlink"/>
            <w:rFonts w:ascii="Times New Roman" w:hAnsi="Times New Roman" w:cs="Times New Roman"/>
            <w:color w:val="000000" w:themeColor="text1"/>
            <w:sz w:val="24"/>
            <w:szCs w:val="24"/>
            <w:u w:val="none"/>
          </w:rPr>
          <w:t>www.sciencedirect.com</w:t>
        </w:r>
      </w:hyperlink>
      <w:r w:rsidRPr="00546532">
        <w:rPr>
          <w:rFonts w:ascii="Times New Roman" w:hAnsi="Times New Roman" w:cs="Times New Roman"/>
          <w:color w:val="000000" w:themeColor="text1"/>
          <w:sz w:val="24"/>
          <w:szCs w:val="24"/>
        </w:rPr>
        <w:t xml:space="preserve">; </w:t>
      </w:r>
      <w:hyperlink r:id="rId34" w:history="1">
        <w:r w:rsidRPr="00546532">
          <w:rPr>
            <w:rStyle w:val="Hyperlink"/>
            <w:rFonts w:ascii="Times New Roman" w:hAnsi="Times New Roman" w:cs="Times New Roman"/>
            <w:color w:val="000000" w:themeColor="text1"/>
            <w:sz w:val="24"/>
            <w:szCs w:val="24"/>
            <w:u w:val="none"/>
          </w:rPr>
          <w:t>http://www.elsevier.com/journals/borsa-istanbul-review/2214-8450</w:t>
        </w:r>
      </w:hyperlink>
      <w:r w:rsidRPr="00546532">
        <w:rPr>
          <w:rStyle w:val="Hyperlink"/>
          <w:rFonts w:ascii="Times New Roman" w:hAnsi="Times New Roman" w:cs="Times New Roman"/>
          <w:color w:val="000000" w:themeColor="text1"/>
          <w:sz w:val="24"/>
          <w:szCs w:val="24"/>
          <w:u w:val="none"/>
        </w:rPr>
        <w:t>.</w:t>
      </w:r>
      <w:r w:rsidRPr="00546532">
        <w:rPr>
          <w:rStyle w:val="Hyperlink"/>
          <w:rFonts w:ascii="Times New Roman" w:hAnsi="Times New Roman" w:cs="Times New Roman"/>
          <w:color w:val="000000" w:themeColor="text1"/>
          <w:sz w:val="24"/>
          <w:szCs w:val="24"/>
        </w:rPr>
        <w:t xml:space="preserve"> </w:t>
      </w:r>
      <w:r w:rsidR="00A858A8">
        <w:rPr>
          <w:rFonts w:ascii="Times New Roman" w:hAnsi="Times New Roman" w:cs="Times New Roman"/>
          <w:color w:val="000000"/>
          <w:sz w:val="24"/>
          <w:szCs w:val="24"/>
        </w:rPr>
        <w:t>A</w:t>
      </w:r>
      <w:r w:rsidRPr="00251B2C">
        <w:rPr>
          <w:rFonts w:ascii="Times New Roman" w:hAnsi="Times New Roman" w:cs="Times New Roman"/>
          <w:color w:val="000000"/>
          <w:sz w:val="24"/>
          <w:szCs w:val="24"/>
        </w:rPr>
        <w:t>ccessed</w:t>
      </w:r>
      <w:r w:rsidR="00A858A8">
        <w:rPr>
          <w:rFonts w:ascii="Times New Roman" w:hAnsi="Times New Roman" w:cs="Times New Roman"/>
          <w:color w:val="000000"/>
          <w:sz w:val="24"/>
          <w:szCs w:val="24"/>
        </w:rPr>
        <w:t xml:space="preserve"> Date </w:t>
      </w:r>
      <w:r w:rsidRPr="00251B2C">
        <w:rPr>
          <w:rFonts w:ascii="Times New Roman" w:hAnsi="Times New Roman" w:cs="Times New Roman"/>
          <w:color w:val="000000"/>
          <w:sz w:val="24"/>
          <w:szCs w:val="24"/>
        </w:rPr>
        <w:t>25</w:t>
      </w:r>
      <w:r w:rsidR="00A858A8" w:rsidRPr="00A858A8">
        <w:rPr>
          <w:rFonts w:ascii="Times New Roman" w:hAnsi="Times New Roman" w:cs="Times New Roman"/>
          <w:color w:val="000000"/>
          <w:sz w:val="24"/>
          <w:szCs w:val="24"/>
          <w:vertAlign w:val="superscript"/>
        </w:rPr>
        <w:t>th</w:t>
      </w:r>
      <w:r w:rsidR="00A858A8">
        <w:rPr>
          <w:rFonts w:ascii="Times New Roman" w:hAnsi="Times New Roman" w:cs="Times New Roman"/>
          <w:color w:val="000000"/>
          <w:sz w:val="24"/>
          <w:szCs w:val="24"/>
        </w:rPr>
        <w:t xml:space="preserve"> April </w:t>
      </w:r>
      <w:r w:rsidRPr="00251B2C">
        <w:rPr>
          <w:rFonts w:ascii="Times New Roman" w:hAnsi="Times New Roman" w:cs="Times New Roman"/>
          <w:color w:val="000000"/>
          <w:sz w:val="24"/>
          <w:szCs w:val="24"/>
        </w:rPr>
        <w:t>2017.</w:t>
      </w:r>
      <w:r w:rsidRPr="00251B2C">
        <w:rPr>
          <w:rStyle w:val="Hyperlink"/>
          <w:rFonts w:ascii="Times New Roman" w:hAnsi="Times New Roman" w:cs="Times New Roman"/>
          <w:sz w:val="24"/>
          <w:szCs w:val="24"/>
        </w:rPr>
        <w:t xml:space="preserve"> </w:t>
      </w:r>
    </w:p>
    <w:p w14:paraId="60BC6B46" w14:textId="4F8AF2A4" w:rsidR="00A755F5" w:rsidRPr="00251B2C" w:rsidRDefault="00A755F5" w:rsidP="009B1361">
      <w:pPr>
        <w:spacing w:before="120" w:after="0" w:line="240" w:lineRule="auto"/>
        <w:jc w:val="both"/>
        <w:rPr>
          <w:rFonts w:ascii="Times New Roman" w:hAnsi="Times New Roman" w:cs="Times New Roman"/>
          <w:sz w:val="24"/>
          <w:szCs w:val="24"/>
        </w:rPr>
      </w:pPr>
      <w:r w:rsidRPr="00251B2C">
        <w:rPr>
          <w:rFonts w:ascii="Times New Roman" w:hAnsi="Times New Roman" w:cs="Times New Roman"/>
          <w:sz w:val="24"/>
          <w:szCs w:val="24"/>
        </w:rPr>
        <w:t xml:space="preserve">IIFM, 2015. </w:t>
      </w:r>
      <w:r w:rsidR="000F4C35">
        <w:rPr>
          <w:rFonts w:ascii="Times New Roman" w:hAnsi="Times New Roman" w:cs="Times New Roman"/>
          <w:i/>
          <w:sz w:val="24"/>
          <w:szCs w:val="24"/>
        </w:rPr>
        <w:t>Sukuk</w:t>
      </w:r>
      <w:r w:rsidRPr="00251B2C">
        <w:rPr>
          <w:rFonts w:ascii="Times New Roman" w:hAnsi="Times New Roman" w:cs="Times New Roman"/>
          <w:i/>
          <w:sz w:val="24"/>
          <w:szCs w:val="24"/>
        </w:rPr>
        <w:t xml:space="preserve"> Report: A Comprehension study of the Global </w:t>
      </w:r>
      <w:r w:rsidR="000F4C35">
        <w:rPr>
          <w:rFonts w:ascii="Times New Roman" w:hAnsi="Times New Roman" w:cs="Times New Roman"/>
          <w:i/>
          <w:sz w:val="24"/>
          <w:szCs w:val="24"/>
        </w:rPr>
        <w:t>Sukuk</w:t>
      </w:r>
      <w:r w:rsidRPr="00251B2C">
        <w:rPr>
          <w:rFonts w:ascii="Times New Roman" w:hAnsi="Times New Roman" w:cs="Times New Roman"/>
          <w:i/>
          <w:sz w:val="24"/>
          <w:szCs w:val="24"/>
        </w:rPr>
        <w:t xml:space="preserve"> Market</w:t>
      </w:r>
      <w:r w:rsidRPr="00251B2C">
        <w:rPr>
          <w:rFonts w:ascii="Times New Roman" w:hAnsi="Times New Roman" w:cs="Times New Roman"/>
          <w:sz w:val="24"/>
          <w:szCs w:val="24"/>
        </w:rPr>
        <w:t>. Published November 2014: 4</w:t>
      </w:r>
      <w:r w:rsidRPr="00251B2C">
        <w:rPr>
          <w:rFonts w:ascii="Times New Roman" w:hAnsi="Times New Roman" w:cs="Times New Roman"/>
          <w:sz w:val="24"/>
          <w:szCs w:val="24"/>
          <w:vertAlign w:val="superscript"/>
        </w:rPr>
        <w:t>th</w:t>
      </w:r>
      <w:r w:rsidRPr="00251B2C">
        <w:rPr>
          <w:rFonts w:ascii="Times New Roman" w:hAnsi="Times New Roman" w:cs="Times New Roman"/>
          <w:sz w:val="24"/>
          <w:szCs w:val="24"/>
        </w:rPr>
        <w:t xml:space="preserve"> Edition. </w:t>
      </w:r>
    </w:p>
    <w:p w14:paraId="376C4CE6" w14:textId="6983A03A" w:rsidR="00A755F5" w:rsidRPr="00251B2C" w:rsidRDefault="00A755F5" w:rsidP="009B1361">
      <w:pPr>
        <w:spacing w:before="120" w:after="0" w:line="240" w:lineRule="auto"/>
        <w:jc w:val="both"/>
        <w:rPr>
          <w:rFonts w:ascii="Times New Roman" w:hAnsi="Times New Roman" w:cs="Times New Roman"/>
          <w:sz w:val="24"/>
          <w:szCs w:val="24"/>
        </w:rPr>
      </w:pPr>
      <w:r w:rsidRPr="00251B2C">
        <w:rPr>
          <w:rFonts w:ascii="Times New Roman" w:hAnsi="Times New Roman" w:cs="Times New Roman"/>
          <w:sz w:val="24"/>
          <w:szCs w:val="24"/>
        </w:rPr>
        <w:t xml:space="preserve">IIFM. (2016). </w:t>
      </w:r>
      <w:r w:rsidR="000F4C35">
        <w:rPr>
          <w:rFonts w:ascii="Times New Roman" w:hAnsi="Times New Roman" w:cs="Times New Roman"/>
          <w:i/>
          <w:sz w:val="24"/>
          <w:szCs w:val="24"/>
        </w:rPr>
        <w:t>Sukuk</w:t>
      </w:r>
      <w:r w:rsidRPr="00251B2C">
        <w:rPr>
          <w:rFonts w:ascii="Times New Roman" w:hAnsi="Times New Roman" w:cs="Times New Roman"/>
          <w:i/>
          <w:sz w:val="24"/>
          <w:szCs w:val="24"/>
        </w:rPr>
        <w:t xml:space="preserve"> Report: A Comprehension study of the Global </w:t>
      </w:r>
      <w:r w:rsidR="000F4C35">
        <w:rPr>
          <w:rFonts w:ascii="Times New Roman" w:hAnsi="Times New Roman" w:cs="Times New Roman"/>
          <w:i/>
          <w:sz w:val="24"/>
          <w:szCs w:val="24"/>
        </w:rPr>
        <w:t>Sukuk</w:t>
      </w:r>
      <w:r w:rsidRPr="00251B2C">
        <w:rPr>
          <w:rFonts w:ascii="Times New Roman" w:hAnsi="Times New Roman" w:cs="Times New Roman"/>
          <w:i/>
          <w:sz w:val="24"/>
          <w:szCs w:val="24"/>
        </w:rPr>
        <w:t xml:space="preserve"> Market</w:t>
      </w:r>
      <w:r w:rsidRPr="00251B2C">
        <w:rPr>
          <w:rFonts w:ascii="Times New Roman" w:hAnsi="Times New Roman" w:cs="Times New Roman"/>
          <w:sz w:val="24"/>
          <w:szCs w:val="24"/>
        </w:rPr>
        <w:t>, Published March 2014: 5</w:t>
      </w:r>
      <w:r w:rsidRPr="00251B2C">
        <w:rPr>
          <w:rFonts w:ascii="Times New Roman" w:hAnsi="Times New Roman" w:cs="Times New Roman"/>
          <w:sz w:val="24"/>
          <w:szCs w:val="24"/>
          <w:vertAlign w:val="superscript"/>
        </w:rPr>
        <w:t>th</w:t>
      </w:r>
      <w:r w:rsidRPr="00251B2C">
        <w:rPr>
          <w:rFonts w:ascii="Times New Roman" w:hAnsi="Times New Roman" w:cs="Times New Roman"/>
          <w:sz w:val="24"/>
          <w:szCs w:val="24"/>
        </w:rPr>
        <w:t xml:space="preserve"> Edition.</w:t>
      </w:r>
    </w:p>
    <w:p w14:paraId="50CEDFAE" w14:textId="77777777" w:rsidR="00A755F5" w:rsidRPr="00251B2C" w:rsidRDefault="00A755F5" w:rsidP="009B1361">
      <w:pPr>
        <w:spacing w:before="120" w:after="0" w:line="240" w:lineRule="auto"/>
        <w:jc w:val="both"/>
        <w:rPr>
          <w:rFonts w:ascii="Times New Roman" w:hAnsi="Times New Roman" w:cs="Times New Roman"/>
          <w:sz w:val="24"/>
          <w:szCs w:val="24"/>
        </w:rPr>
      </w:pPr>
      <w:r w:rsidRPr="00251B2C">
        <w:rPr>
          <w:rFonts w:ascii="Times New Roman" w:hAnsi="Times New Roman" w:cs="Times New Roman"/>
          <w:sz w:val="24"/>
          <w:szCs w:val="24"/>
        </w:rPr>
        <w:t xml:space="preserve"> Obaidullah, M. (2009). Islamic Risk Management: Towards Greater Ethics and Efficiency.  </w:t>
      </w:r>
      <w:r w:rsidRPr="00251B2C">
        <w:rPr>
          <w:rFonts w:ascii="Times New Roman" w:hAnsi="Times New Roman" w:cs="Times New Roman"/>
          <w:i/>
          <w:sz w:val="24"/>
          <w:szCs w:val="24"/>
        </w:rPr>
        <w:t>International Journal of Islamic Financial Services</w:t>
      </w:r>
      <w:r w:rsidRPr="00251B2C">
        <w:rPr>
          <w:rFonts w:ascii="Times New Roman" w:hAnsi="Times New Roman" w:cs="Times New Roman"/>
          <w:sz w:val="24"/>
          <w:szCs w:val="24"/>
        </w:rPr>
        <w:t>. 3 (4).</w:t>
      </w:r>
    </w:p>
    <w:p w14:paraId="5C2D0777" w14:textId="77777777" w:rsidR="00A858A8" w:rsidRDefault="00A858A8" w:rsidP="009B1361">
      <w:pPr>
        <w:widowControl w:val="0"/>
        <w:tabs>
          <w:tab w:val="left" w:pos="510"/>
        </w:tabs>
        <w:autoSpaceDE w:val="0"/>
        <w:autoSpaceDN w:val="0"/>
        <w:spacing w:before="120" w:after="0" w:line="240" w:lineRule="auto"/>
        <w:jc w:val="both"/>
        <w:rPr>
          <w:rFonts w:ascii="Times New Roman" w:eastAsia="Times New Roman" w:hAnsi="Times New Roman" w:cs="Times New Roman"/>
          <w:color w:val="050505"/>
          <w:w w:val="105"/>
          <w:sz w:val="24"/>
          <w:szCs w:val="24"/>
          <w:lang w:val="en-US"/>
        </w:rPr>
      </w:pPr>
      <w:r>
        <w:rPr>
          <w:rFonts w:ascii="Times New Roman" w:eastAsia="Times New Roman" w:hAnsi="Times New Roman" w:cs="Times New Roman"/>
          <w:color w:val="050505"/>
          <w:sz w:val="24"/>
          <w:szCs w:val="24"/>
          <w:lang w:val="en-US"/>
        </w:rPr>
        <w:t xml:space="preserve">Funds at </w:t>
      </w:r>
      <w:proofErr w:type="gramStart"/>
      <w:r>
        <w:rPr>
          <w:rFonts w:ascii="Times New Roman" w:eastAsia="Times New Roman" w:hAnsi="Times New Roman" w:cs="Times New Roman"/>
          <w:color w:val="050505"/>
          <w:sz w:val="24"/>
          <w:szCs w:val="24"/>
          <w:lang w:val="en-US"/>
        </w:rPr>
        <w:t>Work</w:t>
      </w:r>
      <w:r w:rsidR="00A755F5" w:rsidRPr="00251B2C">
        <w:rPr>
          <w:rFonts w:ascii="Times New Roman" w:eastAsia="Times New Roman" w:hAnsi="Times New Roman" w:cs="Times New Roman"/>
          <w:color w:val="050505"/>
          <w:sz w:val="24"/>
          <w:szCs w:val="24"/>
          <w:lang w:val="en-US"/>
        </w:rPr>
        <w:t xml:space="preserve">  (</w:t>
      </w:r>
      <w:proofErr w:type="gramEnd"/>
      <w:r w:rsidR="00A755F5" w:rsidRPr="00251B2C">
        <w:rPr>
          <w:rFonts w:ascii="Times New Roman" w:eastAsia="Times New Roman" w:hAnsi="Times New Roman" w:cs="Times New Roman"/>
          <w:color w:val="050505"/>
          <w:sz w:val="24"/>
          <w:szCs w:val="24"/>
          <w:lang w:val="en-US"/>
        </w:rPr>
        <w:t xml:space="preserve">2010). </w:t>
      </w:r>
      <w:r w:rsidR="00A755F5" w:rsidRPr="00251B2C">
        <w:rPr>
          <w:rFonts w:ascii="Times New Roman" w:eastAsia="Times New Roman" w:hAnsi="Times New Roman" w:cs="Times New Roman"/>
          <w:i/>
          <w:color w:val="050505"/>
          <w:sz w:val="24"/>
          <w:szCs w:val="24"/>
          <w:lang w:val="en-US"/>
        </w:rPr>
        <w:t>Shariah Scholars - A Network Analytic</w:t>
      </w:r>
      <w:r w:rsidR="00A755F5" w:rsidRPr="00251B2C">
        <w:rPr>
          <w:rFonts w:ascii="Times New Roman" w:eastAsia="Times New Roman" w:hAnsi="Times New Roman" w:cs="Times New Roman"/>
          <w:i/>
          <w:color w:val="050505"/>
          <w:spacing w:val="34"/>
          <w:sz w:val="24"/>
          <w:szCs w:val="24"/>
          <w:lang w:val="en-US"/>
        </w:rPr>
        <w:t xml:space="preserve"> </w:t>
      </w:r>
      <w:r w:rsidR="00A755F5" w:rsidRPr="00251B2C">
        <w:rPr>
          <w:rFonts w:ascii="Times New Roman" w:eastAsia="Times New Roman" w:hAnsi="Times New Roman" w:cs="Times New Roman"/>
          <w:i/>
          <w:color w:val="050505"/>
          <w:sz w:val="24"/>
          <w:szCs w:val="24"/>
          <w:lang w:val="en-US"/>
        </w:rPr>
        <w:t xml:space="preserve">Perspective. </w:t>
      </w:r>
      <w:r w:rsidR="00A755F5" w:rsidRPr="00251B2C">
        <w:rPr>
          <w:rFonts w:ascii="Times New Roman" w:eastAsia="Times New Roman" w:hAnsi="Times New Roman" w:cs="Times New Roman"/>
          <w:color w:val="050505"/>
          <w:w w:val="105"/>
          <w:sz w:val="24"/>
          <w:szCs w:val="24"/>
          <w:lang w:val="en-US"/>
        </w:rPr>
        <w:t xml:space="preserve">The Investment Industry’s Strategy Consultant. </w:t>
      </w:r>
    </w:p>
    <w:p w14:paraId="5095D02F" w14:textId="655AD315" w:rsidR="00A755F5" w:rsidRPr="00251B2C" w:rsidRDefault="00A755F5" w:rsidP="009B1361">
      <w:pPr>
        <w:spacing w:before="120" w:after="0" w:line="240" w:lineRule="auto"/>
        <w:jc w:val="both"/>
        <w:rPr>
          <w:rFonts w:ascii="Times New Roman" w:hAnsi="Times New Roman" w:cs="Times New Roman"/>
          <w:sz w:val="24"/>
          <w:szCs w:val="24"/>
        </w:rPr>
      </w:pPr>
      <w:r w:rsidRPr="00251B2C">
        <w:rPr>
          <w:rFonts w:ascii="Times New Roman" w:hAnsi="Times New Roman" w:cs="Times New Roman"/>
          <w:sz w:val="24"/>
          <w:szCs w:val="24"/>
        </w:rPr>
        <w:t xml:space="preserve">Barakat, Z. and Youssef, A. (2009). Product Analysis: </w:t>
      </w:r>
      <w:proofErr w:type="spellStart"/>
      <w:r w:rsidRPr="00251B2C">
        <w:rPr>
          <w:rFonts w:ascii="Times New Roman" w:hAnsi="Times New Roman" w:cs="Times New Roman"/>
          <w:sz w:val="24"/>
          <w:szCs w:val="24"/>
        </w:rPr>
        <w:t>Wa’ad</w:t>
      </w:r>
      <w:proofErr w:type="spellEnd"/>
      <w:r w:rsidRPr="00251B2C">
        <w:rPr>
          <w:rFonts w:ascii="Times New Roman" w:hAnsi="Times New Roman" w:cs="Times New Roman"/>
          <w:sz w:val="24"/>
          <w:szCs w:val="24"/>
        </w:rPr>
        <w:t xml:space="preserve">. Islamic Finance in Practice Issue Three. Available: </w:t>
      </w:r>
      <w:hyperlink r:id="rId35" w:history="1">
        <w:r w:rsidRPr="00546532">
          <w:rPr>
            <w:rStyle w:val="Hyperlink"/>
            <w:rFonts w:ascii="Times New Roman" w:hAnsi="Times New Roman" w:cs="Times New Roman"/>
            <w:color w:val="000000" w:themeColor="text1"/>
            <w:sz w:val="24"/>
            <w:szCs w:val="24"/>
            <w:u w:val="none"/>
          </w:rPr>
          <w:t>http://www.ism.edu/images/stories/publications/IFP-Q1-2009-The-Structure-and-use-of-Waad.pdf</w:t>
        </w:r>
      </w:hyperlink>
      <w:r w:rsidR="00A858A8" w:rsidRPr="00546532">
        <w:rPr>
          <w:rFonts w:ascii="Times New Roman" w:hAnsi="Times New Roman" w:cs="Times New Roman"/>
          <w:color w:val="000000" w:themeColor="text1"/>
          <w:sz w:val="24"/>
          <w:szCs w:val="24"/>
        </w:rPr>
        <w:t xml:space="preserve">. </w:t>
      </w:r>
      <w:r w:rsidR="00A858A8">
        <w:rPr>
          <w:rFonts w:ascii="Times New Roman" w:hAnsi="Times New Roman" w:cs="Times New Roman"/>
          <w:sz w:val="24"/>
          <w:szCs w:val="24"/>
        </w:rPr>
        <w:t>A</w:t>
      </w:r>
      <w:r w:rsidRPr="00251B2C">
        <w:rPr>
          <w:rFonts w:ascii="Times New Roman" w:hAnsi="Times New Roman" w:cs="Times New Roman"/>
          <w:sz w:val="24"/>
          <w:szCs w:val="24"/>
        </w:rPr>
        <w:t>ccessed</w:t>
      </w:r>
      <w:r w:rsidR="00A858A8">
        <w:rPr>
          <w:rFonts w:ascii="Times New Roman" w:hAnsi="Times New Roman" w:cs="Times New Roman"/>
          <w:sz w:val="24"/>
          <w:szCs w:val="24"/>
        </w:rPr>
        <w:t xml:space="preserve"> Date: </w:t>
      </w:r>
      <w:r w:rsidRPr="00251B2C">
        <w:rPr>
          <w:rFonts w:ascii="Times New Roman" w:hAnsi="Times New Roman" w:cs="Times New Roman"/>
          <w:sz w:val="24"/>
          <w:szCs w:val="24"/>
        </w:rPr>
        <w:t xml:space="preserve"> 01</w:t>
      </w:r>
      <w:r w:rsidR="00A858A8" w:rsidRPr="00A858A8">
        <w:rPr>
          <w:rFonts w:ascii="Times New Roman" w:hAnsi="Times New Roman" w:cs="Times New Roman"/>
          <w:sz w:val="24"/>
          <w:szCs w:val="24"/>
          <w:vertAlign w:val="superscript"/>
        </w:rPr>
        <w:t>st</w:t>
      </w:r>
      <w:r w:rsidR="00A858A8">
        <w:rPr>
          <w:rFonts w:ascii="Times New Roman" w:hAnsi="Times New Roman" w:cs="Times New Roman"/>
          <w:sz w:val="24"/>
          <w:szCs w:val="24"/>
        </w:rPr>
        <w:t xml:space="preserve"> April </w:t>
      </w:r>
      <w:r w:rsidRPr="00251B2C">
        <w:rPr>
          <w:rFonts w:ascii="Times New Roman" w:hAnsi="Times New Roman" w:cs="Times New Roman"/>
          <w:sz w:val="24"/>
          <w:szCs w:val="24"/>
        </w:rPr>
        <w:t>2017.</w:t>
      </w:r>
    </w:p>
    <w:p w14:paraId="1E607178" w14:textId="3458FD33" w:rsidR="00A755F5" w:rsidRPr="00251B2C" w:rsidRDefault="00A755F5" w:rsidP="009B1361">
      <w:pPr>
        <w:widowControl w:val="0"/>
        <w:autoSpaceDE w:val="0"/>
        <w:autoSpaceDN w:val="0"/>
        <w:spacing w:before="120" w:after="0" w:line="240" w:lineRule="auto"/>
        <w:ind w:right="138"/>
        <w:jc w:val="both"/>
        <w:rPr>
          <w:rFonts w:ascii="Times New Roman" w:eastAsia="Calibri" w:hAnsi="Times New Roman" w:cs="Times New Roman"/>
          <w:sz w:val="24"/>
          <w:szCs w:val="24"/>
        </w:rPr>
      </w:pPr>
      <w:proofErr w:type="spellStart"/>
      <w:r w:rsidRPr="00251B2C">
        <w:rPr>
          <w:rFonts w:ascii="Times New Roman" w:eastAsia="Calibri" w:hAnsi="Times New Roman" w:cs="Times New Roman"/>
          <w:sz w:val="24"/>
          <w:szCs w:val="24"/>
        </w:rPr>
        <w:t>Kunhibava</w:t>
      </w:r>
      <w:proofErr w:type="spellEnd"/>
      <w:r w:rsidRPr="00251B2C">
        <w:rPr>
          <w:rFonts w:ascii="Times New Roman" w:eastAsia="Calibri" w:hAnsi="Times New Roman" w:cs="Times New Roman"/>
          <w:sz w:val="24"/>
          <w:szCs w:val="24"/>
        </w:rPr>
        <w:t xml:space="preserve">, S. (2010). Derivatives in Islamic Finance. International Shariah Research Academy for Islamic Finance (ISRA). </w:t>
      </w:r>
    </w:p>
    <w:p w14:paraId="74EDCCA0" w14:textId="6CD7E4AA" w:rsidR="00A755F5" w:rsidRPr="00251B2C" w:rsidRDefault="00A755F5" w:rsidP="009B1361">
      <w:pPr>
        <w:widowControl w:val="0"/>
        <w:autoSpaceDE w:val="0"/>
        <w:autoSpaceDN w:val="0"/>
        <w:spacing w:before="120" w:after="0" w:line="240" w:lineRule="auto"/>
        <w:ind w:right="138"/>
        <w:jc w:val="both"/>
        <w:rPr>
          <w:rFonts w:ascii="Times New Roman" w:hAnsi="Times New Roman" w:cs="Times New Roman"/>
          <w:sz w:val="24"/>
          <w:szCs w:val="24"/>
        </w:rPr>
      </w:pPr>
      <w:r w:rsidRPr="00251B2C">
        <w:rPr>
          <w:rFonts w:ascii="Times New Roman" w:hAnsi="Times New Roman" w:cs="Times New Roman"/>
          <w:sz w:val="24"/>
          <w:szCs w:val="24"/>
        </w:rPr>
        <w:t xml:space="preserve">Obaidullah, M. (1998). </w:t>
      </w:r>
      <w:r w:rsidRPr="00251B2C">
        <w:rPr>
          <w:rFonts w:ascii="Times New Roman" w:hAnsi="Times New Roman" w:cs="Times New Roman"/>
          <w:i/>
          <w:sz w:val="24"/>
          <w:szCs w:val="24"/>
        </w:rPr>
        <w:t xml:space="preserve">Financial Engineering with Islamic Options. Islamic Economic Studies. </w:t>
      </w:r>
    </w:p>
    <w:p w14:paraId="61D013A1" w14:textId="7684618F" w:rsidR="00A755F5" w:rsidRPr="00251B2C" w:rsidRDefault="00A755F5" w:rsidP="009B1361">
      <w:pPr>
        <w:spacing w:before="120" w:after="0" w:line="240" w:lineRule="auto"/>
        <w:rPr>
          <w:rFonts w:ascii="Times New Roman" w:eastAsia="Calibri" w:hAnsi="Times New Roman" w:cs="Times New Roman"/>
          <w:color w:val="000000"/>
          <w:sz w:val="24"/>
          <w:szCs w:val="24"/>
        </w:rPr>
      </w:pPr>
      <w:r w:rsidRPr="00251B2C">
        <w:rPr>
          <w:rFonts w:ascii="Times New Roman" w:eastAsia="Calibri" w:hAnsi="Times New Roman" w:cs="Times New Roman"/>
          <w:color w:val="000000"/>
          <w:sz w:val="24"/>
          <w:szCs w:val="24"/>
        </w:rPr>
        <w:t>Perignon, C., and Smith, D.R. (2008).</w:t>
      </w:r>
      <w:r w:rsidRPr="00251B2C">
        <w:rPr>
          <w:rFonts w:ascii="Times New Roman" w:eastAsia="Calibri" w:hAnsi="Times New Roman" w:cs="Times New Roman"/>
          <w:i/>
          <w:iCs/>
          <w:color w:val="000000"/>
          <w:sz w:val="24"/>
          <w:szCs w:val="24"/>
        </w:rPr>
        <w:t xml:space="preserve"> A New Approach to Comparing VaR Estimation Methods.</w:t>
      </w:r>
      <w:r w:rsidRPr="00251B2C">
        <w:rPr>
          <w:rFonts w:ascii="Times New Roman" w:eastAsia="Calibri" w:hAnsi="Times New Roman" w:cs="Times New Roman"/>
          <w:color w:val="000000"/>
          <w:sz w:val="24"/>
          <w:szCs w:val="24"/>
        </w:rPr>
        <w:t xml:space="preserve"> Available: </w:t>
      </w:r>
      <w:hyperlink r:id="rId36" w:history="1">
        <w:r w:rsidRPr="00546532">
          <w:rPr>
            <w:rFonts w:ascii="Times New Roman" w:eastAsia="Calibri" w:hAnsi="Times New Roman" w:cs="Times New Roman"/>
            <w:color w:val="000000" w:themeColor="text1"/>
            <w:sz w:val="24"/>
            <w:szCs w:val="24"/>
          </w:rPr>
          <w:t>http://papers.ssrn.com/sol3/papers.cfm?abstract_id=981207&amp;rec=1&amp;srcabs=626682&amp;alg=1&amp;pos=2</w:t>
        </w:r>
      </w:hyperlink>
      <w:r w:rsidR="00A858A8" w:rsidRPr="00546532">
        <w:rPr>
          <w:rFonts w:ascii="Times New Roman" w:eastAsia="Calibri" w:hAnsi="Times New Roman" w:cs="Times New Roman"/>
          <w:color w:val="000000" w:themeColor="text1"/>
          <w:sz w:val="24"/>
          <w:szCs w:val="24"/>
        </w:rPr>
        <w:t xml:space="preserve">. </w:t>
      </w:r>
      <w:r w:rsidR="00A858A8">
        <w:rPr>
          <w:rFonts w:ascii="Times New Roman" w:eastAsia="Calibri" w:hAnsi="Times New Roman" w:cs="Times New Roman"/>
          <w:color w:val="000000"/>
          <w:sz w:val="24"/>
          <w:szCs w:val="24"/>
        </w:rPr>
        <w:t>A</w:t>
      </w:r>
      <w:r w:rsidRPr="00251B2C">
        <w:rPr>
          <w:rFonts w:ascii="Times New Roman" w:eastAsia="Calibri" w:hAnsi="Times New Roman" w:cs="Times New Roman"/>
          <w:color w:val="000000"/>
          <w:sz w:val="24"/>
          <w:szCs w:val="24"/>
        </w:rPr>
        <w:t>ccessed 03</w:t>
      </w:r>
      <w:r w:rsidR="00A858A8" w:rsidRPr="00A858A8">
        <w:rPr>
          <w:rFonts w:ascii="Times New Roman" w:eastAsia="Calibri" w:hAnsi="Times New Roman" w:cs="Times New Roman"/>
          <w:color w:val="000000"/>
          <w:sz w:val="24"/>
          <w:szCs w:val="24"/>
          <w:vertAlign w:val="superscript"/>
        </w:rPr>
        <w:t>rd</w:t>
      </w:r>
      <w:r w:rsidR="00A858A8">
        <w:rPr>
          <w:rFonts w:ascii="Times New Roman" w:eastAsia="Calibri" w:hAnsi="Times New Roman" w:cs="Times New Roman"/>
          <w:color w:val="000000"/>
          <w:sz w:val="24"/>
          <w:szCs w:val="24"/>
        </w:rPr>
        <w:t xml:space="preserve"> January 2017</w:t>
      </w:r>
      <w:r w:rsidRPr="00251B2C">
        <w:rPr>
          <w:rFonts w:ascii="Times New Roman" w:eastAsia="Calibri" w:hAnsi="Times New Roman" w:cs="Times New Roman"/>
          <w:color w:val="000000"/>
          <w:sz w:val="24"/>
          <w:szCs w:val="24"/>
        </w:rPr>
        <w:t>.</w:t>
      </w:r>
    </w:p>
    <w:p w14:paraId="068DEAEC" w14:textId="5FDC62D0" w:rsidR="00A755F5" w:rsidRDefault="00A755F5" w:rsidP="00A755F5">
      <w:pPr>
        <w:pStyle w:val="Heading1"/>
        <w:rPr>
          <w:rFonts w:ascii="Times New Roman" w:hAnsi="Times New Roman" w:cs="Times New Roman"/>
          <w:sz w:val="24"/>
          <w:szCs w:val="24"/>
        </w:rPr>
      </w:pPr>
    </w:p>
    <w:p w14:paraId="25D7CC19" w14:textId="2C02C96A" w:rsidR="00B4199F" w:rsidRPr="00251B2C" w:rsidRDefault="00B4199F" w:rsidP="00B4199F">
      <w:pPr>
        <w:spacing w:before="120" w:after="120" w:line="360" w:lineRule="auto"/>
        <w:rPr>
          <w:rStyle w:val="Heading1Char"/>
          <w:rFonts w:ascii="Times New Roman" w:hAnsi="Times New Roman" w:cs="Times New Roman"/>
          <w:sz w:val="24"/>
          <w:szCs w:val="24"/>
        </w:rPr>
      </w:pPr>
      <w:bookmarkStart w:id="113" w:name="_Toc481617412"/>
      <w:r w:rsidRPr="00251B2C">
        <w:rPr>
          <w:rStyle w:val="Heading1Char"/>
          <w:rFonts w:ascii="Times New Roman" w:hAnsi="Times New Roman" w:cs="Times New Roman"/>
          <w:sz w:val="24"/>
          <w:szCs w:val="24"/>
        </w:rPr>
        <w:lastRenderedPageBreak/>
        <w:t>APPENDICES</w:t>
      </w:r>
      <w:bookmarkEnd w:id="113"/>
    </w:p>
    <w:p w14:paraId="62BD9D2B" w14:textId="77777777" w:rsidR="00B4199F" w:rsidRPr="00251B2C" w:rsidRDefault="00B4199F" w:rsidP="00B4199F">
      <w:pPr>
        <w:spacing w:before="120" w:after="120" w:line="360" w:lineRule="auto"/>
        <w:jc w:val="center"/>
        <w:rPr>
          <w:rFonts w:ascii="Times New Roman" w:hAnsi="Times New Roman" w:cs="Times New Roman"/>
          <w:b/>
          <w:sz w:val="24"/>
          <w:szCs w:val="24"/>
          <w:shd w:val="clear" w:color="auto" w:fill="FFFFFF" w:themeFill="background1"/>
        </w:rPr>
      </w:pPr>
      <w:bookmarkStart w:id="114" w:name="_Toc481617413"/>
      <w:r w:rsidRPr="00251B2C">
        <w:rPr>
          <w:rStyle w:val="Heading2Char"/>
          <w:rFonts w:ascii="Times New Roman" w:eastAsiaTheme="minorHAnsi" w:hAnsi="Times New Roman" w:cs="Times New Roman"/>
          <w:sz w:val="24"/>
          <w:szCs w:val="24"/>
        </w:rPr>
        <w:t>APPENDIX - A</w:t>
      </w:r>
      <w:bookmarkEnd w:id="114"/>
      <w:r w:rsidRPr="00251B2C">
        <w:rPr>
          <w:rFonts w:ascii="Times New Roman" w:hAnsi="Times New Roman" w:cs="Times New Roman"/>
          <w:sz w:val="24"/>
          <w:szCs w:val="24"/>
        </w:rPr>
        <w:br/>
        <w:t>Table 1: Main types of sukuk structures.</w:t>
      </w:r>
    </w:p>
    <w:tbl>
      <w:tblPr>
        <w:tblW w:w="8389"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8"/>
        <w:gridCol w:w="6091"/>
      </w:tblGrid>
      <w:tr w:rsidR="00B4199F" w:rsidRPr="00251B2C" w14:paraId="123ED3F0" w14:textId="77777777" w:rsidTr="001A131A">
        <w:trPr>
          <w:trHeight w:val="558"/>
        </w:trPr>
        <w:tc>
          <w:tcPr>
            <w:tcW w:w="2298" w:type="dxa"/>
            <w:tcBorders>
              <w:top w:val="single" w:sz="4" w:space="0" w:color="000000"/>
              <w:left w:val="single" w:sz="4" w:space="0" w:color="000000"/>
              <w:bottom w:val="single" w:sz="4" w:space="0" w:color="000000"/>
              <w:right w:val="single" w:sz="4" w:space="0" w:color="000000"/>
            </w:tcBorders>
            <w:hideMark/>
          </w:tcPr>
          <w:p w14:paraId="1F435C68" w14:textId="77777777" w:rsidR="00B4199F" w:rsidRPr="00251B2C" w:rsidRDefault="00B4199F" w:rsidP="001A131A">
            <w:pPr>
              <w:widowControl w:val="0"/>
              <w:autoSpaceDE w:val="0"/>
              <w:autoSpaceDN w:val="0"/>
              <w:spacing w:before="80" w:after="120" w:line="240" w:lineRule="auto"/>
              <w:ind w:left="578"/>
              <w:rPr>
                <w:rFonts w:ascii="Times New Roman" w:eastAsia="Arial" w:hAnsi="Times New Roman" w:cs="Times New Roman"/>
                <w:b/>
                <w:sz w:val="24"/>
                <w:szCs w:val="24"/>
                <w:lang w:val="en-US"/>
              </w:rPr>
            </w:pPr>
            <w:r w:rsidRPr="00251B2C">
              <w:rPr>
                <w:rFonts w:ascii="Times New Roman" w:eastAsia="Arial" w:hAnsi="Times New Roman" w:cs="Times New Roman"/>
                <w:b/>
                <w:sz w:val="24"/>
                <w:szCs w:val="24"/>
                <w:lang w:val="en-US"/>
              </w:rPr>
              <w:t>Sukuk type</w:t>
            </w:r>
          </w:p>
        </w:tc>
        <w:tc>
          <w:tcPr>
            <w:tcW w:w="6091" w:type="dxa"/>
            <w:tcBorders>
              <w:top w:val="single" w:sz="4" w:space="0" w:color="000000"/>
              <w:left w:val="single" w:sz="4" w:space="0" w:color="000000"/>
              <w:bottom w:val="single" w:sz="4" w:space="0" w:color="000000"/>
              <w:right w:val="single" w:sz="4" w:space="0" w:color="000000"/>
            </w:tcBorders>
            <w:hideMark/>
          </w:tcPr>
          <w:p w14:paraId="763CB6D4" w14:textId="77777777" w:rsidR="00B4199F" w:rsidRPr="00251B2C" w:rsidRDefault="00B4199F" w:rsidP="001A131A">
            <w:pPr>
              <w:pStyle w:val="Heading4"/>
              <w:spacing w:before="80" w:line="240" w:lineRule="auto"/>
              <w:rPr>
                <w:rFonts w:ascii="Times New Roman" w:hAnsi="Times New Roman" w:cs="Times New Roman"/>
                <w:sz w:val="24"/>
                <w:szCs w:val="24"/>
              </w:rPr>
            </w:pPr>
            <w:r w:rsidRPr="00251B2C">
              <w:rPr>
                <w:rFonts w:ascii="Times New Roman" w:hAnsi="Times New Roman" w:cs="Times New Roman"/>
                <w:sz w:val="24"/>
                <w:szCs w:val="24"/>
              </w:rPr>
              <w:t>Characteristics</w:t>
            </w:r>
          </w:p>
        </w:tc>
      </w:tr>
      <w:tr w:rsidR="00B4199F" w:rsidRPr="00251B2C" w14:paraId="51380858" w14:textId="77777777" w:rsidTr="001A131A">
        <w:trPr>
          <w:trHeight w:val="1700"/>
        </w:trPr>
        <w:tc>
          <w:tcPr>
            <w:tcW w:w="2298" w:type="dxa"/>
            <w:tcBorders>
              <w:top w:val="single" w:sz="4" w:space="0" w:color="000000"/>
              <w:left w:val="single" w:sz="4" w:space="0" w:color="000000"/>
              <w:bottom w:val="single" w:sz="4" w:space="0" w:color="000000"/>
              <w:right w:val="single" w:sz="4" w:space="0" w:color="000000"/>
            </w:tcBorders>
          </w:tcPr>
          <w:p w14:paraId="0F55477A" w14:textId="77777777" w:rsidR="00B4199F" w:rsidRPr="00251B2C" w:rsidRDefault="00B4199F" w:rsidP="001A131A">
            <w:pPr>
              <w:widowControl w:val="0"/>
              <w:autoSpaceDE w:val="0"/>
              <w:autoSpaceDN w:val="0"/>
              <w:spacing w:before="80" w:after="120" w:line="240" w:lineRule="auto"/>
              <w:ind w:left="103"/>
              <w:rPr>
                <w:rFonts w:ascii="Times New Roman" w:eastAsia="Arial" w:hAnsi="Times New Roman" w:cs="Times New Roman"/>
                <w:b/>
                <w:sz w:val="24"/>
                <w:szCs w:val="24"/>
                <w:lang w:val="en-US"/>
              </w:rPr>
            </w:pPr>
            <w:proofErr w:type="spellStart"/>
            <w:r w:rsidRPr="00251B2C">
              <w:rPr>
                <w:rFonts w:ascii="Times New Roman" w:eastAsia="Arial" w:hAnsi="Times New Roman" w:cs="Times New Roman"/>
                <w:b/>
                <w:sz w:val="24"/>
                <w:szCs w:val="24"/>
                <w:lang w:val="en-US"/>
              </w:rPr>
              <w:t>Murabaha</w:t>
            </w:r>
            <w:proofErr w:type="spellEnd"/>
          </w:p>
          <w:p w14:paraId="55A3CA04" w14:textId="77777777" w:rsidR="00B4199F" w:rsidRPr="00251B2C" w:rsidRDefault="00B4199F" w:rsidP="001A131A">
            <w:pPr>
              <w:widowControl w:val="0"/>
              <w:autoSpaceDE w:val="0"/>
              <w:autoSpaceDN w:val="0"/>
              <w:spacing w:before="80" w:after="120" w:line="240" w:lineRule="auto"/>
              <w:ind w:left="158"/>
              <w:rPr>
                <w:rFonts w:ascii="Times New Roman" w:eastAsia="Arial" w:hAnsi="Times New Roman" w:cs="Times New Roman"/>
                <w:sz w:val="24"/>
                <w:szCs w:val="24"/>
                <w:lang w:val="en-US"/>
              </w:rPr>
            </w:pPr>
            <w:r w:rsidRPr="00251B2C">
              <w:rPr>
                <w:rFonts w:ascii="Times New Roman" w:eastAsia="Arial" w:hAnsi="Times New Roman" w:cs="Times New Roman"/>
                <w:sz w:val="24"/>
                <w:szCs w:val="24"/>
                <w:lang w:val="en-US"/>
              </w:rPr>
              <w:t>(mark-up sale)</w:t>
            </w:r>
          </w:p>
        </w:tc>
        <w:tc>
          <w:tcPr>
            <w:tcW w:w="6091" w:type="dxa"/>
            <w:tcBorders>
              <w:top w:val="single" w:sz="4" w:space="0" w:color="000000"/>
              <w:left w:val="single" w:sz="4" w:space="0" w:color="000000"/>
              <w:bottom w:val="single" w:sz="4" w:space="0" w:color="000000"/>
              <w:right w:val="single" w:sz="4" w:space="0" w:color="000000"/>
            </w:tcBorders>
            <w:hideMark/>
          </w:tcPr>
          <w:p w14:paraId="0789EC39" w14:textId="77777777" w:rsidR="00B4199F" w:rsidRPr="00251B2C" w:rsidRDefault="00B4199F" w:rsidP="001A131A">
            <w:pPr>
              <w:widowControl w:val="0"/>
              <w:autoSpaceDE w:val="0"/>
              <w:autoSpaceDN w:val="0"/>
              <w:spacing w:before="80" w:after="120" w:line="240" w:lineRule="auto"/>
              <w:ind w:left="102" w:right="304"/>
              <w:jc w:val="both"/>
              <w:rPr>
                <w:rFonts w:ascii="Times New Roman" w:eastAsia="Arial" w:hAnsi="Times New Roman" w:cs="Times New Roman"/>
                <w:sz w:val="24"/>
                <w:szCs w:val="24"/>
                <w:lang w:val="en-US"/>
              </w:rPr>
            </w:pPr>
            <w:r w:rsidRPr="00251B2C">
              <w:rPr>
                <w:rFonts w:ascii="Times New Roman" w:eastAsia="Arial" w:hAnsi="Times New Roman" w:cs="Times New Roman"/>
                <w:sz w:val="24"/>
                <w:szCs w:val="24"/>
                <w:lang w:val="en-US"/>
              </w:rPr>
              <w:t>Usually used for purchasing products under an instalment sales contract. In this type of transaction, an asset is acquired by the purchaser (usually a bank); from a third party, at the demand of the originator. The product is then resold to the originator at an agreed mark-up for immediate or deferred payment in instalments.</w:t>
            </w:r>
          </w:p>
        </w:tc>
      </w:tr>
      <w:tr w:rsidR="00B4199F" w:rsidRPr="00251B2C" w14:paraId="74EA2F8F" w14:textId="77777777" w:rsidTr="001A131A">
        <w:trPr>
          <w:trHeight w:val="1403"/>
        </w:trPr>
        <w:tc>
          <w:tcPr>
            <w:tcW w:w="2298" w:type="dxa"/>
            <w:tcBorders>
              <w:top w:val="single" w:sz="4" w:space="0" w:color="000000"/>
              <w:left w:val="single" w:sz="4" w:space="0" w:color="000000"/>
              <w:bottom w:val="single" w:sz="4" w:space="0" w:color="000000"/>
              <w:right w:val="single" w:sz="4" w:space="0" w:color="000000"/>
            </w:tcBorders>
          </w:tcPr>
          <w:p w14:paraId="6DA4F64D" w14:textId="77777777" w:rsidR="00B4199F" w:rsidRPr="00251B2C" w:rsidRDefault="00B4199F" w:rsidP="001A131A">
            <w:pPr>
              <w:widowControl w:val="0"/>
              <w:autoSpaceDE w:val="0"/>
              <w:autoSpaceDN w:val="0"/>
              <w:spacing w:before="80" w:after="120" w:line="240" w:lineRule="auto"/>
              <w:ind w:left="103"/>
              <w:rPr>
                <w:rFonts w:ascii="Times New Roman" w:eastAsia="Arial" w:hAnsi="Times New Roman" w:cs="Times New Roman"/>
                <w:b/>
                <w:sz w:val="24"/>
                <w:szCs w:val="24"/>
                <w:lang w:val="en-US"/>
              </w:rPr>
            </w:pPr>
          </w:p>
          <w:p w14:paraId="6C89DC1C" w14:textId="77777777" w:rsidR="00B4199F" w:rsidRPr="00251B2C" w:rsidRDefault="00B4199F" w:rsidP="001A131A">
            <w:pPr>
              <w:widowControl w:val="0"/>
              <w:autoSpaceDE w:val="0"/>
              <w:autoSpaceDN w:val="0"/>
              <w:spacing w:before="80" w:after="120" w:line="240" w:lineRule="auto"/>
              <w:ind w:left="103"/>
              <w:rPr>
                <w:rFonts w:ascii="Times New Roman" w:eastAsia="Arial" w:hAnsi="Times New Roman" w:cs="Times New Roman"/>
                <w:b/>
                <w:sz w:val="24"/>
                <w:szCs w:val="24"/>
                <w:lang w:val="en-US"/>
              </w:rPr>
            </w:pPr>
            <w:proofErr w:type="spellStart"/>
            <w:r w:rsidRPr="00251B2C">
              <w:rPr>
                <w:rFonts w:ascii="Times New Roman" w:eastAsia="Arial" w:hAnsi="Times New Roman" w:cs="Times New Roman"/>
                <w:b/>
                <w:sz w:val="24"/>
                <w:szCs w:val="24"/>
                <w:lang w:val="en-US"/>
              </w:rPr>
              <w:t>Istisna</w:t>
            </w:r>
            <w:proofErr w:type="spellEnd"/>
          </w:p>
          <w:p w14:paraId="7FCE0CFD" w14:textId="77777777" w:rsidR="00B4199F" w:rsidRPr="00251B2C" w:rsidRDefault="00B4199F" w:rsidP="001A131A">
            <w:pPr>
              <w:widowControl w:val="0"/>
              <w:autoSpaceDE w:val="0"/>
              <w:autoSpaceDN w:val="0"/>
              <w:spacing w:before="80" w:after="120" w:line="240" w:lineRule="auto"/>
              <w:ind w:left="103"/>
              <w:rPr>
                <w:rFonts w:ascii="Times New Roman" w:eastAsia="Arial" w:hAnsi="Times New Roman" w:cs="Times New Roman"/>
                <w:sz w:val="24"/>
                <w:szCs w:val="24"/>
                <w:lang w:val="en-US"/>
              </w:rPr>
            </w:pPr>
            <w:r w:rsidRPr="00251B2C">
              <w:rPr>
                <w:rFonts w:ascii="Times New Roman" w:eastAsia="Arial" w:hAnsi="Times New Roman" w:cs="Times New Roman"/>
                <w:sz w:val="24"/>
                <w:szCs w:val="24"/>
                <w:lang w:val="en-US"/>
              </w:rPr>
              <w:t>(Supply agreement)</w:t>
            </w:r>
          </w:p>
        </w:tc>
        <w:tc>
          <w:tcPr>
            <w:tcW w:w="6091" w:type="dxa"/>
            <w:tcBorders>
              <w:top w:val="single" w:sz="4" w:space="0" w:color="000000"/>
              <w:left w:val="single" w:sz="4" w:space="0" w:color="000000"/>
              <w:bottom w:val="single" w:sz="4" w:space="0" w:color="000000"/>
              <w:right w:val="single" w:sz="4" w:space="0" w:color="000000"/>
            </w:tcBorders>
            <w:hideMark/>
          </w:tcPr>
          <w:p w14:paraId="1ED538A1" w14:textId="77777777" w:rsidR="00B4199F" w:rsidRPr="00251B2C" w:rsidRDefault="00B4199F" w:rsidP="001A131A">
            <w:pPr>
              <w:widowControl w:val="0"/>
              <w:autoSpaceDE w:val="0"/>
              <w:autoSpaceDN w:val="0"/>
              <w:spacing w:before="80" w:after="120" w:line="240" w:lineRule="auto"/>
              <w:ind w:left="102" w:right="83"/>
              <w:jc w:val="both"/>
              <w:rPr>
                <w:rFonts w:ascii="Times New Roman" w:eastAsia="Arial" w:hAnsi="Times New Roman" w:cs="Times New Roman"/>
                <w:sz w:val="24"/>
                <w:szCs w:val="24"/>
                <w:lang w:val="en-US"/>
              </w:rPr>
            </w:pPr>
            <w:r w:rsidRPr="00251B2C">
              <w:rPr>
                <w:rFonts w:ascii="Times New Roman" w:eastAsia="Arial" w:hAnsi="Times New Roman" w:cs="Times New Roman"/>
                <w:sz w:val="24"/>
                <w:szCs w:val="24"/>
                <w:lang w:val="en-US"/>
              </w:rPr>
              <w:t>Generally used in infrastructure and large developmental projects. In this type, the Islamic financial institution funds the project during its construction phase, whilst acquiring the title to that asset. Ownership is then passed on to the developer upon competition of the project.</w:t>
            </w:r>
          </w:p>
        </w:tc>
      </w:tr>
      <w:tr w:rsidR="00B4199F" w:rsidRPr="00251B2C" w14:paraId="0002D8E7" w14:textId="77777777" w:rsidTr="001A131A">
        <w:trPr>
          <w:trHeight w:val="859"/>
        </w:trPr>
        <w:tc>
          <w:tcPr>
            <w:tcW w:w="2298" w:type="dxa"/>
            <w:tcBorders>
              <w:top w:val="single" w:sz="4" w:space="0" w:color="000000"/>
              <w:left w:val="single" w:sz="4" w:space="0" w:color="000000"/>
              <w:bottom w:val="single" w:sz="4" w:space="0" w:color="000000"/>
              <w:right w:val="single" w:sz="4" w:space="0" w:color="000000"/>
            </w:tcBorders>
            <w:hideMark/>
          </w:tcPr>
          <w:p w14:paraId="572F6E32" w14:textId="77777777" w:rsidR="00B4199F" w:rsidRPr="00251B2C" w:rsidRDefault="00B4199F" w:rsidP="001A131A">
            <w:pPr>
              <w:widowControl w:val="0"/>
              <w:autoSpaceDE w:val="0"/>
              <w:autoSpaceDN w:val="0"/>
              <w:spacing w:before="80" w:after="120" w:line="240" w:lineRule="auto"/>
              <w:ind w:left="103" w:right="778"/>
              <w:rPr>
                <w:rFonts w:ascii="Times New Roman" w:eastAsia="Arial" w:hAnsi="Times New Roman" w:cs="Times New Roman"/>
                <w:sz w:val="24"/>
                <w:szCs w:val="24"/>
                <w:lang w:val="en-US"/>
              </w:rPr>
            </w:pPr>
            <w:r w:rsidRPr="00251B2C">
              <w:rPr>
                <w:rFonts w:ascii="Times New Roman" w:eastAsia="Arial" w:hAnsi="Times New Roman" w:cs="Times New Roman"/>
                <w:b/>
                <w:sz w:val="24"/>
                <w:szCs w:val="24"/>
                <w:lang w:val="en-US"/>
              </w:rPr>
              <w:t xml:space="preserve">Salam </w:t>
            </w:r>
            <w:r w:rsidRPr="00251B2C">
              <w:rPr>
                <w:rFonts w:ascii="Times New Roman" w:eastAsia="Arial" w:hAnsi="Times New Roman" w:cs="Times New Roman"/>
                <w:sz w:val="24"/>
                <w:szCs w:val="24"/>
                <w:lang w:val="en-US"/>
              </w:rPr>
              <w:t>(futures contract)</w:t>
            </w:r>
          </w:p>
        </w:tc>
        <w:tc>
          <w:tcPr>
            <w:tcW w:w="6091" w:type="dxa"/>
            <w:tcBorders>
              <w:top w:val="single" w:sz="4" w:space="0" w:color="000000"/>
              <w:left w:val="single" w:sz="4" w:space="0" w:color="000000"/>
              <w:bottom w:val="single" w:sz="4" w:space="0" w:color="000000"/>
              <w:right w:val="single" w:sz="4" w:space="0" w:color="000000"/>
            </w:tcBorders>
            <w:hideMark/>
          </w:tcPr>
          <w:p w14:paraId="51A347B5" w14:textId="77777777" w:rsidR="00B4199F" w:rsidRPr="00251B2C" w:rsidRDefault="00B4199F" w:rsidP="001A131A">
            <w:pPr>
              <w:widowControl w:val="0"/>
              <w:autoSpaceDE w:val="0"/>
              <w:autoSpaceDN w:val="0"/>
              <w:spacing w:before="80" w:after="120" w:line="240" w:lineRule="auto"/>
              <w:ind w:left="102" w:right="83"/>
              <w:jc w:val="both"/>
              <w:rPr>
                <w:rFonts w:ascii="Times New Roman" w:eastAsia="Arial" w:hAnsi="Times New Roman" w:cs="Times New Roman"/>
                <w:sz w:val="24"/>
                <w:szCs w:val="24"/>
                <w:lang w:val="en-US"/>
              </w:rPr>
            </w:pPr>
            <w:r w:rsidRPr="00251B2C">
              <w:rPr>
                <w:rFonts w:ascii="Times New Roman" w:eastAsia="Arial" w:hAnsi="Times New Roman" w:cs="Times New Roman"/>
                <w:sz w:val="24"/>
                <w:szCs w:val="24"/>
                <w:lang w:val="en-US"/>
              </w:rPr>
              <w:t>The buyer pays the seller the full price of a product, with the promise to be delivered at a future date.</w:t>
            </w:r>
          </w:p>
        </w:tc>
      </w:tr>
      <w:tr w:rsidR="00B4199F" w:rsidRPr="00251B2C" w14:paraId="6506A7E7" w14:textId="77777777" w:rsidTr="001A131A">
        <w:trPr>
          <w:trHeight w:val="1519"/>
        </w:trPr>
        <w:tc>
          <w:tcPr>
            <w:tcW w:w="2298" w:type="dxa"/>
            <w:tcBorders>
              <w:top w:val="single" w:sz="4" w:space="0" w:color="000000"/>
              <w:left w:val="single" w:sz="4" w:space="0" w:color="000000"/>
              <w:bottom w:val="single" w:sz="4" w:space="0" w:color="000000"/>
              <w:right w:val="single" w:sz="4" w:space="0" w:color="000000"/>
            </w:tcBorders>
          </w:tcPr>
          <w:p w14:paraId="0847C9D9" w14:textId="77777777" w:rsidR="00B4199F" w:rsidRPr="00251B2C" w:rsidRDefault="00B4199F" w:rsidP="001A131A">
            <w:pPr>
              <w:widowControl w:val="0"/>
              <w:autoSpaceDE w:val="0"/>
              <w:autoSpaceDN w:val="0"/>
              <w:spacing w:before="80" w:after="120" w:line="240" w:lineRule="auto"/>
              <w:ind w:left="103"/>
              <w:rPr>
                <w:rFonts w:ascii="Times New Roman" w:eastAsia="Arial" w:hAnsi="Times New Roman" w:cs="Times New Roman"/>
                <w:b/>
                <w:sz w:val="24"/>
                <w:szCs w:val="24"/>
                <w:lang w:val="en-US"/>
              </w:rPr>
            </w:pPr>
            <w:proofErr w:type="spellStart"/>
            <w:r w:rsidRPr="00251B2C">
              <w:rPr>
                <w:rFonts w:ascii="Times New Roman" w:eastAsia="Arial" w:hAnsi="Times New Roman" w:cs="Times New Roman"/>
                <w:b/>
                <w:sz w:val="24"/>
                <w:szCs w:val="24"/>
                <w:lang w:val="en-US"/>
              </w:rPr>
              <w:t>Ijarah</w:t>
            </w:r>
            <w:proofErr w:type="spellEnd"/>
          </w:p>
          <w:p w14:paraId="45173897" w14:textId="77777777" w:rsidR="00B4199F" w:rsidRPr="00251B2C" w:rsidRDefault="00B4199F" w:rsidP="001A131A">
            <w:pPr>
              <w:widowControl w:val="0"/>
              <w:autoSpaceDE w:val="0"/>
              <w:autoSpaceDN w:val="0"/>
              <w:spacing w:before="80" w:after="120" w:line="240" w:lineRule="auto"/>
              <w:ind w:left="103"/>
              <w:rPr>
                <w:rFonts w:ascii="Times New Roman" w:eastAsia="Arial" w:hAnsi="Times New Roman" w:cs="Times New Roman"/>
                <w:sz w:val="24"/>
                <w:szCs w:val="24"/>
                <w:lang w:val="en-US"/>
              </w:rPr>
            </w:pPr>
            <w:r w:rsidRPr="00251B2C">
              <w:rPr>
                <w:rFonts w:ascii="Times New Roman" w:eastAsia="Arial" w:hAnsi="Times New Roman" w:cs="Times New Roman"/>
                <w:sz w:val="24"/>
                <w:szCs w:val="24"/>
                <w:lang w:val="en-US"/>
              </w:rPr>
              <w:t>(rental and lease agreements)</w:t>
            </w:r>
          </w:p>
        </w:tc>
        <w:tc>
          <w:tcPr>
            <w:tcW w:w="6091" w:type="dxa"/>
            <w:tcBorders>
              <w:top w:val="single" w:sz="4" w:space="0" w:color="000000"/>
              <w:left w:val="single" w:sz="4" w:space="0" w:color="000000"/>
              <w:bottom w:val="single" w:sz="4" w:space="0" w:color="000000"/>
              <w:right w:val="single" w:sz="4" w:space="0" w:color="000000"/>
            </w:tcBorders>
            <w:hideMark/>
          </w:tcPr>
          <w:p w14:paraId="26E2C75B" w14:textId="77777777" w:rsidR="00B4199F" w:rsidRPr="00251B2C" w:rsidRDefault="00B4199F" w:rsidP="001A131A">
            <w:pPr>
              <w:widowControl w:val="0"/>
              <w:autoSpaceDE w:val="0"/>
              <w:autoSpaceDN w:val="0"/>
              <w:spacing w:before="80" w:after="120" w:line="240" w:lineRule="auto"/>
              <w:ind w:left="102" w:right="83"/>
              <w:jc w:val="both"/>
              <w:rPr>
                <w:rFonts w:ascii="Times New Roman" w:eastAsia="Arial" w:hAnsi="Times New Roman" w:cs="Times New Roman"/>
                <w:sz w:val="24"/>
                <w:szCs w:val="24"/>
                <w:lang w:val="en-US"/>
              </w:rPr>
            </w:pPr>
            <w:r w:rsidRPr="00251B2C">
              <w:rPr>
                <w:rFonts w:ascii="Times New Roman" w:eastAsia="Arial" w:hAnsi="Times New Roman" w:cs="Times New Roman"/>
                <w:sz w:val="24"/>
                <w:szCs w:val="24"/>
                <w:lang w:val="en-US"/>
              </w:rPr>
              <w:t>Based on a leasing scheme, the financing party purchases property, equipment or other asset desired by the originator and then leases it to the client for a rental fee. At maturity, the originator repurchases the underlying asset.</w:t>
            </w:r>
          </w:p>
        </w:tc>
      </w:tr>
      <w:tr w:rsidR="00B4199F" w:rsidRPr="00251B2C" w14:paraId="46C3D0E9" w14:textId="77777777" w:rsidTr="001A131A">
        <w:trPr>
          <w:trHeight w:val="1091"/>
        </w:trPr>
        <w:tc>
          <w:tcPr>
            <w:tcW w:w="2298" w:type="dxa"/>
            <w:tcBorders>
              <w:top w:val="single" w:sz="4" w:space="0" w:color="000000"/>
              <w:left w:val="single" w:sz="4" w:space="0" w:color="000000"/>
              <w:bottom w:val="single" w:sz="4" w:space="0" w:color="000000"/>
              <w:right w:val="single" w:sz="4" w:space="0" w:color="000000"/>
            </w:tcBorders>
          </w:tcPr>
          <w:p w14:paraId="4B642B73" w14:textId="77777777" w:rsidR="00B4199F" w:rsidRPr="00251B2C" w:rsidRDefault="00B4199F" w:rsidP="001A131A">
            <w:pPr>
              <w:widowControl w:val="0"/>
              <w:autoSpaceDE w:val="0"/>
              <w:autoSpaceDN w:val="0"/>
              <w:spacing w:before="80" w:after="120" w:line="240" w:lineRule="auto"/>
              <w:ind w:left="103"/>
              <w:rPr>
                <w:rFonts w:ascii="Times New Roman" w:eastAsia="Arial" w:hAnsi="Times New Roman" w:cs="Times New Roman"/>
                <w:b/>
                <w:sz w:val="24"/>
                <w:szCs w:val="24"/>
                <w:lang w:val="en-US"/>
              </w:rPr>
            </w:pPr>
            <w:proofErr w:type="spellStart"/>
            <w:r w:rsidRPr="00251B2C">
              <w:rPr>
                <w:rFonts w:ascii="Times New Roman" w:eastAsia="Arial" w:hAnsi="Times New Roman" w:cs="Times New Roman"/>
                <w:b/>
                <w:sz w:val="24"/>
                <w:szCs w:val="24"/>
                <w:lang w:val="en-US"/>
              </w:rPr>
              <w:t>Wakala</w:t>
            </w:r>
            <w:proofErr w:type="spellEnd"/>
          </w:p>
          <w:p w14:paraId="5CE3AF25" w14:textId="77777777" w:rsidR="00B4199F" w:rsidRPr="00251B2C" w:rsidRDefault="00B4199F" w:rsidP="001A131A">
            <w:pPr>
              <w:widowControl w:val="0"/>
              <w:autoSpaceDE w:val="0"/>
              <w:autoSpaceDN w:val="0"/>
              <w:spacing w:before="80" w:after="120" w:line="240" w:lineRule="auto"/>
              <w:ind w:left="103"/>
              <w:rPr>
                <w:rFonts w:ascii="Times New Roman" w:eastAsia="Arial" w:hAnsi="Times New Roman" w:cs="Times New Roman"/>
                <w:sz w:val="24"/>
                <w:szCs w:val="24"/>
                <w:lang w:val="en-US"/>
              </w:rPr>
            </w:pPr>
            <w:r w:rsidRPr="00251B2C">
              <w:rPr>
                <w:rFonts w:ascii="Times New Roman" w:eastAsia="Arial" w:hAnsi="Times New Roman" w:cs="Times New Roman"/>
                <w:sz w:val="24"/>
                <w:szCs w:val="24"/>
                <w:lang w:val="en-US"/>
              </w:rPr>
              <w:t>(agency agreement)</w:t>
            </w:r>
          </w:p>
        </w:tc>
        <w:tc>
          <w:tcPr>
            <w:tcW w:w="6091" w:type="dxa"/>
            <w:tcBorders>
              <w:top w:val="single" w:sz="4" w:space="0" w:color="000000"/>
              <w:left w:val="single" w:sz="4" w:space="0" w:color="000000"/>
              <w:bottom w:val="single" w:sz="4" w:space="0" w:color="000000"/>
              <w:right w:val="single" w:sz="4" w:space="0" w:color="000000"/>
            </w:tcBorders>
            <w:hideMark/>
          </w:tcPr>
          <w:p w14:paraId="25C30C83" w14:textId="77777777" w:rsidR="00B4199F" w:rsidRPr="00251B2C" w:rsidRDefault="00B4199F" w:rsidP="001A131A">
            <w:pPr>
              <w:widowControl w:val="0"/>
              <w:autoSpaceDE w:val="0"/>
              <w:autoSpaceDN w:val="0"/>
              <w:spacing w:before="80" w:after="120" w:line="240" w:lineRule="auto"/>
              <w:ind w:left="102" w:right="304"/>
              <w:jc w:val="both"/>
              <w:rPr>
                <w:rFonts w:ascii="Times New Roman" w:eastAsia="Arial" w:hAnsi="Times New Roman" w:cs="Times New Roman"/>
                <w:sz w:val="24"/>
                <w:szCs w:val="24"/>
                <w:lang w:val="en-US"/>
              </w:rPr>
            </w:pPr>
            <w:r w:rsidRPr="00251B2C">
              <w:rPr>
                <w:rFonts w:ascii="Times New Roman" w:eastAsia="Arial" w:hAnsi="Times New Roman" w:cs="Times New Roman"/>
                <w:sz w:val="24"/>
                <w:szCs w:val="24"/>
                <w:lang w:val="en-US"/>
              </w:rPr>
              <w:t>One party (either the bank or client) serves as an agent to the originator undertaking transactions on his behalf.</w:t>
            </w:r>
          </w:p>
        </w:tc>
      </w:tr>
      <w:tr w:rsidR="00B4199F" w:rsidRPr="00251B2C" w14:paraId="65FB4066" w14:textId="77777777" w:rsidTr="001A131A">
        <w:trPr>
          <w:trHeight w:val="1882"/>
        </w:trPr>
        <w:tc>
          <w:tcPr>
            <w:tcW w:w="2298" w:type="dxa"/>
            <w:tcBorders>
              <w:top w:val="single" w:sz="4" w:space="0" w:color="000000"/>
              <w:left w:val="single" w:sz="4" w:space="0" w:color="000000"/>
              <w:bottom w:val="single" w:sz="4" w:space="0" w:color="000000"/>
              <w:right w:val="single" w:sz="4" w:space="0" w:color="000000"/>
            </w:tcBorders>
          </w:tcPr>
          <w:p w14:paraId="613253E2" w14:textId="77777777" w:rsidR="00B4199F" w:rsidRPr="00251B2C" w:rsidRDefault="00B4199F" w:rsidP="001A131A">
            <w:pPr>
              <w:widowControl w:val="0"/>
              <w:autoSpaceDE w:val="0"/>
              <w:autoSpaceDN w:val="0"/>
              <w:spacing w:before="80" w:after="120" w:line="240" w:lineRule="auto"/>
              <w:ind w:left="103" w:right="778"/>
              <w:rPr>
                <w:rFonts w:ascii="Times New Roman" w:eastAsia="Arial" w:hAnsi="Times New Roman" w:cs="Times New Roman"/>
                <w:b/>
                <w:sz w:val="24"/>
                <w:szCs w:val="24"/>
                <w:lang w:val="en-US"/>
              </w:rPr>
            </w:pPr>
          </w:p>
          <w:p w14:paraId="62C8EBC0" w14:textId="77777777" w:rsidR="00B4199F" w:rsidRPr="00251B2C" w:rsidRDefault="00B4199F" w:rsidP="001A131A">
            <w:pPr>
              <w:widowControl w:val="0"/>
              <w:autoSpaceDE w:val="0"/>
              <w:autoSpaceDN w:val="0"/>
              <w:spacing w:before="80" w:after="120" w:line="240" w:lineRule="auto"/>
              <w:ind w:left="103" w:right="778"/>
              <w:rPr>
                <w:rFonts w:ascii="Times New Roman" w:eastAsia="Arial" w:hAnsi="Times New Roman" w:cs="Times New Roman"/>
                <w:sz w:val="24"/>
                <w:szCs w:val="24"/>
                <w:lang w:val="en-US"/>
              </w:rPr>
            </w:pPr>
            <w:proofErr w:type="spellStart"/>
            <w:r w:rsidRPr="00251B2C">
              <w:rPr>
                <w:rFonts w:ascii="Times New Roman" w:eastAsia="Arial" w:hAnsi="Times New Roman" w:cs="Times New Roman"/>
                <w:b/>
                <w:sz w:val="24"/>
                <w:szCs w:val="24"/>
                <w:lang w:val="en-US"/>
              </w:rPr>
              <w:t>Mudaraba</w:t>
            </w:r>
            <w:proofErr w:type="spellEnd"/>
            <w:r w:rsidRPr="00251B2C">
              <w:rPr>
                <w:rFonts w:ascii="Times New Roman" w:eastAsia="Arial" w:hAnsi="Times New Roman" w:cs="Times New Roman"/>
                <w:b/>
                <w:sz w:val="24"/>
                <w:szCs w:val="24"/>
                <w:lang w:val="en-US"/>
              </w:rPr>
              <w:t xml:space="preserve"> </w:t>
            </w:r>
            <w:r w:rsidRPr="00251B2C">
              <w:rPr>
                <w:rFonts w:ascii="Times New Roman" w:eastAsia="Arial" w:hAnsi="Times New Roman" w:cs="Times New Roman"/>
                <w:sz w:val="24"/>
                <w:szCs w:val="24"/>
                <w:lang w:val="en-US"/>
              </w:rPr>
              <w:t>(partnership agreement)</w:t>
            </w:r>
          </w:p>
        </w:tc>
        <w:tc>
          <w:tcPr>
            <w:tcW w:w="6091" w:type="dxa"/>
            <w:tcBorders>
              <w:top w:val="single" w:sz="4" w:space="0" w:color="000000"/>
              <w:left w:val="single" w:sz="4" w:space="0" w:color="000000"/>
              <w:bottom w:val="single" w:sz="4" w:space="0" w:color="000000"/>
              <w:right w:val="single" w:sz="4" w:space="0" w:color="000000"/>
            </w:tcBorders>
            <w:hideMark/>
          </w:tcPr>
          <w:p w14:paraId="51091F1B" w14:textId="3ABC58A2" w:rsidR="00B4199F" w:rsidRPr="00251B2C" w:rsidRDefault="00B4199F" w:rsidP="001A131A">
            <w:pPr>
              <w:widowControl w:val="0"/>
              <w:autoSpaceDE w:val="0"/>
              <w:autoSpaceDN w:val="0"/>
              <w:spacing w:before="80" w:after="120" w:line="240" w:lineRule="auto"/>
              <w:ind w:left="102" w:right="95"/>
              <w:jc w:val="both"/>
              <w:rPr>
                <w:rFonts w:ascii="Times New Roman" w:eastAsia="Arial" w:hAnsi="Times New Roman" w:cs="Times New Roman"/>
                <w:sz w:val="24"/>
                <w:szCs w:val="24"/>
                <w:lang w:val="en-US"/>
              </w:rPr>
            </w:pPr>
            <w:r w:rsidRPr="00251B2C">
              <w:rPr>
                <w:rFonts w:ascii="Times New Roman" w:eastAsia="Arial" w:hAnsi="Times New Roman" w:cs="Times New Roman"/>
                <w:sz w:val="24"/>
                <w:szCs w:val="24"/>
                <w:lang w:val="en-US"/>
              </w:rPr>
              <w:t xml:space="preserve">A partnership agreement where the funds to finance a project are supplied by the provider of capital; while the entrepreneur offers </w:t>
            </w:r>
            <w:proofErr w:type="spellStart"/>
            <w:r w:rsidRPr="00251B2C">
              <w:rPr>
                <w:rFonts w:ascii="Times New Roman" w:eastAsia="Arial" w:hAnsi="Times New Roman" w:cs="Times New Roman"/>
                <w:sz w:val="24"/>
                <w:szCs w:val="24"/>
                <w:lang w:val="en-US"/>
              </w:rPr>
              <w:t>labour</w:t>
            </w:r>
            <w:proofErr w:type="spellEnd"/>
            <w:r w:rsidRPr="00251B2C">
              <w:rPr>
                <w:rFonts w:ascii="Times New Roman" w:eastAsia="Arial" w:hAnsi="Times New Roman" w:cs="Times New Roman"/>
                <w:sz w:val="24"/>
                <w:szCs w:val="24"/>
                <w:lang w:val="en-US"/>
              </w:rPr>
              <w:t xml:space="preserve"> and expertise. Profits ratios are agreed upon and are shared accordingly. However, in the case o</w:t>
            </w:r>
            <w:r w:rsidR="009E748E">
              <w:rPr>
                <w:rFonts w:ascii="Times New Roman" w:eastAsia="Arial" w:hAnsi="Times New Roman" w:cs="Times New Roman"/>
                <w:sz w:val="24"/>
                <w:szCs w:val="24"/>
                <w:lang w:val="en-US"/>
              </w:rPr>
              <w:t>f</w:t>
            </w:r>
            <w:r w:rsidRPr="00251B2C">
              <w:rPr>
                <w:rFonts w:ascii="Times New Roman" w:eastAsia="Arial" w:hAnsi="Times New Roman" w:cs="Times New Roman"/>
                <w:sz w:val="24"/>
                <w:szCs w:val="24"/>
                <w:lang w:val="en-US"/>
              </w:rPr>
              <w:t xml:space="preserve"> loss, all losses are borne by the owner of capital; as the liability of the entrepreneur is restricted only to his time and effort.</w:t>
            </w:r>
          </w:p>
        </w:tc>
      </w:tr>
      <w:tr w:rsidR="00B4199F" w:rsidRPr="00251B2C" w14:paraId="02BF0BAF" w14:textId="77777777" w:rsidTr="001A131A">
        <w:trPr>
          <w:trHeight w:val="1839"/>
        </w:trPr>
        <w:tc>
          <w:tcPr>
            <w:tcW w:w="2298" w:type="dxa"/>
            <w:tcBorders>
              <w:top w:val="single" w:sz="4" w:space="0" w:color="000000"/>
              <w:left w:val="single" w:sz="4" w:space="0" w:color="000000"/>
              <w:bottom w:val="single" w:sz="4" w:space="0" w:color="000000"/>
              <w:right w:val="single" w:sz="4" w:space="0" w:color="000000"/>
            </w:tcBorders>
          </w:tcPr>
          <w:p w14:paraId="72E270FA" w14:textId="77777777" w:rsidR="00B4199F" w:rsidRPr="00251B2C" w:rsidRDefault="00B4199F" w:rsidP="001A131A">
            <w:pPr>
              <w:widowControl w:val="0"/>
              <w:autoSpaceDE w:val="0"/>
              <w:autoSpaceDN w:val="0"/>
              <w:spacing w:before="80" w:after="120" w:line="240" w:lineRule="auto"/>
              <w:rPr>
                <w:rFonts w:ascii="Times New Roman" w:eastAsia="Arial" w:hAnsi="Times New Roman" w:cs="Times New Roman"/>
                <w:b/>
                <w:i/>
                <w:sz w:val="24"/>
                <w:szCs w:val="24"/>
                <w:lang w:val="en-US"/>
              </w:rPr>
            </w:pPr>
          </w:p>
          <w:p w14:paraId="7415248C" w14:textId="77777777" w:rsidR="00B4199F" w:rsidRPr="00251B2C" w:rsidRDefault="00B4199F" w:rsidP="001A131A">
            <w:pPr>
              <w:widowControl w:val="0"/>
              <w:autoSpaceDE w:val="0"/>
              <w:autoSpaceDN w:val="0"/>
              <w:spacing w:before="80" w:after="120" w:line="240" w:lineRule="auto"/>
              <w:ind w:left="103" w:right="351"/>
              <w:rPr>
                <w:rFonts w:ascii="Times New Roman" w:eastAsia="Arial" w:hAnsi="Times New Roman" w:cs="Times New Roman"/>
                <w:sz w:val="24"/>
                <w:szCs w:val="24"/>
                <w:lang w:val="en-US"/>
              </w:rPr>
            </w:pPr>
            <w:proofErr w:type="spellStart"/>
            <w:r w:rsidRPr="00251B2C">
              <w:rPr>
                <w:rFonts w:ascii="Times New Roman" w:eastAsia="Arial" w:hAnsi="Times New Roman" w:cs="Times New Roman"/>
                <w:b/>
                <w:sz w:val="24"/>
                <w:szCs w:val="24"/>
                <w:lang w:val="en-US"/>
              </w:rPr>
              <w:t>Musharakah</w:t>
            </w:r>
            <w:proofErr w:type="spellEnd"/>
            <w:r w:rsidRPr="00251B2C">
              <w:rPr>
                <w:rFonts w:ascii="Times New Roman" w:eastAsia="Arial" w:hAnsi="Times New Roman" w:cs="Times New Roman"/>
                <w:b/>
                <w:sz w:val="24"/>
                <w:szCs w:val="24"/>
                <w:lang w:val="en-US"/>
              </w:rPr>
              <w:t xml:space="preserve"> </w:t>
            </w:r>
            <w:r w:rsidRPr="00251B2C">
              <w:rPr>
                <w:rFonts w:ascii="Times New Roman" w:eastAsia="Arial" w:hAnsi="Times New Roman" w:cs="Times New Roman"/>
                <w:sz w:val="24"/>
                <w:szCs w:val="24"/>
                <w:lang w:val="en-US"/>
              </w:rPr>
              <w:t>(Equity partnership agreement)</w:t>
            </w:r>
          </w:p>
        </w:tc>
        <w:tc>
          <w:tcPr>
            <w:tcW w:w="6091" w:type="dxa"/>
            <w:tcBorders>
              <w:top w:val="single" w:sz="4" w:space="0" w:color="000000"/>
              <w:left w:val="single" w:sz="4" w:space="0" w:color="000000"/>
              <w:bottom w:val="single" w:sz="4" w:space="0" w:color="000000"/>
              <w:right w:val="single" w:sz="4" w:space="0" w:color="000000"/>
            </w:tcBorders>
            <w:hideMark/>
          </w:tcPr>
          <w:p w14:paraId="6A280744" w14:textId="77777777" w:rsidR="00B4199F" w:rsidRPr="00251B2C" w:rsidRDefault="00B4199F" w:rsidP="001A131A">
            <w:pPr>
              <w:widowControl w:val="0"/>
              <w:autoSpaceDE w:val="0"/>
              <w:autoSpaceDN w:val="0"/>
              <w:spacing w:before="80" w:after="120" w:line="240" w:lineRule="auto"/>
              <w:ind w:left="102" w:right="188"/>
              <w:jc w:val="both"/>
              <w:rPr>
                <w:rFonts w:ascii="Times New Roman" w:eastAsia="Arial" w:hAnsi="Times New Roman" w:cs="Times New Roman"/>
                <w:sz w:val="24"/>
                <w:szCs w:val="24"/>
                <w:lang w:val="en-US"/>
              </w:rPr>
            </w:pPr>
            <w:r w:rsidRPr="00251B2C">
              <w:rPr>
                <w:rFonts w:ascii="Times New Roman" w:eastAsia="Arial" w:hAnsi="Times New Roman" w:cs="Times New Roman"/>
                <w:sz w:val="24"/>
                <w:szCs w:val="24"/>
                <w:lang w:val="en-US"/>
              </w:rPr>
              <w:t>Represents ownership of partnership equity. The financing party and originator contribute assets (cash or property) to a joint venture and share the generated profits according to predetermined ratios, whereas losses are split according to the respective capital</w:t>
            </w:r>
          </w:p>
          <w:p w14:paraId="1CABB803" w14:textId="77777777" w:rsidR="00B4199F" w:rsidRPr="00251B2C" w:rsidRDefault="00B4199F" w:rsidP="001A131A">
            <w:pPr>
              <w:widowControl w:val="0"/>
              <w:autoSpaceDE w:val="0"/>
              <w:autoSpaceDN w:val="0"/>
              <w:spacing w:before="80" w:after="120" w:line="240" w:lineRule="auto"/>
              <w:ind w:left="102"/>
              <w:jc w:val="both"/>
              <w:rPr>
                <w:rFonts w:ascii="Times New Roman" w:eastAsia="Arial" w:hAnsi="Times New Roman" w:cs="Times New Roman"/>
                <w:sz w:val="24"/>
                <w:szCs w:val="24"/>
                <w:lang w:val="en-US"/>
              </w:rPr>
            </w:pPr>
            <w:r w:rsidRPr="00251B2C">
              <w:rPr>
                <w:rFonts w:ascii="Times New Roman" w:eastAsia="Arial" w:hAnsi="Times New Roman" w:cs="Times New Roman"/>
                <w:sz w:val="24"/>
                <w:szCs w:val="24"/>
                <w:lang w:val="en-US"/>
              </w:rPr>
              <w:t>contributions.</w:t>
            </w:r>
          </w:p>
        </w:tc>
      </w:tr>
    </w:tbl>
    <w:p w14:paraId="762FDBB6" w14:textId="77777777" w:rsidR="00B4199F" w:rsidRPr="00251B2C" w:rsidRDefault="00B4199F" w:rsidP="00B4199F">
      <w:pPr>
        <w:widowControl w:val="0"/>
        <w:autoSpaceDE w:val="0"/>
        <w:autoSpaceDN w:val="0"/>
        <w:spacing w:before="120" w:after="120" w:line="360" w:lineRule="auto"/>
        <w:jc w:val="center"/>
        <w:rPr>
          <w:rFonts w:ascii="Times New Roman" w:eastAsia="Arial" w:hAnsi="Times New Roman" w:cs="Times New Roman"/>
          <w:color w:val="484429"/>
          <w:sz w:val="24"/>
          <w:szCs w:val="24"/>
          <w:lang w:val="en-US"/>
        </w:rPr>
      </w:pPr>
      <w:r w:rsidRPr="00251B2C">
        <w:rPr>
          <w:rFonts w:ascii="Times New Roman" w:eastAsia="Arial" w:hAnsi="Times New Roman" w:cs="Times New Roman"/>
          <w:color w:val="484429"/>
          <w:sz w:val="24"/>
          <w:szCs w:val="24"/>
          <w:lang w:val="en-US"/>
        </w:rPr>
        <w:t xml:space="preserve">Source: </w:t>
      </w:r>
      <w:bookmarkStart w:id="115" w:name="OLE_LINK83"/>
      <w:bookmarkStart w:id="116" w:name="OLE_LINK84"/>
      <w:proofErr w:type="spellStart"/>
      <w:r w:rsidRPr="00251B2C">
        <w:rPr>
          <w:rFonts w:ascii="Times New Roman" w:eastAsia="Arial" w:hAnsi="Times New Roman" w:cs="Times New Roman"/>
          <w:color w:val="484429"/>
          <w:sz w:val="24"/>
          <w:szCs w:val="24"/>
          <w:lang w:val="en-US"/>
        </w:rPr>
        <w:t>Lackman</w:t>
      </w:r>
      <w:proofErr w:type="spellEnd"/>
      <w:r w:rsidRPr="00251B2C">
        <w:rPr>
          <w:rFonts w:ascii="Times New Roman" w:eastAsia="Arial" w:hAnsi="Times New Roman" w:cs="Times New Roman"/>
          <w:color w:val="484429"/>
          <w:sz w:val="24"/>
          <w:szCs w:val="24"/>
          <w:lang w:val="en-US"/>
        </w:rPr>
        <w:t xml:space="preserve"> (2015</w:t>
      </w:r>
      <w:bookmarkEnd w:id="115"/>
      <w:bookmarkEnd w:id="116"/>
      <w:r w:rsidRPr="00251B2C">
        <w:rPr>
          <w:rFonts w:ascii="Times New Roman" w:eastAsia="Arial" w:hAnsi="Times New Roman" w:cs="Times New Roman"/>
          <w:color w:val="484429"/>
          <w:sz w:val="24"/>
          <w:szCs w:val="24"/>
          <w:lang w:val="en-US"/>
        </w:rPr>
        <w:t xml:space="preserve">); </w:t>
      </w:r>
      <w:proofErr w:type="spellStart"/>
      <w:r w:rsidRPr="00251B2C">
        <w:rPr>
          <w:rFonts w:ascii="Times New Roman" w:eastAsia="Arial" w:hAnsi="Times New Roman" w:cs="Times New Roman"/>
          <w:color w:val="484429"/>
          <w:sz w:val="24"/>
          <w:szCs w:val="24"/>
          <w:lang w:val="en-US"/>
        </w:rPr>
        <w:t>Kammer</w:t>
      </w:r>
      <w:proofErr w:type="spellEnd"/>
      <w:r w:rsidRPr="00251B2C">
        <w:rPr>
          <w:rFonts w:ascii="Times New Roman" w:eastAsia="Arial" w:hAnsi="Times New Roman" w:cs="Times New Roman"/>
          <w:color w:val="484429"/>
          <w:sz w:val="24"/>
          <w:szCs w:val="24"/>
          <w:lang w:val="en-US"/>
        </w:rPr>
        <w:t xml:space="preserve"> et al. (2015, pp.33-34)</w:t>
      </w:r>
    </w:p>
    <w:p w14:paraId="250CDC98" w14:textId="77777777" w:rsidR="00B4199F" w:rsidRPr="00251B2C" w:rsidRDefault="00B4199F" w:rsidP="00B4199F">
      <w:pPr>
        <w:widowControl w:val="0"/>
        <w:autoSpaceDE w:val="0"/>
        <w:autoSpaceDN w:val="0"/>
        <w:spacing w:before="120" w:after="120" w:line="360" w:lineRule="auto"/>
        <w:jc w:val="center"/>
        <w:rPr>
          <w:rFonts w:ascii="Times New Roman" w:eastAsia="Arial" w:hAnsi="Times New Roman" w:cs="Times New Roman"/>
          <w:color w:val="484429"/>
          <w:sz w:val="24"/>
          <w:szCs w:val="24"/>
          <w:lang w:val="en-US"/>
        </w:rPr>
      </w:pPr>
    </w:p>
    <w:p w14:paraId="797766FE" w14:textId="77777777" w:rsidR="00B4199F" w:rsidRPr="00251B2C" w:rsidRDefault="00B4199F" w:rsidP="00B4199F">
      <w:pPr>
        <w:spacing w:after="160" w:line="256" w:lineRule="auto"/>
        <w:jc w:val="center"/>
        <w:rPr>
          <w:rFonts w:ascii="Times New Roman" w:eastAsia="Calibri" w:hAnsi="Times New Roman" w:cs="Times New Roman"/>
          <w:sz w:val="24"/>
          <w:szCs w:val="24"/>
        </w:rPr>
      </w:pPr>
      <w:r w:rsidRPr="00251B2C">
        <w:rPr>
          <w:rStyle w:val="Heading2Char"/>
          <w:rFonts w:ascii="Times New Roman" w:eastAsia="Calibri" w:hAnsi="Times New Roman" w:cs="Times New Roman"/>
          <w:noProof/>
          <w:sz w:val="24"/>
          <w:szCs w:val="24"/>
        </w:rPr>
        <w:lastRenderedPageBreak/>
        <w:drawing>
          <wp:anchor distT="0" distB="0" distL="114300" distR="114300" simplePos="0" relativeHeight="251736064" behindDoc="1" locked="0" layoutInCell="1" allowOverlap="1" wp14:anchorId="421AF485" wp14:editId="1F236411">
            <wp:simplePos x="0" y="0"/>
            <wp:positionH relativeFrom="column">
              <wp:posOffset>2740660</wp:posOffset>
            </wp:positionH>
            <wp:positionV relativeFrom="paragraph">
              <wp:posOffset>6905625</wp:posOffset>
            </wp:positionV>
            <wp:extent cx="2871470" cy="1973580"/>
            <wp:effectExtent l="0" t="0" r="5080" b="7620"/>
            <wp:wrapTight wrapText="bothSides">
              <wp:wrapPolygon edited="0">
                <wp:start x="0" y="0"/>
                <wp:lineTo x="0" y="21475"/>
                <wp:lineTo x="21495" y="21475"/>
                <wp:lineTo x="21495" y="0"/>
                <wp:lineTo x="0" y="0"/>
              </wp:wrapPolygon>
            </wp:wrapTight>
            <wp:docPr id="69" name="Chart 15">
              <a:extLst xmlns:a="http://schemas.openxmlformats.org/drawingml/2006/main">
                <a:ext uri="{FF2B5EF4-FFF2-40B4-BE49-F238E27FC236}">
                  <a16:creationId xmlns:a16="http://schemas.microsoft.com/office/drawing/2014/main" id="{E171ED3A-2600-4F52-A09B-54B9A31E1C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251B2C">
        <w:rPr>
          <w:rStyle w:val="Heading2Char"/>
          <w:rFonts w:ascii="Times New Roman" w:eastAsia="Calibri" w:hAnsi="Times New Roman" w:cs="Times New Roman"/>
          <w:noProof/>
          <w:sz w:val="24"/>
          <w:szCs w:val="24"/>
        </w:rPr>
        <w:drawing>
          <wp:anchor distT="0" distB="0" distL="114300" distR="114300" simplePos="0" relativeHeight="251735040" behindDoc="1" locked="0" layoutInCell="1" allowOverlap="1" wp14:anchorId="2BC29A2C" wp14:editId="63A15416">
            <wp:simplePos x="0" y="0"/>
            <wp:positionH relativeFrom="column">
              <wp:posOffset>-1943</wp:posOffset>
            </wp:positionH>
            <wp:positionV relativeFrom="paragraph">
              <wp:posOffset>6907141</wp:posOffset>
            </wp:positionV>
            <wp:extent cx="2639695" cy="1974215"/>
            <wp:effectExtent l="0" t="0" r="8255" b="6985"/>
            <wp:wrapTight wrapText="bothSides">
              <wp:wrapPolygon edited="0">
                <wp:start x="0" y="0"/>
                <wp:lineTo x="0" y="21468"/>
                <wp:lineTo x="21512" y="21468"/>
                <wp:lineTo x="21512" y="0"/>
                <wp:lineTo x="0" y="0"/>
              </wp:wrapPolygon>
            </wp:wrapTight>
            <wp:docPr id="68" name="Chart 14">
              <a:extLst xmlns:a="http://schemas.openxmlformats.org/drawingml/2006/main">
                <a:ext uri="{FF2B5EF4-FFF2-40B4-BE49-F238E27FC236}">
                  <a16:creationId xmlns:a16="http://schemas.microsoft.com/office/drawing/2014/main" id="{5F7ABE18-E18B-4A69-827B-B81D9F623F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Pr="00251B2C">
        <w:rPr>
          <w:rStyle w:val="Heading2Char"/>
          <w:rFonts w:ascii="Times New Roman" w:eastAsia="Calibri" w:hAnsi="Times New Roman" w:cs="Times New Roman"/>
          <w:noProof/>
          <w:sz w:val="24"/>
          <w:szCs w:val="24"/>
        </w:rPr>
        <w:drawing>
          <wp:anchor distT="0" distB="0" distL="114300" distR="114300" simplePos="0" relativeHeight="251732992" behindDoc="1" locked="0" layoutInCell="1" allowOverlap="1" wp14:anchorId="3F23C27C" wp14:editId="59E8D780">
            <wp:simplePos x="0" y="0"/>
            <wp:positionH relativeFrom="margin">
              <wp:posOffset>-2540</wp:posOffset>
            </wp:positionH>
            <wp:positionV relativeFrom="paragraph">
              <wp:posOffset>4777209</wp:posOffset>
            </wp:positionV>
            <wp:extent cx="2639695" cy="1978660"/>
            <wp:effectExtent l="0" t="0" r="8255" b="2540"/>
            <wp:wrapSquare wrapText="bothSides"/>
            <wp:docPr id="94" name="Chart 11">
              <a:extLst xmlns:a="http://schemas.openxmlformats.org/drawingml/2006/main">
                <a:ext uri="{FF2B5EF4-FFF2-40B4-BE49-F238E27FC236}">
                  <a16:creationId xmlns:a16="http://schemas.microsoft.com/office/drawing/2014/main" id="{41FD8B0A-7B35-4D03-AF0A-3841A9297C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Pr="00251B2C">
        <w:rPr>
          <w:rStyle w:val="Heading2Char"/>
          <w:rFonts w:ascii="Times New Roman" w:eastAsia="Calibri" w:hAnsi="Times New Roman" w:cs="Times New Roman"/>
          <w:noProof/>
          <w:sz w:val="24"/>
          <w:szCs w:val="24"/>
        </w:rPr>
        <w:drawing>
          <wp:anchor distT="0" distB="0" distL="114300" distR="114300" simplePos="0" relativeHeight="251734016" behindDoc="1" locked="0" layoutInCell="1" allowOverlap="1" wp14:anchorId="54A03C24" wp14:editId="22300779">
            <wp:simplePos x="0" y="0"/>
            <wp:positionH relativeFrom="margin">
              <wp:posOffset>2740679</wp:posOffset>
            </wp:positionH>
            <wp:positionV relativeFrom="paragraph">
              <wp:posOffset>4749554</wp:posOffset>
            </wp:positionV>
            <wp:extent cx="2877185" cy="2005965"/>
            <wp:effectExtent l="0" t="0" r="18415" b="13335"/>
            <wp:wrapTight wrapText="bothSides">
              <wp:wrapPolygon edited="0">
                <wp:start x="0" y="0"/>
                <wp:lineTo x="0" y="21538"/>
                <wp:lineTo x="21595" y="21538"/>
                <wp:lineTo x="21595" y="0"/>
                <wp:lineTo x="0" y="0"/>
              </wp:wrapPolygon>
            </wp:wrapTight>
            <wp:docPr id="67" name="Chart 12">
              <a:extLst xmlns:a="http://schemas.openxmlformats.org/drawingml/2006/main">
                <a:ext uri="{FF2B5EF4-FFF2-40B4-BE49-F238E27FC236}">
                  <a16:creationId xmlns:a16="http://schemas.microsoft.com/office/drawing/2014/main" id="{BB39917C-BE13-475A-8CCC-D3A057C5F9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Pr="00251B2C">
        <w:rPr>
          <w:rStyle w:val="Heading2Char"/>
          <w:rFonts w:ascii="Times New Roman" w:eastAsia="Calibri" w:hAnsi="Times New Roman" w:cs="Times New Roman"/>
          <w:noProof/>
          <w:sz w:val="24"/>
          <w:szCs w:val="24"/>
        </w:rPr>
        <w:drawing>
          <wp:anchor distT="0" distB="0" distL="114300" distR="114300" simplePos="0" relativeHeight="251730944" behindDoc="0" locked="0" layoutInCell="1" allowOverlap="1" wp14:anchorId="279B70FE" wp14:editId="114A976B">
            <wp:simplePos x="0" y="0"/>
            <wp:positionH relativeFrom="margin">
              <wp:posOffset>-2540</wp:posOffset>
            </wp:positionH>
            <wp:positionV relativeFrom="paragraph">
              <wp:posOffset>2524760</wp:posOffset>
            </wp:positionV>
            <wp:extent cx="2639695" cy="2182495"/>
            <wp:effectExtent l="0" t="0" r="8255" b="8255"/>
            <wp:wrapSquare wrapText="bothSides"/>
            <wp:docPr id="93" name="Chart 9">
              <a:extLst xmlns:a="http://schemas.openxmlformats.org/drawingml/2006/main">
                <a:ext uri="{FF2B5EF4-FFF2-40B4-BE49-F238E27FC236}">
                  <a16:creationId xmlns:a16="http://schemas.microsoft.com/office/drawing/2014/main" id="{B6EFC94C-5F30-42BD-8F2B-034506A2F6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Pr="00251B2C">
        <w:rPr>
          <w:rStyle w:val="Heading2Char"/>
          <w:rFonts w:ascii="Times New Roman" w:eastAsia="Calibri" w:hAnsi="Times New Roman" w:cs="Times New Roman"/>
          <w:noProof/>
          <w:sz w:val="24"/>
          <w:szCs w:val="24"/>
        </w:rPr>
        <w:drawing>
          <wp:anchor distT="0" distB="0" distL="114300" distR="114300" simplePos="0" relativeHeight="251731968" behindDoc="1" locked="0" layoutInCell="1" allowOverlap="1" wp14:anchorId="759FA0DC" wp14:editId="07EB1295">
            <wp:simplePos x="0" y="0"/>
            <wp:positionH relativeFrom="margin">
              <wp:posOffset>2795270</wp:posOffset>
            </wp:positionH>
            <wp:positionV relativeFrom="paragraph">
              <wp:posOffset>2552065</wp:posOffset>
            </wp:positionV>
            <wp:extent cx="2822575" cy="2155825"/>
            <wp:effectExtent l="0" t="0" r="15875" b="15875"/>
            <wp:wrapTight wrapText="bothSides">
              <wp:wrapPolygon edited="0">
                <wp:start x="0" y="0"/>
                <wp:lineTo x="0" y="21568"/>
                <wp:lineTo x="21576" y="21568"/>
                <wp:lineTo x="21576" y="0"/>
                <wp:lineTo x="0" y="0"/>
              </wp:wrapPolygon>
            </wp:wrapTight>
            <wp:docPr id="95" name="Chart 10">
              <a:extLst xmlns:a="http://schemas.openxmlformats.org/drawingml/2006/main">
                <a:ext uri="{FF2B5EF4-FFF2-40B4-BE49-F238E27FC236}">
                  <a16:creationId xmlns:a16="http://schemas.microsoft.com/office/drawing/2014/main" id="{8BB31294-ED47-43C2-9F09-38A76ED518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bookmarkStart w:id="117" w:name="_Toc481617414"/>
      <w:r w:rsidRPr="00251B2C">
        <w:rPr>
          <w:rStyle w:val="Heading2Char"/>
          <w:rFonts w:ascii="Times New Roman" w:eastAsia="Calibri" w:hAnsi="Times New Roman" w:cs="Times New Roman"/>
          <w:sz w:val="24"/>
          <w:szCs w:val="24"/>
        </w:rPr>
        <w:t>APPENDIX - B</w:t>
      </w:r>
      <w:bookmarkEnd w:id="117"/>
      <w:r w:rsidRPr="00251B2C">
        <w:rPr>
          <w:rFonts w:ascii="Times New Roman" w:eastAsia="Calibri" w:hAnsi="Times New Roman" w:cs="Times New Roman"/>
          <w:b/>
          <w:sz w:val="24"/>
          <w:szCs w:val="24"/>
        </w:rPr>
        <w:br/>
      </w:r>
      <w:r w:rsidRPr="00251B2C">
        <w:rPr>
          <w:rFonts w:ascii="Times New Roman" w:eastAsia="Calibri" w:hAnsi="Times New Roman" w:cs="Times New Roman"/>
          <w:noProof/>
          <w:sz w:val="24"/>
          <w:szCs w:val="24"/>
          <w:lang w:eastAsia="en-GB"/>
        </w:rPr>
        <w:drawing>
          <wp:anchor distT="0" distB="0" distL="114300" distR="114300" simplePos="0" relativeHeight="251728896" behindDoc="0" locked="0" layoutInCell="1" allowOverlap="1" wp14:anchorId="60349EF1" wp14:editId="5DC261F5">
            <wp:simplePos x="0" y="0"/>
            <wp:positionH relativeFrom="margin">
              <wp:posOffset>2735580</wp:posOffset>
            </wp:positionH>
            <wp:positionV relativeFrom="paragraph">
              <wp:posOffset>414968</wp:posOffset>
            </wp:positionV>
            <wp:extent cx="2871470" cy="2054225"/>
            <wp:effectExtent l="0" t="0" r="5080" b="3175"/>
            <wp:wrapSquare wrapText="bothSides"/>
            <wp:docPr id="62" name="Chart 2">
              <a:extLst xmlns:a="http://schemas.openxmlformats.org/drawingml/2006/main">
                <a:ext uri="{FF2B5EF4-FFF2-40B4-BE49-F238E27FC236}">
                  <a16:creationId xmlns:a16="http://schemas.microsoft.com/office/drawing/2014/main" id="{1E360976-B4E9-495E-8C9C-C2A0157822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29920" behindDoc="0" locked="0" layoutInCell="1" allowOverlap="1" wp14:anchorId="0534EF1D" wp14:editId="5AC5EFB8">
            <wp:simplePos x="0" y="0"/>
            <wp:positionH relativeFrom="column">
              <wp:posOffset>-13970</wp:posOffset>
            </wp:positionH>
            <wp:positionV relativeFrom="paragraph">
              <wp:posOffset>401633</wp:posOffset>
            </wp:positionV>
            <wp:extent cx="2645410" cy="2048510"/>
            <wp:effectExtent l="0" t="0" r="2540" b="8890"/>
            <wp:wrapSquare wrapText="bothSides"/>
            <wp:docPr id="63" name="Chart 1">
              <a:extLst xmlns:a="http://schemas.openxmlformats.org/drawingml/2006/main">
                <a:ext uri="{FF2B5EF4-FFF2-40B4-BE49-F238E27FC236}">
                  <a16:creationId xmlns:a16="http://schemas.microsoft.com/office/drawing/2014/main" id="{1E673C83-578F-4B2A-BC92-C9ABFE10A9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bookmarkStart w:id="118" w:name="_Hlk481518608"/>
      <w:bookmarkStart w:id="119" w:name="_Hlk481515700"/>
      <w:bookmarkStart w:id="120" w:name="_Hlk481515671"/>
      <w:bookmarkEnd w:id="118"/>
      <w:bookmarkEnd w:id="119"/>
      <w:bookmarkEnd w:id="120"/>
      <w:r w:rsidRPr="00251B2C">
        <w:rPr>
          <w:rFonts w:ascii="Times New Roman" w:eastAsia="Calibri" w:hAnsi="Times New Roman" w:cs="Times New Roman"/>
          <w:sz w:val="24"/>
          <w:szCs w:val="24"/>
        </w:rPr>
        <w:t>Sukuk for 10 Day Monte Carlo simulation and (5000 iterations) tabulated in a</w:t>
      </w:r>
      <w:r w:rsidRPr="00251B2C">
        <w:rPr>
          <w:rFonts w:ascii="Times New Roman" w:eastAsia="Calibri" w:hAnsi="Times New Roman" w:cs="Times New Roman"/>
          <w:b/>
          <w:sz w:val="24"/>
          <w:szCs w:val="24"/>
        </w:rPr>
        <w:t xml:space="preserve"> </w:t>
      </w:r>
      <w:r w:rsidRPr="00251B2C">
        <w:rPr>
          <w:rFonts w:ascii="Times New Roman" w:eastAsia="Calibri" w:hAnsi="Times New Roman" w:cs="Times New Roman"/>
          <w:sz w:val="24"/>
          <w:szCs w:val="24"/>
        </w:rPr>
        <w:t>histogram</w:t>
      </w:r>
      <w:bookmarkStart w:id="121" w:name="_Hlk481516152"/>
      <w:bookmarkStart w:id="122" w:name="_Hlk481516679"/>
      <w:bookmarkEnd w:id="121"/>
      <w:bookmarkEnd w:id="122"/>
      <w:r w:rsidRPr="00251B2C">
        <w:rPr>
          <w:rFonts w:ascii="Times New Roman" w:eastAsia="Calibri" w:hAnsi="Times New Roman" w:cs="Times New Roman"/>
          <w:b/>
          <w:sz w:val="24"/>
          <w:szCs w:val="24"/>
        </w:rPr>
        <w:t>.</w:t>
      </w:r>
    </w:p>
    <w:p w14:paraId="74B70BD1" w14:textId="77777777" w:rsidR="00B4199F" w:rsidRPr="00251B2C" w:rsidRDefault="00B4199F" w:rsidP="00B4199F">
      <w:pPr>
        <w:spacing w:after="160" w:line="256" w:lineRule="auto"/>
        <w:rPr>
          <w:rFonts w:ascii="Times New Roman" w:eastAsia="Calibri" w:hAnsi="Times New Roman" w:cs="Times New Roman"/>
          <w:sz w:val="24"/>
          <w:szCs w:val="24"/>
        </w:rPr>
      </w:pPr>
      <w:r w:rsidRPr="00251B2C">
        <w:rPr>
          <w:rFonts w:ascii="Times New Roman" w:eastAsia="Calibri" w:hAnsi="Times New Roman" w:cs="Times New Roman"/>
          <w:noProof/>
          <w:sz w:val="24"/>
          <w:szCs w:val="24"/>
          <w:lang w:eastAsia="en-GB"/>
        </w:rPr>
        <w:lastRenderedPageBreak/>
        <w:drawing>
          <wp:anchor distT="0" distB="0" distL="114300" distR="114300" simplePos="0" relativeHeight="251744256" behindDoc="1" locked="0" layoutInCell="1" allowOverlap="1" wp14:anchorId="768A4AEB" wp14:editId="32691AD9">
            <wp:simplePos x="0" y="0"/>
            <wp:positionH relativeFrom="column">
              <wp:posOffset>2734945</wp:posOffset>
            </wp:positionH>
            <wp:positionV relativeFrom="paragraph">
              <wp:posOffset>6697345</wp:posOffset>
            </wp:positionV>
            <wp:extent cx="2871470" cy="2188210"/>
            <wp:effectExtent l="0" t="0" r="5080" b="2540"/>
            <wp:wrapTight wrapText="bothSides">
              <wp:wrapPolygon edited="0">
                <wp:start x="0" y="0"/>
                <wp:lineTo x="0" y="21437"/>
                <wp:lineTo x="21495" y="21437"/>
                <wp:lineTo x="21495" y="0"/>
                <wp:lineTo x="0" y="0"/>
              </wp:wrapPolygon>
            </wp:wrapTight>
            <wp:docPr id="79" name="Chart 27">
              <a:extLst xmlns:a="http://schemas.openxmlformats.org/drawingml/2006/main">
                <a:ext uri="{FF2B5EF4-FFF2-40B4-BE49-F238E27FC236}">
                  <a16:creationId xmlns:a16="http://schemas.microsoft.com/office/drawing/2014/main" id="{6B144FC0-73B8-4B1D-AEC9-123B46C1BE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page">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43232" behindDoc="1" locked="0" layoutInCell="1" allowOverlap="1" wp14:anchorId="0537CBE1" wp14:editId="4895306F">
            <wp:simplePos x="0" y="0"/>
            <wp:positionH relativeFrom="column">
              <wp:posOffset>-8255</wp:posOffset>
            </wp:positionH>
            <wp:positionV relativeFrom="paragraph">
              <wp:posOffset>6697652</wp:posOffset>
            </wp:positionV>
            <wp:extent cx="2639695" cy="2188210"/>
            <wp:effectExtent l="0" t="0" r="8255" b="2540"/>
            <wp:wrapTight wrapText="bothSides">
              <wp:wrapPolygon edited="0">
                <wp:start x="0" y="0"/>
                <wp:lineTo x="0" y="21437"/>
                <wp:lineTo x="21512" y="21437"/>
                <wp:lineTo x="21512" y="0"/>
                <wp:lineTo x="0" y="0"/>
              </wp:wrapPolygon>
            </wp:wrapTight>
            <wp:docPr id="78" name="Chart 26">
              <a:extLst xmlns:a="http://schemas.openxmlformats.org/drawingml/2006/main">
                <a:ext uri="{FF2B5EF4-FFF2-40B4-BE49-F238E27FC236}">
                  <a16:creationId xmlns:a16="http://schemas.microsoft.com/office/drawing/2014/main" id="{DC2BA90D-076C-4F28-86A2-94B34CD17C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40160" behindDoc="1" locked="0" layoutInCell="1" allowOverlap="1" wp14:anchorId="1E6FE6EC" wp14:editId="45FAA1FC">
            <wp:simplePos x="0" y="0"/>
            <wp:positionH relativeFrom="column">
              <wp:posOffset>2785526</wp:posOffset>
            </wp:positionH>
            <wp:positionV relativeFrom="paragraph">
              <wp:posOffset>1992630</wp:posOffset>
            </wp:positionV>
            <wp:extent cx="2883535" cy="2182495"/>
            <wp:effectExtent l="0" t="0" r="12065" b="8255"/>
            <wp:wrapTight wrapText="bothSides">
              <wp:wrapPolygon edited="0">
                <wp:start x="0" y="0"/>
                <wp:lineTo x="0" y="21493"/>
                <wp:lineTo x="21548" y="21493"/>
                <wp:lineTo x="21548" y="0"/>
                <wp:lineTo x="0" y="0"/>
              </wp:wrapPolygon>
            </wp:wrapTight>
            <wp:docPr id="73" name="Chart 19">
              <a:extLst xmlns:a="http://schemas.openxmlformats.org/drawingml/2006/main">
                <a:ext uri="{FF2B5EF4-FFF2-40B4-BE49-F238E27FC236}">
                  <a16:creationId xmlns:a16="http://schemas.microsoft.com/office/drawing/2014/main" id="{E8BDF5E5-58F6-4FF7-8C40-A2125E3C4F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38112" behindDoc="1" locked="0" layoutInCell="1" allowOverlap="1" wp14:anchorId="3B250781" wp14:editId="169DBA3B">
            <wp:simplePos x="0" y="0"/>
            <wp:positionH relativeFrom="column">
              <wp:posOffset>38100</wp:posOffset>
            </wp:positionH>
            <wp:positionV relativeFrom="paragraph">
              <wp:posOffset>0</wp:posOffset>
            </wp:positionV>
            <wp:extent cx="2639695" cy="1957070"/>
            <wp:effectExtent l="0" t="0" r="8255" b="5080"/>
            <wp:wrapTight wrapText="bothSides">
              <wp:wrapPolygon edited="0">
                <wp:start x="0" y="0"/>
                <wp:lineTo x="0" y="21446"/>
                <wp:lineTo x="21512" y="21446"/>
                <wp:lineTo x="21512" y="0"/>
                <wp:lineTo x="0" y="0"/>
              </wp:wrapPolygon>
            </wp:wrapTight>
            <wp:docPr id="71" name="Chart 16">
              <a:extLst xmlns:a="http://schemas.openxmlformats.org/drawingml/2006/main">
                <a:ext uri="{FF2B5EF4-FFF2-40B4-BE49-F238E27FC236}">
                  <a16:creationId xmlns:a16="http://schemas.microsoft.com/office/drawing/2014/main" id="{DE828D48-B739-4E5A-98B4-F68895AC53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39136" behindDoc="1" locked="0" layoutInCell="1" allowOverlap="1" wp14:anchorId="3BFE1F28" wp14:editId="1EFE2470">
            <wp:simplePos x="0" y="0"/>
            <wp:positionH relativeFrom="column">
              <wp:posOffset>-2540</wp:posOffset>
            </wp:positionH>
            <wp:positionV relativeFrom="paragraph">
              <wp:posOffset>1992630</wp:posOffset>
            </wp:positionV>
            <wp:extent cx="2670175" cy="2182495"/>
            <wp:effectExtent l="0" t="0" r="15875" b="8255"/>
            <wp:wrapTight wrapText="bothSides">
              <wp:wrapPolygon edited="0">
                <wp:start x="0" y="0"/>
                <wp:lineTo x="0" y="21493"/>
                <wp:lineTo x="21574" y="21493"/>
                <wp:lineTo x="21574" y="0"/>
                <wp:lineTo x="0" y="0"/>
              </wp:wrapPolygon>
            </wp:wrapTight>
            <wp:docPr id="72" name="Chart 18">
              <a:extLst xmlns:a="http://schemas.openxmlformats.org/drawingml/2006/main">
                <a:ext uri="{FF2B5EF4-FFF2-40B4-BE49-F238E27FC236}">
                  <a16:creationId xmlns:a16="http://schemas.microsoft.com/office/drawing/2014/main" id="{EF641E9A-3CE1-4DA8-8A8D-B1AC17987D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37088" behindDoc="1" locked="0" layoutInCell="1" allowOverlap="1" wp14:anchorId="16C8AD8A" wp14:editId="2BB63A3C">
            <wp:simplePos x="0" y="0"/>
            <wp:positionH relativeFrom="column">
              <wp:posOffset>2781300</wp:posOffset>
            </wp:positionH>
            <wp:positionV relativeFrom="paragraph">
              <wp:posOffset>0</wp:posOffset>
            </wp:positionV>
            <wp:extent cx="2871470" cy="1957070"/>
            <wp:effectExtent l="0" t="0" r="5080" b="5080"/>
            <wp:wrapTight wrapText="bothSides">
              <wp:wrapPolygon edited="0">
                <wp:start x="0" y="0"/>
                <wp:lineTo x="0" y="21446"/>
                <wp:lineTo x="21495" y="21446"/>
                <wp:lineTo x="21495" y="0"/>
                <wp:lineTo x="0" y="0"/>
              </wp:wrapPolygon>
            </wp:wrapTight>
            <wp:docPr id="70" name="Chart 17">
              <a:extLst xmlns:a="http://schemas.openxmlformats.org/drawingml/2006/main">
                <a:ext uri="{FF2B5EF4-FFF2-40B4-BE49-F238E27FC236}">
                  <a16:creationId xmlns:a16="http://schemas.microsoft.com/office/drawing/2014/main" id="{1FC4A501-541F-46F6-AAA4-6735AB772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42208" behindDoc="1" locked="0" layoutInCell="1" allowOverlap="1" wp14:anchorId="08E4E4FE" wp14:editId="5031ABE7">
            <wp:simplePos x="0" y="0"/>
            <wp:positionH relativeFrom="column">
              <wp:posOffset>52070</wp:posOffset>
            </wp:positionH>
            <wp:positionV relativeFrom="paragraph">
              <wp:posOffset>4285615</wp:posOffset>
            </wp:positionV>
            <wp:extent cx="2639695" cy="2298065"/>
            <wp:effectExtent l="0" t="0" r="8255" b="6985"/>
            <wp:wrapTight wrapText="bothSides">
              <wp:wrapPolygon edited="0">
                <wp:start x="0" y="0"/>
                <wp:lineTo x="0" y="21487"/>
                <wp:lineTo x="21512" y="21487"/>
                <wp:lineTo x="21512" y="0"/>
                <wp:lineTo x="0" y="0"/>
              </wp:wrapPolygon>
            </wp:wrapTight>
            <wp:docPr id="75" name="Chart 20">
              <a:extLst xmlns:a="http://schemas.openxmlformats.org/drawingml/2006/main">
                <a:ext uri="{FF2B5EF4-FFF2-40B4-BE49-F238E27FC236}">
                  <a16:creationId xmlns:a16="http://schemas.microsoft.com/office/drawing/2014/main" id="{8AC1F263-7026-4D9D-BDE3-4B2D61FC92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41184" behindDoc="1" locked="0" layoutInCell="1" allowOverlap="1" wp14:anchorId="1C9CAFA3" wp14:editId="420AB736">
            <wp:simplePos x="0" y="0"/>
            <wp:positionH relativeFrom="column">
              <wp:posOffset>2781603</wp:posOffset>
            </wp:positionH>
            <wp:positionV relativeFrom="paragraph">
              <wp:posOffset>4285701</wp:posOffset>
            </wp:positionV>
            <wp:extent cx="2871470" cy="2298065"/>
            <wp:effectExtent l="0" t="0" r="5080" b="6985"/>
            <wp:wrapTight wrapText="bothSides">
              <wp:wrapPolygon edited="0">
                <wp:start x="0" y="0"/>
                <wp:lineTo x="0" y="21487"/>
                <wp:lineTo x="21495" y="21487"/>
                <wp:lineTo x="21495" y="0"/>
                <wp:lineTo x="0" y="0"/>
              </wp:wrapPolygon>
            </wp:wrapTight>
            <wp:docPr id="74" name="Chart 21">
              <a:extLst xmlns:a="http://schemas.openxmlformats.org/drawingml/2006/main">
                <a:ext uri="{FF2B5EF4-FFF2-40B4-BE49-F238E27FC236}">
                  <a16:creationId xmlns:a16="http://schemas.microsoft.com/office/drawing/2014/main" id="{28C5DB44-A719-4067-AEE9-D9BF456D55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14:paraId="2D4D4058" w14:textId="77777777" w:rsidR="00B4199F" w:rsidRPr="00251B2C" w:rsidRDefault="00B4199F" w:rsidP="00B4199F">
      <w:pPr>
        <w:spacing w:after="160" w:line="256" w:lineRule="auto"/>
        <w:rPr>
          <w:rFonts w:ascii="Times New Roman" w:eastAsia="Calibri" w:hAnsi="Times New Roman" w:cs="Times New Roman"/>
          <w:sz w:val="24"/>
          <w:szCs w:val="24"/>
        </w:rPr>
      </w:pPr>
      <w:r w:rsidRPr="00251B2C">
        <w:rPr>
          <w:rFonts w:ascii="Times New Roman" w:eastAsia="Calibri" w:hAnsi="Times New Roman" w:cs="Times New Roman"/>
          <w:noProof/>
          <w:sz w:val="24"/>
          <w:szCs w:val="24"/>
          <w:lang w:eastAsia="en-GB"/>
        </w:rPr>
        <w:lastRenderedPageBreak/>
        <w:drawing>
          <wp:anchor distT="0" distB="0" distL="114300" distR="114300" simplePos="0" relativeHeight="251749376" behindDoc="1" locked="0" layoutInCell="1" allowOverlap="1" wp14:anchorId="302378E5" wp14:editId="5BE1C0B5">
            <wp:simplePos x="0" y="0"/>
            <wp:positionH relativeFrom="column">
              <wp:posOffset>-8255</wp:posOffset>
            </wp:positionH>
            <wp:positionV relativeFrom="paragraph">
              <wp:posOffset>4742180</wp:posOffset>
            </wp:positionV>
            <wp:extent cx="2639695" cy="2176145"/>
            <wp:effectExtent l="0" t="0" r="8255" b="14605"/>
            <wp:wrapTight wrapText="bothSides">
              <wp:wrapPolygon edited="0">
                <wp:start x="0" y="0"/>
                <wp:lineTo x="0" y="21556"/>
                <wp:lineTo x="21512" y="21556"/>
                <wp:lineTo x="21512" y="0"/>
                <wp:lineTo x="0" y="0"/>
              </wp:wrapPolygon>
            </wp:wrapTight>
            <wp:docPr id="84" name="Chart 34">
              <a:extLst xmlns:a="http://schemas.openxmlformats.org/drawingml/2006/main">
                <a:ext uri="{FF2B5EF4-FFF2-40B4-BE49-F238E27FC236}">
                  <a16:creationId xmlns:a16="http://schemas.microsoft.com/office/drawing/2014/main" id="{E7BA6213-285C-43BC-A612-78F0F865A1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50400" behindDoc="1" locked="0" layoutInCell="1" allowOverlap="1" wp14:anchorId="7EAABF95" wp14:editId="7784C38B">
            <wp:simplePos x="0" y="0"/>
            <wp:positionH relativeFrom="column">
              <wp:posOffset>2734945</wp:posOffset>
            </wp:positionH>
            <wp:positionV relativeFrom="paragraph">
              <wp:posOffset>4742180</wp:posOffset>
            </wp:positionV>
            <wp:extent cx="2871470" cy="2182495"/>
            <wp:effectExtent l="0" t="0" r="5080" b="8255"/>
            <wp:wrapTight wrapText="bothSides">
              <wp:wrapPolygon edited="0">
                <wp:start x="0" y="0"/>
                <wp:lineTo x="0" y="21493"/>
                <wp:lineTo x="21495" y="21493"/>
                <wp:lineTo x="21495" y="0"/>
                <wp:lineTo x="0" y="0"/>
              </wp:wrapPolygon>
            </wp:wrapTight>
            <wp:docPr id="85" name="Chart 35">
              <a:extLst xmlns:a="http://schemas.openxmlformats.org/drawingml/2006/main">
                <a:ext uri="{FF2B5EF4-FFF2-40B4-BE49-F238E27FC236}">
                  <a16:creationId xmlns:a16="http://schemas.microsoft.com/office/drawing/2014/main" id="{C911A514-EDC3-4DC9-A78A-7BC9436AD8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47328" behindDoc="1" locked="0" layoutInCell="1" allowOverlap="1" wp14:anchorId="3B4E949F" wp14:editId="50A86B9B">
            <wp:simplePos x="0" y="0"/>
            <wp:positionH relativeFrom="column">
              <wp:posOffset>2734945</wp:posOffset>
            </wp:positionH>
            <wp:positionV relativeFrom="paragraph">
              <wp:posOffset>2504440</wp:posOffset>
            </wp:positionV>
            <wp:extent cx="2871470" cy="2176145"/>
            <wp:effectExtent l="0" t="0" r="5080" b="14605"/>
            <wp:wrapTight wrapText="bothSides">
              <wp:wrapPolygon edited="0">
                <wp:start x="0" y="0"/>
                <wp:lineTo x="0" y="21556"/>
                <wp:lineTo x="21495" y="21556"/>
                <wp:lineTo x="21495" y="0"/>
                <wp:lineTo x="0" y="0"/>
              </wp:wrapPolygon>
            </wp:wrapTight>
            <wp:docPr id="82" name="Chart 33">
              <a:extLst xmlns:a="http://schemas.openxmlformats.org/drawingml/2006/main">
                <a:ext uri="{FF2B5EF4-FFF2-40B4-BE49-F238E27FC236}">
                  <a16:creationId xmlns:a16="http://schemas.microsoft.com/office/drawing/2014/main" id="{AFC450ED-0D51-4F2A-A76F-CC9D44A039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48352" behindDoc="1" locked="0" layoutInCell="1" allowOverlap="1" wp14:anchorId="6834FCF6" wp14:editId="53D95989">
            <wp:simplePos x="0" y="0"/>
            <wp:positionH relativeFrom="column">
              <wp:posOffset>-8255</wp:posOffset>
            </wp:positionH>
            <wp:positionV relativeFrom="paragraph">
              <wp:posOffset>2488565</wp:posOffset>
            </wp:positionV>
            <wp:extent cx="2639695" cy="2182495"/>
            <wp:effectExtent l="0" t="0" r="8255" b="8255"/>
            <wp:wrapTight wrapText="bothSides">
              <wp:wrapPolygon edited="0">
                <wp:start x="0" y="0"/>
                <wp:lineTo x="0" y="21493"/>
                <wp:lineTo x="21512" y="21493"/>
                <wp:lineTo x="21512" y="0"/>
                <wp:lineTo x="0" y="0"/>
              </wp:wrapPolygon>
            </wp:wrapTight>
            <wp:docPr id="83" name="Chart 32">
              <a:extLst xmlns:a="http://schemas.openxmlformats.org/drawingml/2006/main">
                <a:ext uri="{FF2B5EF4-FFF2-40B4-BE49-F238E27FC236}">
                  <a16:creationId xmlns:a16="http://schemas.microsoft.com/office/drawing/2014/main" id="{AB7A3D7F-B708-4251-84D6-850F846080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45280" behindDoc="1" locked="0" layoutInCell="1" allowOverlap="1" wp14:anchorId="544CB363" wp14:editId="1D8AB5E8">
            <wp:simplePos x="0" y="0"/>
            <wp:positionH relativeFrom="column">
              <wp:posOffset>2734945</wp:posOffset>
            </wp:positionH>
            <wp:positionV relativeFrom="paragraph">
              <wp:posOffset>328930</wp:posOffset>
            </wp:positionV>
            <wp:extent cx="2871470" cy="2066290"/>
            <wp:effectExtent l="0" t="0" r="5080" b="10160"/>
            <wp:wrapTight wrapText="bothSides">
              <wp:wrapPolygon edited="0">
                <wp:start x="0" y="0"/>
                <wp:lineTo x="0" y="21507"/>
                <wp:lineTo x="21495" y="21507"/>
                <wp:lineTo x="21495" y="0"/>
                <wp:lineTo x="0" y="0"/>
              </wp:wrapPolygon>
            </wp:wrapTight>
            <wp:docPr id="80" name="Chart 29">
              <a:extLst xmlns:a="http://schemas.openxmlformats.org/drawingml/2006/main">
                <a:ext uri="{FF2B5EF4-FFF2-40B4-BE49-F238E27FC236}">
                  <a16:creationId xmlns:a16="http://schemas.microsoft.com/office/drawing/2014/main" id="{D8073830-3D98-401E-B820-E7627B9801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46304" behindDoc="1" locked="0" layoutInCell="1" allowOverlap="1" wp14:anchorId="6D71500F" wp14:editId="2F1933EE">
            <wp:simplePos x="0" y="0"/>
            <wp:positionH relativeFrom="column">
              <wp:posOffset>-8255</wp:posOffset>
            </wp:positionH>
            <wp:positionV relativeFrom="paragraph">
              <wp:posOffset>329171</wp:posOffset>
            </wp:positionV>
            <wp:extent cx="2639695" cy="2066290"/>
            <wp:effectExtent l="0" t="0" r="8255" b="10160"/>
            <wp:wrapTight wrapText="bothSides">
              <wp:wrapPolygon edited="0">
                <wp:start x="0" y="0"/>
                <wp:lineTo x="0" y="21507"/>
                <wp:lineTo x="21512" y="21507"/>
                <wp:lineTo x="21512" y="0"/>
                <wp:lineTo x="0" y="0"/>
              </wp:wrapPolygon>
            </wp:wrapTight>
            <wp:docPr id="81" name="Chart 28">
              <a:extLst xmlns:a="http://schemas.openxmlformats.org/drawingml/2006/main">
                <a:ext uri="{FF2B5EF4-FFF2-40B4-BE49-F238E27FC236}">
                  <a16:creationId xmlns:a16="http://schemas.microsoft.com/office/drawing/2014/main" id="{AE83FC39-3E8F-4310-B39E-DA2AAC6B1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p w14:paraId="07AA4DB5" w14:textId="77777777" w:rsidR="00B4199F" w:rsidRPr="00251B2C" w:rsidRDefault="00B4199F" w:rsidP="00B4199F">
      <w:pPr>
        <w:spacing w:after="160" w:line="256" w:lineRule="auto"/>
        <w:rPr>
          <w:rFonts w:ascii="Times New Roman" w:eastAsia="Calibri" w:hAnsi="Times New Roman" w:cs="Times New Roman"/>
          <w:sz w:val="24"/>
          <w:szCs w:val="24"/>
        </w:rPr>
      </w:pPr>
      <w:r w:rsidRPr="00251B2C">
        <w:rPr>
          <w:rFonts w:ascii="Times New Roman" w:eastAsia="Calibri" w:hAnsi="Times New Roman" w:cs="Times New Roman"/>
          <w:sz w:val="24"/>
          <w:szCs w:val="24"/>
        </w:rPr>
        <w:br w:type="page"/>
      </w:r>
    </w:p>
    <w:p w14:paraId="2B73D526" w14:textId="77777777" w:rsidR="00B4199F" w:rsidRPr="00251B2C" w:rsidRDefault="00B4199F" w:rsidP="00B4199F">
      <w:pPr>
        <w:spacing w:after="160" w:line="256" w:lineRule="auto"/>
        <w:rPr>
          <w:rFonts w:ascii="Times New Roman" w:eastAsia="Calibri" w:hAnsi="Times New Roman" w:cs="Times New Roman"/>
          <w:sz w:val="24"/>
          <w:szCs w:val="24"/>
        </w:rPr>
      </w:pPr>
      <w:r w:rsidRPr="00251B2C">
        <w:rPr>
          <w:rFonts w:ascii="Times New Roman" w:eastAsia="Calibri" w:hAnsi="Times New Roman" w:cs="Times New Roman"/>
          <w:noProof/>
          <w:sz w:val="24"/>
          <w:szCs w:val="24"/>
          <w:lang w:eastAsia="en-GB"/>
        </w:rPr>
        <w:lastRenderedPageBreak/>
        <w:drawing>
          <wp:anchor distT="0" distB="0" distL="114300" distR="114300" simplePos="0" relativeHeight="251755520" behindDoc="1" locked="0" layoutInCell="1" allowOverlap="1" wp14:anchorId="74E9FB43" wp14:editId="4F593652">
            <wp:simplePos x="0" y="0"/>
            <wp:positionH relativeFrom="column">
              <wp:posOffset>2624455</wp:posOffset>
            </wp:positionH>
            <wp:positionV relativeFrom="paragraph">
              <wp:posOffset>4891405</wp:posOffset>
            </wp:positionV>
            <wp:extent cx="2846705" cy="2182495"/>
            <wp:effectExtent l="0" t="0" r="10795" b="8255"/>
            <wp:wrapTight wrapText="bothSides">
              <wp:wrapPolygon edited="0">
                <wp:start x="0" y="0"/>
                <wp:lineTo x="0" y="21493"/>
                <wp:lineTo x="21537" y="21493"/>
                <wp:lineTo x="21537" y="0"/>
                <wp:lineTo x="0" y="0"/>
              </wp:wrapPolygon>
            </wp:wrapTight>
            <wp:docPr id="90" name="Chart 46">
              <a:extLst xmlns:a="http://schemas.openxmlformats.org/drawingml/2006/main">
                <a:ext uri="{FF2B5EF4-FFF2-40B4-BE49-F238E27FC236}">
                  <a16:creationId xmlns:a16="http://schemas.microsoft.com/office/drawing/2014/main" id="{C25F63DB-9589-468A-8D7E-B0EACFB38A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56544" behindDoc="1" locked="0" layoutInCell="1" allowOverlap="1" wp14:anchorId="2C85C0BB" wp14:editId="223F90B7">
            <wp:simplePos x="0" y="0"/>
            <wp:positionH relativeFrom="column">
              <wp:posOffset>-118745</wp:posOffset>
            </wp:positionH>
            <wp:positionV relativeFrom="paragraph">
              <wp:posOffset>4907280</wp:posOffset>
            </wp:positionV>
            <wp:extent cx="2639695" cy="2176145"/>
            <wp:effectExtent l="0" t="0" r="8255" b="14605"/>
            <wp:wrapTight wrapText="bothSides">
              <wp:wrapPolygon edited="0">
                <wp:start x="0" y="0"/>
                <wp:lineTo x="0" y="21556"/>
                <wp:lineTo x="21512" y="21556"/>
                <wp:lineTo x="21512" y="0"/>
                <wp:lineTo x="0" y="0"/>
              </wp:wrapPolygon>
            </wp:wrapTight>
            <wp:docPr id="91" name="Chart 48">
              <a:extLst xmlns:a="http://schemas.openxmlformats.org/drawingml/2006/main">
                <a:ext uri="{FF2B5EF4-FFF2-40B4-BE49-F238E27FC236}">
                  <a16:creationId xmlns:a16="http://schemas.microsoft.com/office/drawing/2014/main" id="{12A4BDC6-32BC-48EB-84FE-2ACBA0FDE3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53472" behindDoc="1" locked="0" layoutInCell="1" allowOverlap="1" wp14:anchorId="7B9F7A98" wp14:editId="302F0950">
            <wp:simplePos x="0" y="0"/>
            <wp:positionH relativeFrom="column">
              <wp:posOffset>-118745</wp:posOffset>
            </wp:positionH>
            <wp:positionV relativeFrom="paragraph">
              <wp:posOffset>2494915</wp:posOffset>
            </wp:positionV>
            <wp:extent cx="2639695" cy="2298065"/>
            <wp:effectExtent l="0" t="0" r="8255" b="6985"/>
            <wp:wrapTight wrapText="bothSides">
              <wp:wrapPolygon edited="0">
                <wp:start x="0" y="0"/>
                <wp:lineTo x="0" y="21487"/>
                <wp:lineTo x="21512" y="21487"/>
                <wp:lineTo x="21512" y="0"/>
                <wp:lineTo x="0" y="0"/>
              </wp:wrapPolygon>
            </wp:wrapTight>
            <wp:docPr id="88" name="Chart 42">
              <a:extLst xmlns:a="http://schemas.openxmlformats.org/drawingml/2006/main">
                <a:ext uri="{FF2B5EF4-FFF2-40B4-BE49-F238E27FC236}">
                  <a16:creationId xmlns:a16="http://schemas.microsoft.com/office/drawing/2014/main" id="{FABC70F6-25C5-4DE9-A81D-1CCBAF379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54496" behindDoc="1" locked="0" layoutInCell="1" allowOverlap="1" wp14:anchorId="178511B7" wp14:editId="6705502D">
            <wp:simplePos x="0" y="0"/>
            <wp:positionH relativeFrom="column">
              <wp:posOffset>2624587</wp:posOffset>
            </wp:positionH>
            <wp:positionV relativeFrom="paragraph">
              <wp:posOffset>2495024</wp:posOffset>
            </wp:positionV>
            <wp:extent cx="2846705" cy="2298065"/>
            <wp:effectExtent l="0" t="0" r="10795" b="6985"/>
            <wp:wrapTight wrapText="bothSides">
              <wp:wrapPolygon edited="0">
                <wp:start x="0" y="0"/>
                <wp:lineTo x="0" y="21487"/>
                <wp:lineTo x="21537" y="21487"/>
                <wp:lineTo x="21537" y="0"/>
                <wp:lineTo x="0" y="0"/>
              </wp:wrapPolygon>
            </wp:wrapTight>
            <wp:docPr id="89" name="Chart 43">
              <a:extLst xmlns:a="http://schemas.openxmlformats.org/drawingml/2006/main">
                <a:ext uri="{FF2B5EF4-FFF2-40B4-BE49-F238E27FC236}">
                  <a16:creationId xmlns:a16="http://schemas.microsoft.com/office/drawing/2014/main" id="{52431628-19FC-4943-A453-7095F66149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51424" behindDoc="1" locked="0" layoutInCell="1" allowOverlap="1" wp14:anchorId="51E1BF1D" wp14:editId="5C6DA389">
            <wp:simplePos x="0" y="0"/>
            <wp:positionH relativeFrom="column">
              <wp:posOffset>-111760</wp:posOffset>
            </wp:positionH>
            <wp:positionV relativeFrom="paragraph">
              <wp:posOffset>0</wp:posOffset>
            </wp:positionV>
            <wp:extent cx="2639695" cy="2298065"/>
            <wp:effectExtent l="0" t="0" r="8255" b="6985"/>
            <wp:wrapTight wrapText="bothSides">
              <wp:wrapPolygon edited="0">
                <wp:start x="0" y="0"/>
                <wp:lineTo x="0" y="21487"/>
                <wp:lineTo x="21512" y="21487"/>
                <wp:lineTo x="21512" y="0"/>
                <wp:lineTo x="0" y="0"/>
              </wp:wrapPolygon>
            </wp:wrapTight>
            <wp:docPr id="86" name="Chart 40">
              <a:extLst xmlns:a="http://schemas.openxmlformats.org/drawingml/2006/main">
                <a:ext uri="{FF2B5EF4-FFF2-40B4-BE49-F238E27FC236}">
                  <a16:creationId xmlns:a16="http://schemas.microsoft.com/office/drawing/2014/main" id="{3E93A8DE-68CB-4679-A462-F8D1740999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52448" behindDoc="1" locked="0" layoutInCell="1" allowOverlap="1" wp14:anchorId="75279D1A" wp14:editId="0BC2E296">
            <wp:simplePos x="0" y="0"/>
            <wp:positionH relativeFrom="column">
              <wp:posOffset>2631440</wp:posOffset>
            </wp:positionH>
            <wp:positionV relativeFrom="paragraph">
              <wp:posOffset>132</wp:posOffset>
            </wp:positionV>
            <wp:extent cx="2914015" cy="2298065"/>
            <wp:effectExtent l="0" t="0" r="635" b="6985"/>
            <wp:wrapTight wrapText="bothSides">
              <wp:wrapPolygon edited="0">
                <wp:start x="0" y="0"/>
                <wp:lineTo x="0" y="21487"/>
                <wp:lineTo x="21463" y="21487"/>
                <wp:lineTo x="21463" y="0"/>
                <wp:lineTo x="0" y="0"/>
              </wp:wrapPolygon>
            </wp:wrapTight>
            <wp:docPr id="87" name="Chart 41">
              <a:extLst xmlns:a="http://schemas.openxmlformats.org/drawingml/2006/main">
                <a:ext uri="{FF2B5EF4-FFF2-40B4-BE49-F238E27FC236}">
                  <a16:creationId xmlns:a16="http://schemas.microsoft.com/office/drawing/2014/main" id="{4AB1AA86-888E-4398-BB6B-E532141D88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sz w:val="24"/>
          <w:szCs w:val="24"/>
        </w:rPr>
        <w:br/>
      </w:r>
    </w:p>
    <w:p w14:paraId="15C4D5B8" w14:textId="77777777" w:rsidR="00B4199F" w:rsidRPr="00251B2C" w:rsidRDefault="00B4199F" w:rsidP="00B4199F">
      <w:pPr>
        <w:rPr>
          <w:rFonts w:ascii="Times New Roman" w:hAnsi="Times New Roman" w:cs="Times New Roman"/>
          <w:b/>
          <w:sz w:val="24"/>
          <w:szCs w:val="24"/>
        </w:rPr>
      </w:pPr>
    </w:p>
    <w:p w14:paraId="3B47AF30" w14:textId="77777777" w:rsidR="00B4199F" w:rsidRPr="00251B2C" w:rsidRDefault="00B4199F" w:rsidP="00B4199F">
      <w:pPr>
        <w:rPr>
          <w:rFonts w:ascii="Times New Roman" w:hAnsi="Times New Roman" w:cs="Times New Roman"/>
          <w:b/>
          <w:sz w:val="24"/>
          <w:szCs w:val="24"/>
        </w:rPr>
      </w:pPr>
    </w:p>
    <w:p w14:paraId="481898E2" w14:textId="77777777" w:rsidR="00B4199F" w:rsidRPr="00251B2C" w:rsidRDefault="00B4199F" w:rsidP="00B4199F">
      <w:pPr>
        <w:rPr>
          <w:rFonts w:ascii="Times New Roman" w:hAnsi="Times New Roman" w:cs="Times New Roman"/>
          <w:b/>
          <w:sz w:val="24"/>
          <w:szCs w:val="24"/>
        </w:rPr>
      </w:pPr>
    </w:p>
    <w:p w14:paraId="72ADE4C6" w14:textId="77777777" w:rsidR="00B4199F" w:rsidRPr="00251B2C" w:rsidRDefault="00B4199F" w:rsidP="00B4199F">
      <w:pPr>
        <w:rPr>
          <w:rFonts w:ascii="Times New Roman" w:hAnsi="Times New Roman" w:cs="Times New Roman"/>
          <w:b/>
          <w:sz w:val="24"/>
          <w:szCs w:val="24"/>
        </w:rPr>
      </w:pPr>
    </w:p>
    <w:p w14:paraId="142E757F" w14:textId="77777777" w:rsidR="00B4199F" w:rsidRPr="00251B2C" w:rsidRDefault="00B4199F" w:rsidP="00B4199F">
      <w:pPr>
        <w:spacing w:after="160" w:line="259" w:lineRule="auto"/>
        <w:jc w:val="center"/>
        <w:rPr>
          <w:rFonts w:ascii="Times New Roman" w:eastAsia="Calibri" w:hAnsi="Times New Roman" w:cs="Times New Roman"/>
          <w:sz w:val="24"/>
          <w:szCs w:val="24"/>
        </w:rPr>
      </w:pPr>
      <w:bookmarkStart w:id="123" w:name="_Hlk481592650"/>
      <w:bookmarkStart w:id="124" w:name="_Hlk481595255"/>
      <w:bookmarkEnd w:id="123"/>
      <w:r w:rsidRPr="00251B2C">
        <w:rPr>
          <w:rFonts w:ascii="Times New Roman" w:eastAsia="Calibri" w:hAnsi="Times New Roman" w:cs="Times New Roman"/>
          <w:noProof/>
          <w:sz w:val="24"/>
          <w:szCs w:val="24"/>
          <w:lang w:eastAsia="en-GB"/>
        </w:rPr>
        <w:lastRenderedPageBreak/>
        <w:drawing>
          <wp:anchor distT="0" distB="0" distL="114300" distR="114300" simplePos="0" relativeHeight="251762688" behindDoc="0" locked="0" layoutInCell="1" allowOverlap="1" wp14:anchorId="4E7B5CF3" wp14:editId="6DA9A28D">
            <wp:simplePos x="0" y="0"/>
            <wp:positionH relativeFrom="column">
              <wp:posOffset>2751455</wp:posOffset>
            </wp:positionH>
            <wp:positionV relativeFrom="paragraph">
              <wp:posOffset>5640070</wp:posOffset>
            </wp:positionV>
            <wp:extent cx="2858770" cy="2057400"/>
            <wp:effectExtent l="0" t="0" r="17780" b="0"/>
            <wp:wrapSquare wrapText="bothSides"/>
            <wp:docPr id="10" name="Chart 10">
              <a:extLst xmlns:a="http://schemas.openxmlformats.org/drawingml/2006/main">
                <a:ext uri="{FF2B5EF4-FFF2-40B4-BE49-F238E27FC236}">
                  <a16:creationId xmlns:a16="http://schemas.microsoft.com/office/drawing/2014/main" id="{C2B1B00C-2AB3-432D-B6B2-3124FEFD1F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61664" behindDoc="0" locked="0" layoutInCell="1" allowOverlap="1" wp14:anchorId="1FCDF7FB" wp14:editId="3BAF1C4B">
            <wp:simplePos x="0" y="0"/>
            <wp:positionH relativeFrom="column">
              <wp:posOffset>635</wp:posOffset>
            </wp:positionH>
            <wp:positionV relativeFrom="paragraph">
              <wp:posOffset>5640070</wp:posOffset>
            </wp:positionV>
            <wp:extent cx="2627630" cy="2057400"/>
            <wp:effectExtent l="0" t="0" r="1270" b="0"/>
            <wp:wrapSquare wrapText="bothSides"/>
            <wp:docPr id="19" name="Chart 19">
              <a:extLst xmlns:a="http://schemas.openxmlformats.org/drawingml/2006/main">
                <a:ext uri="{FF2B5EF4-FFF2-40B4-BE49-F238E27FC236}">
                  <a16:creationId xmlns:a16="http://schemas.microsoft.com/office/drawing/2014/main" id="{5F7ABE18-E18B-4A69-827B-B81D9F623F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60640" behindDoc="0" locked="0" layoutInCell="1" allowOverlap="1" wp14:anchorId="47DD475B" wp14:editId="0F074D4C">
            <wp:simplePos x="0" y="0"/>
            <wp:positionH relativeFrom="column">
              <wp:posOffset>2741930</wp:posOffset>
            </wp:positionH>
            <wp:positionV relativeFrom="paragraph">
              <wp:posOffset>3076575</wp:posOffset>
            </wp:positionV>
            <wp:extent cx="2858770" cy="2171700"/>
            <wp:effectExtent l="0" t="0" r="17780" b="0"/>
            <wp:wrapSquare wrapText="bothSides"/>
            <wp:docPr id="76" name="Chart 76">
              <a:extLst xmlns:a="http://schemas.openxmlformats.org/drawingml/2006/main">
                <a:ext uri="{FF2B5EF4-FFF2-40B4-BE49-F238E27FC236}">
                  <a16:creationId xmlns:a16="http://schemas.microsoft.com/office/drawing/2014/main" id="{BF8C0E1C-3C09-41D2-8536-E1B81F1D6B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59616" behindDoc="0" locked="0" layoutInCell="1" allowOverlap="1" wp14:anchorId="262D0AEB" wp14:editId="29089697">
            <wp:simplePos x="0" y="0"/>
            <wp:positionH relativeFrom="column">
              <wp:posOffset>-8890</wp:posOffset>
            </wp:positionH>
            <wp:positionV relativeFrom="paragraph">
              <wp:posOffset>3076575</wp:posOffset>
            </wp:positionV>
            <wp:extent cx="2637790" cy="2171700"/>
            <wp:effectExtent l="0" t="0" r="10160" b="0"/>
            <wp:wrapSquare wrapText="bothSides"/>
            <wp:docPr id="77" name="Chart 77">
              <a:extLst xmlns:a="http://schemas.openxmlformats.org/drawingml/2006/main">
                <a:ext uri="{FF2B5EF4-FFF2-40B4-BE49-F238E27FC236}">
                  <a16:creationId xmlns:a16="http://schemas.microsoft.com/office/drawing/2014/main" id="{41FD8B0A-7B35-4D03-AF0A-3841A9297C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57568" behindDoc="0" locked="0" layoutInCell="1" allowOverlap="1" wp14:anchorId="4985E1B1" wp14:editId="30301E0A">
            <wp:simplePos x="0" y="0"/>
            <wp:positionH relativeFrom="column">
              <wp:posOffset>0</wp:posOffset>
            </wp:positionH>
            <wp:positionV relativeFrom="paragraph">
              <wp:posOffset>714375</wp:posOffset>
            </wp:positionV>
            <wp:extent cx="2630170" cy="2171700"/>
            <wp:effectExtent l="0" t="0" r="17780" b="0"/>
            <wp:wrapSquare wrapText="bothSides"/>
            <wp:docPr id="96" name="Chart 96">
              <a:extLst xmlns:a="http://schemas.openxmlformats.org/drawingml/2006/main">
                <a:ext uri="{FF2B5EF4-FFF2-40B4-BE49-F238E27FC236}">
                  <a16:creationId xmlns:a16="http://schemas.microsoft.com/office/drawing/2014/main" id="{B6EFC94C-5F30-42BD-8F2B-034506A2F6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58592" behindDoc="0" locked="0" layoutInCell="1" allowOverlap="1" wp14:anchorId="40FD3E33" wp14:editId="4E47F8D4">
            <wp:simplePos x="0" y="0"/>
            <wp:positionH relativeFrom="column">
              <wp:posOffset>2741930</wp:posOffset>
            </wp:positionH>
            <wp:positionV relativeFrom="paragraph">
              <wp:posOffset>714375</wp:posOffset>
            </wp:positionV>
            <wp:extent cx="2858770" cy="2171700"/>
            <wp:effectExtent l="0" t="0" r="17780" b="0"/>
            <wp:wrapSquare wrapText="bothSides"/>
            <wp:docPr id="92" name="Chart 92">
              <a:extLst xmlns:a="http://schemas.openxmlformats.org/drawingml/2006/main">
                <a:ext uri="{FF2B5EF4-FFF2-40B4-BE49-F238E27FC236}">
                  <a16:creationId xmlns:a16="http://schemas.microsoft.com/office/drawing/2014/main" id="{65588C39-BF9B-48EB-B1D4-841868F178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bookmarkStart w:id="125" w:name="_Toc481617415"/>
      <w:r w:rsidRPr="00251B2C">
        <w:rPr>
          <w:rStyle w:val="Heading2Char"/>
          <w:rFonts w:ascii="Times New Roman" w:eastAsia="Calibri" w:hAnsi="Times New Roman" w:cs="Times New Roman"/>
          <w:sz w:val="24"/>
          <w:szCs w:val="24"/>
        </w:rPr>
        <w:t>APPENDIX - C</w:t>
      </w:r>
      <w:bookmarkEnd w:id="125"/>
      <w:r w:rsidRPr="00251B2C">
        <w:rPr>
          <w:rFonts w:ascii="Times New Roman" w:eastAsia="Calibri" w:hAnsi="Times New Roman" w:cs="Times New Roman"/>
          <w:b/>
          <w:sz w:val="24"/>
          <w:szCs w:val="24"/>
        </w:rPr>
        <w:t xml:space="preserve"> </w:t>
      </w:r>
      <w:r w:rsidRPr="00251B2C">
        <w:rPr>
          <w:rFonts w:ascii="Times New Roman" w:eastAsia="Calibri" w:hAnsi="Times New Roman" w:cs="Times New Roman"/>
          <w:sz w:val="24"/>
          <w:szCs w:val="24"/>
        </w:rPr>
        <w:br/>
      </w:r>
      <w:bookmarkStart w:id="126" w:name="_Hlk481528827"/>
      <w:bookmarkEnd w:id="126"/>
      <w:r w:rsidRPr="00251B2C">
        <w:rPr>
          <w:rFonts w:ascii="Times New Roman" w:eastAsia="Calibri" w:hAnsi="Times New Roman" w:cs="Times New Roman"/>
          <w:sz w:val="24"/>
          <w:szCs w:val="24"/>
        </w:rPr>
        <w:t>Conventional bonds for 10 Day Monte Carlo simulation and (5000 iterations) tabulated in a histogram.</w:t>
      </w:r>
    </w:p>
    <w:p w14:paraId="555E3C76" w14:textId="1CF89DEB" w:rsidR="00B4199F" w:rsidRPr="00251B2C" w:rsidRDefault="00B4199F" w:rsidP="00B4199F">
      <w:pPr>
        <w:spacing w:after="160" w:line="259" w:lineRule="auto"/>
        <w:rPr>
          <w:rFonts w:ascii="Times New Roman" w:eastAsia="Calibri" w:hAnsi="Times New Roman" w:cs="Times New Roman"/>
          <w:sz w:val="24"/>
          <w:szCs w:val="24"/>
        </w:rPr>
      </w:pPr>
      <w:r w:rsidRPr="00251B2C">
        <w:rPr>
          <w:rFonts w:ascii="Times New Roman" w:eastAsia="Calibri" w:hAnsi="Times New Roman" w:cs="Times New Roman"/>
          <w:noProof/>
          <w:sz w:val="24"/>
          <w:szCs w:val="24"/>
          <w:lang w:eastAsia="en-GB"/>
        </w:rPr>
        <w:lastRenderedPageBreak/>
        <w:drawing>
          <wp:anchor distT="0" distB="0" distL="114300" distR="114300" simplePos="0" relativeHeight="251770880" behindDoc="0" locked="0" layoutInCell="1" allowOverlap="1" wp14:anchorId="3A21AFBD" wp14:editId="395FAD84">
            <wp:simplePos x="0" y="0"/>
            <wp:positionH relativeFrom="column">
              <wp:posOffset>2741930</wp:posOffset>
            </wp:positionH>
            <wp:positionV relativeFrom="paragraph">
              <wp:posOffset>7086600</wp:posOffset>
            </wp:positionV>
            <wp:extent cx="2858770" cy="2286000"/>
            <wp:effectExtent l="0" t="0" r="17780" b="0"/>
            <wp:wrapSquare wrapText="bothSides"/>
            <wp:docPr id="97" name="Chart 97">
              <a:extLst xmlns:a="http://schemas.openxmlformats.org/drawingml/2006/main">
                <a:ext uri="{FF2B5EF4-FFF2-40B4-BE49-F238E27FC236}">
                  <a16:creationId xmlns:a16="http://schemas.microsoft.com/office/drawing/2014/main" id="{768F2576-5E18-429B-92B6-8F85E70296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67808" behindDoc="0" locked="0" layoutInCell="1" allowOverlap="1" wp14:anchorId="26908236" wp14:editId="10E0229E">
            <wp:simplePos x="0" y="0"/>
            <wp:positionH relativeFrom="column">
              <wp:posOffset>-1270</wp:posOffset>
            </wp:positionH>
            <wp:positionV relativeFrom="paragraph">
              <wp:posOffset>4564380</wp:posOffset>
            </wp:positionV>
            <wp:extent cx="2635250" cy="2407920"/>
            <wp:effectExtent l="0" t="0" r="12700" b="11430"/>
            <wp:wrapSquare wrapText="bothSides"/>
            <wp:docPr id="98" name="Chart 98">
              <a:extLst xmlns:a="http://schemas.openxmlformats.org/drawingml/2006/main">
                <a:ext uri="{FF2B5EF4-FFF2-40B4-BE49-F238E27FC236}">
                  <a16:creationId xmlns:a16="http://schemas.microsoft.com/office/drawing/2014/main" id="{8AC1F263-7026-4D9D-BDE3-4B2D61FC92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68832" behindDoc="0" locked="0" layoutInCell="1" allowOverlap="1" wp14:anchorId="019CC871" wp14:editId="76C23DA3">
            <wp:simplePos x="0" y="0"/>
            <wp:positionH relativeFrom="column">
              <wp:posOffset>2741930</wp:posOffset>
            </wp:positionH>
            <wp:positionV relativeFrom="paragraph">
              <wp:posOffset>4572000</wp:posOffset>
            </wp:positionV>
            <wp:extent cx="2858770" cy="2400300"/>
            <wp:effectExtent l="0" t="0" r="17780" b="0"/>
            <wp:wrapSquare wrapText="bothSides"/>
            <wp:docPr id="99" name="Chart 99">
              <a:extLst xmlns:a="http://schemas.openxmlformats.org/drawingml/2006/main">
                <a:ext uri="{FF2B5EF4-FFF2-40B4-BE49-F238E27FC236}">
                  <a16:creationId xmlns:a16="http://schemas.microsoft.com/office/drawing/2014/main" id="{4A88CCAA-CB73-4EE5-A73F-D0A910E0A4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69856" behindDoc="0" locked="0" layoutInCell="1" allowOverlap="1" wp14:anchorId="14C384F7" wp14:editId="2BD0A237">
            <wp:simplePos x="0" y="0"/>
            <wp:positionH relativeFrom="column">
              <wp:posOffset>-1270</wp:posOffset>
            </wp:positionH>
            <wp:positionV relativeFrom="paragraph">
              <wp:posOffset>7086600</wp:posOffset>
            </wp:positionV>
            <wp:extent cx="2637790" cy="2286000"/>
            <wp:effectExtent l="0" t="0" r="10160" b="0"/>
            <wp:wrapSquare wrapText="bothSides"/>
            <wp:docPr id="100" name="Chart 100">
              <a:extLst xmlns:a="http://schemas.openxmlformats.org/drawingml/2006/main">
                <a:ext uri="{FF2B5EF4-FFF2-40B4-BE49-F238E27FC236}">
                  <a16:creationId xmlns:a16="http://schemas.microsoft.com/office/drawing/2014/main" id="{CF4F81CC-994C-4D86-9A0D-9252C4581D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65760" behindDoc="0" locked="0" layoutInCell="1" allowOverlap="1" wp14:anchorId="7DEBF171" wp14:editId="5F9A779B">
            <wp:simplePos x="0" y="0"/>
            <wp:positionH relativeFrom="column">
              <wp:posOffset>-1270</wp:posOffset>
            </wp:positionH>
            <wp:positionV relativeFrom="paragraph">
              <wp:posOffset>2400300</wp:posOffset>
            </wp:positionV>
            <wp:extent cx="2635250" cy="2057400"/>
            <wp:effectExtent l="0" t="0" r="12700" b="0"/>
            <wp:wrapSquare wrapText="bothSides"/>
            <wp:docPr id="101" name="Chart 101">
              <a:extLst xmlns:a="http://schemas.openxmlformats.org/drawingml/2006/main">
                <a:ext uri="{FF2B5EF4-FFF2-40B4-BE49-F238E27FC236}">
                  <a16:creationId xmlns:a16="http://schemas.microsoft.com/office/drawing/2014/main" id="{EF641E9A-3CE1-4DA8-8A8D-B1AC17987D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66784" behindDoc="0" locked="0" layoutInCell="1" allowOverlap="1" wp14:anchorId="43EB6361" wp14:editId="3850538F">
            <wp:simplePos x="0" y="0"/>
            <wp:positionH relativeFrom="column">
              <wp:posOffset>2741930</wp:posOffset>
            </wp:positionH>
            <wp:positionV relativeFrom="paragraph">
              <wp:posOffset>2400300</wp:posOffset>
            </wp:positionV>
            <wp:extent cx="2858770" cy="2057400"/>
            <wp:effectExtent l="0" t="0" r="17780" b="0"/>
            <wp:wrapSquare wrapText="bothSides"/>
            <wp:docPr id="102" name="Chart 102">
              <a:extLst xmlns:a="http://schemas.openxmlformats.org/drawingml/2006/main">
                <a:ext uri="{FF2B5EF4-FFF2-40B4-BE49-F238E27FC236}">
                  <a16:creationId xmlns:a16="http://schemas.microsoft.com/office/drawing/2014/main" id="{6384674C-3937-498A-9FA5-BC175EB2E0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64736" behindDoc="0" locked="0" layoutInCell="1" allowOverlap="1" wp14:anchorId="7CA26E2F" wp14:editId="7E6A0E16">
            <wp:simplePos x="0" y="0"/>
            <wp:positionH relativeFrom="column">
              <wp:posOffset>2741930</wp:posOffset>
            </wp:positionH>
            <wp:positionV relativeFrom="paragraph">
              <wp:posOffset>228600</wp:posOffset>
            </wp:positionV>
            <wp:extent cx="2858770" cy="2042160"/>
            <wp:effectExtent l="0" t="0" r="17780" b="15240"/>
            <wp:wrapSquare wrapText="bothSides"/>
            <wp:docPr id="103" name="Chart 103">
              <a:extLst xmlns:a="http://schemas.openxmlformats.org/drawingml/2006/main">
                <a:ext uri="{FF2B5EF4-FFF2-40B4-BE49-F238E27FC236}">
                  <a16:creationId xmlns:a16="http://schemas.microsoft.com/office/drawing/2014/main" id="{F679CDC2-6C74-4A30-86D0-95904635B8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63712" behindDoc="0" locked="0" layoutInCell="1" allowOverlap="1" wp14:anchorId="45AB5C80" wp14:editId="5A0873BD">
            <wp:simplePos x="0" y="0"/>
            <wp:positionH relativeFrom="column">
              <wp:posOffset>1270</wp:posOffset>
            </wp:positionH>
            <wp:positionV relativeFrom="paragraph">
              <wp:posOffset>228600</wp:posOffset>
            </wp:positionV>
            <wp:extent cx="2627630" cy="2042160"/>
            <wp:effectExtent l="0" t="0" r="1270" b="15240"/>
            <wp:wrapSquare wrapText="bothSides"/>
            <wp:docPr id="104" name="Chart 104">
              <a:extLst xmlns:a="http://schemas.openxmlformats.org/drawingml/2006/main">
                <a:ext uri="{FF2B5EF4-FFF2-40B4-BE49-F238E27FC236}">
                  <a16:creationId xmlns:a16="http://schemas.microsoft.com/office/drawing/2014/main" id="{DE828D48-B739-4E5A-98B4-F68895AC53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sz w:val="24"/>
          <w:szCs w:val="24"/>
        </w:rPr>
        <w:br/>
      </w:r>
      <w:r w:rsidRPr="00251B2C">
        <w:rPr>
          <w:rFonts w:ascii="Times New Roman" w:eastAsia="Calibri" w:hAnsi="Times New Roman" w:cs="Times New Roman"/>
          <w:noProof/>
          <w:sz w:val="24"/>
          <w:szCs w:val="24"/>
          <w:lang w:eastAsia="en-GB"/>
        </w:rPr>
        <w:lastRenderedPageBreak/>
        <w:drawing>
          <wp:anchor distT="0" distB="0" distL="114300" distR="114300" simplePos="0" relativeHeight="251785216" behindDoc="1" locked="0" layoutInCell="1" allowOverlap="1" wp14:anchorId="114D0051" wp14:editId="5211D10E">
            <wp:simplePos x="0" y="0"/>
            <wp:positionH relativeFrom="column">
              <wp:posOffset>2796540</wp:posOffset>
            </wp:positionH>
            <wp:positionV relativeFrom="paragraph">
              <wp:posOffset>6678295</wp:posOffset>
            </wp:positionV>
            <wp:extent cx="2952115" cy="2209800"/>
            <wp:effectExtent l="0" t="0" r="635" b="0"/>
            <wp:wrapTight wrapText="bothSides">
              <wp:wrapPolygon edited="0">
                <wp:start x="0" y="0"/>
                <wp:lineTo x="0" y="21414"/>
                <wp:lineTo x="21465" y="21414"/>
                <wp:lineTo x="21465" y="0"/>
                <wp:lineTo x="0" y="0"/>
              </wp:wrapPolygon>
            </wp:wrapTight>
            <wp:docPr id="113" name="Chart 113">
              <a:extLst xmlns:a="http://schemas.openxmlformats.org/drawingml/2006/main">
                <a:ext uri="{FF2B5EF4-FFF2-40B4-BE49-F238E27FC236}">
                  <a16:creationId xmlns:a16="http://schemas.microsoft.com/office/drawing/2014/main" id="{9E92030F-F9E8-461A-A086-8A2FF52133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76000" behindDoc="0" locked="0" layoutInCell="1" allowOverlap="1" wp14:anchorId="108DF7AE" wp14:editId="31638FC6">
            <wp:simplePos x="0" y="0"/>
            <wp:positionH relativeFrom="column">
              <wp:posOffset>2777490</wp:posOffset>
            </wp:positionH>
            <wp:positionV relativeFrom="paragraph">
              <wp:posOffset>4338320</wp:posOffset>
            </wp:positionV>
            <wp:extent cx="2917190" cy="2266950"/>
            <wp:effectExtent l="0" t="0" r="16510" b="0"/>
            <wp:wrapSquare wrapText="bothSides"/>
            <wp:docPr id="109" name="Chart 109">
              <a:extLst xmlns:a="http://schemas.openxmlformats.org/drawingml/2006/main">
                <a:ext uri="{FF2B5EF4-FFF2-40B4-BE49-F238E27FC236}">
                  <a16:creationId xmlns:a16="http://schemas.microsoft.com/office/drawing/2014/main" id="{1EC8C095-C5E0-4431-A63E-7027B0BD78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83168" behindDoc="1" locked="0" layoutInCell="1" allowOverlap="1" wp14:anchorId="538F764C" wp14:editId="41BA1382">
            <wp:simplePos x="0" y="0"/>
            <wp:positionH relativeFrom="column">
              <wp:posOffset>-3810</wp:posOffset>
            </wp:positionH>
            <wp:positionV relativeFrom="paragraph">
              <wp:posOffset>6678295</wp:posOffset>
            </wp:positionV>
            <wp:extent cx="2686685" cy="2200275"/>
            <wp:effectExtent l="0" t="0" r="18415" b="9525"/>
            <wp:wrapSquare wrapText="bothSides"/>
            <wp:docPr id="118" name="Chart 118">
              <a:extLst xmlns:a="http://schemas.openxmlformats.org/drawingml/2006/main">
                <a:ext uri="{FF2B5EF4-FFF2-40B4-BE49-F238E27FC236}">
                  <a16:creationId xmlns:a16="http://schemas.microsoft.com/office/drawing/2014/main" id="{12A4BDC6-32BC-48EB-84FE-2ACBA0FDE3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77024" behindDoc="0" locked="0" layoutInCell="1" allowOverlap="1" wp14:anchorId="1A8B2A29" wp14:editId="67DD28C1">
            <wp:simplePos x="0" y="0"/>
            <wp:positionH relativeFrom="column">
              <wp:posOffset>72390</wp:posOffset>
            </wp:positionH>
            <wp:positionV relativeFrom="paragraph">
              <wp:posOffset>4338320</wp:posOffset>
            </wp:positionV>
            <wp:extent cx="2637790" cy="2266950"/>
            <wp:effectExtent l="0" t="0" r="10160" b="0"/>
            <wp:wrapSquare wrapText="bothSides"/>
            <wp:docPr id="110" name="Chart 110">
              <a:extLst xmlns:a="http://schemas.openxmlformats.org/drawingml/2006/main">
                <a:ext uri="{FF2B5EF4-FFF2-40B4-BE49-F238E27FC236}">
                  <a16:creationId xmlns:a16="http://schemas.microsoft.com/office/drawing/2014/main" id="{AB7A3D7F-B708-4251-84D6-850F846080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74976" behindDoc="0" locked="0" layoutInCell="1" allowOverlap="1" wp14:anchorId="2A71675B" wp14:editId="5B96CF78">
            <wp:simplePos x="0" y="0"/>
            <wp:positionH relativeFrom="column">
              <wp:posOffset>2793365</wp:posOffset>
            </wp:positionH>
            <wp:positionV relativeFrom="paragraph">
              <wp:posOffset>2281555</wp:posOffset>
            </wp:positionV>
            <wp:extent cx="2886710" cy="2057400"/>
            <wp:effectExtent l="0" t="0" r="8890" b="0"/>
            <wp:wrapSquare wrapText="bothSides"/>
            <wp:docPr id="108" name="Chart 108">
              <a:extLst xmlns:a="http://schemas.openxmlformats.org/drawingml/2006/main">
                <a:ext uri="{FF2B5EF4-FFF2-40B4-BE49-F238E27FC236}">
                  <a16:creationId xmlns:a16="http://schemas.microsoft.com/office/drawing/2014/main" id="{C02357C9-DAAD-4A05-848C-2E866360D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73952" behindDoc="0" locked="0" layoutInCell="1" allowOverlap="1" wp14:anchorId="43A21E63" wp14:editId="3D74961B">
            <wp:simplePos x="0" y="0"/>
            <wp:positionH relativeFrom="column">
              <wp:posOffset>50165</wp:posOffset>
            </wp:positionH>
            <wp:positionV relativeFrom="paragraph">
              <wp:posOffset>2286635</wp:posOffset>
            </wp:positionV>
            <wp:extent cx="2637790" cy="2051685"/>
            <wp:effectExtent l="0" t="0" r="10160" b="5715"/>
            <wp:wrapSquare wrapText="bothSides"/>
            <wp:docPr id="107" name="Chart 107">
              <a:extLst xmlns:a="http://schemas.openxmlformats.org/drawingml/2006/main">
                <a:ext uri="{FF2B5EF4-FFF2-40B4-BE49-F238E27FC236}">
                  <a16:creationId xmlns:a16="http://schemas.microsoft.com/office/drawing/2014/main" id="{AE83FC39-3E8F-4310-B39E-DA2AAC6B1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71904" behindDoc="0" locked="0" layoutInCell="1" allowOverlap="1" wp14:anchorId="3CAF50FE" wp14:editId="2CC2E92E">
            <wp:simplePos x="0" y="0"/>
            <wp:positionH relativeFrom="column">
              <wp:posOffset>59690</wp:posOffset>
            </wp:positionH>
            <wp:positionV relativeFrom="paragraph">
              <wp:posOffset>24130</wp:posOffset>
            </wp:positionV>
            <wp:extent cx="2637790" cy="2165985"/>
            <wp:effectExtent l="0" t="0" r="10160" b="5715"/>
            <wp:wrapSquare wrapText="bothSides"/>
            <wp:docPr id="112" name="Chart 112">
              <a:extLst xmlns:a="http://schemas.openxmlformats.org/drawingml/2006/main">
                <a:ext uri="{FF2B5EF4-FFF2-40B4-BE49-F238E27FC236}">
                  <a16:creationId xmlns:a16="http://schemas.microsoft.com/office/drawing/2014/main" id="{DC2BA90D-076C-4F28-86A2-94B34CD17C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72928" behindDoc="0" locked="0" layoutInCell="1" allowOverlap="1" wp14:anchorId="4C78596F" wp14:editId="400BDB5B">
            <wp:simplePos x="0" y="0"/>
            <wp:positionH relativeFrom="column">
              <wp:posOffset>2792095</wp:posOffset>
            </wp:positionH>
            <wp:positionV relativeFrom="paragraph">
              <wp:posOffset>24130</wp:posOffset>
            </wp:positionV>
            <wp:extent cx="2886710" cy="2165985"/>
            <wp:effectExtent l="0" t="0" r="8890" b="5715"/>
            <wp:wrapSquare wrapText="bothSides"/>
            <wp:docPr id="111" name="Chart 111">
              <a:extLst xmlns:a="http://schemas.openxmlformats.org/drawingml/2006/main">
                <a:ext uri="{FF2B5EF4-FFF2-40B4-BE49-F238E27FC236}">
                  <a16:creationId xmlns:a16="http://schemas.microsoft.com/office/drawing/2014/main" id="{9FF7FEAA-295B-414C-9CE2-52BFB380F5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sz w:val="24"/>
          <w:szCs w:val="24"/>
        </w:rPr>
        <w:br/>
      </w:r>
      <w:r w:rsidRPr="00251B2C">
        <w:rPr>
          <w:rFonts w:ascii="Times New Roman" w:eastAsia="Calibri" w:hAnsi="Times New Roman" w:cs="Times New Roman"/>
          <w:noProof/>
          <w:sz w:val="24"/>
          <w:szCs w:val="24"/>
          <w:lang w:eastAsia="en-GB"/>
        </w:rPr>
        <w:lastRenderedPageBreak/>
        <w:drawing>
          <wp:anchor distT="0" distB="0" distL="114300" distR="114300" simplePos="0" relativeHeight="251779072" behindDoc="0" locked="0" layoutInCell="1" allowOverlap="1" wp14:anchorId="21EAF858" wp14:editId="0BDF9A02">
            <wp:simplePos x="0" y="0"/>
            <wp:positionH relativeFrom="column">
              <wp:posOffset>2842895</wp:posOffset>
            </wp:positionH>
            <wp:positionV relativeFrom="paragraph">
              <wp:posOffset>4949825</wp:posOffset>
            </wp:positionV>
            <wp:extent cx="2925445" cy="2400300"/>
            <wp:effectExtent l="0" t="0" r="8255" b="0"/>
            <wp:wrapSquare wrapText="bothSides"/>
            <wp:docPr id="106" name="Chart 106">
              <a:extLst xmlns:a="http://schemas.openxmlformats.org/drawingml/2006/main">
                <a:ext uri="{FF2B5EF4-FFF2-40B4-BE49-F238E27FC236}">
                  <a16:creationId xmlns:a16="http://schemas.microsoft.com/office/drawing/2014/main" id="{B3DF0241-79BD-482C-AD7F-3A9A75B6A6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78048" behindDoc="0" locked="0" layoutInCell="1" allowOverlap="1" wp14:anchorId="6FF9BCFE" wp14:editId="4DB55B91">
            <wp:simplePos x="0" y="0"/>
            <wp:positionH relativeFrom="column">
              <wp:posOffset>-71755</wp:posOffset>
            </wp:positionH>
            <wp:positionV relativeFrom="paragraph">
              <wp:posOffset>4949825</wp:posOffset>
            </wp:positionV>
            <wp:extent cx="2625725" cy="2400300"/>
            <wp:effectExtent l="0" t="0" r="3175" b="0"/>
            <wp:wrapSquare wrapText="bothSides"/>
            <wp:docPr id="105" name="Chart 105">
              <a:extLst xmlns:a="http://schemas.openxmlformats.org/drawingml/2006/main">
                <a:ext uri="{FF2B5EF4-FFF2-40B4-BE49-F238E27FC236}">
                  <a16:creationId xmlns:a16="http://schemas.microsoft.com/office/drawing/2014/main" id="{E7BA6213-285C-43BC-A612-78F0F865A1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81120" behindDoc="0" locked="0" layoutInCell="1" allowOverlap="1" wp14:anchorId="20C6FC3E" wp14:editId="42E414EC">
            <wp:simplePos x="0" y="0"/>
            <wp:positionH relativeFrom="column">
              <wp:posOffset>-3175</wp:posOffset>
            </wp:positionH>
            <wp:positionV relativeFrom="paragraph">
              <wp:posOffset>2194560</wp:posOffset>
            </wp:positionV>
            <wp:extent cx="2635885" cy="2400300"/>
            <wp:effectExtent l="0" t="0" r="12065" b="0"/>
            <wp:wrapSquare wrapText="bothSides"/>
            <wp:docPr id="116" name="Chart 116">
              <a:extLst xmlns:a="http://schemas.openxmlformats.org/drawingml/2006/main">
                <a:ext uri="{FF2B5EF4-FFF2-40B4-BE49-F238E27FC236}">
                  <a16:creationId xmlns:a16="http://schemas.microsoft.com/office/drawing/2014/main" id="{3E93A8DE-68CB-4679-A462-F8D1740999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80096" behindDoc="0" locked="0" layoutInCell="1" allowOverlap="1" wp14:anchorId="5E0E9348" wp14:editId="4DE6BC42">
            <wp:simplePos x="0" y="0"/>
            <wp:positionH relativeFrom="column">
              <wp:posOffset>2744470</wp:posOffset>
            </wp:positionH>
            <wp:positionV relativeFrom="paragraph">
              <wp:posOffset>2190750</wp:posOffset>
            </wp:positionV>
            <wp:extent cx="2925445" cy="2400300"/>
            <wp:effectExtent l="0" t="0" r="8255" b="0"/>
            <wp:wrapSquare wrapText="bothSides"/>
            <wp:docPr id="117" name="Chart 117">
              <a:extLst xmlns:a="http://schemas.openxmlformats.org/drawingml/2006/main">
                <a:ext uri="{FF2B5EF4-FFF2-40B4-BE49-F238E27FC236}">
                  <a16:creationId xmlns:a16="http://schemas.microsoft.com/office/drawing/2014/main" id="{BD1D4A6A-D407-4839-9E34-3655C6385D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87264" behindDoc="0" locked="0" layoutInCell="1" allowOverlap="1" wp14:anchorId="41C7DE35" wp14:editId="27387CA9">
            <wp:simplePos x="0" y="0"/>
            <wp:positionH relativeFrom="column">
              <wp:posOffset>2839720</wp:posOffset>
            </wp:positionH>
            <wp:positionV relativeFrom="paragraph">
              <wp:posOffset>0</wp:posOffset>
            </wp:positionV>
            <wp:extent cx="2858770" cy="2057400"/>
            <wp:effectExtent l="0" t="0" r="17780" b="0"/>
            <wp:wrapSquare wrapText="bothSides"/>
            <wp:docPr id="4" name="Chart 4">
              <a:extLst xmlns:a="http://schemas.openxmlformats.org/drawingml/2006/main">
                <a:ext uri="{FF2B5EF4-FFF2-40B4-BE49-F238E27FC236}">
                  <a16:creationId xmlns:a16="http://schemas.microsoft.com/office/drawing/2014/main" id="{DB22AF83-EAC2-4604-8809-DA69F9EE90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86240" behindDoc="0" locked="0" layoutInCell="1" allowOverlap="1" wp14:anchorId="60A45F98" wp14:editId="07DD8CF4">
            <wp:simplePos x="0" y="0"/>
            <wp:positionH relativeFrom="column">
              <wp:posOffset>-189230</wp:posOffset>
            </wp:positionH>
            <wp:positionV relativeFrom="paragraph">
              <wp:posOffset>48895</wp:posOffset>
            </wp:positionV>
            <wp:extent cx="2743200" cy="2057400"/>
            <wp:effectExtent l="0" t="0" r="0" b="0"/>
            <wp:wrapSquare wrapText="bothSides"/>
            <wp:docPr id="3" name="Chart 3">
              <a:extLst xmlns:a="http://schemas.openxmlformats.org/drawingml/2006/main">
                <a:ext uri="{FF2B5EF4-FFF2-40B4-BE49-F238E27FC236}">
                  <a16:creationId xmlns:a16="http://schemas.microsoft.com/office/drawing/2014/main" id="{1E673C83-578F-4B2A-BC92-C9ABFE10A9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14:sizeRelV relativeFrom="margin">
              <wp14:pctHeight>0</wp14:pctHeight>
            </wp14:sizeRelV>
          </wp:anchor>
        </w:drawing>
      </w:r>
      <w:bookmarkEnd w:id="124"/>
    </w:p>
    <w:p w14:paraId="1B4264F8" w14:textId="4C93B02E" w:rsidR="00B4199F" w:rsidRPr="00251B2C" w:rsidRDefault="00B4199F" w:rsidP="00B4199F">
      <w:pPr>
        <w:spacing w:before="120" w:after="120" w:line="360" w:lineRule="auto"/>
        <w:rPr>
          <w:rFonts w:ascii="Times New Roman" w:hAnsi="Times New Roman" w:cs="Times New Roman"/>
          <w:sz w:val="24"/>
          <w:szCs w:val="24"/>
        </w:rPr>
      </w:pPr>
    </w:p>
    <w:p w14:paraId="5D28395C" w14:textId="7EEFB22F" w:rsidR="00B4199F" w:rsidRPr="00251B2C" w:rsidRDefault="00B4199F" w:rsidP="00B4199F">
      <w:pPr>
        <w:rPr>
          <w:rFonts w:ascii="Times New Roman" w:hAnsi="Times New Roman" w:cs="Times New Roman"/>
          <w:sz w:val="24"/>
          <w:szCs w:val="24"/>
        </w:rPr>
      </w:pPr>
      <w:r w:rsidRPr="00251B2C">
        <w:rPr>
          <w:rFonts w:ascii="Times New Roman" w:hAnsi="Times New Roman" w:cs="Times New Roman"/>
          <w:sz w:val="24"/>
          <w:szCs w:val="24"/>
        </w:rPr>
        <w:br w:type="page"/>
      </w:r>
    </w:p>
    <w:p w14:paraId="6B2D7242" w14:textId="62BDCE10" w:rsidR="00B4199F" w:rsidRPr="00251B2C" w:rsidRDefault="00B4199F" w:rsidP="00B4199F">
      <w:pPr>
        <w:rPr>
          <w:rFonts w:ascii="Times New Roman" w:hAnsi="Times New Roman" w:cs="Times New Roman"/>
          <w:sz w:val="24"/>
          <w:szCs w:val="24"/>
        </w:rPr>
      </w:pPr>
      <w:r w:rsidRPr="00251B2C">
        <w:rPr>
          <w:rFonts w:ascii="Times New Roman" w:eastAsia="Calibri" w:hAnsi="Times New Roman" w:cs="Times New Roman"/>
          <w:noProof/>
          <w:sz w:val="24"/>
          <w:szCs w:val="24"/>
          <w:lang w:eastAsia="en-GB"/>
        </w:rPr>
        <w:lastRenderedPageBreak/>
        <w:drawing>
          <wp:anchor distT="0" distB="0" distL="114300" distR="114300" simplePos="0" relativeHeight="251782144" behindDoc="0" locked="0" layoutInCell="1" allowOverlap="1" wp14:anchorId="5E5FD660" wp14:editId="1DB01730">
            <wp:simplePos x="0" y="0"/>
            <wp:positionH relativeFrom="column">
              <wp:posOffset>-70485</wp:posOffset>
            </wp:positionH>
            <wp:positionV relativeFrom="page">
              <wp:posOffset>1283970</wp:posOffset>
            </wp:positionV>
            <wp:extent cx="2627630" cy="2175510"/>
            <wp:effectExtent l="0" t="0" r="1270" b="15240"/>
            <wp:wrapSquare wrapText="bothSides"/>
            <wp:docPr id="115" name="Chart 115">
              <a:extLst xmlns:a="http://schemas.openxmlformats.org/drawingml/2006/main">
                <a:ext uri="{FF2B5EF4-FFF2-40B4-BE49-F238E27FC236}">
                  <a16:creationId xmlns:a16="http://schemas.microsoft.com/office/drawing/2014/main" id="{FABC70F6-25C5-4DE9-A81D-1CCBAF379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14:sizeRelV relativeFrom="margin">
              <wp14:pctHeight>0</wp14:pctHeight>
            </wp14:sizeRelV>
          </wp:anchor>
        </w:drawing>
      </w:r>
      <w:r w:rsidRPr="00251B2C">
        <w:rPr>
          <w:rFonts w:ascii="Times New Roman" w:eastAsia="Calibri" w:hAnsi="Times New Roman" w:cs="Times New Roman"/>
          <w:noProof/>
          <w:sz w:val="24"/>
          <w:szCs w:val="24"/>
          <w:lang w:eastAsia="en-GB"/>
        </w:rPr>
        <w:drawing>
          <wp:anchor distT="0" distB="0" distL="114300" distR="114300" simplePos="0" relativeHeight="251784192" behindDoc="0" locked="0" layoutInCell="1" allowOverlap="1" wp14:anchorId="07765F03" wp14:editId="6327B002">
            <wp:simplePos x="0" y="0"/>
            <wp:positionH relativeFrom="column">
              <wp:posOffset>2712085</wp:posOffset>
            </wp:positionH>
            <wp:positionV relativeFrom="page">
              <wp:posOffset>1282065</wp:posOffset>
            </wp:positionV>
            <wp:extent cx="2933700" cy="2175510"/>
            <wp:effectExtent l="0" t="0" r="0" b="15240"/>
            <wp:wrapSquare wrapText="bothSides"/>
            <wp:docPr id="114" name="Chart 114">
              <a:extLst xmlns:a="http://schemas.openxmlformats.org/drawingml/2006/main">
                <a:ext uri="{FF2B5EF4-FFF2-40B4-BE49-F238E27FC236}">
                  <a16:creationId xmlns:a16="http://schemas.microsoft.com/office/drawing/2014/main" id="{5C945BB3-79F6-4430-AD96-3E9229E7A3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margin">
              <wp14:pctWidth>0</wp14:pctWidth>
            </wp14:sizeRelH>
            <wp14:sizeRelV relativeFrom="margin">
              <wp14:pctHeight>0</wp14:pctHeight>
            </wp14:sizeRelV>
          </wp:anchor>
        </w:drawing>
      </w:r>
    </w:p>
    <w:p w14:paraId="49854723" w14:textId="77777777" w:rsidR="00B4199F" w:rsidRPr="00251B2C" w:rsidRDefault="00B4199F" w:rsidP="00B4199F">
      <w:pPr>
        <w:spacing w:before="120" w:after="120" w:line="360" w:lineRule="auto"/>
        <w:ind w:firstLine="720"/>
        <w:rPr>
          <w:rFonts w:ascii="Times New Roman" w:hAnsi="Times New Roman" w:cs="Times New Roman"/>
          <w:sz w:val="24"/>
          <w:szCs w:val="24"/>
        </w:rPr>
      </w:pPr>
    </w:p>
    <w:p w14:paraId="1906D89E" w14:textId="77777777" w:rsidR="00B4199F" w:rsidRPr="00251B2C" w:rsidRDefault="00B4199F" w:rsidP="00B4199F">
      <w:pPr>
        <w:rPr>
          <w:rFonts w:ascii="Times New Roman" w:hAnsi="Times New Roman" w:cs="Times New Roman"/>
          <w:sz w:val="24"/>
          <w:szCs w:val="24"/>
        </w:rPr>
      </w:pPr>
      <w:r w:rsidRPr="00251B2C">
        <w:rPr>
          <w:rFonts w:ascii="Times New Roman" w:hAnsi="Times New Roman" w:cs="Times New Roman"/>
          <w:sz w:val="24"/>
          <w:szCs w:val="24"/>
        </w:rPr>
        <w:br w:type="page"/>
      </w:r>
    </w:p>
    <w:p w14:paraId="36B0E324" w14:textId="77777777" w:rsidR="00B4199F" w:rsidRPr="00251B2C" w:rsidRDefault="00B4199F" w:rsidP="00B4199F">
      <w:pPr>
        <w:jc w:val="center"/>
        <w:rPr>
          <w:rFonts w:ascii="Times New Roman" w:hAnsi="Times New Roman" w:cs="Times New Roman"/>
          <w:b/>
          <w:sz w:val="24"/>
          <w:szCs w:val="24"/>
        </w:rPr>
      </w:pPr>
      <w:bookmarkStart w:id="127" w:name="_Toc481617416"/>
      <w:r w:rsidRPr="00251B2C">
        <w:rPr>
          <w:rStyle w:val="Heading2Char"/>
          <w:rFonts w:ascii="Times New Roman" w:eastAsiaTheme="minorHAnsi" w:hAnsi="Times New Roman" w:cs="Times New Roman"/>
          <w:sz w:val="24"/>
          <w:szCs w:val="24"/>
        </w:rPr>
        <w:lastRenderedPageBreak/>
        <w:t>APPENDIX - D</w:t>
      </w:r>
      <w:bookmarkEnd w:id="127"/>
      <w:r w:rsidRPr="00251B2C">
        <w:rPr>
          <w:rFonts w:ascii="Times New Roman" w:hAnsi="Times New Roman" w:cs="Times New Roman"/>
          <w:b/>
          <w:sz w:val="24"/>
          <w:szCs w:val="24"/>
        </w:rPr>
        <w:br/>
      </w:r>
      <w:r w:rsidRPr="00251B2C">
        <w:rPr>
          <w:rFonts w:ascii="Times New Roman" w:hAnsi="Times New Roman" w:cs="Times New Roman"/>
          <w:sz w:val="24"/>
          <w:szCs w:val="24"/>
        </w:rPr>
        <w:t>F-Test Analysis for sukuk and conventional bonds</w:t>
      </w:r>
    </w:p>
    <w:p w14:paraId="3B06A954" w14:textId="77777777" w:rsidR="00B4199F" w:rsidRPr="00251B2C" w:rsidRDefault="00B4199F" w:rsidP="00B4199F">
      <w:pPr>
        <w:autoSpaceDE w:val="0"/>
        <w:autoSpaceDN w:val="0"/>
        <w:adjustRightInd w:val="0"/>
        <w:spacing w:after="0" w:line="240" w:lineRule="auto"/>
        <w:rPr>
          <w:rFonts w:ascii="Times New Roman" w:hAnsi="Times New Roman" w:cs="Times New Roman"/>
          <w:b/>
          <w:bCs/>
          <w:sz w:val="24"/>
          <w:szCs w:val="24"/>
        </w:rPr>
      </w:pPr>
      <w:r w:rsidRPr="00251B2C">
        <w:rPr>
          <w:rFonts w:ascii="Times New Roman" w:hAnsi="Times New Roman" w:cs="Times New Roman"/>
          <w:b/>
          <w:bCs/>
          <w:sz w:val="24"/>
          <w:szCs w:val="24"/>
        </w:rPr>
        <w:t xml:space="preserve">Test and CI for Two Variances </w:t>
      </w:r>
    </w:p>
    <w:p w14:paraId="099ADFC6" w14:textId="77777777" w:rsidR="00B4199F" w:rsidRPr="00251B2C" w:rsidRDefault="00B4199F" w:rsidP="00B4199F">
      <w:pPr>
        <w:autoSpaceDE w:val="0"/>
        <w:autoSpaceDN w:val="0"/>
        <w:adjustRightInd w:val="0"/>
        <w:spacing w:after="0" w:line="240" w:lineRule="auto"/>
        <w:rPr>
          <w:rFonts w:ascii="Times New Roman" w:hAnsi="Times New Roman" w:cs="Times New Roman"/>
          <w:sz w:val="24"/>
          <w:szCs w:val="24"/>
        </w:rPr>
      </w:pPr>
    </w:p>
    <w:p w14:paraId="158763C2" w14:textId="24EB0DAA" w:rsidR="00B4199F" w:rsidRPr="00251B2C" w:rsidRDefault="00B4199F" w:rsidP="00B4199F">
      <w:pPr>
        <w:autoSpaceDE w:val="0"/>
        <w:autoSpaceDN w:val="0"/>
        <w:adjustRightInd w:val="0"/>
        <w:spacing w:after="0" w:line="240" w:lineRule="auto"/>
        <w:rPr>
          <w:rFonts w:ascii="Times New Roman" w:hAnsi="Times New Roman" w:cs="Times New Roman"/>
          <w:sz w:val="24"/>
          <w:szCs w:val="24"/>
        </w:rPr>
      </w:pPr>
      <w:r w:rsidRPr="00251B2C">
        <w:rPr>
          <w:rFonts w:ascii="Times New Roman" w:hAnsi="Times New Roman" w:cs="Times New Roman"/>
          <w:sz w:val="24"/>
          <w:szCs w:val="24"/>
        </w:rPr>
        <w:t>Method</w:t>
      </w:r>
    </w:p>
    <w:p w14:paraId="060ABF21" w14:textId="77777777" w:rsidR="00B4199F" w:rsidRPr="00251B2C" w:rsidRDefault="00B4199F" w:rsidP="00B4199F">
      <w:pPr>
        <w:autoSpaceDE w:val="0"/>
        <w:autoSpaceDN w:val="0"/>
        <w:adjustRightInd w:val="0"/>
        <w:spacing w:after="0" w:line="240" w:lineRule="auto"/>
        <w:rPr>
          <w:rFonts w:ascii="Times New Roman" w:hAnsi="Times New Roman" w:cs="Times New Roman"/>
          <w:sz w:val="24"/>
          <w:szCs w:val="24"/>
        </w:rPr>
      </w:pPr>
    </w:p>
    <w:p w14:paraId="65530A8F" w14:textId="77777777" w:rsidR="00B4199F" w:rsidRPr="00251B2C" w:rsidRDefault="00B4199F" w:rsidP="00B4199F">
      <w:pPr>
        <w:autoSpaceDE w:val="0"/>
        <w:autoSpaceDN w:val="0"/>
        <w:adjustRightInd w:val="0"/>
        <w:spacing w:after="0" w:line="240" w:lineRule="auto"/>
        <w:rPr>
          <w:rFonts w:ascii="Times New Roman" w:hAnsi="Times New Roman" w:cs="Times New Roman"/>
          <w:sz w:val="24"/>
          <w:szCs w:val="24"/>
        </w:rPr>
      </w:pPr>
      <w:r w:rsidRPr="00251B2C">
        <w:rPr>
          <w:rFonts w:ascii="Times New Roman" w:hAnsi="Times New Roman" w:cs="Times New Roman"/>
          <w:sz w:val="24"/>
          <w:szCs w:val="24"/>
        </w:rPr>
        <w:t xml:space="preserve">Null hypothesis         </w:t>
      </w:r>
      <w:r w:rsidRPr="00251B2C">
        <w:rPr>
          <w:rFonts w:ascii="Times New Roman" w:hAnsi="Times New Roman" w:cs="Times New Roman"/>
          <w:sz w:val="24"/>
          <w:szCs w:val="24"/>
        </w:rPr>
        <w:tab/>
        <w:t>σ(First) / σ(Second) = 1</w:t>
      </w:r>
    </w:p>
    <w:p w14:paraId="3DC90B48" w14:textId="77777777" w:rsidR="00B4199F" w:rsidRPr="00251B2C" w:rsidRDefault="00B4199F" w:rsidP="00B4199F">
      <w:pPr>
        <w:autoSpaceDE w:val="0"/>
        <w:autoSpaceDN w:val="0"/>
        <w:adjustRightInd w:val="0"/>
        <w:spacing w:after="0" w:line="240" w:lineRule="auto"/>
        <w:rPr>
          <w:rFonts w:ascii="Times New Roman" w:hAnsi="Times New Roman" w:cs="Times New Roman"/>
          <w:sz w:val="24"/>
          <w:szCs w:val="24"/>
        </w:rPr>
      </w:pPr>
      <w:r w:rsidRPr="00251B2C">
        <w:rPr>
          <w:rFonts w:ascii="Times New Roman" w:hAnsi="Times New Roman" w:cs="Times New Roman"/>
          <w:sz w:val="24"/>
          <w:szCs w:val="24"/>
        </w:rPr>
        <w:t xml:space="preserve">Alternative hypothesis  </w:t>
      </w:r>
      <w:r w:rsidRPr="00251B2C">
        <w:rPr>
          <w:rFonts w:ascii="Times New Roman" w:hAnsi="Times New Roman" w:cs="Times New Roman"/>
          <w:sz w:val="24"/>
          <w:szCs w:val="24"/>
        </w:rPr>
        <w:tab/>
        <w:t>σ(First) / σ(Second) ≠ 1</w:t>
      </w:r>
    </w:p>
    <w:p w14:paraId="64C2A23E" w14:textId="1E262464" w:rsidR="00B4199F" w:rsidRPr="00251B2C" w:rsidRDefault="00B4199F" w:rsidP="00B4199F">
      <w:pPr>
        <w:autoSpaceDE w:val="0"/>
        <w:autoSpaceDN w:val="0"/>
        <w:adjustRightInd w:val="0"/>
        <w:spacing w:after="0" w:line="240" w:lineRule="auto"/>
        <w:rPr>
          <w:rFonts w:ascii="Times New Roman" w:hAnsi="Times New Roman" w:cs="Times New Roman"/>
          <w:sz w:val="24"/>
          <w:szCs w:val="24"/>
        </w:rPr>
      </w:pPr>
      <w:r w:rsidRPr="00251B2C">
        <w:rPr>
          <w:rFonts w:ascii="Times New Roman" w:hAnsi="Times New Roman" w:cs="Times New Roman"/>
          <w:sz w:val="24"/>
          <w:szCs w:val="24"/>
        </w:rPr>
        <w:t xml:space="preserve">Significance level      </w:t>
      </w:r>
      <w:r w:rsidRPr="00251B2C">
        <w:rPr>
          <w:rFonts w:ascii="Times New Roman" w:hAnsi="Times New Roman" w:cs="Times New Roman"/>
          <w:sz w:val="24"/>
          <w:szCs w:val="24"/>
        </w:rPr>
        <w:tab/>
        <w:t>α = 0.01</w:t>
      </w:r>
    </w:p>
    <w:p w14:paraId="19D7239B" w14:textId="77777777" w:rsidR="00B4199F" w:rsidRPr="00251B2C" w:rsidRDefault="00B4199F" w:rsidP="00B4199F">
      <w:pPr>
        <w:autoSpaceDE w:val="0"/>
        <w:autoSpaceDN w:val="0"/>
        <w:adjustRightInd w:val="0"/>
        <w:spacing w:after="0" w:line="240" w:lineRule="auto"/>
        <w:rPr>
          <w:rFonts w:ascii="Times New Roman" w:hAnsi="Times New Roman" w:cs="Times New Roman"/>
          <w:sz w:val="24"/>
          <w:szCs w:val="24"/>
        </w:rPr>
      </w:pPr>
    </w:p>
    <w:p w14:paraId="6D7DA72E" w14:textId="77777777" w:rsidR="00B4199F" w:rsidRPr="00251B2C" w:rsidRDefault="00B4199F" w:rsidP="00B4199F">
      <w:pPr>
        <w:autoSpaceDE w:val="0"/>
        <w:autoSpaceDN w:val="0"/>
        <w:adjustRightInd w:val="0"/>
        <w:spacing w:after="0" w:line="240" w:lineRule="auto"/>
        <w:rPr>
          <w:rFonts w:ascii="Times New Roman" w:hAnsi="Times New Roman" w:cs="Times New Roman"/>
          <w:sz w:val="24"/>
          <w:szCs w:val="24"/>
        </w:rPr>
      </w:pPr>
      <w:r w:rsidRPr="00251B2C">
        <w:rPr>
          <w:rFonts w:ascii="Times New Roman" w:hAnsi="Times New Roman" w:cs="Times New Roman"/>
          <w:sz w:val="24"/>
          <w:szCs w:val="24"/>
        </w:rPr>
        <w:t>Statistics</w:t>
      </w:r>
    </w:p>
    <w:p w14:paraId="0883808F" w14:textId="77777777" w:rsidR="00B4199F" w:rsidRPr="00251B2C" w:rsidRDefault="00B4199F" w:rsidP="00B4199F">
      <w:pPr>
        <w:autoSpaceDE w:val="0"/>
        <w:autoSpaceDN w:val="0"/>
        <w:adjustRightInd w:val="0"/>
        <w:spacing w:after="0" w:line="240" w:lineRule="auto"/>
        <w:rPr>
          <w:rFonts w:ascii="Times New Roman" w:hAnsi="Times New Roman" w:cs="Times New Roman"/>
          <w:sz w:val="24"/>
          <w:szCs w:val="24"/>
        </w:rPr>
      </w:pPr>
      <w:r w:rsidRPr="00251B2C">
        <w:rPr>
          <w:rFonts w:ascii="Times New Roman" w:hAnsi="Times New Roman" w:cs="Times New Roman"/>
          <w:sz w:val="24"/>
          <w:szCs w:val="24"/>
        </w:rPr>
        <w:t xml:space="preserve">                               </w:t>
      </w:r>
      <w:r w:rsidRPr="00251B2C">
        <w:rPr>
          <w:rFonts w:ascii="Times New Roman" w:hAnsi="Times New Roman" w:cs="Times New Roman"/>
          <w:sz w:val="24"/>
          <w:szCs w:val="24"/>
        </w:rPr>
        <w:tab/>
        <w:t>99% CI for</w:t>
      </w:r>
    </w:p>
    <w:p w14:paraId="37E79058" w14:textId="77777777" w:rsidR="00B4199F" w:rsidRPr="00251B2C" w:rsidRDefault="00B4199F" w:rsidP="00B4199F">
      <w:pPr>
        <w:autoSpaceDE w:val="0"/>
        <w:autoSpaceDN w:val="0"/>
        <w:adjustRightInd w:val="0"/>
        <w:spacing w:after="0" w:line="240" w:lineRule="auto"/>
        <w:rPr>
          <w:rFonts w:ascii="Times New Roman" w:hAnsi="Times New Roman" w:cs="Times New Roman"/>
          <w:sz w:val="24"/>
          <w:szCs w:val="24"/>
        </w:rPr>
      </w:pPr>
      <w:r w:rsidRPr="00251B2C">
        <w:rPr>
          <w:rFonts w:ascii="Times New Roman" w:hAnsi="Times New Roman" w:cs="Times New Roman"/>
          <w:sz w:val="24"/>
          <w:szCs w:val="24"/>
        </w:rPr>
        <w:t xml:space="preserve">Sample    N  </w:t>
      </w:r>
      <w:proofErr w:type="spellStart"/>
      <w:r w:rsidRPr="00251B2C">
        <w:rPr>
          <w:rFonts w:ascii="Times New Roman" w:hAnsi="Times New Roman" w:cs="Times New Roman"/>
          <w:sz w:val="24"/>
          <w:szCs w:val="24"/>
        </w:rPr>
        <w:t>StDev</w:t>
      </w:r>
      <w:proofErr w:type="spellEnd"/>
      <w:r w:rsidRPr="00251B2C">
        <w:rPr>
          <w:rFonts w:ascii="Times New Roman" w:hAnsi="Times New Roman" w:cs="Times New Roman"/>
          <w:sz w:val="24"/>
          <w:szCs w:val="24"/>
        </w:rPr>
        <w:t xml:space="preserve">  Variance      </w:t>
      </w:r>
      <w:proofErr w:type="spellStart"/>
      <w:r w:rsidRPr="00251B2C">
        <w:rPr>
          <w:rFonts w:ascii="Times New Roman" w:hAnsi="Times New Roman" w:cs="Times New Roman"/>
          <w:sz w:val="24"/>
          <w:szCs w:val="24"/>
        </w:rPr>
        <w:t>StDevs</w:t>
      </w:r>
      <w:proofErr w:type="spellEnd"/>
    </w:p>
    <w:p w14:paraId="499941C1" w14:textId="77777777" w:rsidR="00B4199F" w:rsidRPr="00251B2C" w:rsidRDefault="00B4199F" w:rsidP="00B4199F">
      <w:pPr>
        <w:autoSpaceDE w:val="0"/>
        <w:autoSpaceDN w:val="0"/>
        <w:adjustRightInd w:val="0"/>
        <w:spacing w:after="0" w:line="240" w:lineRule="auto"/>
        <w:rPr>
          <w:rFonts w:ascii="Times New Roman" w:hAnsi="Times New Roman" w:cs="Times New Roman"/>
          <w:sz w:val="24"/>
          <w:szCs w:val="24"/>
        </w:rPr>
      </w:pPr>
      <w:r w:rsidRPr="00251B2C">
        <w:rPr>
          <w:rFonts w:ascii="Times New Roman" w:hAnsi="Times New Roman" w:cs="Times New Roman"/>
          <w:sz w:val="24"/>
          <w:szCs w:val="24"/>
        </w:rPr>
        <w:t xml:space="preserve">First   250  0.005     0.000  </w:t>
      </w:r>
      <w:r w:rsidRPr="00251B2C">
        <w:rPr>
          <w:rFonts w:ascii="Times New Roman" w:hAnsi="Times New Roman" w:cs="Times New Roman"/>
          <w:sz w:val="24"/>
          <w:szCs w:val="24"/>
        </w:rPr>
        <w:tab/>
        <w:t>(0.005, 0.006)</w:t>
      </w:r>
    </w:p>
    <w:p w14:paraId="177C7563" w14:textId="77777777" w:rsidR="00B4199F" w:rsidRPr="00251B2C" w:rsidRDefault="00B4199F" w:rsidP="00B4199F">
      <w:pPr>
        <w:autoSpaceDE w:val="0"/>
        <w:autoSpaceDN w:val="0"/>
        <w:adjustRightInd w:val="0"/>
        <w:spacing w:after="0" w:line="240" w:lineRule="auto"/>
        <w:rPr>
          <w:rFonts w:ascii="Times New Roman" w:hAnsi="Times New Roman" w:cs="Times New Roman"/>
          <w:sz w:val="24"/>
          <w:szCs w:val="24"/>
        </w:rPr>
      </w:pPr>
      <w:r w:rsidRPr="00251B2C">
        <w:rPr>
          <w:rFonts w:ascii="Times New Roman" w:hAnsi="Times New Roman" w:cs="Times New Roman"/>
          <w:sz w:val="24"/>
          <w:szCs w:val="24"/>
        </w:rPr>
        <w:t xml:space="preserve">Second  250  0.003     0.000  </w:t>
      </w:r>
      <w:r w:rsidRPr="00251B2C">
        <w:rPr>
          <w:rFonts w:ascii="Times New Roman" w:hAnsi="Times New Roman" w:cs="Times New Roman"/>
          <w:sz w:val="24"/>
          <w:szCs w:val="24"/>
        </w:rPr>
        <w:tab/>
        <w:t>(0.003, 0.003)</w:t>
      </w:r>
    </w:p>
    <w:p w14:paraId="1CB01C80" w14:textId="77777777" w:rsidR="00B4199F" w:rsidRPr="00251B2C" w:rsidRDefault="00B4199F" w:rsidP="00B4199F">
      <w:pPr>
        <w:autoSpaceDE w:val="0"/>
        <w:autoSpaceDN w:val="0"/>
        <w:adjustRightInd w:val="0"/>
        <w:spacing w:after="0" w:line="240" w:lineRule="auto"/>
        <w:rPr>
          <w:rFonts w:ascii="Times New Roman" w:hAnsi="Times New Roman" w:cs="Times New Roman"/>
          <w:sz w:val="24"/>
          <w:szCs w:val="24"/>
        </w:rPr>
      </w:pPr>
    </w:p>
    <w:p w14:paraId="2B42238F" w14:textId="77777777" w:rsidR="00B4199F" w:rsidRPr="00251B2C" w:rsidRDefault="00B4199F" w:rsidP="00B4199F">
      <w:pPr>
        <w:autoSpaceDE w:val="0"/>
        <w:autoSpaceDN w:val="0"/>
        <w:adjustRightInd w:val="0"/>
        <w:spacing w:after="0" w:line="240" w:lineRule="auto"/>
        <w:rPr>
          <w:rFonts w:ascii="Times New Roman" w:hAnsi="Times New Roman" w:cs="Times New Roman"/>
          <w:sz w:val="24"/>
          <w:szCs w:val="24"/>
        </w:rPr>
      </w:pPr>
      <w:r w:rsidRPr="00251B2C">
        <w:rPr>
          <w:rFonts w:ascii="Times New Roman" w:hAnsi="Times New Roman" w:cs="Times New Roman"/>
          <w:sz w:val="24"/>
          <w:szCs w:val="24"/>
        </w:rPr>
        <w:t xml:space="preserve">Ratio of standard deviations = 1.673; </w:t>
      </w:r>
    </w:p>
    <w:p w14:paraId="235ADC40" w14:textId="26BD9945" w:rsidR="00B4199F" w:rsidRPr="00251B2C" w:rsidRDefault="00B4199F" w:rsidP="00B4199F">
      <w:pPr>
        <w:autoSpaceDE w:val="0"/>
        <w:autoSpaceDN w:val="0"/>
        <w:adjustRightInd w:val="0"/>
        <w:spacing w:after="0" w:line="240" w:lineRule="auto"/>
        <w:rPr>
          <w:rFonts w:ascii="Times New Roman" w:hAnsi="Times New Roman" w:cs="Times New Roman"/>
          <w:sz w:val="24"/>
          <w:szCs w:val="24"/>
        </w:rPr>
      </w:pPr>
      <w:r w:rsidRPr="00251B2C">
        <w:rPr>
          <w:rFonts w:ascii="Times New Roman" w:hAnsi="Times New Roman" w:cs="Times New Roman"/>
          <w:sz w:val="24"/>
          <w:szCs w:val="24"/>
        </w:rPr>
        <w:t>Ratio of variances = 2.799</w:t>
      </w:r>
    </w:p>
    <w:p w14:paraId="6FC038AC" w14:textId="77777777" w:rsidR="00B4199F" w:rsidRPr="00251B2C" w:rsidRDefault="00B4199F" w:rsidP="00B4199F">
      <w:pPr>
        <w:autoSpaceDE w:val="0"/>
        <w:autoSpaceDN w:val="0"/>
        <w:adjustRightInd w:val="0"/>
        <w:spacing w:after="0" w:line="240" w:lineRule="auto"/>
        <w:rPr>
          <w:rFonts w:ascii="Times New Roman" w:hAnsi="Times New Roman" w:cs="Times New Roman"/>
          <w:sz w:val="24"/>
          <w:szCs w:val="24"/>
        </w:rPr>
      </w:pPr>
    </w:p>
    <w:p w14:paraId="3C4B0BE1" w14:textId="26F049A2" w:rsidR="00B4199F" w:rsidRPr="00251B2C" w:rsidRDefault="00B4199F" w:rsidP="00B4199F">
      <w:pPr>
        <w:autoSpaceDE w:val="0"/>
        <w:autoSpaceDN w:val="0"/>
        <w:adjustRightInd w:val="0"/>
        <w:spacing w:after="0" w:line="240" w:lineRule="auto"/>
        <w:rPr>
          <w:rFonts w:ascii="Times New Roman" w:hAnsi="Times New Roman" w:cs="Times New Roman"/>
          <w:sz w:val="24"/>
          <w:szCs w:val="24"/>
        </w:rPr>
      </w:pPr>
      <w:r w:rsidRPr="00251B2C">
        <w:rPr>
          <w:rFonts w:ascii="Times New Roman" w:hAnsi="Times New Roman" w:cs="Times New Roman"/>
          <w:sz w:val="24"/>
          <w:szCs w:val="24"/>
        </w:rPr>
        <w:t>99% Confidence Intervals</w:t>
      </w:r>
    </w:p>
    <w:p w14:paraId="26139812" w14:textId="02AF7EE9" w:rsidR="00B4199F" w:rsidRPr="00251B2C" w:rsidRDefault="00B4199F" w:rsidP="00B4199F">
      <w:pPr>
        <w:autoSpaceDE w:val="0"/>
        <w:autoSpaceDN w:val="0"/>
        <w:adjustRightInd w:val="0"/>
        <w:spacing w:after="0" w:line="240" w:lineRule="auto"/>
        <w:rPr>
          <w:rFonts w:ascii="Times New Roman" w:hAnsi="Times New Roman" w:cs="Times New Roman"/>
          <w:sz w:val="24"/>
          <w:szCs w:val="24"/>
        </w:rPr>
      </w:pPr>
      <w:r w:rsidRPr="00251B2C">
        <w:rPr>
          <w:rFonts w:ascii="Times New Roman" w:hAnsi="Times New Roman" w:cs="Times New Roman"/>
          <w:sz w:val="24"/>
          <w:szCs w:val="24"/>
        </w:rPr>
        <w:t xml:space="preserve">                            </w:t>
      </w:r>
      <w:r w:rsidRPr="00251B2C">
        <w:rPr>
          <w:rFonts w:ascii="Times New Roman" w:hAnsi="Times New Roman" w:cs="Times New Roman"/>
          <w:sz w:val="24"/>
          <w:szCs w:val="24"/>
        </w:rPr>
        <w:tab/>
        <w:t>CI for</w:t>
      </w:r>
    </w:p>
    <w:p w14:paraId="58BDC281" w14:textId="77777777" w:rsidR="00B4199F" w:rsidRPr="00251B2C" w:rsidRDefault="00B4199F" w:rsidP="00B4199F">
      <w:pPr>
        <w:autoSpaceDE w:val="0"/>
        <w:autoSpaceDN w:val="0"/>
        <w:adjustRightInd w:val="0"/>
        <w:spacing w:after="0" w:line="240" w:lineRule="auto"/>
        <w:rPr>
          <w:rFonts w:ascii="Times New Roman" w:hAnsi="Times New Roman" w:cs="Times New Roman"/>
          <w:sz w:val="24"/>
          <w:szCs w:val="24"/>
        </w:rPr>
      </w:pPr>
      <w:r w:rsidRPr="00251B2C">
        <w:rPr>
          <w:rFonts w:ascii="Times New Roman" w:hAnsi="Times New Roman" w:cs="Times New Roman"/>
          <w:sz w:val="24"/>
          <w:szCs w:val="24"/>
        </w:rPr>
        <w:t xml:space="preserve">         </w:t>
      </w:r>
      <w:r w:rsidRPr="00251B2C">
        <w:rPr>
          <w:rFonts w:ascii="Times New Roman" w:hAnsi="Times New Roman" w:cs="Times New Roman"/>
          <w:sz w:val="24"/>
          <w:szCs w:val="24"/>
        </w:rPr>
        <w:tab/>
        <w:t xml:space="preserve">CI for </w:t>
      </w:r>
      <w:proofErr w:type="spellStart"/>
      <w:r w:rsidRPr="00251B2C">
        <w:rPr>
          <w:rFonts w:ascii="Times New Roman" w:hAnsi="Times New Roman" w:cs="Times New Roman"/>
          <w:sz w:val="24"/>
          <w:szCs w:val="24"/>
        </w:rPr>
        <w:t>StDev</w:t>
      </w:r>
      <w:proofErr w:type="spellEnd"/>
      <w:r w:rsidRPr="00251B2C">
        <w:rPr>
          <w:rFonts w:ascii="Times New Roman" w:hAnsi="Times New Roman" w:cs="Times New Roman"/>
          <w:sz w:val="24"/>
          <w:szCs w:val="24"/>
        </w:rPr>
        <w:t xml:space="preserve">      </w:t>
      </w:r>
      <w:r w:rsidRPr="00251B2C">
        <w:rPr>
          <w:rFonts w:ascii="Times New Roman" w:hAnsi="Times New Roman" w:cs="Times New Roman"/>
          <w:sz w:val="24"/>
          <w:szCs w:val="24"/>
        </w:rPr>
        <w:tab/>
        <w:t>Variance</w:t>
      </w:r>
    </w:p>
    <w:p w14:paraId="02DBB226" w14:textId="77777777" w:rsidR="00B4199F" w:rsidRPr="00251B2C" w:rsidRDefault="00B4199F" w:rsidP="00B4199F">
      <w:pPr>
        <w:autoSpaceDE w:val="0"/>
        <w:autoSpaceDN w:val="0"/>
        <w:adjustRightInd w:val="0"/>
        <w:spacing w:after="0" w:line="240" w:lineRule="auto"/>
        <w:rPr>
          <w:rFonts w:ascii="Times New Roman" w:hAnsi="Times New Roman" w:cs="Times New Roman"/>
          <w:sz w:val="24"/>
          <w:szCs w:val="24"/>
        </w:rPr>
      </w:pPr>
      <w:r w:rsidRPr="00251B2C">
        <w:rPr>
          <w:rFonts w:ascii="Times New Roman" w:hAnsi="Times New Roman" w:cs="Times New Roman"/>
          <w:sz w:val="24"/>
          <w:szCs w:val="24"/>
        </w:rPr>
        <w:t xml:space="preserve">Method       Ratio           </w:t>
      </w:r>
      <w:r w:rsidRPr="00251B2C">
        <w:rPr>
          <w:rFonts w:ascii="Times New Roman" w:hAnsi="Times New Roman" w:cs="Times New Roman"/>
          <w:sz w:val="24"/>
          <w:szCs w:val="24"/>
        </w:rPr>
        <w:tab/>
        <w:t>Ratio</w:t>
      </w:r>
    </w:p>
    <w:p w14:paraId="414E02C5" w14:textId="32F4EB9E" w:rsidR="00B4199F" w:rsidRPr="00251B2C" w:rsidRDefault="00B4199F" w:rsidP="00B4199F">
      <w:pPr>
        <w:autoSpaceDE w:val="0"/>
        <w:autoSpaceDN w:val="0"/>
        <w:adjustRightInd w:val="0"/>
        <w:spacing w:after="0" w:line="240" w:lineRule="auto"/>
        <w:rPr>
          <w:rFonts w:ascii="Times New Roman" w:hAnsi="Times New Roman" w:cs="Times New Roman"/>
          <w:sz w:val="24"/>
          <w:szCs w:val="24"/>
        </w:rPr>
      </w:pPr>
      <w:r w:rsidRPr="00251B2C">
        <w:rPr>
          <w:rFonts w:ascii="Times New Roman" w:hAnsi="Times New Roman" w:cs="Times New Roman"/>
          <w:sz w:val="24"/>
          <w:szCs w:val="24"/>
        </w:rPr>
        <w:t xml:space="preserve">F       </w:t>
      </w:r>
      <w:r w:rsidRPr="00251B2C">
        <w:rPr>
          <w:rFonts w:ascii="Times New Roman" w:hAnsi="Times New Roman" w:cs="Times New Roman"/>
          <w:sz w:val="24"/>
          <w:szCs w:val="24"/>
        </w:rPr>
        <w:tab/>
        <w:t xml:space="preserve">(1.420, 1.971)  </w:t>
      </w:r>
      <w:r w:rsidRPr="00251B2C">
        <w:rPr>
          <w:rFonts w:ascii="Times New Roman" w:hAnsi="Times New Roman" w:cs="Times New Roman"/>
          <w:sz w:val="24"/>
          <w:szCs w:val="24"/>
        </w:rPr>
        <w:tab/>
        <w:t>(2.017, 3.883)</w:t>
      </w:r>
    </w:p>
    <w:p w14:paraId="68CD046D" w14:textId="77777777" w:rsidR="00B4199F" w:rsidRPr="00251B2C" w:rsidRDefault="00B4199F" w:rsidP="00B4199F">
      <w:pPr>
        <w:autoSpaceDE w:val="0"/>
        <w:autoSpaceDN w:val="0"/>
        <w:adjustRightInd w:val="0"/>
        <w:spacing w:after="0" w:line="240" w:lineRule="auto"/>
        <w:rPr>
          <w:rFonts w:ascii="Times New Roman" w:hAnsi="Times New Roman" w:cs="Times New Roman"/>
          <w:sz w:val="24"/>
          <w:szCs w:val="24"/>
        </w:rPr>
      </w:pPr>
    </w:p>
    <w:p w14:paraId="1C2FB7AB" w14:textId="6790283C" w:rsidR="00B4199F" w:rsidRPr="00251B2C" w:rsidRDefault="00B4199F" w:rsidP="00B4199F">
      <w:pPr>
        <w:autoSpaceDE w:val="0"/>
        <w:autoSpaceDN w:val="0"/>
        <w:adjustRightInd w:val="0"/>
        <w:spacing w:after="0" w:line="240" w:lineRule="auto"/>
        <w:rPr>
          <w:rFonts w:ascii="Times New Roman" w:hAnsi="Times New Roman" w:cs="Times New Roman"/>
          <w:b/>
          <w:bCs/>
          <w:sz w:val="24"/>
          <w:szCs w:val="24"/>
        </w:rPr>
      </w:pPr>
      <w:r w:rsidRPr="00251B2C">
        <w:rPr>
          <w:rFonts w:ascii="Times New Roman" w:hAnsi="Times New Roman" w:cs="Times New Roman"/>
          <w:b/>
          <w:bCs/>
          <w:sz w:val="24"/>
          <w:szCs w:val="24"/>
        </w:rPr>
        <w:t xml:space="preserve">Test and CI for Two Variances </w:t>
      </w:r>
    </w:p>
    <w:p w14:paraId="6DA5EE70" w14:textId="0C6C6236" w:rsidR="00B4199F" w:rsidRPr="00251B2C" w:rsidRDefault="00B4199F" w:rsidP="00B4199F">
      <w:pPr>
        <w:autoSpaceDE w:val="0"/>
        <w:autoSpaceDN w:val="0"/>
        <w:adjustRightInd w:val="0"/>
        <w:spacing w:after="0" w:line="240" w:lineRule="auto"/>
        <w:rPr>
          <w:rFonts w:ascii="Times New Roman" w:hAnsi="Times New Roman" w:cs="Times New Roman"/>
          <w:sz w:val="24"/>
          <w:szCs w:val="24"/>
        </w:rPr>
      </w:pPr>
      <w:r w:rsidRPr="00251B2C">
        <w:rPr>
          <w:rFonts w:ascii="Times New Roman" w:hAnsi="Times New Roman" w:cs="Times New Roman"/>
          <w:sz w:val="24"/>
          <w:szCs w:val="24"/>
        </w:rPr>
        <w:t xml:space="preserve">Tests: </w:t>
      </w:r>
    </w:p>
    <w:p w14:paraId="11B93E4B" w14:textId="4FF061D5" w:rsidR="00B4199F" w:rsidRPr="00251B2C" w:rsidRDefault="00B4199F" w:rsidP="00B4199F">
      <w:pPr>
        <w:autoSpaceDE w:val="0"/>
        <w:autoSpaceDN w:val="0"/>
        <w:adjustRightInd w:val="0"/>
        <w:spacing w:after="0" w:line="240" w:lineRule="auto"/>
        <w:rPr>
          <w:rFonts w:ascii="Times New Roman" w:hAnsi="Times New Roman" w:cs="Times New Roman"/>
          <w:sz w:val="24"/>
          <w:szCs w:val="24"/>
        </w:rPr>
      </w:pPr>
    </w:p>
    <w:p w14:paraId="0A97839D" w14:textId="7F688AA9" w:rsidR="00B4199F" w:rsidRPr="00251B2C" w:rsidRDefault="00B4199F" w:rsidP="00B4199F">
      <w:pPr>
        <w:autoSpaceDE w:val="0"/>
        <w:autoSpaceDN w:val="0"/>
        <w:adjustRightInd w:val="0"/>
        <w:spacing w:after="0" w:line="240" w:lineRule="auto"/>
        <w:rPr>
          <w:rFonts w:ascii="Times New Roman" w:hAnsi="Times New Roman" w:cs="Times New Roman"/>
          <w:sz w:val="24"/>
          <w:szCs w:val="24"/>
        </w:rPr>
      </w:pPr>
      <w:r w:rsidRPr="00251B2C">
        <w:rPr>
          <w:rFonts w:ascii="Times New Roman" w:hAnsi="Times New Roman" w:cs="Times New Roman"/>
          <w:sz w:val="24"/>
          <w:szCs w:val="24"/>
        </w:rPr>
        <w:t xml:space="preserve">  </w:t>
      </w:r>
      <w:r w:rsidRPr="00251B2C">
        <w:rPr>
          <w:rFonts w:ascii="Times New Roman" w:hAnsi="Times New Roman" w:cs="Times New Roman"/>
          <w:sz w:val="24"/>
          <w:szCs w:val="24"/>
        </w:rPr>
        <w:tab/>
        <w:t xml:space="preserve">                    </w:t>
      </w:r>
      <w:r w:rsidRPr="00251B2C">
        <w:rPr>
          <w:rFonts w:ascii="Times New Roman" w:hAnsi="Times New Roman" w:cs="Times New Roman"/>
          <w:sz w:val="24"/>
          <w:szCs w:val="24"/>
        </w:rPr>
        <w:tab/>
        <w:t>Test</w:t>
      </w:r>
    </w:p>
    <w:p w14:paraId="71A0D2A2" w14:textId="753C9EF5" w:rsidR="00B4199F" w:rsidRPr="00251B2C" w:rsidRDefault="00B4199F" w:rsidP="00B4199F">
      <w:pPr>
        <w:autoSpaceDE w:val="0"/>
        <w:autoSpaceDN w:val="0"/>
        <w:adjustRightInd w:val="0"/>
        <w:spacing w:after="0" w:line="240" w:lineRule="auto"/>
        <w:rPr>
          <w:rFonts w:ascii="Times New Roman" w:hAnsi="Times New Roman" w:cs="Times New Roman"/>
          <w:sz w:val="24"/>
          <w:szCs w:val="24"/>
        </w:rPr>
      </w:pPr>
      <w:r w:rsidRPr="00251B2C">
        <w:rPr>
          <w:rFonts w:ascii="Times New Roman" w:hAnsi="Times New Roman" w:cs="Times New Roman"/>
          <w:sz w:val="24"/>
          <w:szCs w:val="24"/>
        </w:rPr>
        <w:t xml:space="preserve">Method  DF1  DF2  </w:t>
      </w:r>
      <w:r w:rsidRPr="00251B2C">
        <w:rPr>
          <w:rFonts w:ascii="Times New Roman" w:hAnsi="Times New Roman" w:cs="Times New Roman"/>
          <w:sz w:val="24"/>
          <w:szCs w:val="24"/>
        </w:rPr>
        <w:tab/>
        <w:t xml:space="preserve">Statistic  </w:t>
      </w:r>
      <w:r w:rsidRPr="00251B2C">
        <w:rPr>
          <w:rFonts w:ascii="Times New Roman" w:hAnsi="Times New Roman" w:cs="Times New Roman"/>
          <w:sz w:val="24"/>
          <w:szCs w:val="24"/>
        </w:rPr>
        <w:tab/>
        <w:t>P-Value</w:t>
      </w:r>
    </w:p>
    <w:p w14:paraId="41BD7E52" w14:textId="4B51BCB3" w:rsidR="00B4199F" w:rsidRPr="00251B2C" w:rsidRDefault="00B4199F" w:rsidP="00B4199F">
      <w:pPr>
        <w:autoSpaceDE w:val="0"/>
        <w:autoSpaceDN w:val="0"/>
        <w:adjustRightInd w:val="0"/>
        <w:spacing w:after="0" w:line="240" w:lineRule="auto"/>
        <w:rPr>
          <w:rFonts w:ascii="Times New Roman" w:hAnsi="Times New Roman" w:cs="Times New Roman"/>
          <w:sz w:val="24"/>
          <w:szCs w:val="24"/>
        </w:rPr>
      </w:pPr>
      <w:r w:rsidRPr="00251B2C">
        <w:rPr>
          <w:rFonts w:ascii="Times New Roman" w:hAnsi="Times New Roman" w:cs="Times New Roman"/>
          <w:sz w:val="24"/>
          <w:szCs w:val="24"/>
        </w:rPr>
        <w:t xml:space="preserve">F       249  249       2.80    </w:t>
      </w:r>
      <w:r w:rsidRPr="00251B2C">
        <w:rPr>
          <w:rFonts w:ascii="Times New Roman" w:hAnsi="Times New Roman" w:cs="Times New Roman"/>
          <w:sz w:val="24"/>
          <w:szCs w:val="24"/>
        </w:rPr>
        <w:tab/>
        <w:t>0.000</w:t>
      </w:r>
    </w:p>
    <w:p w14:paraId="1DA3F82B" w14:textId="49EDD71E" w:rsidR="00B4199F" w:rsidRPr="00251B2C" w:rsidRDefault="001A131A" w:rsidP="00B4199F">
      <w:pPr>
        <w:autoSpaceDE w:val="0"/>
        <w:autoSpaceDN w:val="0"/>
        <w:adjustRightInd w:val="0"/>
        <w:spacing w:after="0" w:line="240" w:lineRule="auto"/>
        <w:rPr>
          <w:rFonts w:ascii="Times New Roman" w:hAnsi="Times New Roman" w:cs="Times New Roman"/>
          <w:b/>
          <w:bCs/>
          <w:sz w:val="24"/>
          <w:szCs w:val="24"/>
        </w:rPr>
      </w:pPr>
      <w:r w:rsidRPr="00251B2C">
        <w:rPr>
          <w:rFonts w:ascii="Times New Roman" w:hAnsi="Times New Roman" w:cs="Times New Roman"/>
          <w:noProof/>
          <w:sz w:val="24"/>
          <w:szCs w:val="24"/>
          <w:lang w:eastAsia="en-GB"/>
        </w:rPr>
        <w:drawing>
          <wp:anchor distT="0" distB="0" distL="114300" distR="114300" simplePos="0" relativeHeight="251789312" behindDoc="0" locked="0" layoutInCell="1" allowOverlap="1" wp14:anchorId="0498263B" wp14:editId="0FF64BB9">
            <wp:simplePos x="0" y="0"/>
            <wp:positionH relativeFrom="column">
              <wp:posOffset>12065</wp:posOffset>
            </wp:positionH>
            <wp:positionV relativeFrom="paragraph">
              <wp:posOffset>125095</wp:posOffset>
            </wp:positionV>
            <wp:extent cx="2429510" cy="1811655"/>
            <wp:effectExtent l="0" t="0" r="0" b="4445"/>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29510" cy="1811655"/>
                    </a:xfrm>
                    <a:prstGeom prst="rect">
                      <a:avLst/>
                    </a:prstGeom>
                    <a:noFill/>
                  </pic:spPr>
                </pic:pic>
              </a:graphicData>
            </a:graphic>
            <wp14:sizeRelH relativeFrom="margin">
              <wp14:pctWidth>0</wp14:pctWidth>
            </wp14:sizeRelH>
            <wp14:sizeRelV relativeFrom="margin">
              <wp14:pctHeight>0</wp14:pctHeight>
            </wp14:sizeRelV>
          </wp:anchor>
        </w:drawing>
      </w:r>
    </w:p>
    <w:p w14:paraId="36743E12" w14:textId="175EDEDF" w:rsidR="00B4199F" w:rsidRPr="00251B2C" w:rsidRDefault="001A131A" w:rsidP="00B4199F">
      <w:pPr>
        <w:autoSpaceDE w:val="0"/>
        <w:autoSpaceDN w:val="0"/>
        <w:adjustRightInd w:val="0"/>
        <w:spacing w:after="0" w:line="240" w:lineRule="auto"/>
        <w:rPr>
          <w:rFonts w:ascii="Times New Roman" w:hAnsi="Times New Roman" w:cs="Times New Roman"/>
          <w:b/>
          <w:bCs/>
          <w:sz w:val="24"/>
          <w:szCs w:val="24"/>
        </w:rPr>
      </w:pPr>
      <w:r w:rsidRPr="00251B2C">
        <w:rPr>
          <w:rFonts w:ascii="Times New Roman" w:hAnsi="Times New Roman" w:cs="Times New Roman"/>
          <w:noProof/>
          <w:sz w:val="24"/>
          <w:szCs w:val="24"/>
          <w:lang w:eastAsia="en-GB"/>
        </w:rPr>
        <w:drawing>
          <wp:anchor distT="0" distB="0" distL="114300" distR="114300" simplePos="0" relativeHeight="251788288" behindDoc="0" locked="0" layoutInCell="1" allowOverlap="1" wp14:anchorId="6C92C4DE" wp14:editId="38A068CD">
            <wp:simplePos x="0" y="0"/>
            <wp:positionH relativeFrom="column">
              <wp:posOffset>3288665</wp:posOffset>
            </wp:positionH>
            <wp:positionV relativeFrom="paragraph">
              <wp:posOffset>68580</wp:posOffset>
            </wp:positionV>
            <wp:extent cx="2454910" cy="1692910"/>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54910" cy="1692910"/>
                    </a:xfrm>
                    <a:prstGeom prst="rect">
                      <a:avLst/>
                    </a:prstGeom>
                    <a:noFill/>
                  </pic:spPr>
                </pic:pic>
              </a:graphicData>
            </a:graphic>
            <wp14:sizeRelH relativeFrom="page">
              <wp14:pctWidth>0</wp14:pctWidth>
            </wp14:sizeRelH>
            <wp14:sizeRelV relativeFrom="page">
              <wp14:pctHeight>0</wp14:pctHeight>
            </wp14:sizeRelV>
          </wp:anchor>
        </w:drawing>
      </w:r>
    </w:p>
    <w:p w14:paraId="247E1813" w14:textId="77777777" w:rsidR="00B4199F" w:rsidRPr="00251B2C" w:rsidRDefault="00B4199F" w:rsidP="00B4199F">
      <w:pPr>
        <w:autoSpaceDE w:val="0"/>
        <w:autoSpaceDN w:val="0"/>
        <w:adjustRightInd w:val="0"/>
        <w:spacing w:after="0" w:line="240" w:lineRule="auto"/>
        <w:rPr>
          <w:rFonts w:ascii="Times New Roman" w:hAnsi="Times New Roman" w:cs="Times New Roman"/>
          <w:b/>
          <w:bCs/>
          <w:sz w:val="24"/>
          <w:szCs w:val="24"/>
        </w:rPr>
      </w:pPr>
    </w:p>
    <w:p w14:paraId="146E5B16" w14:textId="77777777" w:rsidR="00B4199F" w:rsidRPr="00251B2C" w:rsidRDefault="00B4199F" w:rsidP="00B4199F">
      <w:pPr>
        <w:autoSpaceDE w:val="0"/>
        <w:autoSpaceDN w:val="0"/>
        <w:adjustRightInd w:val="0"/>
        <w:spacing w:after="0" w:line="240" w:lineRule="auto"/>
        <w:rPr>
          <w:rFonts w:ascii="Times New Roman" w:hAnsi="Times New Roman" w:cs="Times New Roman"/>
          <w:b/>
          <w:bCs/>
          <w:sz w:val="24"/>
          <w:szCs w:val="24"/>
        </w:rPr>
      </w:pPr>
    </w:p>
    <w:p w14:paraId="68A907B9" w14:textId="77777777" w:rsidR="00B4199F" w:rsidRPr="00251B2C" w:rsidRDefault="00B4199F" w:rsidP="00B4199F">
      <w:pPr>
        <w:rPr>
          <w:rFonts w:ascii="Times New Roman" w:hAnsi="Times New Roman" w:cs="Times New Roman"/>
          <w:sz w:val="24"/>
          <w:szCs w:val="24"/>
        </w:rPr>
      </w:pPr>
    </w:p>
    <w:p w14:paraId="379A2EE8" w14:textId="77777777" w:rsidR="00B4199F" w:rsidRPr="00251B2C" w:rsidRDefault="00B4199F" w:rsidP="00B4199F">
      <w:pPr>
        <w:spacing w:before="120" w:after="120" w:line="360" w:lineRule="auto"/>
        <w:jc w:val="center"/>
        <w:rPr>
          <w:rFonts w:ascii="Times New Roman" w:hAnsi="Times New Roman" w:cs="Times New Roman"/>
          <w:sz w:val="24"/>
          <w:szCs w:val="24"/>
        </w:rPr>
      </w:pPr>
    </w:p>
    <w:p w14:paraId="310646EF" w14:textId="37CE6DB9" w:rsidR="00B4199F" w:rsidRPr="00251B2C" w:rsidRDefault="00B4199F" w:rsidP="00B4199F">
      <w:pPr>
        <w:spacing w:before="120" w:after="120" w:line="360" w:lineRule="auto"/>
        <w:rPr>
          <w:rFonts w:ascii="Times New Roman" w:hAnsi="Times New Roman" w:cs="Times New Roman"/>
          <w:sz w:val="24"/>
          <w:szCs w:val="24"/>
        </w:rPr>
      </w:pPr>
    </w:p>
    <w:p w14:paraId="58DC11B2" w14:textId="77777777" w:rsidR="00B4199F" w:rsidRPr="00251B2C" w:rsidRDefault="00B4199F" w:rsidP="00B4199F">
      <w:pPr>
        <w:rPr>
          <w:rFonts w:ascii="Times New Roman" w:hAnsi="Times New Roman" w:cs="Times New Roman"/>
          <w:sz w:val="24"/>
          <w:szCs w:val="24"/>
        </w:rPr>
      </w:pPr>
    </w:p>
    <w:p w14:paraId="0D9FAF76" w14:textId="778A8009" w:rsidR="00B4199F" w:rsidRDefault="00B4199F" w:rsidP="00B4199F"/>
    <w:p w14:paraId="474B10FE" w14:textId="77777777" w:rsidR="00B4199F" w:rsidRPr="00B4199F" w:rsidRDefault="00B4199F" w:rsidP="00B4199F"/>
    <w:sectPr w:rsidR="00B4199F" w:rsidRPr="00B4199F" w:rsidSect="00A755F5">
      <w:pgSz w:w="11906" w:h="16838"/>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010348" w14:textId="77777777" w:rsidR="00853AAA" w:rsidRDefault="00853AAA">
      <w:pPr>
        <w:spacing w:after="0" w:line="240" w:lineRule="auto"/>
      </w:pPr>
      <w:r>
        <w:separator/>
      </w:r>
    </w:p>
  </w:endnote>
  <w:endnote w:type="continuationSeparator" w:id="0">
    <w:p w14:paraId="774DBFBD" w14:textId="77777777" w:rsidR="00853AAA" w:rsidRDefault="00853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pitch w:val="variable"/>
    <w:sig w:usb0="0000A003" w:usb1="00000000" w:usb2="00000000" w:usb3="00000000" w:csb0="00000001" w:csb1="00000000"/>
  </w:font>
  <w:font w:name="+mn-ea">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9822856"/>
      <w:docPartObj>
        <w:docPartGallery w:val="Page Numbers (Bottom of Page)"/>
        <w:docPartUnique/>
      </w:docPartObj>
    </w:sdtPr>
    <w:sdtEndPr>
      <w:rPr>
        <w:noProof/>
      </w:rPr>
    </w:sdtEndPr>
    <w:sdtContent>
      <w:p w14:paraId="12B8237F" w14:textId="77777777" w:rsidR="006575B2" w:rsidRDefault="006575B2">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3D36874B" w14:textId="77777777" w:rsidR="006575B2" w:rsidRDefault="006575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36BE05" w14:textId="77777777" w:rsidR="00853AAA" w:rsidRDefault="00853AAA">
      <w:pPr>
        <w:spacing w:after="0" w:line="240" w:lineRule="auto"/>
      </w:pPr>
      <w:r>
        <w:separator/>
      </w:r>
    </w:p>
  </w:footnote>
  <w:footnote w:type="continuationSeparator" w:id="0">
    <w:p w14:paraId="421E52E3" w14:textId="77777777" w:rsidR="00853AAA" w:rsidRDefault="00853A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A7CBE"/>
    <w:multiLevelType w:val="hybridMultilevel"/>
    <w:tmpl w:val="9AD0C5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E246527"/>
    <w:multiLevelType w:val="hybridMultilevel"/>
    <w:tmpl w:val="AB928106"/>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cs="Wingdings" w:hint="default"/>
      </w:rPr>
    </w:lvl>
    <w:lvl w:ilvl="2" w:tplc="00050409">
      <w:start w:val="1"/>
      <w:numFmt w:val="bullet"/>
      <w:lvlText w:val=""/>
      <w:lvlJc w:val="left"/>
      <w:pPr>
        <w:tabs>
          <w:tab w:val="num" w:pos="1800"/>
        </w:tabs>
        <w:ind w:left="1800" w:hanging="360"/>
      </w:pPr>
      <w:rPr>
        <w:rFonts w:ascii="Wingdings" w:hAnsi="Wingdings" w:hint="default"/>
      </w:rPr>
    </w:lvl>
    <w:lvl w:ilvl="3" w:tplc="00010409">
      <w:start w:val="1"/>
      <w:numFmt w:val="bullet"/>
      <w:lvlText w:val=""/>
      <w:lvlJc w:val="left"/>
      <w:pPr>
        <w:tabs>
          <w:tab w:val="num" w:pos="2520"/>
        </w:tabs>
        <w:ind w:left="2520" w:hanging="360"/>
      </w:pPr>
      <w:rPr>
        <w:rFonts w:ascii="Symbol" w:hAnsi="Symbol" w:hint="default"/>
      </w:rPr>
    </w:lvl>
    <w:lvl w:ilvl="4" w:tplc="00030409">
      <w:start w:val="1"/>
      <w:numFmt w:val="bullet"/>
      <w:lvlText w:val="o"/>
      <w:lvlJc w:val="left"/>
      <w:pPr>
        <w:tabs>
          <w:tab w:val="num" w:pos="3240"/>
        </w:tabs>
        <w:ind w:left="3240" w:hanging="360"/>
      </w:pPr>
      <w:rPr>
        <w:rFonts w:ascii="Courier New" w:hAnsi="Courier New" w:cs="Wingdings" w:hint="default"/>
      </w:rPr>
    </w:lvl>
    <w:lvl w:ilvl="5" w:tplc="00050409">
      <w:start w:val="1"/>
      <w:numFmt w:val="bullet"/>
      <w:lvlText w:val=""/>
      <w:lvlJc w:val="left"/>
      <w:pPr>
        <w:tabs>
          <w:tab w:val="num" w:pos="3960"/>
        </w:tabs>
        <w:ind w:left="3960" w:hanging="360"/>
      </w:pPr>
      <w:rPr>
        <w:rFonts w:ascii="Wingdings" w:hAnsi="Wingdings" w:hint="default"/>
      </w:rPr>
    </w:lvl>
    <w:lvl w:ilvl="6" w:tplc="00010409">
      <w:start w:val="1"/>
      <w:numFmt w:val="bullet"/>
      <w:lvlText w:val=""/>
      <w:lvlJc w:val="left"/>
      <w:pPr>
        <w:tabs>
          <w:tab w:val="num" w:pos="4680"/>
        </w:tabs>
        <w:ind w:left="4680" w:hanging="360"/>
      </w:pPr>
      <w:rPr>
        <w:rFonts w:ascii="Symbol" w:hAnsi="Symbol" w:hint="default"/>
      </w:rPr>
    </w:lvl>
    <w:lvl w:ilvl="7" w:tplc="00030409">
      <w:start w:val="1"/>
      <w:numFmt w:val="bullet"/>
      <w:lvlText w:val="o"/>
      <w:lvlJc w:val="left"/>
      <w:pPr>
        <w:tabs>
          <w:tab w:val="num" w:pos="5400"/>
        </w:tabs>
        <w:ind w:left="5400" w:hanging="360"/>
      </w:pPr>
      <w:rPr>
        <w:rFonts w:ascii="Courier New" w:hAnsi="Courier New" w:cs="Wingdings" w:hint="default"/>
      </w:rPr>
    </w:lvl>
    <w:lvl w:ilvl="8" w:tplc="00050409">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EFD6E64"/>
    <w:multiLevelType w:val="hybridMultilevel"/>
    <w:tmpl w:val="F20AE96C"/>
    <w:lvl w:ilvl="0" w:tplc="FCC835B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F5A5DFF"/>
    <w:multiLevelType w:val="hybridMultilevel"/>
    <w:tmpl w:val="7D1E82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99736E"/>
    <w:multiLevelType w:val="hybridMultilevel"/>
    <w:tmpl w:val="01546E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FE3FC9"/>
    <w:multiLevelType w:val="hybridMultilevel"/>
    <w:tmpl w:val="341A53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F0147B"/>
    <w:multiLevelType w:val="hybridMultilevel"/>
    <w:tmpl w:val="9252E2E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E1E4DCC"/>
    <w:multiLevelType w:val="hybridMultilevel"/>
    <w:tmpl w:val="7CE4DC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0DB61FA"/>
    <w:multiLevelType w:val="hybridMultilevel"/>
    <w:tmpl w:val="34086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BC6E64"/>
    <w:multiLevelType w:val="hybridMultilevel"/>
    <w:tmpl w:val="B578726E"/>
    <w:lvl w:ilvl="0" w:tplc="6A4098A6">
      <w:start w:val="1"/>
      <w:numFmt w:val="bullet"/>
      <w:lvlText w:val=""/>
      <w:lvlJc w:val="left"/>
      <w:pPr>
        <w:tabs>
          <w:tab w:val="num" w:pos="360"/>
        </w:tabs>
        <w:ind w:left="360" w:hanging="360"/>
      </w:pPr>
      <w:rPr>
        <w:rFonts w:ascii="Symbol" w:hAnsi="Symbol" w:hint="default"/>
        <w:color w:val="auto"/>
      </w:rPr>
    </w:lvl>
    <w:lvl w:ilvl="1" w:tplc="00030409">
      <w:start w:val="1"/>
      <w:numFmt w:val="bullet"/>
      <w:lvlText w:val="o"/>
      <w:lvlJc w:val="left"/>
      <w:pPr>
        <w:tabs>
          <w:tab w:val="num" w:pos="1080"/>
        </w:tabs>
        <w:ind w:left="1080" w:hanging="360"/>
      </w:pPr>
      <w:rPr>
        <w:rFonts w:ascii="Courier New" w:hAnsi="Courier New" w:cs="Wingdings" w:hint="default"/>
      </w:rPr>
    </w:lvl>
    <w:lvl w:ilvl="2" w:tplc="00050409">
      <w:start w:val="1"/>
      <w:numFmt w:val="bullet"/>
      <w:lvlText w:val=""/>
      <w:lvlJc w:val="left"/>
      <w:pPr>
        <w:tabs>
          <w:tab w:val="num" w:pos="1800"/>
        </w:tabs>
        <w:ind w:left="1800" w:hanging="360"/>
      </w:pPr>
      <w:rPr>
        <w:rFonts w:ascii="Wingdings" w:hAnsi="Wingdings" w:hint="default"/>
      </w:rPr>
    </w:lvl>
    <w:lvl w:ilvl="3" w:tplc="00010409">
      <w:start w:val="1"/>
      <w:numFmt w:val="bullet"/>
      <w:lvlText w:val=""/>
      <w:lvlJc w:val="left"/>
      <w:pPr>
        <w:tabs>
          <w:tab w:val="num" w:pos="2520"/>
        </w:tabs>
        <w:ind w:left="2520" w:hanging="360"/>
      </w:pPr>
      <w:rPr>
        <w:rFonts w:ascii="Symbol" w:hAnsi="Symbol" w:hint="default"/>
      </w:rPr>
    </w:lvl>
    <w:lvl w:ilvl="4" w:tplc="00030409">
      <w:start w:val="1"/>
      <w:numFmt w:val="bullet"/>
      <w:lvlText w:val="o"/>
      <w:lvlJc w:val="left"/>
      <w:pPr>
        <w:tabs>
          <w:tab w:val="num" w:pos="3240"/>
        </w:tabs>
        <w:ind w:left="3240" w:hanging="360"/>
      </w:pPr>
      <w:rPr>
        <w:rFonts w:ascii="Courier New" w:hAnsi="Courier New" w:cs="Wingdings" w:hint="default"/>
      </w:rPr>
    </w:lvl>
    <w:lvl w:ilvl="5" w:tplc="00050409">
      <w:start w:val="1"/>
      <w:numFmt w:val="bullet"/>
      <w:lvlText w:val=""/>
      <w:lvlJc w:val="left"/>
      <w:pPr>
        <w:tabs>
          <w:tab w:val="num" w:pos="3960"/>
        </w:tabs>
        <w:ind w:left="3960" w:hanging="360"/>
      </w:pPr>
      <w:rPr>
        <w:rFonts w:ascii="Wingdings" w:hAnsi="Wingdings" w:hint="default"/>
      </w:rPr>
    </w:lvl>
    <w:lvl w:ilvl="6" w:tplc="00010409">
      <w:start w:val="1"/>
      <w:numFmt w:val="bullet"/>
      <w:lvlText w:val=""/>
      <w:lvlJc w:val="left"/>
      <w:pPr>
        <w:tabs>
          <w:tab w:val="num" w:pos="4680"/>
        </w:tabs>
        <w:ind w:left="4680" w:hanging="360"/>
      </w:pPr>
      <w:rPr>
        <w:rFonts w:ascii="Symbol" w:hAnsi="Symbol" w:hint="default"/>
      </w:rPr>
    </w:lvl>
    <w:lvl w:ilvl="7" w:tplc="00030409">
      <w:start w:val="1"/>
      <w:numFmt w:val="bullet"/>
      <w:lvlText w:val="o"/>
      <w:lvlJc w:val="left"/>
      <w:pPr>
        <w:tabs>
          <w:tab w:val="num" w:pos="5400"/>
        </w:tabs>
        <w:ind w:left="5400" w:hanging="360"/>
      </w:pPr>
      <w:rPr>
        <w:rFonts w:ascii="Courier New" w:hAnsi="Courier New" w:cs="Wingdings" w:hint="default"/>
      </w:rPr>
    </w:lvl>
    <w:lvl w:ilvl="8" w:tplc="00050409">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B1A5CD1"/>
    <w:multiLevelType w:val="hybridMultilevel"/>
    <w:tmpl w:val="A9F6CF0E"/>
    <w:lvl w:ilvl="0" w:tplc="03F0867C">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B73A66"/>
    <w:multiLevelType w:val="hybridMultilevel"/>
    <w:tmpl w:val="059445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5A55754"/>
    <w:multiLevelType w:val="hybridMultilevel"/>
    <w:tmpl w:val="8DD23D0C"/>
    <w:lvl w:ilvl="0" w:tplc="AA4CCD9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C556467"/>
    <w:multiLevelType w:val="multilevel"/>
    <w:tmpl w:val="FB6AC952"/>
    <w:lvl w:ilvl="0">
      <w:start w:val="1"/>
      <w:numFmt w:val="decimal"/>
      <w:lvlText w:val="%1."/>
      <w:lvlJc w:val="left"/>
      <w:pPr>
        <w:ind w:left="360" w:hanging="360"/>
      </w:pPr>
      <w:rPr>
        <w:rFonts w:asciiTheme="minorHAnsi" w:hAnsiTheme="minorHAnsi" w:hint="default"/>
        <w:sz w:val="22"/>
      </w:rPr>
    </w:lvl>
    <w:lvl w:ilvl="1">
      <w:start w:val="2"/>
      <w:numFmt w:val="decimal"/>
      <w:isLgl/>
      <w:lvlText w:val="%1.%2"/>
      <w:lvlJc w:val="left"/>
      <w:pPr>
        <w:ind w:left="600" w:hanging="600"/>
      </w:pPr>
      <w:rPr>
        <w:rFonts w:hint="default"/>
      </w:rPr>
    </w:lvl>
    <w:lvl w:ilvl="2">
      <w:start w:val="7"/>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5D0A180C"/>
    <w:multiLevelType w:val="hybridMultilevel"/>
    <w:tmpl w:val="A25ACF60"/>
    <w:lvl w:ilvl="0" w:tplc="832A7FA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1CB6174"/>
    <w:multiLevelType w:val="multilevel"/>
    <w:tmpl w:val="D21ADF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ED125F3"/>
    <w:multiLevelType w:val="hybridMultilevel"/>
    <w:tmpl w:val="41A4BD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4CC0672"/>
    <w:multiLevelType w:val="multilevel"/>
    <w:tmpl w:val="5DC84280"/>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C290693"/>
    <w:multiLevelType w:val="hybridMultilevel"/>
    <w:tmpl w:val="D408D6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DA57B00"/>
    <w:multiLevelType w:val="hybridMultilevel"/>
    <w:tmpl w:val="4DC03BE4"/>
    <w:lvl w:ilvl="0" w:tplc="C31CADAC">
      <w:start w:val="1"/>
      <w:numFmt w:val="upperRoman"/>
      <w:lvlText w:val="%1."/>
      <w:lvlJc w:val="left"/>
      <w:pPr>
        <w:ind w:left="760" w:hanging="720"/>
      </w:pPr>
      <w:rPr>
        <w:rFonts w:hint="default"/>
        <w:color w:val="auto"/>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num w:numId="1">
    <w:abstractNumId w:val="17"/>
  </w:num>
  <w:num w:numId="2">
    <w:abstractNumId w:val="7"/>
  </w:num>
  <w:num w:numId="3">
    <w:abstractNumId w:val="5"/>
  </w:num>
  <w:num w:numId="4">
    <w:abstractNumId w:val="11"/>
  </w:num>
  <w:num w:numId="5">
    <w:abstractNumId w:val="8"/>
  </w:num>
  <w:num w:numId="6">
    <w:abstractNumId w:val="2"/>
  </w:num>
  <w:num w:numId="7">
    <w:abstractNumId w:val="6"/>
  </w:num>
  <w:num w:numId="8">
    <w:abstractNumId w:val="13"/>
  </w:num>
  <w:num w:numId="9">
    <w:abstractNumId w:val="15"/>
  </w:num>
  <w:num w:numId="10">
    <w:abstractNumId w:val="3"/>
  </w:num>
  <w:num w:numId="11">
    <w:abstractNumId w:val="16"/>
  </w:num>
  <w:num w:numId="12">
    <w:abstractNumId w:val="9"/>
  </w:num>
  <w:num w:numId="13">
    <w:abstractNumId w:val="1"/>
  </w:num>
  <w:num w:numId="14">
    <w:abstractNumId w:val="0"/>
  </w:num>
  <w:num w:numId="15">
    <w:abstractNumId w:val="4"/>
  </w:num>
  <w:num w:numId="16">
    <w:abstractNumId w:val="10"/>
  </w:num>
  <w:num w:numId="17">
    <w:abstractNumId w:val="18"/>
  </w:num>
  <w:num w:numId="18">
    <w:abstractNumId w:val="12"/>
  </w:num>
  <w:num w:numId="19">
    <w:abstractNumId w:val="14"/>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ctiveWritingStyle w:appName="MSWord" w:lang="nb-NO"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nb-NO"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nb-NO"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5F5"/>
    <w:rsid w:val="0000459C"/>
    <w:rsid w:val="000067FC"/>
    <w:rsid w:val="00020E85"/>
    <w:rsid w:val="00021AE2"/>
    <w:rsid w:val="00024F67"/>
    <w:rsid w:val="00037417"/>
    <w:rsid w:val="00042DD1"/>
    <w:rsid w:val="00044385"/>
    <w:rsid w:val="00047DB2"/>
    <w:rsid w:val="0005296F"/>
    <w:rsid w:val="00064D75"/>
    <w:rsid w:val="00067897"/>
    <w:rsid w:val="000717C7"/>
    <w:rsid w:val="00072C92"/>
    <w:rsid w:val="00073CA3"/>
    <w:rsid w:val="000770C6"/>
    <w:rsid w:val="00085E4D"/>
    <w:rsid w:val="00086985"/>
    <w:rsid w:val="000A3BBD"/>
    <w:rsid w:val="000A4374"/>
    <w:rsid w:val="000B2A07"/>
    <w:rsid w:val="000B4FC2"/>
    <w:rsid w:val="000C04EE"/>
    <w:rsid w:val="000C7D77"/>
    <w:rsid w:val="000D24D2"/>
    <w:rsid w:val="000F4C35"/>
    <w:rsid w:val="00104535"/>
    <w:rsid w:val="001153E9"/>
    <w:rsid w:val="001171FF"/>
    <w:rsid w:val="00123826"/>
    <w:rsid w:val="00127298"/>
    <w:rsid w:val="00135B87"/>
    <w:rsid w:val="001430D4"/>
    <w:rsid w:val="00150404"/>
    <w:rsid w:val="0015547A"/>
    <w:rsid w:val="00176C58"/>
    <w:rsid w:val="00176F60"/>
    <w:rsid w:val="0018773C"/>
    <w:rsid w:val="001A131A"/>
    <w:rsid w:val="001A3503"/>
    <w:rsid w:val="001A779F"/>
    <w:rsid w:val="001B1ED3"/>
    <w:rsid w:val="001B2B13"/>
    <w:rsid w:val="001C347C"/>
    <w:rsid w:val="001C3BFE"/>
    <w:rsid w:val="001D56F2"/>
    <w:rsid w:val="001D5D3C"/>
    <w:rsid w:val="001D7F0A"/>
    <w:rsid w:val="001E11F0"/>
    <w:rsid w:val="001F1644"/>
    <w:rsid w:val="00211ECF"/>
    <w:rsid w:val="00215C2F"/>
    <w:rsid w:val="002244A5"/>
    <w:rsid w:val="00226846"/>
    <w:rsid w:val="002336BC"/>
    <w:rsid w:val="00235E3F"/>
    <w:rsid w:val="002377AA"/>
    <w:rsid w:val="00251B2C"/>
    <w:rsid w:val="0026273E"/>
    <w:rsid w:val="00262B58"/>
    <w:rsid w:val="00280524"/>
    <w:rsid w:val="00282529"/>
    <w:rsid w:val="00285A29"/>
    <w:rsid w:val="00287094"/>
    <w:rsid w:val="00290CC7"/>
    <w:rsid w:val="0029243E"/>
    <w:rsid w:val="00292FDD"/>
    <w:rsid w:val="00293CF7"/>
    <w:rsid w:val="002948DC"/>
    <w:rsid w:val="002A214D"/>
    <w:rsid w:val="002A2CF5"/>
    <w:rsid w:val="002A55CC"/>
    <w:rsid w:val="002A6495"/>
    <w:rsid w:val="002A654F"/>
    <w:rsid w:val="002A69E6"/>
    <w:rsid w:val="002A7976"/>
    <w:rsid w:val="002C6B50"/>
    <w:rsid w:val="002E4EF4"/>
    <w:rsid w:val="002E7E6E"/>
    <w:rsid w:val="002F4057"/>
    <w:rsid w:val="00301F95"/>
    <w:rsid w:val="003051D4"/>
    <w:rsid w:val="00306CB6"/>
    <w:rsid w:val="00317837"/>
    <w:rsid w:val="0031799F"/>
    <w:rsid w:val="0032182D"/>
    <w:rsid w:val="00321A40"/>
    <w:rsid w:val="003237BA"/>
    <w:rsid w:val="00327AF8"/>
    <w:rsid w:val="00344127"/>
    <w:rsid w:val="0036479A"/>
    <w:rsid w:val="00372EBA"/>
    <w:rsid w:val="00374ABC"/>
    <w:rsid w:val="003768A4"/>
    <w:rsid w:val="00387615"/>
    <w:rsid w:val="00395161"/>
    <w:rsid w:val="003A5C58"/>
    <w:rsid w:val="003B2824"/>
    <w:rsid w:val="003E22FA"/>
    <w:rsid w:val="003E3BBE"/>
    <w:rsid w:val="003E3C1A"/>
    <w:rsid w:val="003E7F7D"/>
    <w:rsid w:val="003F71A8"/>
    <w:rsid w:val="00401058"/>
    <w:rsid w:val="004071D5"/>
    <w:rsid w:val="004141ED"/>
    <w:rsid w:val="0042347A"/>
    <w:rsid w:val="00427F54"/>
    <w:rsid w:val="00431EC0"/>
    <w:rsid w:val="00445B96"/>
    <w:rsid w:val="00453598"/>
    <w:rsid w:val="00460836"/>
    <w:rsid w:val="004702EC"/>
    <w:rsid w:val="0047468B"/>
    <w:rsid w:val="004920D9"/>
    <w:rsid w:val="004A37C5"/>
    <w:rsid w:val="004B12A3"/>
    <w:rsid w:val="004B5378"/>
    <w:rsid w:val="004B7B2E"/>
    <w:rsid w:val="004C72C5"/>
    <w:rsid w:val="004D0F63"/>
    <w:rsid w:val="004D3CA5"/>
    <w:rsid w:val="004F1E71"/>
    <w:rsid w:val="004F2F07"/>
    <w:rsid w:val="005007CB"/>
    <w:rsid w:val="005024DD"/>
    <w:rsid w:val="00524877"/>
    <w:rsid w:val="00526390"/>
    <w:rsid w:val="0053719F"/>
    <w:rsid w:val="00537B3D"/>
    <w:rsid w:val="005446CA"/>
    <w:rsid w:val="00546110"/>
    <w:rsid w:val="00546532"/>
    <w:rsid w:val="0055401F"/>
    <w:rsid w:val="0055692D"/>
    <w:rsid w:val="00574830"/>
    <w:rsid w:val="005764A3"/>
    <w:rsid w:val="00592892"/>
    <w:rsid w:val="00597176"/>
    <w:rsid w:val="005A4246"/>
    <w:rsid w:val="005A4D14"/>
    <w:rsid w:val="005B08EB"/>
    <w:rsid w:val="005C366C"/>
    <w:rsid w:val="005C777F"/>
    <w:rsid w:val="005D30FE"/>
    <w:rsid w:val="005D328B"/>
    <w:rsid w:val="005D5FA9"/>
    <w:rsid w:val="005D7000"/>
    <w:rsid w:val="005E1BF6"/>
    <w:rsid w:val="005E6397"/>
    <w:rsid w:val="005E7573"/>
    <w:rsid w:val="005F2E5C"/>
    <w:rsid w:val="00603127"/>
    <w:rsid w:val="00603D0C"/>
    <w:rsid w:val="00605522"/>
    <w:rsid w:val="006107B5"/>
    <w:rsid w:val="00612FE1"/>
    <w:rsid w:val="00623DE9"/>
    <w:rsid w:val="00632BD7"/>
    <w:rsid w:val="00637AAE"/>
    <w:rsid w:val="00643456"/>
    <w:rsid w:val="0065408C"/>
    <w:rsid w:val="006575B2"/>
    <w:rsid w:val="00662260"/>
    <w:rsid w:val="00671CC4"/>
    <w:rsid w:val="00680033"/>
    <w:rsid w:val="00686DAA"/>
    <w:rsid w:val="00687ABE"/>
    <w:rsid w:val="00691E7E"/>
    <w:rsid w:val="006B7147"/>
    <w:rsid w:val="006C01C7"/>
    <w:rsid w:val="006C3B31"/>
    <w:rsid w:val="006D7640"/>
    <w:rsid w:val="006E4469"/>
    <w:rsid w:val="006F40C0"/>
    <w:rsid w:val="00712C79"/>
    <w:rsid w:val="00717780"/>
    <w:rsid w:val="00717AAF"/>
    <w:rsid w:val="0073229F"/>
    <w:rsid w:val="00742A50"/>
    <w:rsid w:val="0077298C"/>
    <w:rsid w:val="00781127"/>
    <w:rsid w:val="00781B36"/>
    <w:rsid w:val="007A3B01"/>
    <w:rsid w:val="007B156A"/>
    <w:rsid w:val="007B29F4"/>
    <w:rsid w:val="007B6048"/>
    <w:rsid w:val="007C1740"/>
    <w:rsid w:val="007D3295"/>
    <w:rsid w:val="007E4E77"/>
    <w:rsid w:val="007F00AE"/>
    <w:rsid w:val="007F030A"/>
    <w:rsid w:val="007F24CD"/>
    <w:rsid w:val="007F30FA"/>
    <w:rsid w:val="007F3EEF"/>
    <w:rsid w:val="00801E27"/>
    <w:rsid w:val="008027B9"/>
    <w:rsid w:val="00805FFC"/>
    <w:rsid w:val="00814D2B"/>
    <w:rsid w:val="00827662"/>
    <w:rsid w:val="008333A2"/>
    <w:rsid w:val="008348D5"/>
    <w:rsid w:val="008421C7"/>
    <w:rsid w:val="00853AAA"/>
    <w:rsid w:val="00863CA7"/>
    <w:rsid w:val="00866113"/>
    <w:rsid w:val="00867A89"/>
    <w:rsid w:val="0088025E"/>
    <w:rsid w:val="00885C53"/>
    <w:rsid w:val="00894B89"/>
    <w:rsid w:val="00897B5F"/>
    <w:rsid w:val="008B1018"/>
    <w:rsid w:val="008B247B"/>
    <w:rsid w:val="008C1C4D"/>
    <w:rsid w:val="008D1A5C"/>
    <w:rsid w:val="008D47DC"/>
    <w:rsid w:val="008F04C3"/>
    <w:rsid w:val="009038C9"/>
    <w:rsid w:val="00903AEE"/>
    <w:rsid w:val="00913312"/>
    <w:rsid w:val="0091424F"/>
    <w:rsid w:val="00917B0E"/>
    <w:rsid w:val="009245FE"/>
    <w:rsid w:val="009257A1"/>
    <w:rsid w:val="00926694"/>
    <w:rsid w:val="009470EA"/>
    <w:rsid w:val="009513FF"/>
    <w:rsid w:val="00953523"/>
    <w:rsid w:val="00953866"/>
    <w:rsid w:val="009538A3"/>
    <w:rsid w:val="00957CCF"/>
    <w:rsid w:val="00965789"/>
    <w:rsid w:val="009665F0"/>
    <w:rsid w:val="00974B16"/>
    <w:rsid w:val="00981E49"/>
    <w:rsid w:val="00986370"/>
    <w:rsid w:val="009A12C5"/>
    <w:rsid w:val="009A3C3B"/>
    <w:rsid w:val="009B1361"/>
    <w:rsid w:val="009B1A49"/>
    <w:rsid w:val="009E0960"/>
    <w:rsid w:val="009E748E"/>
    <w:rsid w:val="009F08A4"/>
    <w:rsid w:val="00A12B21"/>
    <w:rsid w:val="00A21594"/>
    <w:rsid w:val="00A22459"/>
    <w:rsid w:val="00A24D11"/>
    <w:rsid w:val="00A30734"/>
    <w:rsid w:val="00A32BBE"/>
    <w:rsid w:val="00A35B63"/>
    <w:rsid w:val="00A4152A"/>
    <w:rsid w:val="00A4687E"/>
    <w:rsid w:val="00A47DF4"/>
    <w:rsid w:val="00A567B7"/>
    <w:rsid w:val="00A6332C"/>
    <w:rsid w:val="00A755F5"/>
    <w:rsid w:val="00A76556"/>
    <w:rsid w:val="00A858A8"/>
    <w:rsid w:val="00A9611D"/>
    <w:rsid w:val="00AB51F2"/>
    <w:rsid w:val="00AC1857"/>
    <w:rsid w:val="00AC2338"/>
    <w:rsid w:val="00AC3214"/>
    <w:rsid w:val="00AF7797"/>
    <w:rsid w:val="00B002A2"/>
    <w:rsid w:val="00B0195E"/>
    <w:rsid w:val="00B06644"/>
    <w:rsid w:val="00B3494E"/>
    <w:rsid w:val="00B415D6"/>
    <w:rsid w:val="00B4199F"/>
    <w:rsid w:val="00B43571"/>
    <w:rsid w:val="00B462B8"/>
    <w:rsid w:val="00B530B3"/>
    <w:rsid w:val="00B65F21"/>
    <w:rsid w:val="00B829B6"/>
    <w:rsid w:val="00BA4AC4"/>
    <w:rsid w:val="00BA6E61"/>
    <w:rsid w:val="00BB03B6"/>
    <w:rsid w:val="00BB4DFB"/>
    <w:rsid w:val="00BC228C"/>
    <w:rsid w:val="00BC44C7"/>
    <w:rsid w:val="00BD7E57"/>
    <w:rsid w:val="00BE585E"/>
    <w:rsid w:val="00C06EC9"/>
    <w:rsid w:val="00C118A4"/>
    <w:rsid w:val="00C24676"/>
    <w:rsid w:val="00C30397"/>
    <w:rsid w:val="00C31C8C"/>
    <w:rsid w:val="00C34E04"/>
    <w:rsid w:val="00C51F88"/>
    <w:rsid w:val="00C53B53"/>
    <w:rsid w:val="00C624F2"/>
    <w:rsid w:val="00C74536"/>
    <w:rsid w:val="00C74AEF"/>
    <w:rsid w:val="00C772D5"/>
    <w:rsid w:val="00C7739C"/>
    <w:rsid w:val="00C77632"/>
    <w:rsid w:val="00C97050"/>
    <w:rsid w:val="00CB0F5B"/>
    <w:rsid w:val="00CC0987"/>
    <w:rsid w:val="00CC70C0"/>
    <w:rsid w:val="00CF301A"/>
    <w:rsid w:val="00D01AD0"/>
    <w:rsid w:val="00D03E83"/>
    <w:rsid w:val="00D11DAE"/>
    <w:rsid w:val="00D12C43"/>
    <w:rsid w:val="00D12D30"/>
    <w:rsid w:val="00D16577"/>
    <w:rsid w:val="00D17FC9"/>
    <w:rsid w:val="00D21473"/>
    <w:rsid w:val="00D27384"/>
    <w:rsid w:val="00D35BD4"/>
    <w:rsid w:val="00D42206"/>
    <w:rsid w:val="00D5786B"/>
    <w:rsid w:val="00D63874"/>
    <w:rsid w:val="00D65DBA"/>
    <w:rsid w:val="00D74630"/>
    <w:rsid w:val="00D75558"/>
    <w:rsid w:val="00D82F59"/>
    <w:rsid w:val="00D97CC8"/>
    <w:rsid w:val="00DB5D5D"/>
    <w:rsid w:val="00DC79C9"/>
    <w:rsid w:val="00DD2125"/>
    <w:rsid w:val="00DE7140"/>
    <w:rsid w:val="00DF74AC"/>
    <w:rsid w:val="00DF7591"/>
    <w:rsid w:val="00E023B8"/>
    <w:rsid w:val="00E114EB"/>
    <w:rsid w:val="00E1252D"/>
    <w:rsid w:val="00E14B6A"/>
    <w:rsid w:val="00E17CA9"/>
    <w:rsid w:val="00E307F6"/>
    <w:rsid w:val="00E40C6C"/>
    <w:rsid w:val="00E413F5"/>
    <w:rsid w:val="00E66382"/>
    <w:rsid w:val="00E676FF"/>
    <w:rsid w:val="00E72195"/>
    <w:rsid w:val="00E8224F"/>
    <w:rsid w:val="00E86285"/>
    <w:rsid w:val="00E92E69"/>
    <w:rsid w:val="00E95BEE"/>
    <w:rsid w:val="00E96B6D"/>
    <w:rsid w:val="00EB2269"/>
    <w:rsid w:val="00ED3CC5"/>
    <w:rsid w:val="00ED6EA1"/>
    <w:rsid w:val="00EE0AF2"/>
    <w:rsid w:val="00EF19CB"/>
    <w:rsid w:val="00EF1B5E"/>
    <w:rsid w:val="00F01A3C"/>
    <w:rsid w:val="00F031FC"/>
    <w:rsid w:val="00F1447E"/>
    <w:rsid w:val="00F30002"/>
    <w:rsid w:val="00F30BB7"/>
    <w:rsid w:val="00F3249B"/>
    <w:rsid w:val="00F34DDB"/>
    <w:rsid w:val="00F351D9"/>
    <w:rsid w:val="00F359D4"/>
    <w:rsid w:val="00F40AEE"/>
    <w:rsid w:val="00F52957"/>
    <w:rsid w:val="00F5551F"/>
    <w:rsid w:val="00F55C8C"/>
    <w:rsid w:val="00F6659B"/>
    <w:rsid w:val="00F83147"/>
    <w:rsid w:val="00F86D7F"/>
    <w:rsid w:val="00FA47CA"/>
    <w:rsid w:val="00FA4F71"/>
    <w:rsid w:val="00FB6027"/>
    <w:rsid w:val="00FB7AC9"/>
    <w:rsid w:val="00FD061C"/>
    <w:rsid w:val="00FD1217"/>
    <w:rsid w:val="00FE5867"/>
    <w:rsid w:val="00FF02E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48BCF"/>
  <w15:chartTrackingRefBased/>
  <w15:docId w15:val="{E50334AA-F749-48E3-86AA-9AD1D613D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755F5"/>
    <w:pPr>
      <w:spacing w:after="200" w:line="276" w:lineRule="auto"/>
    </w:pPr>
  </w:style>
  <w:style w:type="paragraph" w:styleId="Heading1">
    <w:name w:val="heading 1"/>
    <w:basedOn w:val="Normal"/>
    <w:next w:val="Normal"/>
    <w:link w:val="Heading1Char"/>
    <w:uiPriority w:val="9"/>
    <w:qFormat/>
    <w:rsid w:val="00A755F5"/>
    <w:pPr>
      <w:shd w:val="clear" w:color="auto" w:fill="FFFFFF" w:themeFill="background1"/>
      <w:spacing w:before="120" w:after="120" w:line="360" w:lineRule="auto"/>
      <w:jc w:val="both"/>
      <w:outlineLvl w:val="0"/>
    </w:pPr>
    <w:rPr>
      <w:rFonts w:cstheme="minorHAnsi"/>
      <w:b/>
    </w:rPr>
  </w:style>
  <w:style w:type="paragraph" w:styleId="Heading2">
    <w:name w:val="heading 2"/>
    <w:basedOn w:val="ListParagraph"/>
    <w:next w:val="Normal"/>
    <w:link w:val="Heading2Char"/>
    <w:uiPriority w:val="9"/>
    <w:unhideWhenUsed/>
    <w:qFormat/>
    <w:rsid w:val="00A755F5"/>
    <w:pPr>
      <w:shd w:val="clear" w:color="auto" w:fill="FFFFFF" w:themeFill="background1"/>
      <w:spacing w:before="120" w:after="120" w:line="360" w:lineRule="auto"/>
      <w:ind w:left="0"/>
      <w:jc w:val="both"/>
      <w:outlineLvl w:val="1"/>
    </w:pPr>
    <w:rPr>
      <w:rFonts w:eastAsia="Times New Roman" w:cstheme="minorHAnsi"/>
      <w:b/>
      <w:lang w:eastAsia="en-GB"/>
    </w:rPr>
  </w:style>
  <w:style w:type="paragraph" w:styleId="Heading3">
    <w:name w:val="heading 3"/>
    <w:basedOn w:val="ListParagraph"/>
    <w:next w:val="Normal"/>
    <w:link w:val="Heading3Char"/>
    <w:uiPriority w:val="9"/>
    <w:unhideWhenUsed/>
    <w:qFormat/>
    <w:rsid w:val="00A755F5"/>
    <w:pPr>
      <w:numPr>
        <w:ilvl w:val="2"/>
        <w:numId w:val="1"/>
      </w:numPr>
      <w:spacing w:before="120" w:after="120" w:line="360" w:lineRule="auto"/>
      <w:ind w:left="1145"/>
      <w:outlineLvl w:val="2"/>
    </w:pPr>
    <w:rPr>
      <w:b/>
    </w:rPr>
  </w:style>
  <w:style w:type="paragraph" w:styleId="Heading4">
    <w:name w:val="heading 4"/>
    <w:basedOn w:val="Normal"/>
    <w:next w:val="Normal"/>
    <w:link w:val="Heading4Char"/>
    <w:uiPriority w:val="9"/>
    <w:unhideWhenUsed/>
    <w:qFormat/>
    <w:rsid w:val="00A755F5"/>
    <w:pPr>
      <w:keepNext/>
      <w:widowControl w:val="0"/>
      <w:autoSpaceDE w:val="0"/>
      <w:autoSpaceDN w:val="0"/>
      <w:spacing w:before="120" w:after="120" w:line="360" w:lineRule="auto"/>
      <w:ind w:right="2443"/>
      <w:jc w:val="center"/>
      <w:outlineLvl w:val="3"/>
    </w:pPr>
    <w:rPr>
      <w:rFonts w:ascii="Arial" w:eastAsia="Arial" w:hAnsi="Arial" w:cs="Arial"/>
      <w:b/>
      <w:sz w:val="20"/>
      <w:lang w:val="en-US"/>
    </w:rPr>
  </w:style>
  <w:style w:type="paragraph" w:styleId="Heading5">
    <w:name w:val="heading 5"/>
    <w:basedOn w:val="Normal"/>
    <w:next w:val="Normal"/>
    <w:link w:val="Heading5Char"/>
    <w:uiPriority w:val="9"/>
    <w:unhideWhenUsed/>
    <w:qFormat/>
    <w:rsid w:val="00A755F5"/>
    <w:pPr>
      <w:keepNext/>
      <w:spacing w:after="0" w:line="240" w:lineRule="auto"/>
      <w:outlineLvl w:val="4"/>
    </w:pPr>
    <w:rPr>
      <w:rFonts w:ascii="Calibri" w:eastAsia="Times New Roman" w:hAnsi="Calibri" w:cs="Calibri"/>
      <w:b/>
      <w:bCs/>
      <w:sz w:val="20"/>
      <w:szCs w:val="20"/>
      <w:lang w:eastAsia="en-GB"/>
    </w:rPr>
  </w:style>
  <w:style w:type="paragraph" w:styleId="Heading6">
    <w:name w:val="heading 6"/>
    <w:basedOn w:val="Normal"/>
    <w:next w:val="Normal"/>
    <w:link w:val="Heading6Char"/>
    <w:uiPriority w:val="9"/>
    <w:unhideWhenUsed/>
    <w:qFormat/>
    <w:rsid w:val="00A755F5"/>
    <w:pPr>
      <w:keepNext/>
      <w:spacing w:before="120" w:after="120" w:line="240" w:lineRule="auto"/>
      <w:jc w:val="both"/>
      <w:outlineLvl w:val="5"/>
    </w:pPr>
    <w:rPr>
      <w:rFonts w:ascii="Calibri" w:eastAsia="Times New Roman" w:hAnsi="Calibri" w:cs="Calibri"/>
      <w:b/>
      <w:color w:val="000000"/>
      <w:lang w:eastAsia="en-GB"/>
    </w:rPr>
  </w:style>
  <w:style w:type="paragraph" w:styleId="Heading7">
    <w:name w:val="heading 7"/>
    <w:basedOn w:val="Normal"/>
    <w:next w:val="Normal"/>
    <w:link w:val="Heading7Char"/>
    <w:uiPriority w:val="9"/>
    <w:unhideWhenUsed/>
    <w:qFormat/>
    <w:rsid w:val="00A755F5"/>
    <w:pPr>
      <w:keepNext/>
      <w:outlineLvl w:val="6"/>
    </w:pPr>
    <w:rPr>
      <w:b/>
      <w:lang w:eastAsia="en-GB"/>
    </w:rPr>
  </w:style>
  <w:style w:type="paragraph" w:styleId="Heading8">
    <w:name w:val="heading 8"/>
    <w:basedOn w:val="Normal"/>
    <w:next w:val="Normal"/>
    <w:link w:val="Heading8Char"/>
    <w:uiPriority w:val="9"/>
    <w:unhideWhenUsed/>
    <w:qFormat/>
    <w:rsid w:val="00A755F5"/>
    <w:pPr>
      <w:keepNext/>
      <w:widowControl w:val="0"/>
      <w:autoSpaceDE w:val="0"/>
      <w:autoSpaceDN w:val="0"/>
      <w:spacing w:before="120" w:after="120" w:line="360" w:lineRule="auto"/>
      <w:jc w:val="center"/>
      <w:outlineLvl w:val="7"/>
    </w:pPr>
    <w:rPr>
      <w:rFonts w:eastAsia="Arial" w:cstheme="minorHAnsi"/>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55F5"/>
    <w:rPr>
      <w:rFonts w:cstheme="minorHAnsi"/>
      <w:b/>
      <w:shd w:val="clear" w:color="auto" w:fill="FFFFFF" w:themeFill="background1"/>
    </w:rPr>
  </w:style>
  <w:style w:type="paragraph" w:styleId="ListParagraph">
    <w:name w:val="List Paragraph"/>
    <w:basedOn w:val="Normal"/>
    <w:uiPriority w:val="34"/>
    <w:qFormat/>
    <w:rsid w:val="00A755F5"/>
    <w:pPr>
      <w:ind w:left="720"/>
      <w:contextualSpacing/>
    </w:pPr>
  </w:style>
  <w:style w:type="character" w:customStyle="1" w:styleId="Heading2Char">
    <w:name w:val="Heading 2 Char"/>
    <w:basedOn w:val="DefaultParagraphFont"/>
    <w:link w:val="Heading2"/>
    <w:uiPriority w:val="9"/>
    <w:rsid w:val="00A755F5"/>
    <w:rPr>
      <w:rFonts w:eastAsia="Times New Roman" w:cstheme="minorHAnsi"/>
      <w:b/>
      <w:shd w:val="clear" w:color="auto" w:fill="FFFFFF" w:themeFill="background1"/>
      <w:lang w:eastAsia="en-GB"/>
    </w:rPr>
  </w:style>
  <w:style w:type="character" w:customStyle="1" w:styleId="Heading3Char">
    <w:name w:val="Heading 3 Char"/>
    <w:basedOn w:val="DefaultParagraphFont"/>
    <w:link w:val="Heading3"/>
    <w:uiPriority w:val="9"/>
    <w:rsid w:val="00A755F5"/>
    <w:rPr>
      <w:b/>
    </w:rPr>
  </w:style>
  <w:style w:type="character" w:customStyle="1" w:styleId="Heading4Char">
    <w:name w:val="Heading 4 Char"/>
    <w:basedOn w:val="DefaultParagraphFont"/>
    <w:link w:val="Heading4"/>
    <w:uiPriority w:val="9"/>
    <w:rsid w:val="00A755F5"/>
    <w:rPr>
      <w:rFonts w:ascii="Arial" w:eastAsia="Arial" w:hAnsi="Arial" w:cs="Arial"/>
      <w:b/>
      <w:sz w:val="20"/>
      <w:lang w:val="en-US"/>
    </w:rPr>
  </w:style>
  <w:style w:type="character" w:customStyle="1" w:styleId="Heading5Char">
    <w:name w:val="Heading 5 Char"/>
    <w:basedOn w:val="DefaultParagraphFont"/>
    <w:link w:val="Heading5"/>
    <w:uiPriority w:val="9"/>
    <w:rsid w:val="00A755F5"/>
    <w:rPr>
      <w:rFonts w:ascii="Calibri" w:eastAsia="Times New Roman" w:hAnsi="Calibri" w:cs="Calibri"/>
      <w:b/>
      <w:bCs/>
      <w:sz w:val="20"/>
      <w:szCs w:val="20"/>
      <w:lang w:eastAsia="en-GB"/>
    </w:rPr>
  </w:style>
  <w:style w:type="character" w:customStyle="1" w:styleId="Heading6Char">
    <w:name w:val="Heading 6 Char"/>
    <w:basedOn w:val="DefaultParagraphFont"/>
    <w:link w:val="Heading6"/>
    <w:uiPriority w:val="9"/>
    <w:rsid w:val="00A755F5"/>
    <w:rPr>
      <w:rFonts w:ascii="Calibri" w:eastAsia="Times New Roman" w:hAnsi="Calibri" w:cs="Calibri"/>
      <w:b/>
      <w:color w:val="000000"/>
      <w:lang w:eastAsia="en-GB"/>
    </w:rPr>
  </w:style>
  <w:style w:type="character" w:customStyle="1" w:styleId="Heading7Char">
    <w:name w:val="Heading 7 Char"/>
    <w:basedOn w:val="DefaultParagraphFont"/>
    <w:link w:val="Heading7"/>
    <w:uiPriority w:val="9"/>
    <w:rsid w:val="00A755F5"/>
    <w:rPr>
      <w:b/>
      <w:lang w:eastAsia="en-GB"/>
    </w:rPr>
  </w:style>
  <w:style w:type="character" w:customStyle="1" w:styleId="Heading8Char">
    <w:name w:val="Heading 8 Char"/>
    <w:basedOn w:val="DefaultParagraphFont"/>
    <w:link w:val="Heading8"/>
    <w:uiPriority w:val="9"/>
    <w:rsid w:val="00A755F5"/>
    <w:rPr>
      <w:rFonts w:eastAsia="Arial" w:cstheme="minorHAnsi"/>
      <w:b/>
      <w:lang w:val="en-US"/>
    </w:rPr>
  </w:style>
  <w:style w:type="paragraph" w:styleId="FootnoteText">
    <w:name w:val="footnote text"/>
    <w:basedOn w:val="Normal"/>
    <w:link w:val="FootnoteTextChar"/>
    <w:uiPriority w:val="99"/>
    <w:unhideWhenUsed/>
    <w:rsid w:val="00A755F5"/>
    <w:pPr>
      <w:spacing w:after="0" w:line="240" w:lineRule="auto"/>
    </w:pPr>
    <w:rPr>
      <w:sz w:val="20"/>
      <w:szCs w:val="20"/>
    </w:rPr>
  </w:style>
  <w:style w:type="character" w:customStyle="1" w:styleId="FootnoteTextChar">
    <w:name w:val="Footnote Text Char"/>
    <w:basedOn w:val="DefaultParagraphFont"/>
    <w:link w:val="FootnoteText"/>
    <w:uiPriority w:val="99"/>
    <w:rsid w:val="00A755F5"/>
    <w:rPr>
      <w:sz w:val="20"/>
      <w:szCs w:val="20"/>
    </w:rPr>
  </w:style>
  <w:style w:type="character" w:styleId="Hyperlink">
    <w:name w:val="Hyperlink"/>
    <w:basedOn w:val="DefaultParagraphFont"/>
    <w:uiPriority w:val="99"/>
    <w:unhideWhenUsed/>
    <w:rsid w:val="00A755F5"/>
    <w:rPr>
      <w:color w:val="0563C1" w:themeColor="hyperlink"/>
      <w:u w:val="single"/>
    </w:rPr>
  </w:style>
  <w:style w:type="paragraph" w:styleId="BalloonText">
    <w:name w:val="Balloon Text"/>
    <w:basedOn w:val="Normal"/>
    <w:link w:val="BalloonTextChar"/>
    <w:uiPriority w:val="99"/>
    <w:semiHidden/>
    <w:unhideWhenUsed/>
    <w:rsid w:val="00A755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5F5"/>
    <w:rPr>
      <w:rFonts w:ascii="Tahoma" w:hAnsi="Tahoma" w:cs="Tahoma"/>
      <w:sz w:val="16"/>
      <w:szCs w:val="16"/>
    </w:rPr>
  </w:style>
  <w:style w:type="character" w:customStyle="1" w:styleId="ff2">
    <w:name w:val="ff2"/>
    <w:basedOn w:val="DefaultParagraphFont"/>
    <w:rsid w:val="00A755F5"/>
  </w:style>
  <w:style w:type="paragraph" w:styleId="Header">
    <w:name w:val="header"/>
    <w:basedOn w:val="Normal"/>
    <w:link w:val="HeaderChar"/>
    <w:unhideWhenUsed/>
    <w:rsid w:val="00A755F5"/>
    <w:pPr>
      <w:tabs>
        <w:tab w:val="center" w:pos="4513"/>
        <w:tab w:val="right" w:pos="9026"/>
      </w:tabs>
      <w:spacing w:after="0" w:line="240" w:lineRule="auto"/>
    </w:pPr>
  </w:style>
  <w:style w:type="character" w:customStyle="1" w:styleId="HeaderChar">
    <w:name w:val="Header Char"/>
    <w:basedOn w:val="DefaultParagraphFont"/>
    <w:link w:val="Header"/>
    <w:rsid w:val="00A755F5"/>
  </w:style>
  <w:style w:type="paragraph" w:styleId="Footer">
    <w:name w:val="footer"/>
    <w:basedOn w:val="Normal"/>
    <w:link w:val="FooterChar"/>
    <w:uiPriority w:val="99"/>
    <w:unhideWhenUsed/>
    <w:rsid w:val="00A755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5F5"/>
  </w:style>
  <w:style w:type="paragraph" w:styleId="EndnoteText">
    <w:name w:val="endnote text"/>
    <w:basedOn w:val="Normal"/>
    <w:link w:val="EndnoteTextChar"/>
    <w:uiPriority w:val="99"/>
    <w:semiHidden/>
    <w:unhideWhenUsed/>
    <w:rsid w:val="00A755F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755F5"/>
    <w:rPr>
      <w:sz w:val="20"/>
      <w:szCs w:val="20"/>
    </w:rPr>
  </w:style>
  <w:style w:type="character" w:styleId="PlaceholderText">
    <w:name w:val="Placeholder Text"/>
    <w:basedOn w:val="DefaultParagraphFont"/>
    <w:uiPriority w:val="99"/>
    <w:semiHidden/>
    <w:rsid w:val="00A755F5"/>
    <w:rPr>
      <w:color w:val="808080"/>
    </w:rPr>
  </w:style>
  <w:style w:type="character" w:customStyle="1" w:styleId="Mention1">
    <w:name w:val="Mention1"/>
    <w:basedOn w:val="DefaultParagraphFont"/>
    <w:uiPriority w:val="99"/>
    <w:semiHidden/>
    <w:unhideWhenUsed/>
    <w:rsid w:val="00A755F5"/>
    <w:rPr>
      <w:color w:val="2B579A"/>
      <w:shd w:val="clear" w:color="auto" w:fill="E6E6E6"/>
    </w:rPr>
  </w:style>
  <w:style w:type="character" w:customStyle="1" w:styleId="apple-converted-space">
    <w:name w:val="apple-converted-space"/>
    <w:basedOn w:val="DefaultParagraphFont"/>
    <w:rsid w:val="00A755F5"/>
  </w:style>
  <w:style w:type="character" w:styleId="Emphasis">
    <w:name w:val="Emphasis"/>
    <w:basedOn w:val="DefaultParagraphFont"/>
    <w:uiPriority w:val="20"/>
    <w:qFormat/>
    <w:rsid w:val="00A755F5"/>
    <w:rPr>
      <w:i/>
      <w:iCs/>
    </w:rPr>
  </w:style>
  <w:style w:type="table" w:styleId="TableGrid">
    <w:name w:val="Table Grid"/>
    <w:basedOn w:val="TableNormal"/>
    <w:uiPriority w:val="59"/>
    <w:rsid w:val="00A75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ceitemhidden">
    <w:name w:val="mceitemhidden"/>
    <w:basedOn w:val="DefaultParagraphFont"/>
    <w:rsid w:val="00A755F5"/>
  </w:style>
  <w:style w:type="character" w:customStyle="1" w:styleId="hiddensuggestion">
    <w:name w:val="hiddensuggestion"/>
    <w:basedOn w:val="DefaultParagraphFont"/>
    <w:rsid w:val="00A755F5"/>
  </w:style>
  <w:style w:type="character" w:customStyle="1" w:styleId="hiddenspellerror">
    <w:name w:val="hiddenspellerror"/>
    <w:basedOn w:val="DefaultParagraphFont"/>
    <w:rsid w:val="00A755F5"/>
  </w:style>
  <w:style w:type="character" w:styleId="CommentReference">
    <w:name w:val="annotation reference"/>
    <w:basedOn w:val="DefaultParagraphFont"/>
    <w:uiPriority w:val="99"/>
    <w:semiHidden/>
    <w:unhideWhenUsed/>
    <w:rsid w:val="00A755F5"/>
    <w:rPr>
      <w:sz w:val="16"/>
      <w:szCs w:val="16"/>
    </w:rPr>
  </w:style>
  <w:style w:type="paragraph" w:styleId="CommentText">
    <w:name w:val="annotation text"/>
    <w:basedOn w:val="Normal"/>
    <w:link w:val="CommentTextChar"/>
    <w:uiPriority w:val="99"/>
    <w:semiHidden/>
    <w:unhideWhenUsed/>
    <w:rsid w:val="00A755F5"/>
    <w:pPr>
      <w:spacing w:line="240" w:lineRule="auto"/>
    </w:pPr>
    <w:rPr>
      <w:sz w:val="20"/>
      <w:szCs w:val="20"/>
    </w:rPr>
  </w:style>
  <w:style w:type="character" w:customStyle="1" w:styleId="CommentTextChar">
    <w:name w:val="Comment Text Char"/>
    <w:basedOn w:val="DefaultParagraphFont"/>
    <w:link w:val="CommentText"/>
    <w:uiPriority w:val="99"/>
    <w:semiHidden/>
    <w:rsid w:val="00A755F5"/>
    <w:rPr>
      <w:sz w:val="20"/>
      <w:szCs w:val="20"/>
    </w:rPr>
  </w:style>
  <w:style w:type="paragraph" w:styleId="CommentSubject">
    <w:name w:val="annotation subject"/>
    <w:basedOn w:val="CommentText"/>
    <w:next w:val="CommentText"/>
    <w:link w:val="CommentSubjectChar"/>
    <w:uiPriority w:val="99"/>
    <w:semiHidden/>
    <w:unhideWhenUsed/>
    <w:rsid w:val="00A755F5"/>
    <w:rPr>
      <w:b/>
      <w:bCs/>
    </w:rPr>
  </w:style>
  <w:style w:type="character" w:customStyle="1" w:styleId="CommentSubjectChar">
    <w:name w:val="Comment Subject Char"/>
    <w:basedOn w:val="CommentTextChar"/>
    <w:link w:val="CommentSubject"/>
    <w:uiPriority w:val="99"/>
    <w:semiHidden/>
    <w:rsid w:val="00A755F5"/>
    <w:rPr>
      <w:b/>
      <w:bCs/>
      <w:sz w:val="20"/>
      <w:szCs w:val="20"/>
    </w:rPr>
  </w:style>
  <w:style w:type="paragraph" w:styleId="NormalWeb">
    <w:name w:val="Normal (Web)"/>
    <w:basedOn w:val="Normal"/>
    <w:uiPriority w:val="99"/>
    <w:unhideWhenUsed/>
    <w:rsid w:val="00A755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ddengrammarerror">
    <w:name w:val="hiddengrammarerror"/>
    <w:basedOn w:val="DefaultParagraphFont"/>
    <w:rsid w:val="00A755F5"/>
  </w:style>
  <w:style w:type="paragraph" w:styleId="TOCHeading">
    <w:name w:val="TOC Heading"/>
    <w:basedOn w:val="Heading1"/>
    <w:next w:val="Normal"/>
    <w:uiPriority w:val="39"/>
    <w:unhideWhenUsed/>
    <w:qFormat/>
    <w:rsid w:val="00A755F5"/>
    <w:pPr>
      <w:spacing w:line="259" w:lineRule="auto"/>
      <w:outlineLvl w:val="9"/>
    </w:pPr>
    <w:rPr>
      <w:lang w:val="en-US"/>
    </w:rPr>
  </w:style>
  <w:style w:type="paragraph" w:styleId="Revision">
    <w:name w:val="Revision"/>
    <w:hidden/>
    <w:uiPriority w:val="99"/>
    <w:semiHidden/>
    <w:rsid w:val="00A755F5"/>
    <w:pPr>
      <w:spacing w:after="0" w:line="240" w:lineRule="auto"/>
    </w:pPr>
  </w:style>
  <w:style w:type="paragraph" w:styleId="BodyText">
    <w:name w:val="Body Text"/>
    <w:basedOn w:val="Normal"/>
    <w:link w:val="BodyTextChar"/>
    <w:uiPriority w:val="99"/>
    <w:unhideWhenUsed/>
    <w:rsid w:val="00A755F5"/>
    <w:pPr>
      <w:shd w:val="clear" w:color="auto" w:fill="FFFFFF" w:themeFill="background1"/>
      <w:spacing w:before="120" w:after="120" w:line="360" w:lineRule="auto"/>
      <w:jc w:val="center"/>
    </w:pPr>
    <w:rPr>
      <w:rFonts w:ascii="Times New Roman" w:eastAsia="Times New Roman" w:hAnsi="Times New Roman" w:cs="Mangal"/>
      <w:b/>
      <w:kern w:val="1"/>
      <w:sz w:val="24"/>
      <w:szCs w:val="24"/>
      <w:lang w:val="en-US" w:eastAsia="en-GB" w:bidi="hi-IN"/>
    </w:rPr>
  </w:style>
  <w:style w:type="character" w:customStyle="1" w:styleId="BodyTextChar">
    <w:name w:val="Body Text Char"/>
    <w:basedOn w:val="DefaultParagraphFont"/>
    <w:link w:val="BodyText"/>
    <w:uiPriority w:val="99"/>
    <w:rsid w:val="00A755F5"/>
    <w:rPr>
      <w:rFonts w:ascii="Times New Roman" w:eastAsia="Times New Roman" w:hAnsi="Times New Roman" w:cs="Mangal"/>
      <w:b/>
      <w:kern w:val="1"/>
      <w:sz w:val="24"/>
      <w:szCs w:val="24"/>
      <w:shd w:val="clear" w:color="auto" w:fill="FFFFFF" w:themeFill="background1"/>
      <w:lang w:val="en-US" w:eastAsia="en-GB" w:bidi="hi-IN"/>
    </w:rPr>
  </w:style>
  <w:style w:type="paragraph" w:styleId="BodyText2">
    <w:name w:val="Body Text 2"/>
    <w:basedOn w:val="Normal"/>
    <w:link w:val="BodyText2Char"/>
    <w:uiPriority w:val="99"/>
    <w:unhideWhenUsed/>
    <w:rsid w:val="00A755F5"/>
    <w:pPr>
      <w:spacing w:before="120" w:after="120" w:line="360" w:lineRule="auto"/>
      <w:jc w:val="both"/>
    </w:pPr>
    <w:rPr>
      <w:rFonts w:cstheme="minorHAnsi"/>
    </w:rPr>
  </w:style>
  <w:style w:type="character" w:customStyle="1" w:styleId="BodyText2Char">
    <w:name w:val="Body Text 2 Char"/>
    <w:basedOn w:val="DefaultParagraphFont"/>
    <w:link w:val="BodyText2"/>
    <w:uiPriority w:val="99"/>
    <w:rsid w:val="00A755F5"/>
    <w:rPr>
      <w:rFonts w:cstheme="minorHAnsi"/>
    </w:rPr>
  </w:style>
  <w:style w:type="paragraph" w:styleId="BodyTextIndent">
    <w:name w:val="Body Text Indent"/>
    <w:basedOn w:val="Normal"/>
    <w:link w:val="BodyTextIndentChar"/>
    <w:uiPriority w:val="99"/>
    <w:unhideWhenUsed/>
    <w:rsid w:val="00A755F5"/>
    <w:pPr>
      <w:spacing w:before="120" w:after="120" w:line="360" w:lineRule="auto"/>
      <w:ind w:left="284" w:hanging="284"/>
      <w:jc w:val="both"/>
    </w:pPr>
    <w:rPr>
      <w:rFonts w:cstheme="minorHAnsi"/>
    </w:rPr>
  </w:style>
  <w:style w:type="character" w:customStyle="1" w:styleId="BodyTextIndentChar">
    <w:name w:val="Body Text Indent Char"/>
    <w:basedOn w:val="DefaultParagraphFont"/>
    <w:link w:val="BodyTextIndent"/>
    <w:uiPriority w:val="99"/>
    <w:rsid w:val="00A755F5"/>
    <w:rPr>
      <w:rFonts w:cstheme="minorHAnsi"/>
    </w:rPr>
  </w:style>
  <w:style w:type="paragraph" w:styleId="BodyTextIndent2">
    <w:name w:val="Body Text Indent 2"/>
    <w:basedOn w:val="Normal"/>
    <w:link w:val="BodyTextIndent2Char"/>
    <w:uiPriority w:val="99"/>
    <w:unhideWhenUsed/>
    <w:rsid w:val="00A755F5"/>
    <w:pPr>
      <w:spacing w:before="120" w:after="120" w:line="360" w:lineRule="auto"/>
      <w:ind w:left="360"/>
      <w:jc w:val="both"/>
    </w:pPr>
    <w:rPr>
      <w:rFonts w:cstheme="minorHAnsi"/>
    </w:rPr>
  </w:style>
  <w:style w:type="character" w:customStyle="1" w:styleId="BodyTextIndent2Char">
    <w:name w:val="Body Text Indent 2 Char"/>
    <w:basedOn w:val="DefaultParagraphFont"/>
    <w:link w:val="BodyTextIndent2"/>
    <w:uiPriority w:val="99"/>
    <w:rsid w:val="00A755F5"/>
    <w:rPr>
      <w:rFonts w:cstheme="minorHAnsi"/>
    </w:rPr>
  </w:style>
  <w:style w:type="paragraph" w:styleId="BodyText3">
    <w:name w:val="Body Text 3"/>
    <w:basedOn w:val="Normal"/>
    <w:link w:val="BodyText3Char"/>
    <w:uiPriority w:val="99"/>
    <w:unhideWhenUsed/>
    <w:rsid w:val="00A755F5"/>
    <w:pPr>
      <w:shd w:val="clear" w:color="auto" w:fill="FFFFFF" w:themeFill="background1"/>
      <w:spacing w:before="120" w:after="120" w:line="360" w:lineRule="auto"/>
      <w:jc w:val="both"/>
    </w:pPr>
    <w:rPr>
      <w:rFonts w:cstheme="minorHAnsi"/>
    </w:rPr>
  </w:style>
  <w:style w:type="character" w:customStyle="1" w:styleId="BodyText3Char">
    <w:name w:val="Body Text 3 Char"/>
    <w:basedOn w:val="DefaultParagraphFont"/>
    <w:link w:val="BodyText3"/>
    <w:uiPriority w:val="99"/>
    <w:rsid w:val="00A755F5"/>
    <w:rPr>
      <w:rFonts w:cstheme="minorHAnsi"/>
      <w:shd w:val="clear" w:color="auto" w:fill="FFFFFF" w:themeFill="background1"/>
    </w:rPr>
  </w:style>
  <w:style w:type="paragraph" w:styleId="TOC2">
    <w:name w:val="toc 2"/>
    <w:basedOn w:val="Normal"/>
    <w:next w:val="Normal"/>
    <w:autoRedefine/>
    <w:uiPriority w:val="39"/>
    <w:unhideWhenUsed/>
    <w:rsid w:val="00A755F5"/>
    <w:pPr>
      <w:tabs>
        <w:tab w:val="left" w:pos="660"/>
        <w:tab w:val="right" w:leader="dot" w:pos="8777"/>
      </w:tabs>
      <w:spacing w:after="100" w:line="259" w:lineRule="auto"/>
      <w:ind w:left="435" w:hanging="435"/>
    </w:pPr>
    <w:rPr>
      <w:rFonts w:eastAsiaTheme="minorEastAsia" w:cs="Times New Roman"/>
      <w:lang w:val="en-US"/>
    </w:rPr>
  </w:style>
  <w:style w:type="paragraph" w:styleId="TOC1">
    <w:name w:val="toc 1"/>
    <w:basedOn w:val="Normal"/>
    <w:next w:val="Normal"/>
    <w:autoRedefine/>
    <w:uiPriority w:val="39"/>
    <w:unhideWhenUsed/>
    <w:rsid w:val="00A755F5"/>
    <w:pPr>
      <w:spacing w:after="100" w:line="259" w:lineRule="auto"/>
    </w:pPr>
    <w:rPr>
      <w:rFonts w:eastAsiaTheme="minorEastAsia" w:cs="Times New Roman"/>
      <w:lang w:val="en-US"/>
    </w:rPr>
  </w:style>
  <w:style w:type="paragraph" w:styleId="TOC3">
    <w:name w:val="toc 3"/>
    <w:basedOn w:val="Normal"/>
    <w:next w:val="Normal"/>
    <w:autoRedefine/>
    <w:uiPriority w:val="39"/>
    <w:unhideWhenUsed/>
    <w:rsid w:val="00A755F5"/>
    <w:pPr>
      <w:spacing w:after="100" w:line="259" w:lineRule="auto"/>
      <w:ind w:left="440"/>
    </w:pPr>
    <w:rPr>
      <w:rFonts w:eastAsiaTheme="minorEastAsia" w:cs="Times New Roman"/>
      <w:lang w:val="en-US"/>
    </w:rPr>
  </w:style>
  <w:style w:type="paragraph" w:styleId="Caption">
    <w:name w:val="caption"/>
    <w:basedOn w:val="BodyText2"/>
    <w:next w:val="Normal"/>
    <w:uiPriority w:val="35"/>
    <w:unhideWhenUsed/>
    <w:qFormat/>
    <w:rsid w:val="00A755F5"/>
    <w:rPr>
      <w:b/>
    </w:rPr>
  </w:style>
  <w:style w:type="paragraph" w:styleId="TableofFigures">
    <w:name w:val="table of figures"/>
    <w:basedOn w:val="Normal"/>
    <w:next w:val="Normal"/>
    <w:uiPriority w:val="99"/>
    <w:unhideWhenUsed/>
    <w:rsid w:val="00A755F5"/>
    <w:pPr>
      <w:spacing w:after="0"/>
    </w:pPr>
  </w:style>
  <w:style w:type="paragraph" w:styleId="BlockText">
    <w:name w:val="Block Text"/>
    <w:basedOn w:val="Normal"/>
    <w:uiPriority w:val="99"/>
    <w:unhideWhenUsed/>
    <w:rsid w:val="00A755F5"/>
    <w:pPr>
      <w:widowControl w:val="0"/>
      <w:autoSpaceDE w:val="0"/>
      <w:autoSpaceDN w:val="0"/>
      <w:spacing w:before="120" w:after="120" w:line="360" w:lineRule="auto"/>
      <w:ind w:left="119" w:right="125"/>
      <w:jc w:val="both"/>
    </w:pPr>
    <w:rPr>
      <w:rFonts w:eastAsia="Arial" w:cstheme="minorHAnsi"/>
      <w:lang w:val="en-US"/>
    </w:rPr>
  </w:style>
  <w:style w:type="paragraph" w:styleId="NoSpacing">
    <w:name w:val="No Spacing"/>
    <w:uiPriority w:val="1"/>
    <w:qFormat/>
    <w:rsid w:val="00A755F5"/>
    <w:pPr>
      <w:spacing w:after="0" w:line="240" w:lineRule="auto"/>
    </w:pPr>
  </w:style>
  <w:style w:type="paragraph" w:customStyle="1" w:styleId="table">
    <w:name w:val="table"/>
    <w:basedOn w:val="Normal"/>
    <w:rsid w:val="00A755F5"/>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pPr>
    <w:rPr>
      <w:rFonts w:ascii="Arial" w:eastAsia="Times New Roman" w:hAnsi="Arial" w:cs="Times New Roman"/>
      <w:sz w:val="20"/>
      <w:szCs w:val="20"/>
      <w:lang w:val="en-US"/>
    </w:rPr>
  </w:style>
  <w:style w:type="paragraph" w:styleId="EnvelopeReturn">
    <w:name w:val="envelope return"/>
    <w:basedOn w:val="Normal"/>
    <w:rsid w:val="00A755F5"/>
    <w:pPr>
      <w:spacing w:after="0" w:line="240" w:lineRule="auto"/>
    </w:pPr>
    <w:rPr>
      <w:rFonts w:ascii="Arial" w:eastAsia="Times New Roman" w:hAnsi="Arial" w:cs="Arial"/>
      <w:sz w:val="24"/>
      <w:szCs w:val="24"/>
    </w:rPr>
  </w:style>
  <w:style w:type="paragraph" w:styleId="DocumentMap">
    <w:name w:val="Document Map"/>
    <w:basedOn w:val="Normal"/>
    <w:link w:val="DocumentMapChar"/>
    <w:uiPriority w:val="99"/>
    <w:semiHidden/>
    <w:unhideWhenUsed/>
    <w:rsid w:val="00A755F5"/>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755F5"/>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0A43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kuis.edu.my/icomm/2nd/download/IC%20021.pdf" TargetMode="External"/><Relationship Id="rId21"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chart" Target="charts/chart24.xml"/><Relationship Id="rId63" Type="http://schemas.openxmlformats.org/officeDocument/2006/relationships/chart" Target="charts/chart40.xml"/><Relationship Id="rId68" Type="http://schemas.openxmlformats.org/officeDocument/2006/relationships/chart" Target="charts/chart45.xml"/><Relationship Id="rId84" Type="http://schemas.openxmlformats.org/officeDocument/2006/relationships/chart" Target="charts/chart61.xml"/><Relationship Id="rId89" Type="http://schemas.openxmlformats.org/officeDocument/2006/relationships/chart" Target="charts/chart66.xml"/><Relationship Id="rId16" Type="http://schemas.openxmlformats.org/officeDocument/2006/relationships/chart" Target="charts/chart6.xml"/><Relationship Id="rId11" Type="http://schemas.openxmlformats.org/officeDocument/2006/relationships/chart" Target="charts/chart1.xml"/><Relationship Id="rId32" Type="http://schemas.openxmlformats.org/officeDocument/2006/relationships/hyperlink" Target="https://www.theinternationaljournal.org/ojs/index.php?journal=rjebs&amp;page=article&amp;op=view&amp;path%5B%5D=4340&amp;path%5B%5D=pdf" TargetMode="External"/><Relationship Id="rId37" Type="http://schemas.openxmlformats.org/officeDocument/2006/relationships/chart" Target="charts/chart14.xml"/><Relationship Id="rId53" Type="http://schemas.openxmlformats.org/officeDocument/2006/relationships/chart" Target="charts/chart30.xml"/><Relationship Id="rId58" Type="http://schemas.openxmlformats.org/officeDocument/2006/relationships/chart" Target="charts/chart35.xml"/><Relationship Id="rId74" Type="http://schemas.openxmlformats.org/officeDocument/2006/relationships/chart" Target="charts/chart51.xml"/><Relationship Id="rId79" Type="http://schemas.openxmlformats.org/officeDocument/2006/relationships/chart" Target="charts/chart56.xml"/><Relationship Id="rId5" Type="http://schemas.openxmlformats.org/officeDocument/2006/relationships/footnotes" Target="footnotes.xml"/><Relationship Id="rId90" Type="http://schemas.openxmlformats.org/officeDocument/2006/relationships/chart" Target="charts/chart67.xml"/><Relationship Id="rId95" Type="http://schemas.openxmlformats.org/officeDocument/2006/relationships/image" Target="media/image4.png"/><Relationship Id="rId22" Type="http://schemas.openxmlformats.org/officeDocument/2006/relationships/chart" Target="charts/chart12.xml"/><Relationship Id="rId27" Type="http://schemas.openxmlformats.org/officeDocument/2006/relationships/hyperlink" Target="http://www.itl.nist.gov/div898/handbook/eda/section3/eda359.htm" TargetMode="External"/><Relationship Id="rId43" Type="http://schemas.openxmlformats.org/officeDocument/2006/relationships/chart" Target="charts/chart20.xml"/><Relationship Id="rId48" Type="http://schemas.openxmlformats.org/officeDocument/2006/relationships/chart" Target="charts/chart25.xml"/><Relationship Id="rId64" Type="http://schemas.openxmlformats.org/officeDocument/2006/relationships/chart" Target="charts/chart41.xml"/><Relationship Id="rId69" Type="http://schemas.openxmlformats.org/officeDocument/2006/relationships/chart" Target="charts/chart46.xml"/><Relationship Id="rId80" Type="http://schemas.openxmlformats.org/officeDocument/2006/relationships/chart" Target="charts/chart57.xml"/><Relationship Id="rId85" Type="http://schemas.openxmlformats.org/officeDocument/2006/relationships/chart" Target="charts/chart62.xml"/><Relationship Id="rId3"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3.png"/><Relationship Id="rId33" Type="http://schemas.openxmlformats.org/officeDocument/2006/relationships/hyperlink" Target="http://www.sciencedirect.com" TargetMode="External"/><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chart" Target="charts/chart36.xml"/><Relationship Id="rId67" Type="http://schemas.openxmlformats.org/officeDocument/2006/relationships/chart" Target="charts/chart44.xml"/><Relationship Id="rId20" Type="http://schemas.openxmlformats.org/officeDocument/2006/relationships/chart" Target="charts/chart10.xml"/><Relationship Id="rId41" Type="http://schemas.openxmlformats.org/officeDocument/2006/relationships/chart" Target="charts/chart18.xml"/><Relationship Id="rId54" Type="http://schemas.openxmlformats.org/officeDocument/2006/relationships/chart" Target="charts/chart31.xml"/><Relationship Id="rId62" Type="http://schemas.openxmlformats.org/officeDocument/2006/relationships/chart" Target="charts/chart39.xml"/><Relationship Id="rId70" Type="http://schemas.openxmlformats.org/officeDocument/2006/relationships/chart" Target="charts/chart47.xml"/><Relationship Id="rId75" Type="http://schemas.openxmlformats.org/officeDocument/2006/relationships/chart" Target="charts/chart52.xml"/><Relationship Id="rId83" Type="http://schemas.openxmlformats.org/officeDocument/2006/relationships/chart" Target="charts/chart60.xml"/><Relationship Id="rId88" Type="http://schemas.openxmlformats.org/officeDocument/2006/relationships/chart" Target="charts/chart65.xml"/><Relationship Id="rId91" Type="http://schemas.openxmlformats.org/officeDocument/2006/relationships/chart" Target="charts/chart68.xml"/><Relationship Id="rId9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hyperlink" Target="http://www.meinsurancereview.com" TargetMode="External"/><Relationship Id="rId36" Type="http://schemas.openxmlformats.org/officeDocument/2006/relationships/hyperlink" Target="http://papers.ssrn.com/sol3/papers.cfm?abstract_id=981207&amp;rec=1&amp;srcabs=626682&amp;alg=1&amp;pos=2" TargetMode="External"/><Relationship Id="rId49" Type="http://schemas.openxmlformats.org/officeDocument/2006/relationships/chart" Target="charts/chart26.xml"/><Relationship Id="rId57" Type="http://schemas.openxmlformats.org/officeDocument/2006/relationships/chart" Target="charts/chart34.xml"/><Relationship Id="rId10" Type="http://schemas.openxmlformats.org/officeDocument/2006/relationships/image" Target="media/image1.png"/><Relationship Id="rId31" Type="http://schemas.openxmlformats.org/officeDocument/2006/relationships/hyperlink" Target="http://www.imf.org/external/pubs/ft/sdn/2015/sdn1505.pdf.%20Last%20Accessed%2020/04/2017.%20" TargetMode="External"/><Relationship Id="rId44" Type="http://schemas.openxmlformats.org/officeDocument/2006/relationships/chart" Target="charts/chart21.xml"/><Relationship Id="rId52" Type="http://schemas.openxmlformats.org/officeDocument/2006/relationships/chart" Target="charts/chart29.xml"/><Relationship Id="rId60" Type="http://schemas.openxmlformats.org/officeDocument/2006/relationships/chart" Target="charts/chart37.xml"/><Relationship Id="rId65" Type="http://schemas.openxmlformats.org/officeDocument/2006/relationships/chart" Target="charts/chart42.xml"/><Relationship Id="rId73" Type="http://schemas.openxmlformats.org/officeDocument/2006/relationships/chart" Target="charts/chart50.xml"/><Relationship Id="rId78" Type="http://schemas.openxmlformats.org/officeDocument/2006/relationships/chart" Target="charts/chart55.xml"/><Relationship Id="rId81" Type="http://schemas.openxmlformats.org/officeDocument/2006/relationships/chart" Target="charts/chart58.xml"/><Relationship Id="rId86" Type="http://schemas.openxmlformats.org/officeDocument/2006/relationships/chart" Target="charts/chart63.xml"/><Relationship Id="rId94" Type="http://schemas.openxmlformats.org/officeDocument/2006/relationships/chart" Target="charts/chart71.xml"/><Relationship Id="rId4" Type="http://schemas.openxmlformats.org/officeDocument/2006/relationships/webSettings" Target="webSettings.xml"/><Relationship Id="rId9" Type="http://schemas.openxmlformats.org/officeDocument/2006/relationships/hyperlink" Target="http://www.ccsenet.org/journal/index.php/ijef/article/viewFile/32323/19381" TargetMode="External"/><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chart" Target="charts/chart16.xml"/><Relationship Id="rId34" Type="http://schemas.openxmlformats.org/officeDocument/2006/relationships/hyperlink" Target="http://www.elsevier.com/journals/borsa-istanbul-review/2214-8450" TargetMode="External"/><Relationship Id="rId50" Type="http://schemas.openxmlformats.org/officeDocument/2006/relationships/chart" Target="charts/chart27.xml"/><Relationship Id="rId55" Type="http://schemas.openxmlformats.org/officeDocument/2006/relationships/chart" Target="charts/chart32.xml"/><Relationship Id="rId76" Type="http://schemas.openxmlformats.org/officeDocument/2006/relationships/chart" Target="charts/chart53.xml"/><Relationship Id="rId97"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chart" Target="charts/chart48.xml"/><Relationship Id="rId92" Type="http://schemas.openxmlformats.org/officeDocument/2006/relationships/chart" Target="charts/chart69.xml"/><Relationship Id="rId2" Type="http://schemas.openxmlformats.org/officeDocument/2006/relationships/styles" Target="styles.xml"/><Relationship Id="rId29" Type="http://schemas.openxmlformats.org/officeDocument/2006/relationships/hyperlink" Target="http://www.investinganswers.com/financial-dictionary/bonds/default-risk-1313.%20Last%20Accessed%2026/03/2017" TargetMode="External"/><Relationship Id="rId24" Type="http://schemas.openxmlformats.org/officeDocument/2006/relationships/image" Target="media/image2.png"/><Relationship Id="rId40" Type="http://schemas.openxmlformats.org/officeDocument/2006/relationships/chart" Target="charts/chart17.xml"/><Relationship Id="rId45" Type="http://schemas.openxmlformats.org/officeDocument/2006/relationships/chart" Target="charts/chart22.xml"/><Relationship Id="rId66" Type="http://schemas.openxmlformats.org/officeDocument/2006/relationships/chart" Target="charts/chart43.xml"/><Relationship Id="rId87" Type="http://schemas.openxmlformats.org/officeDocument/2006/relationships/chart" Target="charts/chart64.xml"/><Relationship Id="rId61" Type="http://schemas.openxmlformats.org/officeDocument/2006/relationships/chart" Target="charts/chart38.xml"/><Relationship Id="rId82" Type="http://schemas.openxmlformats.org/officeDocument/2006/relationships/chart" Target="charts/chart59.xml"/><Relationship Id="rId19" Type="http://schemas.openxmlformats.org/officeDocument/2006/relationships/chart" Target="charts/chart9.xml"/><Relationship Id="rId14" Type="http://schemas.openxmlformats.org/officeDocument/2006/relationships/chart" Target="charts/chart4.xml"/><Relationship Id="rId30" Type="http://schemas.openxmlformats.org/officeDocument/2006/relationships/hyperlink" Target="https://www.imf.org/external/pubs/ft/pdp/2008/pdp03.pdf" TargetMode="External"/><Relationship Id="rId35" Type="http://schemas.openxmlformats.org/officeDocument/2006/relationships/hyperlink" Target="http://www.ism.edu/images/stories/publications/IFP-Q1-2009-The-Structure-and-use-of-Waad.pdf" TargetMode="External"/><Relationship Id="rId56" Type="http://schemas.openxmlformats.org/officeDocument/2006/relationships/chart" Target="charts/chart33.xml"/><Relationship Id="rId77" Type="http://schemas.openxmlformats.org/officeDocument/2006/relationships/chart" Target="charts/chart54.xml"/><Relationship Id="rId8" Type="http://schemas.openxmlformats.org/officeDocument/2006/relationships/hyperlink" Target="http://www.sciencedirect.com/science/article/pii/S2214845013000112" TargetMode="External"/><Relationship Id="rId51" Type="http://schemas.openxmlformats.org/officeDocument/2006/relationships/chart" Target="charts/chart28.xml"/><Relationship Id="rId72" Type="http://schemas.openxmlformats.org/officeDocument/2006/relationships/chart" Target="charts/chart49.xml"/><Relationship Id="rId93" Type="http://schemas.openxmlformats.org/officeDocument/2006/relationships/chart" Target="charts/chart70.xml"/><Relationship Id="rId9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Mahamed\Desktop\Dataanalysis\Sukuk\histograms%20sukuk.xlsx" TargetMode="External"/><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Mahamed\Desktop\Dataanalysis\Sukuk\histograms%20sukuk.xlsx" TargetMode="External"/><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Mahamed\Desktop\Dataanalysis\Sukuk\histograms%20sukuk.xlsx" TargetMode="External"/><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Mahamed\Desktop\Dataanalysis\Sukuk\histograms%20sukuk.xlsx" TargetMode="External"/><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Mahamed\Desktop\Dataanalysis\Sukuk\histograms%20sukuk.xlsx" TargetMode="External"/><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Mahamed\Desktop\Dataanalysis\Sukuk\histograms%20sukuk.xlsx" TargetMode="External"/><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Mahamed\Desktop\Dataanalysis\Sukuk\histograms%20sukuk.xlsx" TargetMode="External"/><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Mahamed\Desktop\Dataanalysis\Sukuk\histograms%20sukuk.xlsx" TargetMode="External"/><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Mahamed\Desktop\Dataanalysis\Sukuk\histograms%20sukuk.xlsx" TargetMode="External"/><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Mahamed\Desktop\Dataanalysis\Sukuk\histograms%20sukuk.xlsx" TargetMode="External"/><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Mahamed\Desktop\Dataanalysis\Sukuk\histograms%20sukuk.xlsx" TargetMode="External"/><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Mahamed\Desktop\Dataanalysis\Sukuk\histograms%20sukuk.xlsx" TargetMode="External"/><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Mahamed\Desktop\Dataanalysis\Sukuk\histograms%20sukuk.xlsx" TargetMode="External"/><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Mahamed\Desktop\Dataanalysis\Sukuk\histograms%20sukuk.xlsx" TargetMode="External"/><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Mahamed\Desktop\Dataanalysis\Sukuk\histograms%20sukuk.xlsx" TargetMode="External"/><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Mahamed\Desktop\Dataanalysis\Sukuk\histograms%20sukuk.xlsx" TargetMode="External"/><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Mahamed\Desktop\Dataanalysis\Sukuk\histograms%20sukuk.xlsx" TargetMode="External"/><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Mahamed\Desktop\Dataanalysis\Sukuk\histograms%20sukuk.xlsx" TargetMode="External"/><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Mahamed\Desktop\Dataanalysis\Sukuk\histograms%20sukuk.xlsx" TargetMode="External"/><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Mahamed\Desktop\Dataanalysis\Sukuk\histograms%20sukuk.xlsx" TargetMode="External"/><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Mahamed\Desktop\Dataanalysis\Sukuk\histograms%20sukuk.xlsx" TargetMode="External"/><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Mahamed\Desktop\Dataanalysis\Sukuk\histograms%20sukuk.xlsx" TargetMode="External"/><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2" Type="http://schemas.openxmlformats.org/officeDocument/2006/relationships/oleObject" Target="file:////C:\Users\Mahamed\Desktop\Dataanalysis\Sukuk\histograms%20sukuk.xlsx" TargetMode="External"/><Relationship Id="rId1" Type="http://schemas.openxmlformats.org/officeDocument/2006/relationships/themeOverride" Target="../theme/themeOverride34.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Mahamed\Desktop\Dataanalysis\Sukuk\histograms%20sukuk.xlsx" TargetMode="External"/><Relationship Id="rId1" Type="http://schemas.openxmlformats.org/officeDocument/2006/relationships/themeOverride" Target="../theme/themeOverride35.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Mahamed\Desktop\Dataanalysis\Sukuk\histograms%20sukuk.xlsx" TargetMode="External"/><Relationship Id="rId1" Type="http://schemas.openxmlformats.org/officeDocument/2006/relationships/themeOverride" Target="../theme/themeOverride36.xml"/></Relationships>
</file>

<file path=word/charts/_rels/chart39.xml.rels><?xml version="1.0" encoding="UTF-8" standalone="yes"?>
<Relationships xmlns="http://schemas.openxmlformats.org/package/2006/relationships"><Relationship Id="rId2" Type="http://schemas.openxmlformats.org/officeDocument/2006/relationships/oleObject" Target="file:////C:\Users\Mahamed\Desktop\Dataanalysis\Sukuk\histograms%20sukuk.xlsx" TargetMode="External"/><Relationship Id="rId1" Type="http://schemas.openxmlformats.org/officeDocument/2006/relationships/themeOverride" Target="../theme/themeOverride37.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hmed\Desktop\VaR%20Charts.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C:\Users\Mahamed\Desktop\Dataanalysis\Sukuk\histograms%20sukuk.xlsx" TargetMode="External"/><Relationship Id="rId1" Type="http://schemas.openxmlformats.org/officeDocument/2006/relationships/themeOverride" Target="../theme/themeOverride38.xml"/></Relationships>
</file>

<file path=word/charts/_rels/chart41.xml.rels><?xml version="1.0" encoding="UTF-8" standalone="yes"?>
<Relationships xmlns="http://schemas.openxmlformats.org/package/2006/relationships"><Relationship Id="rId2" Type="http://schemas.openxmlformats.org/officeDocument/2006/relationships/oleObject" Target="file:////C:\Users\Mahamed\Desktop\Dataanalysis\Sukuk\histograms%20sukuk.xlsx" TargetMode="External"/><Relationship Id="rId1" Type="http://schemas.openxmlformats.org/officeDocument/2006/relationships/themeOverride" Target="../theme/themeOverride39.xml"/></Relationships>
</file>

<file path=word/charts/_rels/chart42.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40.xml"/></Relationships>
</file>

<file path=word/charts/_rels/chart43.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41.xml"/></Relationships>
</file>

<file path=word/charts/_rels/chart44.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42.xml"/></Relationships>
</file>

<file path=word/charts/_rels/chart45.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43.xml"/></Relationships>
</file>

<file path=word/charts/_rels/chart46.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44.xml"/></Relationships>
</file>

<file path=word/charts/_rels/chart47.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45.xml"/></Relationships>
</file>

<file path=word/charts/_rels/chart48.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46.xml"/></Relationships>
</file>

<file path=word/charts/_rels/chart49.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47.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hmed\Desktop\VaR%20Charts.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48.xml"/></Relationships>
</file>

<file path=word/charts/_rels/chart51.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49.xml"/></Relationships>
</file>

<file path=word/charts/_rels/chart52.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50.xml"/></Relationships>
</file>

<file path=word/charts/_rels/chart53.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51.xml"/></Relationships>
</file>

<file path=word/charts/_rels/chart54.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52.xml"/></Relationships>
</file>

<file path=word/charts/_rels/chart55.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53.xml"/></Relationships>
</file>

<file path=word/charts/_rels/chart56.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54.xml"/></Relationships>
</file>

<file path=word/charts/_rels/chart57.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55.xml"/></Relationships>
</file>

<file path=word/charts/_rels/chart58.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56.xml"/></Relationships>
</file>

<file path=word/charts/_rels/chart59.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57.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hamed\Desktop\Dataanalysis\Sukuk\histograms%20sukuk.xlsx" TargetMode="External"/></Relationships>
</file>

<file path=word/charts/_rels/chart60.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58.xml"/></Relationships>
</file>

<file path=word/charts/_rels/chart61.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59.xml"/></Relationships>
</file>

<file path=word/charts/_rels/chart62.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60.xml"/></Relationships>
</file>

<file path=word/charts/_rels/chart63.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61.xml"/></Relationships>
</file>

<file path=word/charts/_rels/chart64.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62.xml"/></Relationships>
</file>

<file path=word/charts/_rels/chart65.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63.xml"/></Relationships>
</file>

<file path=word/charts/_rels/chart66.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64.xml"/></Relationships>
</file>

<file path=word/charts/_rels/chart67.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65.xml"/></Relationships>
</file>

<file path=word/charts/_rels/chart68.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66.xml"/></Relationships>
</file>

<file path=word/charts/_rels/chart69.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67.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hamed\Desktop\Dataanalysis\Sukuk\histograms%20sukuk.xlsx" TargetMode="External"/></Relationships>
</file>

<file path=word/charts/_rels/chart70.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68.xml"/></Relationships>
</file>

<file path=word/charts/_rels/chart71.xml.rels><?xml version="1.0" encoding="UTF-8" standalone="yes"?>
<Relationships xmlns="http://schemas.openxmlformats.org/package/2006/relationships"><Relationship Id="rId2" Type="http://schemas.openxmlformats.org/officeDocument/2006/relationships/oleObject" Target="file:////C:\Users\Mahamed\Desktop\Dataanalysis\Sukuk\histograms%20bonds.xlsx" TargetMode="External"/><Relationship Id="rId1" Type="http://schemas.openxmlformats.org/officeDocument/2006/relationships/themeOverride" Target="../theme/themeOverride69.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Mahamed\Desktop\Dataanalysis\Sukuk\histograms%20sukuk.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Mahamed\Desktop\Dataanalysis\Sukuk\histograms%20sukuk.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396439230378"/>
          <c:y val="0.13584148135329199"/>
          <c:w val="0.84202283464566896"/>
          <c:h val="0.64548431446069299"/>
        </c:manualLayout>
      </c:layout>
      <c:barChart>
        <c:barDir val="col"/>
        <c:grouping val="clustered"/>
        <c:varyColors val="0"/>
        <c:ser>
          <c:idx val="0"/>
          <c:order val="0"/>
          <c:tx>
            <c:v>Sukuk Expected Returns</c:v>
          </c:tx>
          <c:spPr>
            <a:solidFill>
              <a:schemeClr val="accent1"/>
            </a:solidFill>
            <a:ln>
              <a:noFill/>
            </a:ln>
            <a:effectLst/>
          </c:spPr>
          <c:invertIfNegative val="0"/>
          <c:trendline>
            <c:name>Normal Distribution</c:name>
            <c:spPr>
              <a:ln w="19050" cap="rnd">
                <a:solidFill>
                  <a:srgbClr val="FF0000"/>
                </a:solidFill>
                <a:prstDash val="sysDot"/>
              </a:ln>
              <a:effectLst/>
            </c:spPr>
            <c:trendlineType val="movingAvg"/>
            <c:period val="2"/>
            <c:dispRSqr val="0"/>
            <c:dispEq val="0"/>
          </c:trendline>
          <c:cat>
            <c:strRef>
              <c:f>SUKUKVaRDatafinal!$X$259:$X$274</c:f>
              <c:strCache>
                <c:ptCount val="16"/>
                <c:pt idx="0">
                  <c:v>-0.71%</c:v>
                </c:pt>
                <c:pt idx="1">
                  <c:v>-0.63%</c:v>
                </c:pt>
                <c:pt idx="2">
                  <c:v>-0.55%</c:v>
                </c:pt>
                <c:pt idx="3">
                  <c:v>-0.47%</c:v>
                </c:pt>
                <c:pt idx="4">
                  <c:v>-0.39%</c:v>
                </c:pt>
                <c:pt idx="5">
                  <c:v>-0.32%</c:v>
                </c:pt>
                <c:pt idx="6">
                  <c:v>-0.24%</c:v>
                </c:pt>
                <c:pt idx="7">
                  <c:v>-0.16%</c:v>
                </c:pt>
                <c:pt idx="8">
                  <c:v>-0.08%</c:v>
                </c:pt>
                <c:pt idx="9">
                  <c:v>0.00%</c:v>
                </c:pt>
                <c:pt idx="10">
                  <c:v>0.08%</c:v>
                </c:pt>
                <c:pt idx="11">
                  <c:v>0.15%</c:v>
                </c:pt>
                <c:pt idx="12">
                  <c:v>0.23%</c:v>
                </c:pt>
                <c:pt idx="13">
                  <c:v>0.31%</c:v>
                </c:pt>
                <c:pt idx="14">
                  <c:v>0.39%</c:v>
                </c:pt>
                <c:pt idx="15">
                  <c:v>More</c:v>
                </c:pt>
              </c:strCache>
            </c:strRef>
          </c:cat>
          <c:val>
            <c:numRef>
              <c:f>SUKUKVaRDatafinal!$Y$259:$Y$274</c:f>
              <c:numCache>
                <c:formatCode>0</c:formatCode>
                <c:ptCount val="16"/>
                <c:pt idx="0">
                  <c:v>1</c:v>
                </c:pt>
                <c:pt idx="1">
                  <c:v>0</c:v>
                </c:pt>
                <c:pt idx="2">
                  <c:v>1</c:v>
                </c:pt>
                <c:pt idx="3">
                  <c:v>1</c:v>
                </c:pt>
                <c:pt idx="4">
                  <c:v>3</c:v>
                </c:pt>
                <c:pt idx="5">
                  <c:v>1</c:v>
                </c:pt>
                <c:pt idx="6">
                  <c:v>2</c:v>
                </c:pt>
                <c:pt idx="7">
                  <c:v>2</c:v>
                </c:pt>
                <c:pt idx="8">
                  <c:v>17</c:v>
                </c:pt>
                <c:pt idx="9">
                  <c:v>68</c:v>
                </c:pt>
                <c:pt idx="10">
                  <c:v>101</c:v>
                </c:pt>
                <c:pt idx="11">
                  <c:v>31</c:v>
                </c:pt>
                <c:pt idx="12">
                  <c:v>14</c:v>
                </c:pt>
                <c:pt idx="13">
                  <c:v>2</c:v>
                </c:pt>
                <c:pt idx="14">
                  <c:v>3</c:v>
                </c:pt>
                <c:pt idx="15">
                  <c:v>2</c:v>
                </c:pt>
              </c:numCache>
            </c:numRef>
          </c:val>
          <c:extLst>
            <c:ext xmlns:c16="http://schemas.microsoft.com/office/drawing/2014/chart" uri="{C3380CC4-5D6E-409C-BE32-E72D297353CC}">
              <c16:uniqueId val="{00000001-A76E-47C4-BF5F-F02319EE4205}"/>
            </c:ext>
          </c:extLst>
        </c:ser>
        <c:dLbls>
          <c:showLegendKey val="0"/>
          <c:showVal val="0"/>
          <c:showCatName val="0"/>
          <c:showSerName val="0"/>
          <c:showPercent val="0"/>
          <c:showBubbleSize val="0"/>
        </c:dLbls>
        <c:gapWidth val="20"/>
        <c:overlap val="-10"/>
        <c:axId val="1145098432"/>
        <c:axId val="1145336288"/>
      </c:barChart>
      <c:catAx>
        <c:axId val="1145098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i="0" baseline="0"/>
                  <a:t>Average returns</a:t>
                </a:r>
              </a:p>
            </c:rich>
          </c:tx>
          <c:layout>
            <c:manualLayout>
              <c:xMode val="edge"/>
              <c:yMode val="edge"/>
              <c:x val="0.49334425682338839"/>
              <c:y val="0.9096371689334287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80" b="1" i="0" u="none" strike="noStrike" kern="1200" baseline="0">
                <a:solidFill>
                  <a:schemeClr val="tx1">
                    <a:lumMod val="65000"/>
                    <a:lumOff val="35000"/>
                  </a:schemeClr>
                </a:solidFill>
                <a:latin typeface="+mn-lt"/>
                <a:ea typeface="+mn-ea"/>
                <a:cs typeface="+mn-cs"/>
              </a:defRPr>
            </a:pPr>
            <a:endParaRPr lang="en-US"/>
          </a:p>
        </c:txPr>
        <c:crossAx val="1145336288"/>
        <c:crosses val="autoZero"/>
        <c:auto val="1"/>
        <c:lblAlgn val="ctr"/>
        <c:lblOffset val="100"/>
        <c:noMultiLvlLbl val="0"/>
      </c:catAx>
      <c:valAx>
        <c:axId val="1145336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i="0" baseline="0"/>
                  <a:t>Frequency</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145098432"/>
        <c:crosses val="autoZero"/>
        <c:crossBetween val="between"/>
        <c:majorUnit val="1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ICD Funding Ltd</a:t>
            </a:r>
            <a:endParaRPr lang="en-GB" sz="1000" baseline="0"/>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Data!$AU$7:$AU$16</c:f>
              <c:numCache>
                <c:formatCode>0.000%</c:formatCode>
                <c:ptCount val="10"/>
                <c:pt idx="0">
                  <c:v>2.8659137278286401E-3</c:v>
                </c:pt>
                <c:pt idx="1">
                  <c:v>-2.5977334323541699E-3</c:v>
                </c:pt>
                <c:pt idx="2">
                  <c:v>-1.2308004997261399E-2</c:v>
                </c:pt>
                <c:pt idx="3">
                  <c:v>-1.4812847745014899E-2</c:v>
                </c:pt>
                <c:pt idx="4">
                  <c:v>1.2204133046454201E-2</c:v>
                </c:pt>
                <c:pt idx="5">
                  <c:v>-6.4510953426172701E-3</c:v>
                </c:pt>
                <c:pt idx="6">
                  <c:v>-1.5880390845755099E-2</c:v>
                </c:pt>
                <c:pt idx="7">
                  <c:v>1.2632073034662499E-2</c:v>
                </c:pt>
                <c:pt idx="8">
                  <c:v>4.2455433780532199E-3</c:v>
                </c:pt>
                <c:pt idx="9">
                  <c:v>5.3852853184653401E-3</c:v>
                </c:pt>
              </c:numCache>
            </c:numRef>
          </c:val>
          <c:smooth val="0"/>
          <c:extLst>
            <c:ext xmlns:c16="http://schemas.microsoft.com/office/drawing/2014/chart" uri="{C3380CC4-5D6E-409C-BE32-E72D297353CC}">
              <c16:uniqueId val="{00000000-76D7-45E4-B085-6186269E09B3}"/>
            </c:ext>
          </c:extLst>
        </c:ser>
        <c:dLbls>
          <c:showLegendKey val="0"/>
          <c:showVal val="0"/>
          <c:showCatName val="0"/>
          <c:showSerName val="0"/>
          <c:showPercent val="0"/>
          <c:showBubbleSize val="0"/>
        </c:dLbls>
        <c:marker val="1"/>
        <c:smooth val="0"/>
        <c:axId val="1154245552"/>
        <c:axId val="1154247600"/>
      </c:lineChart>
      <c:catAx>
        <c:axId val="115424555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247600"/>
        <c:crosses val="autoZero"/>
        <c:auto val="1"/>
        <c:lblAlgn val="ctr"/>
        <c:lblOffset val="100"/>
        <c:noMultiLvlLbl val="0"/>
      </c:catAx>
      <c:valAx>
        <c:axId val="1154247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245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ICD Funding Ltd</a:t>
            </a:r>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Sheet17!$A$2:$A$72</c:f>
              <c:strCache>
                <c:ptCount val="71"/>
                <c:pt idx="0">
                  <c:v>-0.35%</c:v>
                </c:pt>
                <c:pt idx="1">
                  <c:v>-0.34%</c:v>
                </c:pt>
                <c:pt idx="2">
                  <c:v>-0.33%</c:v>
                </c:pt>
                <c:pt idx="3">
                  <c:v>-0.32%</c:v>
                </c:pt>
                <c:pt idx="4">
                  <c:v>-0.31%</c:v>
                </c:pt>
                <c:pt idx="5">
                  <c:v>-0.30%</c:v>
                </c:pt>
                <c:pt idx="6">
                  <c:v>-0.29%</c:v>
                </c:pt>
                <c:pt idx="7">
                  <c:v>-0.28%</c:v>
                </c:pt>
                <c:pt idx="8">
                  <c:v>-0.27%</c:v>
                </c:pt>
                <c:pt idx="9">
                  <c:v>-0.26%</c:v>
                </c:pt>
                <c:pt idx="10">
                  <c:v>-0.25%</c:v>
                </c:pt>
                <c:pt idx="11">
                  <c:v>-0.24%</c:v>
                </c:pt>
                <c:pt idx="12">
                  <c:v>-0.23%</c:v>
                </c:pt>
                <c:pt idx="13">
                  <c:v>-0.22%</c:v>
                </c:pt>
                <c:pt idx="14">
                  <c:v>-0.21%</c:v>
                </c:pt>
                <c:pt idx="15">
                  <c:v>-0.20%</c:v>
                </c:pt>
                <c:pt idx="16">
                  <c:v>-0.19%</c:v>
                </c:pt>
                <c:pt idx="17">
                  <c:v>-0.18%</c:v>
                </c:pt>
                <c:pt idx="18">
                  <c:v>-0.17%</c:v>
                </c:pt>
                <c:pt idx="19">
                  <c:v>-0.16%</c:v>
                </c:pt>
                <c:pt idx="20">
                  <c:v>-0.15%</c:v>
                </c:pt>
                <c:pt idx="21">
                  <c:v>-0.14%</c:v>
                </c:pt>
                <c:pt idx="22">
                  <c:v>-0.13%</c:v>
                </c:pt>
                <c:pt idx="23">
                  <c:v>-0.12%</c:v>
                </c:pt>
                <c:pt idx="24">
                  <c:v>-0.11%</c:v>
                </c:pt>
                <c:pt idx="25">
                  <c:v>-0.10%</c:v>
                </c:pt>
                <c:pt idx="26">
                  <c:v>-0.09%</c:v>
                </c:pt>
                <c:pt idx="27">
                  <c:v>-0.08%</c:v>
                </c:pt>
                <c:pt idx="28">
                  <c:v>-0.07%</c:v>
                </c:pt>
                <c:pt idx="29">
                  <c:v>-0.06%</c:v>
                </c:pt>
                <c:pt idx="30">
                  <c:v>-0.05%</c:v>
                </c:pt>
                <c:pt idx="31">
                  <c:v>-0.04%</c:v>
                </c:pt>
                <c:pt idx="32">
                  <c:v>-0.03%</c:v>
                </c:pt>
                <c:pt idx="33">
                  <c:v>-0.02%</c:v>
                </c:pt>
                <c:pt idx="34">
                  <c:v>-0.01%</c:v>
                </c:pt>
                <c:pt idx="35">
                  <c:v>0.00%</c:v>
                </c:pt>
                <c:pt idx="36">
                  <c:v>0.01%</c:v>
                </c:pt>
                <c:pt idx="37">
                  <c:v>0.02%</c:v>
                </c:pt>
                <c:pt idx="38">
                  <c:v>0.03%</c:v>
                </c:pt>
                <c:pt idx="39">
                  <c:v>0.04%</c:v>
                </c:pt>
                <c:pt idx="40">
                  <c:v>0.05%</c:v>
                </c:pt>
                <c:pt idx="41">
                  <c:v>0.06%</c:v>
                </c:pt>
                <c:pt idx="42">
                  <c:v>0.07%</c:v>
                </c:pt>
                <c:pt idx="43">
                  <c:v>0.08%</c:v>
                </c:pt>
                <c:pt idx="44">
                  <c:v>0.09%</c:v>
                </c:pt>
                <c:pt idx="45">
                  <c:v>0.10%</c:v>
                </c:pt>
                <c:pt idx="46">
                  <c:v>0.11%</c:v>
                </c:pt>
                <c:pt idx="47">
                  <c:v>0.12%</c:v>
                </c:pt>
                <c:pt idx="48">
                  <c:v>0.13%</c:v>
                </c:pt>
                <c:pt idx="49">
                  <c:v>0.14%</c:v>
                </c:pt>
                <c:pt idx="50">
                  <c:v>0.15%</c:v>
                </c:pt>
                <c:pt idx="51">
                  <c:v>0.16%</c:v>
                </c:pt>
                <c:pt idx="52">
                  <c:v>0.17%</c:v>
                </c:pt>
                <c:pt idx="53">
                  <c:v>0.18%</c:v>
                </c:pt>
                <c:pt idx="54">
                  <c:v>0.19%</c:v>
                </c:pt>
                <c:pt idx="55">
                  <c:v>0.20%</c:v>
                </c:pt>
                <c:pt idx="56">
                  <c:v>0.21%</c:v>
                </c:pt>
                <c:pt idx="57">
                  <c:v>0.22%</c:v>
                </c:pt>
                <c:pt idx="58">
                  <c:v>0.23%</c:v>
                </c:pt>
                <c:pt idx="59">
                  <c:v>0.24%</c:v>
                </c:pt>
                <c:pt idx="60">
                  <c:v>0.25%</c:v>
                </c:pt>
                <c:pt idx="61">
                  <c:v>0.26%</c:v>
                </c:pt>
                <c:pt idx="62">
                  <c:v>0.27%</c:v>
                </c:pt>
                <c:pt idx="63">
                  <c:v>0.28%</c:v>
                </c:pt>
                <c:pt idx="64">
                  <c:v>0.29%</c:v>
                </c:pt>
                <c:pt idx="65">
                  <c:v>0.30%</c:v>
                </c:pt>
                <c:pt idx="66">
                  <c:v>0.31%</c:v>
                </c:pt>
                <c:pt idx="67">
                  <c:v>0.32%</c:v>
                </c:pt>
                <c:pt idx="68">
                  <c:v>0.33%</c:v>
                </c:pt>
                <c:pt idx="69">
                  <c:v>0.34%</c:v>
                </c:pt>
                <c:pt idx="70">
                  <c:v>More</c:v>
                </c:pt>
              </c:strCache>
            </c:strRef>
          </c:cat>
          <c:val>
            <c:numRef>
              <c:f>Sheet17!$B$2:$B$72</c:f>
              <c:numCache>
                <c:formatCode>General</c:formatCode>
                <c:ptCount val="71"/>
                <c:pt idx="0">
                  <c:v>1</c:v>
                </c:pt>
                <c:pt idx="1">
                  <c:v>0</c:v>
                </c:pt>
                <c:pt idx="2">
                  <c:v>1</c:v>
                </c:pt>
                <c:pt idx="3">
                  <c:v>0</c:v>
                </c:pt>
                <c:pt idx="4">
                  <c:v>3</c:v>
                </c:pt>
                <c:pt idx="5">
                  <c:v>3</c:v>
                </c:pt>
                <c:pt idx="6">
                  <c:v>4</c:v>
                </c:pt>
                <c:pt idx="7">
                  <c:v>9</c:v>
                </c:pt>
                <c:pt idx="8">
                  <c:v>4</c:v>
                </c:pt>
                <c:pt idx="9">
                  <c:v>7</c:v>
                </c:pt>
                <c:pt idx="10">
                  <c:v>7</c:v>
                </c:pt>
                <c:pt idx="11">
                  <c:v>16</c:v>
                </c:pt>
                <c:pt idx="12">
                  <c:v>10</c:v>
                </c:pt>
                <c:pt idx="13">
                  <c:v>16</c:v>
                </c:pt>
                <c:pt idx="14">
                  <c:v>22</c:v>
                </c:pt>
                <c:pt idx="15">
                  <c:v>30</c:v>
                </c:pt>
                <c:pt idx="16">
                  <c:v>36</c:v>
                </c:pt>
                <c:pt idx="17">
                  <c:v>35</c:v>
                </c:pt>
                <c:pt idx="18">
                  <c:v>42</c:v>
                </c:pt>
                <c:pt idx="19">
                  <c:v>54</c:v>
                </c:pt>
                <c:pt idx="20">
                  <c:v>63</c:v>
                </c:pt>
                <c:pt idx="21">
                  <c:v>64</c:v>
                </c:pt>
                <c:pt idx="22">
                  <c:v>89</c:v>
                </c:pt>
                <c:pt idx="23">
                  <c:v>107</c:v>
                </c:pt>
                <c:pt idx="24">
                  <c:v>115</c:v>
                </c:pt>
                <c:pt idx="25">
                  <c:v>123</c:v>
                </c:pt>
                <c:pt idx="26">
                  <c:v>134</c:v>
                </c:pt>
                <c:pt idx="27">
                  <c:v>142</c:v>
                </c:pt>
                <c:pt idx="28">
                  <c:v>161</c:v>
                </c:pt>
                <c:pt idx="29">
                  <c:v>154</c:v>
                </c:pt>
                <c:pt idx="30">
                  <c:v>172</c:v>
                </c:pt>
                <c:pt idx="31">
                  <c:v>197</c:v>
                </c:pt>
                <c:pt idx="32">
                  <c:v>181</c:v>
                </c:pt>
                <c:pt idx="33">
                  <c:v>168</c:v>
                </c:pt>
                <c:pt idx="34">
                  <c:v>191</c:v>
                </c:pt>
                <c:pt idx="35">
                  <c:v>165</c:v>
                </c:pt>
                <c:pt idx="36">
                  <c:v>173</c:v>
                </c:pt>
                <c:pt idx="37">
                  <c:v>192</c:v>
                </c:pt>
                <c:pt idx="38">
                  <c:v>180</c:v>
                </c:pt>
                <c:pt idx="39">
                  <c:v>188</c:v>
                </c:pt>
                <c:pt idx="40">
                  <c:v>164</c:v>
                </c:pt>
                <c:pt idx="41">
                  <c:v>169</c:v>
                </c:pt>
                <c:pt idx="42">
                  <c:v>150</c:v>
                </c:pt>
                <c:pt idx="43">
                  <c:v>166</c:v>
                </c:pt>
                <c:pt idx="44">
                  <c:v>130</c:v>
                </c:pt>
                <c:pt idx="45">
                  <c:v>104</c:v>
                </c:pt>
                <c:pt idx="46">
                  <c:v>123</c:v>
                </c:pt>
                <c:pt idx="47">
                  <c:v>96</c:v>
                </c:pt>
                <c:pt idx="48">
                  <c:v>95</c:v>
                </c:pt>
                <c:pt idx="49">
                  <c:v>94</c:v>
                </c:pt>
                <c:pt idx="50">
                  <c:v>58</c:v>
                </c:pt>
                <c:pt idx="51">
                  <c:v>60</c:v>
                </c:pt>
                <c:pt idx="52">
                  <c:v>61</c:v>
                </c:pt>
                <c:pt idx="53">
                  <c:v>43</c:v>
                </c:pt>
                <c:pt idx="54">
                  <c:v>35</c:v>
                </c:pt>
                <c:pt idx="55">
                  <c:v>34</c:v>
                </c:pt>
                <c:pt idx="56">
                  <c:v>32</c:v>
                </c:pt>
                <c:pt idx="57">
                  <c:v>31</c:v>
                </c:pt>
                <c:pt idx="58">
                  <c:v>27</c:v>
                </c:pt>
                <c:pt idx="59">
                  <c:v>15</c:v>
                </c:pt>
                <c:pt idx="60">
                  <c:v>12</c:v>
                </c:pt>
                <c:pt idx="61">
                  <c:v>15</c:v>
                </c:pt>
                <c:pt idx="62">
                  <c:v>11</c:v>
                </c:pt>
                <c:pt idx="63">
                  <c:v>4</c:v>
                </c:pt>
                <c:pt idx="64">
                  <c:v>3</c:v>
                </c:pt>
                <c:pt idx="65">
                  <c:v>5</c:v>
                </c:pt>
                <c:pt idx="66">
                  <c:v>1</c:v>
                </c:pt>
                <c:pt idx="67">
                  <c:v>1</c:v>
                </c:pt>
                <c:pt idx="68">
                  <c:v>0</c:v>
                </c:pt>
                <c:pt idx="69">
                  <c:v>1</c:v>
                </c:pt>
                <c:pt idx="70">
                  <c:v>2</c:v>
                </c:pt>
              </c:numCache>
            </c:numRef>
          </c:val>
          <c:extLst>
            <c:ext xmlns:c16="http://schemas.microsoft.com/office/drawing/2014/chart" uri="{C3380CC4-5D6E-409C-BE32-E72D297353CC}">
              <c16:uniqueId val="{00000000-4309-4BFC-9581-438334FEE81B}"/>
            </c:ext>
          </c:extLst>
        </c:ser>
        <c:dLbls>
          <c:showLegendKey val="0"/>
          <c:showVal val="0"/>
          <c:showCatName val="0"/>
          <c:showSerName val="0"/>
          <c:showPercent val="0"/>
          <c:showBubbleSize val="0"/>
        </c:dLbls>
        <c:gapWidth val="219"/>
        <c:overlap val="-27"/>
        <c:axId val="767809920"/>
        <c:axId val="767767808"/>
      </c:barChart>
      <c:catAx>
        <c:axId val="767809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Results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767808"/>
        <c:crosses val="autoZero"/>
        <c:auto val="1"/>
        <c:lblAlgn val="ctr"/>
        <c:lblOffset val="100"/>
        <c:noMultiLvlLbl val="0"/>
      </c:catAx>
      <c:valAx>
        <c:axId val="767767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80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2-Emirates</a:t>
            </a:r>
            <a:r>
              <a:rPr lang="en-GB" sz="1000" baseline="0"/>
              <a:t> NBD PJSC 2014</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Data!$AM$7:$AM$16</c:f>
              <c:numCache>
                <c:formatCode>#,##0.000</c:formatCode>
                <c:ptCount val="10"/>
                <c:pt idx="0">
                  <c:v>3.4709866018846699E-4</c:v>
                </c:pt>
                <c:pt idx="1">
                  <c:v>2.7720209115299601E-4</c:v>
                </c:pt>
                <c:pt idx="2">
                  <c:v>5.6661676879094197E-4</c:v>
                </c:pt>
                <c:pt idx="3">
                  <c:v>9.0596326165234196E-5</c:v>
                </c:pt>
                <c:pt idx="4">
                  <c:v>8.7022784493959095E-4</c:v>
                </c:pt>
                <c:pt idx="5">
                  <c:v>7.2430300756791801E-4</c:v>
                </c:pt>
                <c:pt idx="6">
                  <c:v>-4.0088749513953901E-4</c:v>
                </c:pt>
                <c:pt idx="7">
                  <c:v>1.19686798409694E-4</c:v>
                </c:pt>
                <c:pt idx="8">
                  <c:v>-6.2138786130895305E-5</c:v>
                </c:pt>
                <c:pt idx="9">
                  <c:v>-9.0811756224324898E-4</c:v>
                </c:pt>
              </c:numCache>
            </c:numRef>
          </c:val>
          <c:smooth val="0"/>
          <c:extLst>
            <c:ext xmlns:c16="http://schemas.microsoft.com/office/drawing/2014/chart" uri="{C3380CC4-5D6E-409C-BE32-E72D297353CC}">
              <c16:uniqueId val="{00000000-0330-47A8-B93F-C7ECA16436E3}"/>
            </c:ext>
          </c:extLst>
        </c:ser>
        <c:dLbls>
          <c:showLegendKey val="0"/>
          <c:showVal val="0"/>
          <c:showCatName val="0"/>
          <c:showSerName val="0"/>
          <c:showPercent val="0"/>
          <c:showBubbleSize val="0"/>
        </c:dLbls>
        <c:marker val="1"/>
        <c:smooth val="0"/>
        <c:axId val="767790144"/>
        <c:axId val="767792192"/>
      </c:lineChart>
      <c:catAx>
        <c:axId val="76779014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792192"/>
        <c:crosses val="autoZero"/>
        <c:auto val="1"/>
        <c:lblAlgn val="ctr"/>
        <c:lblOffset val="100"/>
        <c:noMultiLvlLbl val="0"/>
      </c:catAx>
      <c:valAx>
        <c:axId val="767792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790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Emirates NBD PJSC 2014</a:t>
            </a:r>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Sheet15!$A$2:$A$72</c:f>
              <c:strCache>
                <c:ptCount val="71"/>
                <c:pt idx="0">
                  <c:v>-0.35%</c:v>
                </c:pt>
                <c:pt idx="1">
                  <c:v>-0.34%</c:v>
                </c:pt>
                <c:pt idx="2">
                  <c:v>-0.33%</c:v>
                </c:pt>
                <c:pt idx="3">
                  <c:v>-0.32%</c:v>
                </c:pt>
                <c:pt idx="4">
                  <c:v>-0.31%</c:v>
                </c:pt>
                <c:pt idx="5">
                  <c:v>-0.30%</c:v>
                </c:pt>
                <c:pt idx="6">
                  <c:v>-0.29%</c:v>
                </c:pt>
                <c:pt idx="7">
                  <c:v>-0.28%</c:v>
                </c:pt>
                <c:pt idx="8">
                  <c:v>-0.27%</c:v>
                </c:pt>
                <c:pt idx="9">
                  <c:v>-0.26%</c:v>
                </c:pt>
                <c:pt idx="10">
                  <c:v>-0.25%</c:v>
                </c:pt>
                <c:pt idx="11">
                  <c:v>-0.24%</c:v>
                </c:pt>
                <c:pt idx="12">
                  <c:v>-0.23%</c:v>
                </c:pt>
                <c:pt idx="13">
                  <c:v>-0.22%</c:v>
                </c:pt>
                <c:pt idx="14">
                  <c:v>-0.21%</c:v>
                </c:pt>
                <c:pt idx="15">
                  <c:v>-0.20%</c:v>
                </c:pt>
                <c:pt idx="16">
                  <c:v>-0.19%</c:v>
                </c:pt>
                <c:pt idx="17">
                  <c:v>-0.18%</c:v>
                </c:pt>
                <c:pt idx="18">
                  <c:v>-0.17%</c:v>
                </c:pt>
                <c:pt idx="19">
                  <c:v>-0.16%</c:v>
                </c:pt>
                <c:pt idx="20">
                  <c:v>-0.15%</c:v>
                </c:pt>
                <c:pt idx="21">
                  <c:v>-0.14%</c:v>
                </c:pt>
                <c:pt idx="22">
                  <c:v>-0.13%</c:v>
                </c:pt>
                <c:pt idx="23">
                  <c:v>-0.12%</c:v>
                </c:pt>
                <c:pt idx="24">
                  <c:v>-0.11%</c:v>
                </c:pt>
                <c:pt idx="25">
                  <c:v>-0.10%</c:v>
                </c:pt>
                <c:pt idx="26">
                  <c:v>-0.09%</c:v>
                </c:pt>
                <c:pt idx="27">
                  <c:v>-0.08%</c:v>
                </c:pt>
                <c:pt idx="28">
                  <c:v>-0.07%</c:v>
                </c:pt>
                <c:pt idx="29">
                  <c:v>-0.06%</c:v>
                </c:pt>
                <c:pt idx="30">
                  <c:v>-0.05%</c:v>
                </c:pt>
                <c:pt idx="31">
                  <c:v>-0.04%</c:v>
                </c:pt>
                <c:pt idx="32">
                  <c:v>-0.03%</c:v>
                </c:pt>
                <c:pt idx="33">
                  <c:v>-0.02%</c:v>
                </c:pt>
                <c:pt idx="34">
                  <c:v>-0.01%</c:v>
                </c:pt>
                <c:pt idx="35">
                  <c:v>0.00%</c:v>
                </c:pt>
                <c:pt idx="36">
                  <c:v>0.01%</c:v>
                </c:pt>
                <c:pt idx="37">
                  <c:v>0.02%</c:v>
                </c:pt>
                <c:pt idx="38">
                  <c:v>0.03%</c:v>
                </c:pt>
                <c:pt idx="39">
                  <c:v>0.04%</c:v>
                </c:pt>
                <c:pt idx="40">
                  <c:v>0.05%</c:v>
                </c:pt>
                <c:pt idx="41">
                  <c:v>0.06%</c:v>
                </c:pt>
                <c:pt idx="42">
                  <c:v>0.07%</c:v>
                </c:pt>
                <c:pt idx="43">
                  <c:v>0.08%</c:v>
                </c:pt>
                <c:pt idx="44">
                  <c:v>0.09%</c:v>
                </c:pt>
                <c:pt idx="45">
                  <c:v>0.10%</c:v>
                </c:pt>
                <c:pt idx="46">
                  <c:v>0.11%</c:v>
                </c:pt>
                <c:pt idx="47">
                  <c:v>0.12%</c:v>
                </c:pt>
                <c:pt idx="48">
                  <c:v>0.13%</c:v>
                </c:pt>
                <c:pt idx="49">
                  <c:v>0.14%</c:v>
                </c:pt>
                <c:pt idx="50">
                  <c:v>0.15%</c:v>
                </c:pt>
                <c:pt idx="51">
                  <c:v>0.16%</c:v>
                </c:pt>
                <c:pt idx="52">
                  <c:v>0.17%</c:v>
                </c:pt>
                <c:pt idx="53">
                  <c:v>0.18%</c:v>
                </c:pt>
                <c:pt idx="54">
                  <c:v>0.19%</c:v>
                </c:pt>
                <c:pt idx="55">
                  <c:v>0.20%</c:v>
                </c:pt>
                <c:pt idx="56">
                  <c:v>0.21%</c:v>
                </c:pt>
                <c:pt idx="57">
                  <c:v>0.22%</c:v>
                </c:pt>
                <c:pt idx="58">
                  <c:v>0.23%</c:v>
                </c:pt>
                <c:pt idx="59">
                  <c:v>0.24%</c:v>
                </c:pt>
                <c:pt idx="60">
                  <c:v>0.25%</c:v>
                </c:pt>
                <c:pt idx="61">
                  <c:v>0.26%</c:v>
                </c:pt>
                <c:pt idx="62">
                  <c:v>0.27%</c:v>
                </c:pt>
                <c:pt idx="63">
                  <c:v>0.28%</c:v>
                </c:pt>
                <c:pt idx="64">
                  <c:v>0.29%</c:v>
                </c:pt>
                <c:pt idx="65">
                  <c:v>0.30%</c:v>
                </c:pt>
                <c:pt idx="66">
                  <c:v>0.31%</c:v>
                </c:pt>
                <c:pt idx="67">
                  <c:v>0.32%</c:v>
                </c:pt>
                <c:pt idx="68">
                  <c:v>0.33%</c:v>
                </c:pt>
                <c:pt idx="69">
                  <c:v>0.34%</c:v>
                </c:pt>
                <c:pt idx="70">
                  <c:v>More</c:v>
                </c:pt>
              </c:strCache>
            </c:strRef>
          </c:cat>
          <c:val>
            <c:numRef>
              <c:f>Sheet15!$B$2:$B$72</c:f>
              <c:numCache>
                <c:formatCode>General</c:formatCode>
                <c:ptCount val="71"/>
                <c:pt idx="0">
                  <c:v>1</c:v>
                </c:pt>
                <c:pt idx="1">
                  <c:v>0</c:v>
                </c:pt>
                <c:pt idx="2">
                  <c:v>1</c:v>
                </c:pt>
                <c:pt idx="3">
                  <c:v>0</c:v>
                </c:pt>
                <c:pt idx="4">
                  <c:v>3</c:v>
                </c:pt>
                <c:pt idx="5">
                  <c:v>3</c:v>
                </c:pt>
                <c:pt idx="6">
                  <c:v>4</c:v>
                </c:pt>
                <c:pt idx="7">
                  <c:v>9</c:v>
                </c:pt>
                <c:pt idx="8">
                  <c:v>4</c:v>
                </c:pt>
                <c:pt idx="9">
                  <c:v>7</c:v>
                </c:pt>
                <c:pt idx="10">
                  <c:v>7</c:v>
                </c:pt>
                <c:pt idx="11">
                  <c:v>16</c:v>
                </c:pt>
                <c:pt idx="12">
                  <c:v>10</c:v>
                </c:pt>
                <c:pt idx="13">
                  <c:v>16</c:v>
                </c:pt>
                <c:pt idx="14">
                  <c:v>22</c:v>
                </c:pt>
                <c:pt idx="15">
                  <c:v>30</c:v>
                </c:pt>
                <c:pt idx="16">
                  <c:v>36</c:v>
                </c:pt>
                <c:pt idx="17">
                  <c:v>35</c:v>
                </c:pt>
                <c:pt idx="18">
                  <c:v>42</c:v>
                </c:pt>
                <c:pt idx="19">
                  <c:v>54</c:v>
                </c:pt>
                <c:pt idx="20">
                  <c:v>63</c:v>
                </c:pt>
                <c:pt idx="21">
                  <c:v>64</c:v>
                </c:pt>
                <c:pt idx="22">
                  <c:v>89</c:v>
                </c:pt>
                <c:pt idx="23">
                  <c:v>107</c:v>
                </c:pt>
                <c:pt idx="24">
                  <c:v>115</c:v>
                </c:pt>
                <c:pt idx="25">
                  <c:v>123</c:v>
                </c:pt>
                <c:pt idx="26">
                  <c:v>134</c:v>
                </c:pt>
                <c:pt idx="27">
                  <c:v>142</c:v>
                </c:pt>
                <c:pt idx="28">
                  <c:v>161</c:v>
                </c:pt>
                <c:pt idx="29">
                  <c:v>154</c:v>
                </c:pt>
                <c:pt idx="30">
                  <c:v>172</c:v>
                </c:pt>
                <c:pt idx="31">
                  <c:v>197</c:v>
                </c:pt>
                <c:pt idx="32">
                  <c:v>181</c:v>
                </c:pt>
                <c:pt idx="33">
                  <c:v>168</c:v>
                </c:pt>
                <c:pt idx="34">
                  <c:v>191</c:v>
                </c:pt>
                <c:pt idx="35">
                  <c:v>165</c:v>
                </c:pt>
                <c:pt idx="36">
                  <c:v>173</c:v>
                </c:pt>
                <c:pt idx="37">
                  <c:v>192</c:v>
                </c:pt>
                <c:pt idx="38">
                  <c:v>180</c:v>
                </c:pt>
                <c:pt idx="39">
                  <c:v>188</c:v>
                </c:pt>
                <c:pt idx="40">
                  <c:v>164</c:v>
                </c:pt>
                <c:pt idx="41">
                  <c:v>169</c:v>
                </c:pt>
                <c:pt idx="42">
                  <c:v>150</c:v>
                </c:pt>
                <c:pt idx="43">
                  <c:v>166</c:v>
                </c:pt>
                <c:pt idx="44">
                  <c:v>130</c:v>
                </c:pt>
                <c:pt idx="45">
                  <c:v>104</c:v>
                </c:pt>
                <c:pt idx="46">
                  <c:v>123</c:v>
                </c:pt>
                <c:pt idx="47">
                  <c:v>96</c:v>
                </c:pt>
                <c:pt idx="48">
                  <c:v>95</c:v>
                </c:pt>
                <c:pt idx="49">
                  <c:v>94</c:v>
                </c:pt>
                <c:pt idx="50">
                  <c:v>58</c:v>
                </c:pt>
                <c:pt idx="51">
                  <c:v>60</c:v>
                </c:pt>
                <c:pt idx="52">
                  <c:v>61</c:v>
                </c:pt>
                <c:pt idx="53">
                  <c:v>43</c:v>
                </c:pt>
                <c:pt idx="54">
                  <c:v>35</c:v>
                </c:pt>
                <c:pt idx="55">
                  <c:v>34</c:v>
                </c:pt>
                <c:pt idx="56">
                  <c:v>32</c:v>
                </c:pt>
                <c:pt idx="57">
                  <c:v>31</c:v>
                </c:pt>
                <c:pt idx="58">
                  <c:v>27</c:v>
                </c:pt>
                <c:pt idx="59">
                  <c:v>15</c:v>
                </c:pt>
                <c:pt idx="60">
                  <c:v>12</c:v>
                </c:pt>
                <c:pt idx="61">
                  <c:v>15</c:v>
                </c:pt>
                <c:pt idx="62">
                  <c:v>11</c:v>
                </c:pt>
                <c:pt idx="63">
                  <c:v>4</c:v>
                </c:pt>
                <c:pt idx="64">
                  <c:v>3</c:v>
                </c:pt>
                <c:pt idx="65">
                  <c:v>5</c:v>
                </c:pt>
                <c:pt idx="66">
                  <c:v>1</c:v>
                </c:pt>
                <c:pt idx="67">
                  <c:v>1</c:v>
                </c:pt>
                <c:pt idx="68">
                  <c:v>0</c:v>
                </c:pt>
                <c:pt idx="69">
                  <c:v>1</c:v>
                </c:pt>
                <c:pt idx="70">
                  <c:v>2</c:v>
                </c:pt>
              </c:numCache>
            </c:numRef>
          </c:val>
          <c:extLst>
            <c:ext xmlns:c16="http://schemas.microsoft.com/office/drawing/2014/chart" uri="{C3380CC4-5D6E-409C-BE32-E72D297353CC}">
              <c16:uniqueId val="{00000000-1DC1-4894-B973-565B79BCFD35}"/>
            </c:ext>
          </c:extLst>
        </c:ser>
        <c:dLbls>
          <c:showLegendKey val="0"/>
          <c:showVal val="0"/>
          <c:showCatName val="0"/>
          <c:showSerName val="0"/>
          <c:showPercent val="0"/>
          <c:showBubbleSize val="0"/>
        </c:dLbls>
        <c:gapWidth val="219"/>
        <c:overlap val="-27"/>
        <c:axId val="768432032"/>
        <c:axId val="768436000"/>
      </c:barChart>
      <c:catAx>
        <c:axId val="768432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Results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436000"/>
        <c:crosses val="autoZero"/>
        <c:auto val="1"/>
        <c:lblAlgn val="ctr"/>
        <c:lblOffset val="100"/>
        <c:noMultiLvlLbl val="0"/>
      </c:catAx>
      <c:valAx>
        <c:axId val="768436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432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DIB Tier 1 Sukuk</a:t>
            </a:r>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Sheet4!$A$2:$A$72</c:f>
              <c:strCache>
                <c:ptCount val="71"/>
                <c:pt idx="0">
                  <c:v>-3.57%</c:v>
                </c:pt>
                <c:pt idx="1">
                  <c:v>-3.47%</c:v>
                </c:pt>
                <c:pt idx="2">
                  <c:v>-3.36%</c:v>
                </c:pt>
                <c:pt idx="3">
                  <c:v>-3.26%</c:v>
                </c:pt>
                <c:pt idx="4">
                  <c:v>-3.15%</c:v>
                </c:pt>
                <c:pt idx="5">
                  <c:v>-3.05%</c:v>
                </c:pt>
                <c:pt idx="6">
                  <c:v>-2.94%</c:v>
                </c:pt>
                <c:pt idx="7">
                  <c:v>-2.84%</c:v>
                </c:pt>
                <c:pt idx="8">
                  <c:v>-2.74%</c:v>
                </c:pt>
                <c:pt idx="9">
                  <c:v>-2.63%</c:v>
                </c:pt>
                <c:pt idx="10">
                  <c:v>-2.53%</c:v>
                </c:pt>
                <c:pt idx="11">
                  <c:v>-2.42%</c:v>
                </c:pt>
                <c:pt idx="12">
                  <c:v>-2.32%</c:v>
                </c:pt>
                <c:pt idx="13">
                  <c:v>-2.22%</c:v>
                </c:pt>
                <c:pt idx="14">
                  <c:v>-2.11%</c:v>
                </c:pt>
                <c:pt idx="15">
                  <c:v>-2.01%</c:v>
                </c:pt>
                <c:pt idx="16">
                  <c:v>-1.90%</c:v>
                </c:pt>
                <c:pt idx="17">
                  <c:v>-1.80%</c:v>
                </c:pt>
                <c:pt idx="18">
                  <c:v>-1.69%</c:v>
                </c:pt>
                <c:pt idx="19">
                  <c:v>-1.59%</c:v>
                </c:pt>
                <c:pt idx="20">
                  <c:v>-1.49%</c:v>
                </c:pt>
                <c:pt idx="21">
                  <c:v>-1.38%</c:v>
                </c:pt>
                <c:pt idx="22">
                  <c:v>-1.28%</c:v>
                </c:pt>
                <c:pt idx="23">
                  <c:v>-1.17%</c:v>
                </c:pt>
                <c:pt idx="24">
                  <c:v>-1.07%</c:v>
                </c:pt>
                <c:pt idx="25">
                  <c:v>-0.97%</c:v>
                </c:pt>
                <c:pt idx="26">
                  <c:v>-0.86%</c:v>
                </c:pt>
                <c:pt idx="27">
                  <c:v>-0.76%</c:v>
                </c:pt>
                <c:pt idx="28">
                  <c:v>-0.65%</c:v>
                </c:pt>
                <c:pt idx="29">
                  <c:v>-0.55%</c:v>
                </c:pt>
                <c:pt idx="30">
                  <c:v>-0.44%</c:v>
                </c:pt>
                <c:pt idx="31">
                  <c:v>-0.34%</c:v>
                </c:pt>
                <c:pt idx="32">
                  <c:v>-0.24%</c:v>
                </c:pt>
                <c:pt idx="33">
                  <c:v>-0.13%</c:v>
                </c:pt>
                <c:pt idx="34">
                  <c:v>-0.03%</c:v>
                </c:pt>
                <c:pt idx="35">
                  <c:v>0.08%</c:v>
                </c:pt>
                <c:pt idx="36">
                  <c:v>0.18%</c:v>
                </c:pt>
                <c:pt idx="37">
                  <c:v>0.28%</c:v>
                </c:pt>
                <c:pt idx="38">
                  <c:v>0.39%</c:v>
                </c:pt>
                <c:pt idx="39">
                  <c:v>0.49%</c:v>
                </c:pt>
                <c:pt idx="40">
                  <c:v>0.60%</c:v>
                </c:pt>
                <c:pt idx="41">
                  <c:v>0.70%</c:v>
                </c:pt>
                <c:pt idx="42">
                  <c:v>0.80%</c:v>
                </c:pt>
                <c:pt idx="43">
                  <c:v>0.91%</c:v>
                </c:pt>
                <c:pt idx="44">
                  <c:v>1.01%</c:v>
                </c:pt>
                <c:pt idx="45">
                  <c:v>1.12%</c:v>
                </c:pt>
                <c:pt idx="46">
                  <c:v>1.22%</c:v>
                </c:pt>
                <c:pt idx="47">
                  <c:v>1.33%</c:v>
                </c:pt>
                <c:pt idx="48">
                  <c:v>1.43%</c:v>
                </c:pt>
                <c:pt idx="49">
                  <c:v>1.53%</c:v>
                </c:pt>
                <c:pt idx="50">
                  <c:v>1.64%</c:v>
                </c:pt>
                <c:pt idx="51">
                  <c:v>1.74%</c:v>
                </c:pt>
                <c:pt idx="52">
                  <c:v>1.85%</c:v>
                </c:pt>
                <c:pt idx="53">
                  <c:v>1.95%</c:v>
                </c:pt>
                <c:pt idx="54">
                  <c:v>2.05%</c:v>
                </c:pt>
                <c:pt idx="55">
                  <c:v>2.16%</c:v>
                </c:pt>
                <c:pt idx="56">
                  <c:v>2.26%</c:v>
                </c:pt>
                <c:pt idx="57">
                  <c:v>2.37%</c:v>
                </c:pt>
                <c:pt idx="58">
                  <c:v>2.47%</c:v>
                </c:pt>
                <c:pt idx="59">
                  <c:v>2.58%</c:v>
                </c:pt>
                <c:pt idx="60">
                  <c:v>2.68%</c:v>
                </c:pt>
                <c:pt idx="61">
                  <c:v>2.78%</c:v>
                </c:pt>
                <c:pt idx="62">
                  <c:v>2.89%</c:v>
                </c:pt>
                <c:pt idx="63">
                  <c:v>2.99%</c:v>
                </c:pt>
                <c:pt idx="64">
                  <c:v>3.10%</c:v>
                </c:pt>
                <c:pt idx="65">
                  <c:v>3.20%</c:v>
                </c:pt>
                <c:pt idx="66">
                  <c:v>3.30%</c:v>
                </c:pt>
                <c:pt idx="67">
                  <c:v>3.41%</c:v>
                </c:pt>
                <c:pt idx="68">
                  <c:v>3.51%</c:v>
                </c:pt>
                <c:pt idx="69">
                  <c:v>3.62%</c:v>
                </c:pt>
                <c:pt idx="70">
                  <c:v>More</c:v>
                </c:pt>
              </c:strCache>
            </c:strRef>
          </c:cat>
          <c:val>
            <c:numRef>
              <c:f>Sheet4!$B$2:$B$72</c:f>
              <c:numCache>
                <c:formatCode>General</c:formatCode>
                <c:ptCount val="71"/>
                <c:pt idx="0">
                  <c:v>1</c:v>
                </c:pt>
                <c:pt idx="1">
                  <c:v>0</c:v>
                </c:pt>
                <c:pt idx="2">
                  <c:v>0</c:v>
                </c:pt>
                <c:pt idx="3">
                  <c:v>2</c:v>
                </c:pt>
                <c:pt idx="4">
                  <c:v>0</c:v>
                </c:pt>
                <c:pt idx="5">
                  <c:v>1</c:v>
                </c:pt>
                <c:pt idx="6">
                  <c:v>0</c:v>
                </c:pt>
                <c:pt idx="7">
                  <c:v>1</c:v>
                </c:pt>
                <c:pt idx="8">
                  <c:v>2</c:v>
                </c:pt>
                <c:pt idx="9">
                  <c:v>4</c:v>
                </c:pt>
                <c:pt idx="10">
                  <c:v>5</c:v>
                </c:pt>
                <c:pt idx="11">
                  <c:v>7</c:v>
                </c:pt>
                <c:pt idx="12">
                  <c:v>6</c:v>
                </c:pt>
                <c:pt idx="13">
                  <c:v>13</c:v>
                </c:pt>
                <c:pt idx="14">
                  <c:v>13</c:v>
                </c:pt>
                <c:pt idx="15">
                  <c:v>11</c:v>
                </c:pt>
                <c:pt idx="16">
                  <c:v>24</c:v>
                </c:pt>
                <c:pt idx="17">
                  <c:v>36</c:v>
                </c:pt>
                <c:pt idx="18">
                  <c:v>25</c:v>
                </c:pt>
                <c:pt idx="19">
                  <c:v>41</c:v>
                </c:pt>
                <c:pt idx="20">
                  <c:v>52</c:v>
                </c:pt>
                <c:pt idx="21">
                  <c:v>56</c:v>
                </c:pt>
                <c:pt idx="22">
                  <c:v>67</c:v>
                </c:pt>
                <c:pt idx="23">
                  <c:v>90</c:v>
                </c:pt>
                <c:pt idx="24">
                  <c:v>91</c:v>
                </c:pt>
                <c:pt idx="25">
                  <c:v>113</c:v>
                </c:pt>
                <c:pt idx="26">
                  <c:v>138</c:v>
                </c:pt>
                <c:pt idx="27">
                  <c:v>141</c:v>
                </c:pt>
                <c:pt idx="28">
                  <c:v>178</c:v>
                </c:pt>
                <c:pt idx="29">
                  <c:v>187</c:v>
                </c:pt>
                <c:pt idx="30">
                  <c:v>182</c:v>
                </c:pt>
                <c:pt idx="31">
                  <c:v>195</c:v>
                </c:pt>
                <c:pt idx="32">
                  <c:v>193</c:v>
                </c:pt>
                <c:pt idx="33">
                  <c:v>232</c:v>
                </c:pt>
                <c:pt idx="34">
                  <c:v>230</c:v>
                </c:pt>
                <c:pt idx="35">
                  <c:v>247</c:v>
                </c:pt>
                <c:pt idx="36">
                  <c:v>244</c:v>
                </c:pt>
                <c:pt idx="37">
                  <c:v>217</c:v>
                </c:pt>
                <c:pt idx="38">
                  <c:v>209</c:v>
                </c:pt>
                <c:pt idx="39">
                  <c:v>218</c:v>
                </c:pt>
                <c:pt idx="40">
                  <c:v>209</c:v>
                </c:pt>
                <c:pt idx="41">
                  <c:v>197</c:v>
                </c:pt>
                <c:pt idx="42">
                  <c:v>158</c:v>
                </c:pt>
                <c:pt idx="43">
                  <c:v>147</c:v>
                </c:pt>
                <c:pt idx="44">
                  <c:v>118</c:v>
                </c:pt>
                <c:pt idx="45">
                  <c:v>128</c:v>
                </c:pt>
                <c:pt idx="46">
                  <c:v>97</c:v>
                </c:pt>
                <c:pt idx="47">
                  <c:v>86</c:v>
                </c:pt>
                <c:pt idx="48">
                  <c:v>79</c:v>
                </c:pt>
                <c:pt idx="49">
                  <c:v>73</c:v>
                </c:pt>
                <c:pt idx="50">
                  <c:v>46</c:v>
                </c:pt>
                <c:pt idx="51">
                  <c:v>42</c:v>
                </c:pt>
                <c:pt idx="52">
                  <c:v>31</c:v>
                </c:pt>
                <c:pt idx="53">
                  <c:v>29</c:v>
                </c:pt>
                <c:pt idx="54">
                  <c:v>16</c:v>
                </c:pt>
                <c:pt idx="55">
                  <c:v>21</c:v>
                </c:pt>
                <c:pt idx="56">
                  <c:v>16</c:v>
                </c:pt>
                <c:pt idx="57">
                  <c:v>9</c:v>
                </c:pt>
                <c:pt idx="58">
                  <c:v>3</c:v>
                </c:pt>
                <c:pt idx="59">
                  <c:v>5</c:v>
                </c:pt>
                <c:pt idx="60">
                  <c:v>1</c:v>
                </c:pt>
                <c:pt idx="61">
                  <c:v>4</c:v>
                </c:pt>
                <c:pt idx="62">
                  <c:v>5</c:v>
                </c:pt>
                <c:pt idx="63">
                  <c:v>2</c:v>
                </c:pt>
                <c:pt idx="64">
                  <c:v>2</c:v>
                </c:pt>
                <c:pt idx="65">
                  <c:v>2</c:v>
                </c:pt>
                <c:pt idx="66">
                  <c:v>0</c:v>
                </c:pt>
                <c:pt idx="67">
                  <c:v>0</c:v>
                </c:pt>
                <c:pt idx="68">
                  <c:v>1</c:v>
                </c:pt>
                <c:pt idx="69">
                  <c:v>0</c:v>
                </c:pt>
                <c:pt idx="70">
                  <c:v>1</c:v>
                </c:pt>
              </c:numCache>
            </c:numRef>
          </c:val>
          <c:extLst>
            <c:ext xmlns:c16="http://schemas.microsoft.com/office/drawing/2014/chart" uri="{C3380CC4-5D6E-409C-BE32-E72D297353CC}">
              <c16:uniqueId val="{00000000-BA09-499E-A06D-2599744BE542}"/>
            </c:ext>
          </c:extLst>
        </c:ser>
        <c:dLbls>
          <c:showLegendKey val="0"/>
          <c:showVal val="0"/>
          <c:showCatName val="0"/>
          <c:showSerName val="0"/>
          <c:showPercent val="0"/>
          <c:showBubbleSize val="0"/>
        </c:dLbls>
        <c:gapWidth val="219"/>
        <c:overlap val="-27"/>
        <c:axId val="768412176"/>
        <c:axId val="768207424"/>
      </c:barChart>
      <c:catAx>
        <c:axId val="768412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Bin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207424"/>
        <c:crosses val="autoZero"/>
        <c:auto val="1"/>
        <c:lblAlgn val="ctr"/>
        <c:lblOffset val="100"/>
        <c:noMultiLvlLbl val="0"/>
      </c:catAx>
      <c:valAx>
        <c:axId val="768207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412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DIB Tier 1 Sukuk Ltd </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Data!$O$7:$O$16</c:f>
              <c:numCache>
                <c:formatCode>0.000%</c:formatCode>
                <c:ptCount val="10"/>
                <c:pt idx="0">
                  <c:v>7.4946853251501404E-3</c:v>
                </c:pt>
                <c:pt idx="1">
                  <c:v>-3.6742022323911399E-3</c:v>
                </c:pt>
                <c:pt idx="2">
                  <c:v>4.5490531599871398E-3</c:v>
                </c:pt>
                <c:pt idx="3">
                  <c:v>-1.7042320810227801E-2</c:v>
                </c:pt>
                <c:pt idx="4">
                  <c:v>8.40125761960696E-3</c:v>
                </c:pt>
                <c:pt idx="5">
                  <c:v>2.49616580108563E-3</c:v>
                </c:pt>
                <c:pt idx="6">
                  <c:v>-5.7190851437434603E-3</c:v>
                </c:pt>
                <c:pt idx="7">
                  <c:v>-7.6989281630498599E-3</c:v>
                </c:pt>
                <c:pt idx="8">
                  <c:v>-8.1761034979943598E-3</c:v>
                </c:pt>
                <c:pt idx="9">
                  <c:v>-4.5195310458342698E-3</c:v>
                </c:pt>
              </c:numCache>
            </c:numRef>
          </c:val>
          <c:smooth val="0"/>
          <c:extLst>
            <c:ext xmlns:c16="http://schemas.microsoft.com/office/drawing/2014/chart" uri="{C3380CC4-5D6E-409C-BE32-E72D297353CC}">
              <c16:uniqueId val="{00000000-8873-46E2-A875-FC79C25CA52F}"/>
            </c:ext>
          </c:extLst>
        </c:ser>
        <c:dLbls>
          <c:showLegendKey val="0"/>
          <c:showVal val="0"/>
          <c:showCatName val="0"/>
          <c:showSerName val="0"/>
          <c:showPercent val="0"/>
          <c:showBubbleSize val="0"/>
        </c:dLbls>
        <c:marker val="1"/>
        <c:smooth val="0"/>
        <c:axId val="768662224"/>
        <c:axId val="1153695920"/>
      </c:lineChart>
      <c:catAx>
        <c:axId val="7686622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3695920"/>
        <c:crosses val="autoZero"/>
        <c:auto val="1"/>
        <c:lblAlgn val="ctr"/>
        <c:lblOffset val="100"/>
        <c:noMultiLvlLbl val="0"/>
      </c:catAx>
      <c:valAx>
        <c:axId val="1153695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662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DIB Tier 1 Sukuk 2 Ltd</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Data!$K$7:$K$16</c:f>
              <c:numCache>
                <c:formatCode>0.000%</c:formatCode>
                <c:ptCount val="10"/>
                <c:pt idx="0">
                  <c:v>-6.6481519654286499E-3</c:v>
                </c:pt>
                <c:pt idx="1">
                  <c:v>2.60232415114236E-3</c:v>
                </c:pt>
                <c:pt idx="2">
                  <c:v>-8.2214091952492706E-3</c:v>
                </c:pt>
                <c:pt idx="3">
                  <c:v>3.7954507144539101E-4</c:v>
                </c:pt>
                <c:pt idx="4">
                  <c:v>1.0337123539234099E-3</c:v>
                </c:pt>
                <c:pt idx="5">
                  <c:v>8.5916400845388093E-3</c:v>
                </c:pt>
                <c:pt idx="6">
                  <c:v>1.87294869158103E-3</c:v>
                </c:pt>
                <c:pt idx="7">
                  <c:v>-6.8579904472985103E-3</c:v>
                </c:pt>
                <c:pt idx="8">
                  <c:v>-2.22306128987509E-2</c:v>
                </c:pt>
                <c:pt idx="9">
                  <c:v>6.4993915910111603E-3</c:v>
                </c:pt>
              </c:numCache>
            </c:numRef>
          </c:val>
          <c:smooth val="0"/>
          <c:extLst>
            <c:ext xmlns:c16="http://schemas.microsoft.com/office/drawing/2014/chart" uri="{C3380CC4-5D6E-409C-BE32-E72D297353CC}">
              <c16:uniqueId val="{00000000-EB69-4F9F-913F-B78C0D82D488}"/>
            </c:ext>
          </c:extLst>
        </c:ser>
        <c:dLbls>
          <c:showLegendKey val="0"/>
          <c:showVal val="0"/>
          <c:showCatName val="0"/>
          <c:showSerName val="0"/>
          <c:showPercent val="0"/>
          <c:showBubbleSize val="0"/>
        </c:dLbls>
        <c:marker val="1"/>
        <c:smooth val="0"/>
        <c:axId val="768336000"/>
        <c:axId val="768338048"/>
      </c:lineChart>
      <c:catAx>
        <c:axId val="76833600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338048"/>
        <c:crosses val="autoZero"/>
        <c:auto val="1"/>
        <c:lblAlgn val="ctr"/>
        <c:lblOffset val="100"/>
        <c:noMultiLvlLbl val="0"/>
      </c:catAx>
      <c:valAx>
        <c:axId val="768338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336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DIB Tier 1 Sukuk 2 Ltd</a:t>
            </a:r>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Sheet3!$A$2:$A$72</c:f>
              <c:strCache>
                <c:ptCount val="71"/>
                <c:pt idx="0">
                  <c:v>-3.57%</c:v>
                </c:pt>
                <c:pt idx="1">
                  <c:v>-3.47%</c:v>
                </c:pt>
                <c:pt idx="2">
                  <c:v>-3.36%</c:v>
                </c:pt>
                <c:pt idx="3">
                  <c:v>-3.26%</c:v>
                </c:pt>
                <c:pt idx="4">
                  <c:v>-3.15%</c:v>
                </c:pt>
                <c:pt idx="5">
                  <c:v>-3.05%</c:v>
                </c:pt>
                <c:pt idx="6">
                  <c:v>-2.94%</c:v>
                </c:pt>
                <c:pt idx="7">
                  <c:v>-2.84%</c:v>
                </c:pt>
                <c:pt idx="8">
                  <c:v>-2.74%</c:v>
                </c:pt>
                <c:pt idx="9">
                  <c:v>-2.63%</c:v>
                </c:pt>
                <c:pt idx="10">
                  <c:v>-2.53%</c:v>
                </c:pt>
                <c:pt idx="11">
                  <c:v>-2.42%</c:v>
                </c:pt>
                <c:pt idx="12">
                  <c:v>-2.32%</c:v>
                </c:pt>
                <c:pt idx="13">
                  <c:v>-2.22%</c:v>
                </c:pt>
                <c:pt idx="14">
                  <c:v>-2.11%</c:v>
                </c:pt>
                <c:pt idx="15">
                  <c:v>-2.01%</c:v>
                </c:pt>
                <c:pt idx="16">
                  <c:v>-1.90%</c:v>
                </c:pt>
                <c:pt idx="17">
                  <c:v>-1.80%</c:v>
                </c:pt>
                <c:pt idx="18">
                  <c:v>-1.69%</c:v>
                </c:pt>
                <c:pt idx="19">
                  <c:v>-1.59%</c:v>
                </c:pt>
                <c:pt idx="20">
                  <c:v>-1.49%</c:v>
                </c:pt>
                <c:pt idx="21">
                  <c:v>-1.38%</c:v>
                </c:pt>
                <c:pt idx="22">
                  <c:v>-1.28%</c:v>
                </c:pt>
                <c:pt idx="23">
                  <c:v>-1.17%</c:v>
                </c:pt>
                <c:pt idx="24">
                  <c:v>-1.07%</c:v>
                </c:pt>
                <c:pt idx="25">
                  <c:v>-0.97%</c:v>
                </c:pt>
                <c:pt idx="26">
                  <c:v>-0.86%</c:v>
                </c:pt>
                <c:pt idx="27">
                  <c:v>-0.76%</c:v>
                </c:pt>
                <c:pt idx="28">
                  <c:v>-0.65%</c:v>
                </c:pt>
                <c:pt idx="29">
                  <c:v>-0.55%</c:v>
                </c:pt>
                <c:pt idx="30">
                  <c:v>-0.44%</c:v>
                </c:pt>
                <c:pt idx="31">
                  <c:v>-0.34%</c:v>
                </c:pt>
                <c:pt idx="32">
                  <c:v>-0.24%</c:v>
                </c:pt>
                <c:pt idx="33">
                  <c:v>-0.13%</c:v>
                </c:pt>
                <c:pt idx="34">
                  <c:v>-0.03%</c:v>
                </c:pt>
                <c:pt idx="35">
                  <c:v>0.08%</c:v>
                </c:pt>
                <c:pt idx="36">
                  <c:v>0.18%</c:v>
                </c:pt>
                <c:pt idx="37">
                  <c:v>0.28%</c:v>
                </c:pt>
                <c:pt idx="38">
                  <c:v>0.39%</c:v>
                </c:pt>
                <c:pt idx="39">
                  <c:v>0.49%</c:v>
                </c:pt>
                <c:pt idx="40">
                  <c:v>0.60%</c:v>
                </c:pt>
                <c:pt idx="41">
                  <c:v>0.70%</c:v>
                </c:pt>
                <c:pt idx="42">
                  <c:v>0.80%</c:v>
                </c:pt>
                <c:pt idx="43">
                  <c:v>0.91%</c:v>
                </c:pt>
                <c:pt idx="44">
                  <c:v>1.01%</c:v>
                </c:pt>
                <c:pt idx="45">
                  <c:v>1.12%</c:v>
                </c:pt>
                <c:pt idx="46">
                  <c:v>1.22%</c:v>
                </c:pt>
                <c:pt idx="47">
                  <c:v>1.33%</c:v>
                </c:pt>
                <c:pt idx="48">
                  <c:v>1.43%</c:v>
                </c:pt>
                <c:pt idx="49">
                  <c:v>1.53%</c:v>
                </c:pt>
                <c:pt idx="50">
                  <c:v>1.64%</c:v>
                </c:pt>
                <c:pt idx="51">
                  <c:v>1.74%</c:v>
                </c:pt>
                <c:pt idx="52">
                  <c:v>1.85%</c:v>
                </c:pt>
                <c:pt idx="53">
                  <c:v>1.95%</c:v>
                </c:pt>
                <c:pt idx="54">
                  <c:v>2.05%</c:v>
                </c:pt>
                <c:pt idx="55">
                  <c:v>2.16%</c:v>
                </c:pt>
                <c:pt idx="56">
                  <c:v>2.26%</c:v>
                </c:pt>
                <c:pt idx="57">
                  <c:v>2.37%</c:v>
                </c:pt>
                <c:pt idx="58">
                  <c:v>2.47%</c:v>
                </c:pt>
                <c:pt idx="59">
                  <c:v>2.58%</c:v>
                </c:pt>
                <c:pt idx="60">
                  <c:v>2.68%</c:v>
                </c:pt>
                <c:pt idx="61">
                  <c:v>2.78%</c:v>
                </c:pt>
                <c:pt idx="62">
                  <c:v>2.89%</c:v>
                </c:pt>
                <c:pt idx="63">
                  <c:v>2.99%</c:v>
                </c:pt>
                <c:pt idx="64">
                  <c:v>3.10%</c:v>
                </c:pt>
                <c:pt idx="65">
                  <c:v>3.20%</c:v>
                </c:pt>
                <c:pt idx="66">
                  <c:v>3.30%</c:v>
                </c:pt>
                <c:pt idx="67">
                  <c:v>3.41%</c:v>
                </c:pt>
                <c:pt idx="68">
                  <c:v>3.51%</c:v>
                </c:pt>
                <c:pt idx="69">
                  <c:v>3.62%</c:v>
                </c:pt>
                <c:pt idx="70">
                  <c:v>More</c:v>
                </c:pt>
              </c:strCache>
            </c:strRef>
          </c:cat>
          <c:val>
            <c:numRef>
              <c:f>Sheet3!$B$2:$B$72</c:f>
              <c:numCache>
                <c:formatCode>General</c:formatCode>
                <c:ptCount val="71"/>
                <c:pt idx="0">
                  <c:v>1</c:v>
                </c:pt>
                <c:pt idx="1">
                  <c:v>0</c:v>
                </c:pt>
                <c:pt idx="2">
                  <c:v>0</c:v>
                </c:pt>
                <c:pt idx="3">
                  <c:v>2</c:v>
                </c:pt>
                <c:pt idx="4">
                  <c:v>0</c:v>
                </c:pt>
                <c:pt idx="5">
                  <c:v>1</c:v>
                </c:pt>
                <c:pt idx="6">
                  <c:v>0</c:v>
                </c:pt>
                <c:pt idx="7">
                  <c:v>1</c:v>
                </c:pt>
                <c:pt idx="8">
                  <c:v>2</c:v>
                </c:pt>
                <c:pt idx="9">
                  <c:v>4</c:v>
                </c:pt>
                <c:pt idx="10">
                  <c:v>5</c:v>
                </c:pt>
                <c:pt idx="11">
                  <c:v>7</c:v>
                </c:pt>
                <c:pt idx="12">
                  <c:v>6</c:v>
                </c:pt>
                <c:pt idx="13">
                  <c:v>13</c:v>
                </c:pt>
                <c:pt idx="14">
                  <c:v>13</c:v>
                </c:pt>
                <c:pt idx="15">
                  <c:v>11</c:v>
                </c:pt>
                <c:pt idx="16">
                  <c:v>24</c:v>
                </c:pt>
                <c:pt idx="17">
                  <c:v>36</c:v>
                </c:pt>
                <c:pt idx="18">
                  <c:v>25</c:v>
                </c:pt>
                <c:pt idx="19">
                  <c:v>41</c:v>
                </c:pt>
                <c:pt idx="20">
                  <c:v>52</c:v>
                </c:pt>
                <c:pt idx="21">
                  <c:v>56</c:v>
                </c:pt>
                <c:pt idx="22">
                  <c:v>67</c:v>
                </c:pt>
                <c:pt idx="23">
                  <c:v>90</c:v>
                </c:pt>
                <c:pt idx="24">
                  <c:v>91</c:v>
                </c:pt>
                <c:pt idx="25">
                  <c:v>113</c:v>
                </c:pt>
                <c:pt idx="26">
                  <c:v>138</c:v>
                </c:pt>
                <c:pt idx="27">
                  <c:v>141</c:v>
                </c:pt>
                <c:pt idx="28">
                  <c:v>178</c:v>
                </c:pt>
                <c:pt idx="29">
                  <c:v>187</c:v>
                </c:pt>
                <c:pt idx="30">
                  <c:v>182</c:v>
                </c:pt>
                <c:pt idx="31">
                  <c:v>195</c:v>
                </c:pt>
                <c:pt idx="32">
                  <c:v>193</c:v>
                </c:pt>
                <c:pt idx="33">
                  <c:v>232</c:v>
                </c:pt>
                <c:pt idx="34">
                  <c:v>230</c:v>
                </c:pt>
                <c:pt idx="35">
                  <c:v>247</c:v>
                </c:pt>
                <c:pt idx="36">
                  <c:v>244</c:v>
                </c:pt>
                <c:pt idx="37">
                  <c:v>217</c:v>
                </c:pt>
                <c:pt idx="38">
                  <c:v>209</c:v>
                </c:pt>
                <c:pt idx="39">
                  <c:v>218</c:v>
                </c:pt>
                <c:pt idx="40">
                  <c:v>209</c:v>
                </c:pt>
                <c:pt idx="41">
                  <c:v>197</c:v>
                </c:pt>
                <c:pt idx="42">
                  <c:v>158</c:v>
                </c:pt>
                <c:pt idx="43">
                  <c:v>147</c:v>
                </c:pt>
                <c:pt idx="44">
                  <c:v>118</c:v>
                </c:pt>
                <c:pt idx="45">
                  <c:v>128</c:v>
                </c:pt>
                <c:pt idx="46">
                  <c:v>97</c:v>
                </c:pt>
                <c:pt idx="47">
                  <c:v>86</c:v>
                </c:pt>
                <c:pt idx="48">
                  <c:v>79</c:v>
                </c:pt>
                <c:pt idx="49">
                  <c:v>73</c:v>
                </c:pt>
                <c:pt idx="50">
                  <c:v>46</c:v>
                </c:pt>
                <c:pt idx="51">
                  <c:v>42</c:v>
                </c:pt>
                <c:pt idx="52">
                  <c:v>31</c:v>
                </c:pt>
                <c:pt idx="53">
                  <c:v>29</c:v>
                </c:pt>
                <c:pt idx="54">
                  <c:v>16</c:v>
                </c:pt>
                <c:pt idx="55">
                  <c:v>21</c:v>
                </c:pt>
                <c:pt idx="56">
                  <c:v>16</c:v>
                </c:pt>
                <c:pt idx="57">
                  <c:v>9</c:v>
                </c:pt>
                <c:pt idx="58">
                  <c:v>3</c:v>
                </c:pt>
                <c:pt idx="59">
                  <c:v>5</c:v>
                </c:pt>
                <c:pt idx="60">
                  <c:v>1</c:v>
                </c:pt>
                <c:pt idx="61">
                  <c:v>4</c:v>
                </c:pt>
                <c:pt idx="62">
                  <c:v>5</c:v>
                </c:pt>
                <c:pt idx="63">
                  <c:v>2</c:v>
                </c:pt>
                <c:pt idx="64">
                  <c:v>2</c:v>
                </c:pt>
                <c:pt idx="65">
                  <c:v>2</c:v>
                </c:pt>
                <c:pt idx="66">
                  <c:v>0</c:v>
                </c:pt>
                <c:pt idx="67">
                  <c:v>0</c:v>
                </c:pt>
                <c:pt idx="68">
                  <c:v>1</c:v>
                </c:pt>
                <c:pt idx="69">
                  <c:v>0</c:v>
                </c:pt>
                <c:pt idx="70">
                  <c:v>1</c:v>
                </c:pt>
              </c:numCache>
            </c:numRef>
          </c:val>
          <c:extLst>
            <c:ext xmlns:c16="http://schemas.microsoft.com/office/drawing/2014/chart" uri="{C3380CC4-5D6E-409C-BE32-E72D297353CC}">
              <c16:uniqueId val="{00000000-45F8-41DF-97D0-A0A3C40DBFF3}"/>
            </c:ext>
          </c:extLst>
        </c:ser>
        <c:dLbls>
          <c:showLegendKey val="0"/>
          <c:showVal val="0"/>
          <c:showCatName val="0"/>
          <c:showSerName val="0"/>
          <c:showPercent val="0"/>
          <c:showBubbleSize val="0"/>
        </c:dLbls>
        <c:gapWidth val="219"/>
        <c:overlap val="-27"/>
        <c:axId val="768362320"/>
        <c:axId val="768366288"/>
      </c:barChart>
      <c:catAx>
        <c:axId val="768362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366288"/>
        <c:crosses val="autoZero"/>
        <c:auto val="1"/>
        <c:lblAlgn val="ctr"/>
        <c:lblOffset val="100"/>
        <c:noMultiLvlLbl val="0"/>
      </c:catAx>
      <c:valAx>
        <c:axId val="768366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362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DIB Sukuk Limited</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Data!$G$7:$G$16</c:f>
              <c:numCache>
                <c:formatCode>0.000%</c:formatCode>
                <c:ptCount val="10"/>
                <c:pt idx="0">
                  <c:v>2.1732489631022E-3</c:v>
                </c:pt>
                <c:pt idx="1">
                  <c:v>1.0919086026104699E-3</c:v>
                </c:pt>
                <c:pt idx="2">
                  <c:v>2.19538302240797E-3</c:v>
                </c:pt>
                <c:pt idx="3">
                  <c:v>-3.5096574892386998E-4</c:v>
                </c:pt>
                <c:pt idx="4">
                  <c:v>3.0961925349238498E-3</c:v>
                </c:pt>
                <c:pt idx="5">
                  <c:v>-1.4117963964598601E-3</c:v>
                </c:pt>
                <c:pt idx="6">
                  <c:v>3.5667820411229602E-3</c:v>
                </c:pt>
                <c:pt idx="7">
                  <c:v>1.44194131028232E-3</c:v>
                </c:pt>
                <c:pt idx="8">
                  <c:v>4.0749833250562804E-3</c:v>
                </c:pt>
                <c:pt idx="9">
                  <c:v>6.55948197097229E-4</c:v>
                </c:pt>
              </c:numCache>
            </c:numRef>
          </c:val>
          <c:smooth val="0"/>
          <c:extLst>
            <c:ext xmlns:c16="http://schemas.microsoft.com/office/drawing/2014/chart" uri="{C3380CC4-5D6E-409C-BE32-E72D297353CC}">
              <c16:uniqueId val="{00000000-6D48-4731-9922-37310CCBABBD}"/>
            </c:ext>
          </c:extLst>
        </c:ser>
        <c:dLbls>
          <c:showLegendKey val="0"/>
          <c:showVal val="0"/>
          <c:showCatName val="0"/>
          <c:showSerName val="0"/>
          <c:showPercent val="0"/>
          <c:showBubbleSize val="0"/>
        </c:dLbls>
        <c:marker val="1"/>
        <c:smooth val="0"/>
        <c:axId val="768134640"/>
        <c:axId val="768136688"/>
      </c:lineChart>
      <c:catAx>
        <c:axId val="7681346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136688"/>
        <c:crosses val="autoZero"/>
        <c:auto val="1"/>
        <c:lblAlgn val="ctr"/>
        <c:lblOffset val="100"/>
        <c:noMultiLvlLbl val="0"/>
      </c:catAx>
      <c:valAx>
        <c:axId val="768136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134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DIB Sukuk Limited</a:t>
            </a:r>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Sheet2!$A$2:$A$72</c:f>
              <c:strCache>
                <c:ptCount val="71"/>
                <c:pt idx="0">
                  <c:v>-3.57%</c:v>
                </c:pt>
                <c:pt idx="1">
                  <c:v>-3.47%</c:v>
                </c:pt>
                <c:pt idx="2">
                  <c:v>-3.36%</c:v>
                </c:pt>
                <c:pt idx="3">
                  <c:v>-3.26%</c:v>
                </c:pt>
                <c:pt idx="4">
                  <c:v>-3.15%</c:v>
                </c:pt>
                <c:pt idx="5">
                  <c:v>-3.05%</c:v>
                </c:pt>
                <c:pt idx="6">
                  <c:v>-2.94%</c:v>
                </c:pt>
                <c:pt idx="7">
                  <c:v>-2.84%</c:v>
                </c:pt>
                <c:pt idx="8">
                  <c:v>-2.74%</c:v>
                </c:pt>
                <c:pt idx="9">
                  <c:v>-2.63%</c:v>
                </c:pt>
                <c:pt idx="10">
                  <c:v>-2.53%</c:v>
                </c:pt>
                <c:pt idx="11">
                  <c:v>-2.42%</c:v>
                </c:pt>
                <c:pt idx="12">
                  <c:v>-2.32%</c:v>
                </c:pt>
                <c:pt idx="13">
                  <c:v>-2.22%</c:v>
                </c:pt>
                <c:pt idx="14">
                  <c:v>-2.11%</c:v>
                </c:pt>
                <c:pt idx="15">
                  <c:v>-2.01%</c:v>
                </c:pt>
                <c:pt idx="16">
                  <c:v>-1.90%</c:v>
                </c:pt>
                <c:pt idx="17">
                  <c:v>-1.80%</c:v>
                </c:pt>
                <c:pt idx="18">
                  <c:v>-1.69%</c:v>
                </c:pt>
                <c:pt idx="19">
                  <c:v>-1.59%</c:v>
                </c:pt>
                <c:pt idx="20">
                  <c:v>-1.49%</c:v>
                </c:pt>
                <c:pt idx="21">
                  <c:v>-1.38%</c:v>
                </c:pt>
                <c:pt idx="22">
                  <c:v>-1.28%</c:v>
                </c:pt>
                <c:pt idx="23">
                  <c:v>-1.17%</c:v>
                </c:pt>
                <c:pt idx="24">
                  <c:v>-1.07%</c:v>
                </c:pt>
                <c:pt idx="25">
                  <c:v>-0.97%</c:v>
                </c:pt>
                <c:pt idx="26">
                  <c:v>-0.86%</c:v>
                </c:pt>
                <c:pt idx="27">
                  <c:v>-0.76%</c:v>
                </c:pt>
                <c:pt idx="28">
                  <c:v>-0.65%</c:v>
                </c:pt>
                <c:pt idx="29">
                  <c:v>-0.55%</c:v>
                </c:pt>
                <c:pt idx="30">
                  <c:v>-0.44%</c:v>
                </c:pt>
                <c:pt idx="31">
                  <c:v>-0.34%</c:v>
                </c:pt>
                <c:pt idx="32">
                  <c:v>-0.24%</c:v>
                </c:pt>
                <c:pt idx="33">
                  <c:v>-0.13%</c:v>
                </c:pt>
                <c:pt idx="34">
                  <c:v>-0.03%</c:v>
                </c:pt>
                <c:pt idx="35">
                  <c:v>0.08%</c:v>
                </c:pt>
                <c:pt idx="36">
                  <c:v>0.18%</c:v>
                </c:pt>
                <c:pt idx="37">
                  <c:v>0.28%</c:v>
                </c:pt>
                <c:pt idx="38">
                  <c:v>0.39%</c:v>
                </c:pt>
                <c:pt idx="39">
                  <c:v>0.49%</c:v>
                </c:pt>
                <c:pt idx="40">
                  <c:v>0.60%</c:v>
                </c:pt>
                <c:pt idx="41">
                  <c:v>0.70%</c:v>
                </c:pt>
                <c:pt idx="42">
                  <c:v>0.80%</c:v>
                </c:pt>
                <c:pt idx="43">
                  <c:v>0.91%</c:v>
                </c:pt>
                <c:pt idx="44">
                  <c:v>1.01%</c:v>
                </c:pt>
                <c:pt idx="45">
                  <c:v>1.12%</c:v>
                </c:pt>
                <c:pt idx="46">
                  <c:v>1.22%</c:v>
                </c:pt>
                <c:pt idx="47">
                  <c:v>1.33%</c:v>
                </c:pt>
                <c:pt idx="48">
                  <c:v>1.43%</c:v>
                </c:pt>
                <c:pt idx="49">
                  <c:v>1.53%</c:v>
                </c:pt>
                <c:pt idx="50">
                  <c:v>1.64%</c:v>
                </c:pt>
                <c:pt idx="51">
                  <c:v>1.74%</c:v>
                </c:pt>
                <c:pt idx="52">
                  <c:v>1.85%</c:v>
                </c:pt>
                <c:pt idx="53">
                  <c:v>1.95%</c:v>
                </c:pt>
                <c:pt idx="54">
                  <c:v>2.05%</c:v>
                </c:pt>
                <c:pt idx="55">
                  <c:v>2.16%</c:v>
                </c:pt>
                <c:pt idx="56">
                  <c:v>2.26%</c:v>
                </c:pt>
                <c:pt idx="57">
                  <c:v>2.37%</c:v>
                </c:pt>
                <c:pt idx="58">
                  <c:v>2.47%</c:v>
                </c:pt>
                <c:pt idx="59">
                  <c:v>2.58%</c:v>
                </c:pt>
                <c:pt idx="60">
                  <c:v>2.68%</c:v>
                </c:pt>
                <c:pt idx="61">
                  <c:v>2.78%</c:v>
                </c:pt>
                <c:pt idx="62">
                  <c:v>2.89%</c:v>
                </c:pt>
                <c:pt idx="63">
                  <c:v>2.99%</c:v>
                </c:pt>
                <c:pt idx="64">
                  <c:v>3.10%</c:v>
                </c:pt>
                <c:pt idx="65">
                  <c:v>3.20%</c:v>
                </c:pt>
                <c:pt idx="66">
                  <c:v>3.30%</c:v>
                </c:pt>
                <c:pt idx="67">
                  <c:v>3.41%</c:v>
                </c:pt>
                <c:pt idx="68">
                  <c:v>3.51%</c:v>
                </c:pt>
                <c:pt idx="69">
                  <c:v>3.62%</c:v>
                </c:pt>
                <c:pt idx="70">
                  <c:v>More</c:v>
                </c:pt>
              </c:strCache>
            </c:strRef>
          </c:cat>
          <c:val>
            <c:numRef>
              <c:f>Sheet2!$B$2:$B$72</c:f>
              <c:numCache>
                <c:formatCode>General</c:formatCode>
                <c:ptCount val="71"/>
                <c:pt idx="0">
                  <c:v>1</c:v>
                </c:pt>
                <c:pt idx="1">
                  <c:v>0</c:v>
                </c:pt>
                <c:pt idx="2">
                  <c:v>0</c:v>
                </c:pt>
                <c:pt idx="3">
                  <c:v>2</c:v>
                </c:pt>
                <c:pt idx="4">
                  <c:v>0</c:v>
                </c:pt>
                <c:pt idx="5">
                  <c:v>1</c:v>
                </c:pt>
                <c:pt idx="6">
                  <c:v>0</c:v>
                </c:pt>
                <c:pt idx="7">
                  <c:v>1</c:v>
                </c:pt>
                <c:pt idx="8">
                  <c:v>2</c:v>
                </c:pt>
                <c:pt idx="9">
                  <c:v>4</c:v>
                </c:pt>
                <c:pt idx="10">
                  <c:v>5</c:v>
                </c:pt>
                <c:pt idx="11">
                  <c:v>7</c:v>
                </c:pt>
                <c:pt idx="12">
                  <c:v>6</c:v>
                </c:pt>
                <c:pt idx="13">
                  <c:v>13</c:v>
                </c:pt>
                <c:pt idx="14">
                  <c:v>13</c:v>
                </c:pt>
                <c:pt idx="15">
                  <c:v>11</c:v>
                </c:pt>
                <c:pt idx="16">
                  <c:v>24</c:v>
                </c:pt>
                <c:pt idx="17">
                  <c:v>36</c:v>
                </c:pt>
                <c:pt idx="18">
                  <c:v>25</c:v>
                </c:pt>
                <c:pt idx="19">
                  <c:v>41</c:v>
                </c:pt>
                <c:pt idx="20">
                  <c:v>52</c:v>
                </c:pt>
                <c:pt idx="21">
                  <c:v>56</c:v>
                </c:pt>
                <c:pt idx="22">
                  <c:v>67</c:v>
                </c:pt>
                <c:pt idx="23">
                  <c:v>90</c:v>
                </c:pt>
                <c:pt idx="24">
                  <c:v>91</c:v>
                </c:pt>
                <c:pt idx="25">
                  <c:v>113</c:v>
                </c:pt>
                <c:pt idx="26">
                  <c:v>138</c:v>
                </c:pt>
                <c:pt idx="27">
                  <c:v>141</c:v>
                </c:pt>
                <c:pt idx="28">
                  <c:v>178</c:v>
                </c:pt>
                <c:pt idx="29">
                  <c:v>187</c:v>
                </c:pt>
                <c:pt idx="30">
                  <c:v>182</c:v>
                </c:pt>
                <c:pt idx="31">
                  <c:v>195</c:v>
                </c:pt>
                <c:pt idx="32">
                  <c:v>193</c:v>
                </c:pt>
                <c:pt idx="33">
                  <c:v>232</c:v>
                </c:pt>
                <c:pt idx="34">
                  <c:v>230</c:v>
                </c:pt>
                <c:pt idx="35">
                  <c:v>247</c:v>
                </c:pt>
                <c:pt idx="36">
                  <c:v>244</c:v>
                </c:pt>
                <c:pt idx="37">
                  <c:v>217</c:v>
                </c:pt>
                <c:pt idx="38">
                  <c:v>209</c:v>
                </c:pt>
                <c:pt idx="39">
                  <c:v>218</c:v>
                </c:pt>
                <c:pt idx="40">
                  <c:v>209</c:v>
                </c:pt>
                <c:pt idx="41">
                  <c:v>197</c:v>
                </c:pt>
                <c:pt idx="42">
                  <c:v>158</c:v>
                </c:pt>
                <c:pt idx="43">
                  <c:v>147</c:v>
                </c:pt>
                <c:pt idx="44">
                  <c:v>118</c:v>
                </c:pt>
                <c:pt idx="45">
                  <c:v>128</c:v>
                </c:pt>
                <c:pt idx="46">
                  <c:v>97</c:v>
                </c:pt>
                <c:pt idx="47">
                  <c:v>86</c:v>
                </c:pt>
                <c:pt idx="48">
                  <c:v>79</c:v>
                </c:pt>
                <c:pt idx="49">
                  <c:v>73</c:v>
                </c:pt>
                <c:pt idx="50">
                  <c:v>46</c:v>
                </c:pt>
                <c:pt idx="51">
                  <c:v>42</c:v>
                </c:pt>
                <c:pt idx="52">
                  <c:v>31</c:v>
                </c:pt>
                <c:pt idx="53">
                  <c:v>29</c:v>
                </c:pt>
                <c:pt idx="54">
                  <c:v>16</c:v>
                </c:pt>
                <c:pt idx="55">
                  <c:v>21</c:v>
                </c:pt>
                <c:pt idx="56">
                  <c:v>16</c:v>
                </c:pt>
                <c:pt idx="57">
                  <c:v>9</c:v>
                </c:pt>
                <c:pt idx="58">
                  <c:v>3</c:v>
                </c:pt>
                <c:pt idx="59">
                  <c:v>5</c:v>
                </c:pt>
                <c:pt idx="60">
                  <c:v>1</c:v>
                </c:pt>
                <c:pt idx="61">
                  <c:v>4</c:v>
                </c:pt>
                <c:pt idx="62">
                  <c:v>5</c:v>
                </c:pt>
                <c:pt idx="63">
                  <c:v>2</c:v>
                </c:pt>
                <c:pt idx="64">
                  <c:v>2</c:v>
                </c:pt>
                <c:pt idx="65">
                  <c:v>2</c:v>
                </c:pt>
                <c:pt idx="66">
                  <c:v>0</c:v>
                </c:pt>
                <c:pt idx="67">
                  <c:v>0</c:v>
                </c:pt>
                <c:pt idx="68">
                  <c:v>1</c:v>
                </c:pt>
                <c:pt idx="69">
                  <c:v>0</c:v>
                </c:pt>
                <c:pt idx="70">
                  <c:v>1</c:v>
                </c:pt>
              </c:numCache>
            </c:numRef>
          </c:val>
          <c:extLst>
            <c:ext xmlns:c16="http://schemas.microsoft.com/office/drawing/2014/chart" uri="{C3380CC4-5D6E-409C-BE32-E72D297353CC}">
              <c16:uniqueId val="{00000000-66EE-40EA-97A8-D341D53BA658}"/>
            </c:ext>
          </c:extLst>
        </c:ser>
        <c:dLbls>
          <c:showLegendKey val="0"/>
          <c:showVal val="0"/>
          <c:showCatName val="0"/>
          <c:showSerName val="0"/>
          <c:showPercent val="0"/>
          <c:showBubbleSize val="0"/>
        </c:dLbls>
        <c:gapWidth val="219"/>
        <c:overlap val="-27"/>
        <c:axId val="1154347856"/>
        <c:axId val="1154351824"/>
      </c:barChart>
      <c:catAx>
        <c:axId val="1154347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351824"/>
        <c:crosses val="autoZero"/>
        <c:auto val="1"/>
        <c:lblAlgn val="ctr"/>
        <c:lblOffset val="100"/>
        <c:noMultiLvlLbl val="0"/>
      </c:catAx>
      <c:valAx>
        <c:axId val="1154351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347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22972888057499"/>
          <c:y val="0.149669169537088"/>
          <c:w val="0.82011533088750599"/>
          <c:h val="0.62463773423670899"/>
        </c:manualLayout>
      </c:layout>
      <c:barChart>
        <c:barDir val="col"/>
        <c:grouping val="clustered"/>
        <c:varyColors val="0"/>
        <c:ser>
          <c:idx val="0"/>
          <c:order val="0"/>
          <c:tx>
            <c:v>Normal Distribution</c:v>
          </c:tx>
          <c:spPr>
            <a:solidFill>
              <a:schemeClr val="accent1"/>
            </a:solidFill>
            <a:ln>
              <a:noFill/>
            </a:ln>
            <a:effectLst/>
          </c:spPr>
          <c:invertIfNegative val="0"/>
          <c:trendline>
            <c:name>Normal Distribution</c:name>
            <c:spPr>
              <a:ln w="19050" cap="rnd">
                <a:solidFill>
                  <a:srgbClr val="FF0000"/>
                </a:solidFill>
                <a:prstDash val="sysDot"/>
              </a:ln>
              <a:effectLst/>
            </c:spPr>
            <c:trendlineType val="movingAvg"/>
            <c:period val="2"/>
            <c:dispRSqr val="0"/>
            <c:dispEq val="0"/>
          </c:trendline>
          <c:cat>
            <c:strRef>
              <c:f>'Bonds VaR final (2)'!$U$270:$U$285</c:f>
              <c:strCache>
                <c:ptCount val="16"/>
                <c:pt idx="0">
                  <c:v>-0.89%</c:v>
                </c:pt>
                <c:pt idx="1">
                  <c:v>-0.78%</c:v>
                </c:pt>
                <c:pt idx="2">
                  <c:v>-0.67%</c:v>
                </c:pt>
                <c:pt idx="3">
                  <c:v>-0.56%</c:v>
                </c:pt>
                <c:pt idx="4">
                  <c:v>-0.45%</c:v>
                </c:pt>
                <c:pt idx="5">
                  <c:v>-0.35%</c:v>
                </c:pt>
                <c:pt idx="6">
                  <c:v>-0.24%</c:v>
                </c:pt>
                <c:pt idx="7">
                  <c:v>-0.13%</c:v>
                </c:pt>
                <c:pt idx="8">
                  <c:v>-0.02%</c:v>
                </c:pt>
                <c:pt idx="9">
                  <c:v>0.09%</c:v>
                </c:pt>
                <c:pt idx="10">
                  <c:v>0.20%</c:v>
                </c:pt>
                <c:pt idx="11">
                  <c:v>0.31%</c:v>
                </c:pt>
                <c:pt idx="12">
                  <c:v>0.42%</c:v>
                </c:pt>
                <c:pt idx="13">
                  <c:v>0.52%</c:v>
                </c:pt>
                <c:pt idx="14">
                  <c:v>0.63%</c:v>
                </c:pt>
                <c:pt idx="15">
                  <c:v>More</c:v>
                </c:pt>
              </c:strCache>
            </c:strRef>
          </c:cat>
          <c:val>
            <c:numRef>
              <c:f>'Bonds VaR final (2)'!$V$270:$V$285</c:f>
              <c:numCache>
                <c:formatCode>_-* #,##0_-;\-* #,##0_-;_-* "-"??_-;_-@_-</c:formatCode>
                <c:ptCount val="16"/>
                <c:pt idx="0">
                  <c:v>1</c:v>
                </c:pt>
                <c:pt idx="1">
                  <c:v>0</c:v>
                </c:pt>
                <c:pt idx="2">
                  <c:v>0</c:v>
                </c:pt>
                <c:pt idx="3">
                  <c:v>0</c:v>
                </c:pt>
                <c:pt idx="4">
                  <c:v>2</c:v>
                </c:pt>
                <c:pt idx="5">
                  <c:v>2</c:v>
                </c:pt>
                <c:pt idx="6">
                  <c:v>1</c:v>
                </c:pt>
                <c:pt idx="7">
                  <c:v>5</c:v>
                </c:pt>
                <c:pt idx="8">
                  <c:v>45</c:v>
                </c:pt>
                <c:pt idx="9">
                  <c:v>175</c:v>
                </c:pt>
                <c:pt idx="10">
                  <c:v>13</c:v>
                </c:pt>
                <c:pt idx="11">
                  <c:v>2</c:v>
                </c:pt>
                <c:pt idx="12">
                  <c:v>0</c:v>
                </c:pt>
                <c:pt idx="13">
                  <c:v>0</c:v>
                </c:pt>
                <c:pt idx="14">
                  <c:v>2</c:v>
                </c:pt>
                <c:pt idx="15">
                  <c:v>1</c:v>
                </c:pt>
              </c:numCache>
            </c:numRef>
          </c:val>
          <c:extLst>
            <c:ext xmlns:c16="http://schemas.microsoft.com/office/drawing/2014/chart" uri="{C3380CC4-5D6E-409C-BE32-E72D297353CC}">
              <c16:uniqueId val="{00000001-D4D6-48E1-A7D9-8CB9C6B0C53B}"/>
            </c:ext>
          </c:extLst>
        </c:ser>
        <c:dLbls>
          <c:showLegendKey val="0"/>
          <c:showVal val="0"/>
          <c:showCatName val="0"/>
          <c:showSerName val="0"/>
          <c:showPercent val="0"/>
          <c:showBubbleSize val="0"/>
        </c:dLbls>
        <c:gapWidth val="20"/>
        <c:overlap val="-10"/>
        <c:axId val="768057152"/>
        <c:axId val="1153807680"/>
      </c:barChart>
      <c:catAx>
        <c:axId val="768057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i="0" baseline="0"/>
                  <a:t>Average returns</a:t>
                </a:r>
              </a:p>
            </c:rich>
          </c:tx>
          <c:layout>
            <c:manualLayout>
              <c:xMode val="edge"/>
              <c:yMode val="edge"/>
              <c:x val="0.51210435150268396"/>
              <c:y val="0.92053737206607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3807680"/>
        <c:crosses val="autoZero"/>
        <c:auto val="1"/>
        <c:lblAlgn val="ctr"/>
        <c:lblOffset val="100"/>
        <c:noMultiLvlLbl val="0"/>
      </c:catAx>
      <c:valAx>
        <c:axId val="1153807680"/>
        <c:scaling>
          <c:orientation val="minMax"/>
          <c:max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GB" sz="900" b="1" i="0" baseline="0"/>
                  <a:t>Frequency</a:t>
                </a:r>
              </a:p>
            </c:rich>
          </c:tx>
          <c:layout>
            <c:manualLayout>
              <c:xMode val="edge"/>
              <c:yMode val="edge"/>
              <c:x val="2.1098899638390602E-2"/>
              <c:y val="0.36794386927787198"/>
            </c:manualLayout>
          </c:layout>
          <c:overlay val="0"/>
          <c:spPr>
            <a:noFill/>
            <a:ln>
              <a:noFill/>
            </a:ln>
            <a:effectLst/>
          </c:sp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68057152"/>
        <c:crosses val="autoZero"/>
        <c:crossBetween val="between"/>
        <c:majorUnit val="20"/>
      </c:valAx>
      <c:spPr>
        <a:noFill/>
        <a:ln>
          <a:noFill/>
        </a:ln>
        <a:effectLst/>
      </c:spPr>
    </c:plotArea>
    <c:legend>
      <c:legendPos val="t"/>
      <c:layout>
        <c:manualLayout>
          <c:xMode val="edge"/>
          <c:yMode val="edge"/>
          <c:x val="0.15683047906304501"/>
          <c:y val="4.2013469246576701E-2"/>
          <c:w val="0.73835848484150002"/>
          <c:h val="7.45587042731557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Dar Al</a:t>
            </a:r>
            <a:r>
              <a:rPr lang="en-GB" sz="1000" baseline="0"/>
              <a:t> Arkan Sukuk Co_5000 iterations</a:t>
            </a:r>
            <a:endParaRPr lang="en-GB" sz="1000"/>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Sheet1!$A$2:$A$72</c:f>
              <c:strCache>
                <c:ptCount val="71"/>
                <c:pt idx="0">
                  <c:v>-3.57%</c:v>
                </c:pt>
                <c:pt idx="1">
                  <c:v>-3.47%</c:v>
                </c:pt>
                <c:pt idx="2">
                  <c:v>-3.36%</c:v>
                </c:pt>
                <c:pt idx="3">
                  <c:v>-3.26%</c:v>
                </c:pt>
                <c:pt idx="4">
                  <c:v>-3.15%</c:v>
                </c:pt>
                <c:pt idx="5">
                  <c:v>-3.05%</c:v>
                </c:pt>
                <c:pt idx="6">
                  <c:v>-2.94%</c:v>
                </c:pt>
                <c:pt idx="7">
                  <c:v>-2.84%</c:v>
                </c:pt>
                <c:pt idx="8">
                  <c:v>-2.74%</c:v>
                </c:pt>
                <c:pt idx="9">
                  <c:v>-2.63%</c:v>
                </c:pt>
                <c:pt idx="10">
                  <c:v>-2.53%</c:v>
                </c:pt>
                <c:pt idx="11">
                  <c:v>-2.42%</c:v>
                </c:pt>
                <c:pt idx="12">
                  <c:v>-2.32%</c:v>
                </c:pt>
                <c:pt idx="13">
                  <c:v>-2.22%</c:v>
                </c:pt>
                <c:pt idx="14">
                  <c:v>-2.11%</c:v>
                </c:pt>
                <c:pt idx="15">
                  <c:v>-2.01%</c:v>
                </c:pt>
                <c:pt idx="16">
                  <c:v>-1.90%</c:v>
                </c:pt>
                <c:pt idx="17">
                  <c:v>-1.80%</c:v>
                </c:pt>
                <c:pt idx="18">
                  <c:v>-1.69%</c:v>
                </c:pt>
                <c:pt idx="19">
                  <c:v>-1.59%</c:v>
                </c:pt>
                <c:pt idx="20">
                  <c:v>-1.49%</c:v>
                </c:pt>
                <c:pt idx="21">
                  <c:v>-1.38%</c:v>
                </c:pt>
                <c:pt idx="22">
                  <c:v>-1.28%</c:v>
                </c:pt>
                <c:pt idx="23">
                  <c:v>-1.17%</c:v>
                </c:pt>
                <c:pt idx="24">
                  <c:v>-1.07%</c:v>
                </c:pt>
                <c:pt idx="25">
                  <c:v>-0.97%</c:v>
                </c:pt>
                <c:pt idx="26">
                  <c:v>-0.86%</c:v>
                </c:pt>
                <c:pt idx="27">
                  <c:v>-0.76%</c:v>
                </c:pt>
                <c:pt idx="28">
                  <c:v>-0.65%</c:v>
                </c:pt>
                <c:pt idx="29">
                  <c:v>-0.55%</c:v>
                </c:pt>
                <c:pt idx="30">
                  <c:v>-0.44%</c:v>
                </c:pt>
                <c:pt idx="31">
                  <c:v>-0.34%</c:v>
                </c:pt>
                <c:pt idx="32">
                  <c:v>-0.24%</c:v>
                </c:pt>
                <c:pt idx="33">
                  <c:v>-0.13%</c:v>
                </c:pt>
                <c:pt idx="34">
                  <c:v>-0.03%</c:v>
                </c:pt>
                <c:pt idx="35">
                  <c:v>0.08%</c:v>
                </c:pt>
                <c:pt idx="36">
                  <c:v>0.18%</c:v>
                </c:pt>
                <c:pt idx="37">
                  <c:v>0.28%</c:v>
                </c:pt>
                <c:pt idx="38">
                  <c:v>0.39%</c:v>
                </c:pt>
                <c:pt idx="39">
                  <c:v>0.49%</c:v>
                </c:pt>
                <c:pt idx="40">
                  <c:v>0.60%</c:v>
                </c:pt>
                <c:pt idx="41">
                  <c:v>0.70%</c:v>
                </c:pt>
                <c:pt idx="42">
                  <c:v>0.80%</c:v>
                </c:pt>
                <c:pt idx="43">
                  <c:v>0.91%</c:v>
                </c:pt>
                <c:pt idx="44">
                  <c:v>1.01%</c:v>
                </c:pt>
                <c:pt idx="45">
                  <c:v>1.12%</c:v>
                </c:pt>
                <c:pt idx="46">
                  <c:v>1.22%</c:v>
                </c:pt>
                <c:pt idx="47">
                  <c:v>1.33%</c:v>
                </c:pt>
                <c:pt idx="48">
                  <c:v>1.43%</c:v>
                </c:pt>
                <c:pt idx="49">
                  <c:v>1.53%</c:v>
                </c:pt>
                <c:pt idx="50">
                  <c:v>1.64%</c:v>
                </c:pt>
                <c:pt idx="51">
                  <c:v>1.74%</c:v>
                </c:pt>
                <c:pt idx="52">
                  <c:v>1.85%</c:v>
                </c:pt>
                <c:pt idx="53">
                  <c:v>1.95%</c:v>
                </c:pt>
                <c:pt idx="54">
                  <c:v>2.05%</c:v>
                </c:pt>
                <c:pt idx="55">
                  <c:v>2.16%</c:v>
                </c:pt>
                <c:pt idx="56">
                  <c:v>2.26%</c:v>
                </c:pt>
                <c:pt idx="57">
                  <c:v>2.37%</c:v>
                </c:pt>
                <c:pt idx="58">
                  <c:v>2.47%</c:v>
                </c:pt>
                <c:pt idx="59">
                  <c:v>2.58%</c:v>
                </c:pt>
                <c:pt idx="60">
                  <c:v>2.68%</c:v>
                </c:pt>
                <c:pt idx="61">
                  <c:v>2.78%</c:v>
                </c:pt>
                <c:pt idx="62">
                  <c:v>2.89%</c:v>
                </c:pt>
                <c:pt idx="63">
                  <c:v>2.99%</c:v>
                </c:pt>
                <c:pt idx="64">
                  <c:v>3.10%</c:v>
                </c:pt>
                <c:pt idx="65">
                  <c:v>3.20%</c:v>
                </c:pt>
                <c:pt idx="66">
                  <c:v>3.30%</c:v>
                </c:pt>
                <c:pt idx="67">
                  <c:v>3.41%</c:v>
                </c:pt>
                <c:pt idx="68">
                  <c:v>3.51%</c:v>
                </c:pt>
                <c:pt idx="69">
                  <c:v>3.62%</c:v>
                </c:pt>
                <c:pt idx="70">
                  <c:v>More</c:v>
                </c:pt>
              </c:strCache>
            </c:strRef>
          </c:cat>
          <c:val>
            <c:numRef>
              <c:f>Sheet1!$B$2:$B$72</c:f>
              <c:numCache>
                <c:formatCode>General</c:formatCode>
                <c:ptCount val="71"/>
                <c:pt idx="0">
                  <c:v>1</c:v>
                </c:pt>
                <c:pt idx="1">
                  <c:v>0</c:v>
                </c:pt>
                <c:pt idx="2">
                  <c:v>0</c:v>
                </c:pt>
                <c:pt idx="3">
                  <c:v>2</c:v>
                </c:pt>
                <c:pt idx="4">
                  <c:v>0</c:v>
                </c:pt>
                <c:pt idx="5">
                  <c:v>1</c:v>
                </c:pt>
                <c:pt idx="6">
                  <c:v>0</c:v>
                </c:pt>
                <c:pt idx="7">
                  <c:v>1</c:v>
                </c:pt>
                <c:pt idx="8">
                  <c:v>2</c:v>
                </c:pt>
                <c:pt idx="9">
                  <c:v>4</c:v>
                </c:pt>
                <c:pt idx="10">
                  <c:v>5</c:v>
                </c:pt>
                <c:pt idx="11">
                  <c:v>7</c:v>
                </c:pt>
                <c:pt idx="12">
                  <c:v>6</c:v>
                </c:pt>
                <c:pt idx="13">
                  <c:v>13</c:v>
                </c:pt>
                <c:pt idx="14">
                  <c:v>13</c:v>
                </c:pt>
                <c:pt idx="15">
                  <c:v>11</c:v>
                </c:pt>
                <c:pt idx="16">
                  <c:v>24</c:v>
                </c:pt>
                <c:pt idx="17">
                  <c:v>36</c:v>
                </c:pt>
                <c:pt idx="18">
                  <c:v>25</c:v>
                </c:pt>
                <c:pt idx="19">
                  <c:v>41</c:v>
                </c:pt>
                <c:pt idx="20">
                  <c:v>52</c:v>
                </c:pt>
                <c:pt idx="21">
                  <c:v>56</c:v>
                </c:pt>
                <c:pt idx="22">
                  <c:v>67</c:v>
                </c:pt>
                <c:pt idx="23">
                  <c:v>90</c:v>
                </c:pt>
                <c:pt idx="24">
                  <c:v>91</c:v>
                </c:pt>
                <c:pt idx="25">
                  <c:v>113</c:v>
                </c:pt>
                <c:pt idx="26">
                  <c:v>138</c:v>
                </c:pt>
                <c:pt idx="27">
                  <c:v>141</c:v>
                </c:pt>
                <c:pt idx="28">
                  <c:v>178</c:v>
                </c:pt>
                <c:pt idx="29">
                  <c:v>187</c:v>
                </c:pt>
                <c:pt idx="30">
                  <c:v>182</c:v>
                </c:pt>
                <c:pt idx="31">
                  <c:v>195</c:v>
                </c:pt>
                <c:pt idx="32">
                  <c:v>193</c:v>
                </c:pt>
                <c:pt idx="33">
                  <c:v>232</c:v>
                </c:pt>
                <c:pt idx="34">
                  <c:v>230</c:v>
                </c:pt>
                <c:pt idx="35">
                  <c:v>247</c:v>
                </c:pt>
                <c:pt idx="36">
                  <c:v>244</c:v>
                </c:pt>
                <c:pt idx="37">
                  <c:v>217</c:v>
                </c:pt>
                <c:pt idx="38">
                  <c:v>209</c:v>
                </c:pt>
                <c:pt idx="39">
                  <c:v>218</c:v>
                </c:pt>
                <c:pt idx="40">
                  <c:v>209</c:v>
                </c:pt>
                <c:pt idx="41">
                  <c:v>197</c:v>
                </c:pt>
                <c:pt idx="42">
                  <c:v>158</c:v>
                </c:pt>
                <c:pt idx="43">
                  <c:v>147</c:v>
                </c:pt>
                <c:pt idx="44">
                  <c:v>118</c:v>
                </c:pt>
                <c:pt idx="45">
                  <c:v>128</c:v>
                </c:pt>
                <c:pt idx="46">
                  <c:v>97</c:v>
                </c:pt>
                <c:pt idx="47">
                  <c:v>86</c:v>
                </c:pt>
                <c:pt idx="48">
                  <c:v>79</c:v>
                </c:pt>
                <c:pt idx="49">
                  <c:v>73</c:v>
                </c:pt>
                <c:pt idx="50">
                  <c:v>46</c:v>
                </c:pt>
                <c:pt idx="51">
                  <c:v>42</c:v>
                </c:pt>
                <c:pt idx="52">
                  <c:v>31</c:v>
                </c:pt>
                <c:pt idx="53">
                  <c:v>29</c:v>
                </c:pt>
                <c:pt idx="54">
                  <c:v>16</c:v>
                </c:pt>
                <c:pt idx="55">
                  <c:v>21</c:v>
                </c:pt>
                <c:pt idx="56">
                  <c:v>16</c:v>
                </c:pt>
                <c:pt idx="57">
                  <c:v>9</c:v>
                </c:pt>
                <c:pt idx="58">
                  <c:v>3</c:v>
                </c:pt>
                <c:pt idx="59">
                  <c:v>5</c:v>
                </c:pt>
                <c:pt idx="60">
                  <c:v>1</c:v>
                </c:pt>
                <c:pt idx="61">
                  <c:v>4</c:v>
                </c:pt>
                <c:pt idx="62">
                  <c:v>5</c:v>
                </c:pt>
                <c:pt idx="63">
                  <c:v>2</c:v>
                </c:pt>
                <c:pt idx="64">
                  <c:v>2</c:v>
                </c:pt>
                <c:pt idx="65">
                  <c:v>2</c:v>
                </c:pt>
                <c:pt idx="66">
                  <c:v>0</c:v>
                </c:pt>
                <c:pt idx="67">
                  <c:v>0</c:v>
                </c:pt>
                <c:pt idx="68">
                  <c:v>1</c:v>
                </c:pt>
                <c:pt idx="69">
                  <c:v>0</c:v>
                </c:pt>
                <c:pt idx="70">
                  <c:v>1</c:v>
                </c:pt>
              </c:numCache>
            </c:numRef>
          </c:val>
          <c:extLst>
            <c:ext xmlns:c16="http://schemas.microsoft.com/office/drawing/2014/chart" uri="{C3380CC4-5D6E-409C-BE32-E72D297353CC}">
              <c16:uniqueId val="{00000000-4EF1-414B-BE00-865C3A222C9B}"/>
            </c:ext>
          </c:extLst>
        </c:ser>
        <c:dLbls>
          <c:showLegendKey val="0"/>
          <c:showVal val="0"/>
          <c:showCatName val="0"/>
          <c:showSerName val="0"/>
          <c:showPercent val="0"/>
          <c:showBubbleSize val="0"/>
        </c:dLbls>
        <c:gapWidth val="219"/>
        <c:overlap val="-27"/>
        <c:axId val="767861360"/>
        <c:axId val="767838192"/>
      </c:barChart>
      <c:catAx>
        <c:axId val="767861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838192"/>
        <c:crosses val="autoZero"/>
        <c:auto val="1"/>
        <c:lblAlgn val="ctr"/>
        <c:lblOffset val="100"/>
        <c:noMultiLvlLbl val="0"/>
      </c:catAx>
      <c:valAx>
        <c:axId val="767838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861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Dar Al Arkan Sukuk Co - 10</a:t>
            </a:r>
            <a:r>
              <a:rPr lang="en-GB" sz="1000" baseline="0"/>
              <a:t> Days MCS </a:t>
            </a:r>
            <a:endParaRPr lang="en-GB" sz="1000"/>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Data!$C$7:$C$16</c:f>
              <c:numCache>
                <c:formatCode>0.00%</c:formatCode>
                <c:ptCount val="10"/>
                <c:pt idx="0">
                  <c:v>5.4151593220007404E-3</c:v>
                </c:pt>
                <c:pt idx="1">
                  <c:v>-1.8246656556412299E-3</c:v>
                </c:pt>
                <c:pt idx="2">
                  <c:v>-4.40187209658679E-3</c:v>
                </c:pt>
                <c:pt idx="3">
                  <c:v>8.7692247702537106E-3</c:v>
                </c:pt>
                <c:pt idx="4">
                  <c:v>1.6569835891768799E-2</c:v>
                </c:pt>
                <c:pt idx="5">
                  <c:v>-4.8856459740777699E-3</c:v>
                </c:pt>
                <c:pt idx="6">
                  <c:v>-1.19222647758372E-2</c:v>
                </c:pt>
                <c:pt idx="7">
                  <c:v>8.4776357205019401E-3</c:v>
                </c:pt>
                <c:pt idx="8">
                  <c:v>1.13439165196203E-4</c:v>
                </c:pt>
                <c:pt idx="9">
                  <c:v>8.4455130858344992E-3</c:v>
                </c:pt>
              </c:numCache>
            </c:numRef>
          </c:val>
          <c:smooth val="0"/>
          <c:extLst>
            <c:ext xmlns:c16="http://schemas.microsoft.com/office/drawing/2014/chart" uri="{C3380CC4-5D6E-409C-BE32-E72D297353CC}">
              <c16:uniqueId val="{00000000-6A51-41B8-A437-36963F614001}"/>
            </c:ext>
          </c:extLst>
        </c:ser>
        <c:dLbls>
          <c:showLegendKey val="0"/>
          <c:showVal val="0"/>
          <c:showCatName val="0"/>
          <c:showSerName val="0"/>
          <c:showPercent val="0"/>
          <c:showBubbleSize val="0"/>
        </c:dLbls>
        <c:marker val="1"/>
        <c:smooth val="0"/>
        <c:axId val="768084304"/>
        <c:axId val="1154056080"/>
      </c:lineChart>
      <c:catAx>
        <c:axId val="76808430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056080"/>
        <c:crosses val="autoZero"/>
        <c:auto val="1"/>
        <c:lblAlgn val="ctr"/>
        <c:lblOffset val="100"/>
        <c:noMultiLvlLbl val="0"/>
      </c:catAx>
      <c:valAx>
        <c:axId val="1154056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084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Hong Kong Sukuk Ltd</a:t>
            </a:r>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Sheet23!$A$2:$A$72</c:f>
              <c:strCache>
                <c:ptCount val="71"/>
                <c:pt idx="0">
                  <c:v>-3.57%</c:v>
                </c:pt>
                <c:pt idx="1">
                  <c:v>-3.47%</c:v>
                </c:pt>
                <c:pt idx="2">
                  <c:v>-3.36%</c:v>
                </c:pt>
                <c:pt idx="3">
                  <c:v>-3.26%</c:v>
                </c:pt>
                <c:pt idx="4">
                  <c:v>-3.15%</c:v>
                </c:pt>
                <c:pt idx="5">
                  <c:v>-3.05%</c:v>
                </c:pt>
                <c:pt idx="6">
                  <c:v>-2.94%</c:v>
                </c:pt>
                <c:pt idx="7">
                  <c:v>-2.84%</c:v>
                </c:pt>
                <c:pt idx="8">
                  <c:v>-2.74%</c:v>
                </c:pt>
                <c:pt idx="9">
                  <c:v>-2.63%</c:v>
                </c:pt>
                <c:pt idx="10">
                  <c:v>-2.53%</c:v>
                </c:pt>
                <c:pt idx="11">
                  <c:v>-2.42%</c:v>
                </c:pt>
                <c:pt idx="12">
                  <c:v>-2.32%</c:v>
                </c:pt>
                <c:pt idx="13">
                  <c:v>-2.22%</c:v>
                </c:pt>
                <c:pt idx="14">
                  <c:v>-2.11%</c:v>
                </c:pt>
                <c:pt idx="15">
                  <c:v>-2.01%</c:v>
                </c:pt>
                <c:pt idx="16">
                  <c:v>-1.90%</c:v>
                </c:pt>
                <c:pt idx="17">
                  <c:v>-1.80%</c:v>
                </c:pt>
                <c:pt idx="18">
                  <c:v>-1.69%</c:v>
                </c:pt>
                <c:pt idx="19">
                  <c:v>-1.59%</c:v>
                </c:pt>
                <c:pt idx="20">
                  <c:v>-1.49%</c:v>
                </c:pt>
                <c:pt idx="21">
                  <c:v>-1.38%</c:v>
                </c:pt>
                <c:pt idx="22">
                  <c:v>-1.28%</c:v>
                </c:pt>
                <c:pt idx="23">
                  <c:v>-1.17%</c:v>
                </c:pt>
                <c:pt idx="24">
                  <c:v>-1.07%</c:v>
                </c:pt>
                <c:pt idx="25">
                  <c:v>-0.97%</c:v>
                </c:pt>
                <c:pt idx="26">
                  <c:v>-0.86%</c:v>
                </c:pt>
                <c:pt idx="27">
                  <c:v>-0.76%</c:v>
                </c:pt>
                <c:pt idx="28">
                  <c:v>-0.65%</c:v>
                </c:pt>
                <c:pt idx="29">
                  <c:v>-0.55%</c:v>
                </c:pt>
                <c:pt idx="30">
                  <c:v>-0.44%</c:v>
                </c:pt>
                <c:pt idx="31">
                  <c:v>-0.34%</c:v>
                </c:pt>
                <c:pt idx="32">
                  <c:v>-0.24%</c:v>
                </c:pt>
                <c:pt idx="33">
                  <c:v>-0.13%</c:v>
                </c:pt>
                <c:pt idx="34">
                  <c:v>-0.03%</c:v>
                </c:pt>
                <c:pt idx="35">
                  <c:v>0.08%</c:v>
                </c:pt>
                <c:pt idx="36">
                  <c:v>0.18%</c:v>
                </c:pt>
                <c:pt idx="37">
                  <c:v>0.28%</c:v>
                </c:pt>
                <c:pt idx="38">
                  <c:v>0.39%</c:v>
                </c:pt>
                <c:pt idx="39">
                  <c:v>0.49%</c:v>
                </c:pt>
                <c:pt idx="40">
                  <c:v>0.60%</c:v>
                </c:pt>
                <c:pt idx="41">
                  <c:v>0.70%</c:v>
                </c:pt>
                <c:pt idx="42">
                  <c:v>0.80%</c:v>
                </c:pt>
                <c:pt idx="43">
                  <c:v>0.91%</c:v>
                </c:pt>
                <c:pt idx="44">
                  <c:v>1.01%</c:v>
                </c:pt>
                <c:pt idx="45">
                  <c:v>1.12%</c:v>
                </c:pt>
                <c:pt idx="46">
                  <c:v>1.22%</c:v>
                </c:pt>
                <c:pt idx="47">
                  <c:v>1.33%</c:v>
                </c:pt>
                <c:pt idx="48">
                  <c:v>1.43%</c:v>
                </c:pt>
                <c:pt idx="49">
                  <c:v>1.53%</c:v>
                </c:pt>
                <c:pt idx="50">
                  <c:v>1.64%</c:v>
                </c:pt>
                <c:pt idx="51">
                  <c:v>1.74%</c:v>
                </c:pt>
                <c:pt idx="52">
                  <c:v>1.85%</c:v>
                </c:pt>
                <c:pt idx="53">
                  <c:v>1.95%</c:v>
                </c:pt>
                <c:pt idx="54">
                  <c:v>2.05%</c:v>
                </c:pt>
                <c:pt idx="55">
                  <c:v>2.16%</c:v>
                </c:pt>
                <c:pt idx="56">
                  <c:v>2.26%</c:v>
                </c:pt>
                <c:pt idx="57">
                  <c:v>2.37%</c:v>
                </c:pt>
                <c:pt idx="58">
                  <c:v>2.47%</c:v>
                </c:pt>
                <c:pt idx="59">
                  <c:v>2.58%</c:v>
                </c:pt>
                <c:pt idx="60">
                  <c:v>2.68%</c:v>
                </c:pt>
                <c:pt idx="61">
                  <c:v>2.78%</c:v>
                </c:pt>
                <c:pt idx="62">
                  <c:v>2.89%</c:v>
                </c:pt>
                <c:pt idx="63">
                  <c:v>2.99%</c:v>
                </c:pt>
                <c:pt idx="64">
                  <c:v>3.10%</c:v>
                </c:pt>
                <c:pt idx="65">
                  <c:v>3.20%</c:v>
                </c:pt>
                <c:pt idx="66">
                  <c:v>3.30%</c:v>
                </c:pt>
                <c:pt idx="67">
                  <c:v>3.41%</c:v>
                </c:pt>
                <c:pt idx="68">
                  <c:v>3.51%</c:v>
                </c:pt>
                <c:pt idx="69">
                  <c:v>3.62%</c:v>
                </c:pt>
                <c:pt idx="70">
                  <c:v>More</c:v>
                </c:pt>
              </c:strCache>
            </c:strRef>
          </c:cat>
          <c:val>
            <c:numRef>
              <c:f>Sheet23!$B$2:$B$72</c:f>
              <c:numCache>
                <c:formatCode>General</c:formatCode>
                <c:ptCount val="71"/>
                <c:pt idx="0">
                  <c:v>1</c:v>
                </c:pt>
                <c:pt idx="1">
                  <c:v>0</c:v>
                </c:pt>
                <c:pt idx="2">
                  <c:v>0</c:v>
                </c:pt>
                <c:pt idx="3">
                  <c:v>2</c:v>
                </c:pt>
                <c:pt idx="4">
                  <c:v>0</c:v>
                </c:pt>
                <c:pt idx="5">
                  <c:v>1</c:v>
                </c:pt>
                <c:pt idx="6">
                  <c:v>0</c:v>
                </c:pt>
                <c:pt idx="7">
                  <c:v>1</c:v>
                </c:pt>
                <c:pt idx="8">
                  <c:v>2</c:v>
                </c:pt>
                <c:pt idx="9">
                  <c:v>4</c:v>
                </c:pt>
                <c:pt idx="10">
                  <c:v>5</c:v>
                </c:pt>
                <c:pt idx="11">
                  <c:v>7</c:v>
                </c:pt>
                <c:pt idx="12">
                  <c:v>6</c:v>
                </c:pt>
                <c:pt idx="13">
                  <c:v>13</c:v>
                </c:pt>
                <c:pt idx="14">
                  <c:v>13</c:v>
                </c:pt>
                <c:pt idx="15">
                  <c:v>11</c:v>
                </c:pt>
                <c:pt idx="16">
                  <c:v>24</c:v>
                </c:pt>
                <c:pt idx="17">
                  <c:v>36</c:v>
                </c:pt>
                <c:pt idx="18">
                  <c:v>25</c:v>
                </c:pt>
                <c:pt idx="19">
                  <c:v>41</c:v>
                </c:pt>
                <c:pt idx="20">
                  <c:v>52</c:v>
                </c:pt>
                <c:pt idx="21">
                  <c:v>56</c:v>
                </c:pt>
                <c:pt idx="22">
                  <c:v>67</c:v>
                </c:pt>
                <c:pt idx="23">
                  <c:v>90</c:v>
                </c:pt>
                <c:pt idx="24">
                  <c:v>91</c:v>
                </c:pt>
                <c:pt idx="25">
                  <c:v>113</c:v>
                </c:pt>
                <c:pt idx="26">
                  <c:v>138</c:v>
                </c:pt>
                <c:pt idx="27">
                  <c:v>141</c:v>
                </c:pt>
                <c:pt idx="28">
                  <c:v>178</c:v>
                </c:pt>
                <c:pt idx="29">
                  <c:v>187</c:v>
                </c:pt>
                <c:pt idx="30">
                  <c:v>182</c:v>
                </c:pt>
                <c:pt idx="31">
                  <c:v>195</c:v>
                </c:pt>
                <c:pt idx="32">
                  <c:v>193</c:v>
                </c:pt>
                <c:pt idx="33">
                  <c:v>232</c:v>
                </c:pt>
                <c:pt idx="34">
                  <c:v>230</c:v>
                </c:pt>
                <c:pt idx="35">
                  <c:v>247</c:v>
                </c:pt>
                <c:pt idx="36">
                  <c:v>244</c:v>
                </c:pt>
                <c:pt idx="37">
                  <c:v>217</c:v>
                </c:pt>
                <c:pt idx="38">
                  <c:v>209</c:v>
                </c:pt>
                <c:pt idx="39">
                  <c:v>218</c:v>
                </c:pt>
                <c:pt idx="40">
                  <c:v>209</c:v>
                </c:pt>
                <c:pt idx="41">
                  <c:v>197</c:v>
                </c:pt>
                <c:pt idx="42">
                  <c:v>158</c:v>
                </c:pt>
                <c:pt idx="43">
                  <c:v>147</c:v>
                </c:pt>
                <c:pt idx="44">
                  <c:v>118</c:v>
                </c:pt>
                <c:pt idx="45">
                  <c:v>128</c:v>
                </c:pt>
                <c:pt idx="46">
                  <c:v>97</c:v>
                </c:pt>
                <c:pt idx="47">
                  <c:v>86</c:v>
                </c:pt>
                <c:pt idx="48">
                  <c:v>79</c:v>
                </c:pt>
                <c:pt idx="49">
                  <c:v>73</c:v>
                </c:pt>
                <c:pt idx="50">
                  <c:v>46</c:v>
                </c:pt>
                <c:pt idx="51">
                  <c:v>42</c:v>
                </c:pt>
                <c:pt idx="52">
                  <c:v>31</c:v>
                </c:pt>
                <c:pt idx="53">
                  <c:v>29</c:v>
                </c:pt>
                <c:pt idx="54">
                  <c:v>16</c:v>
                </c:pt>
                <c:pt idx="55">
                  <c:v>21</c:v>
                </c:pt>
                <c:pt idx="56">
                  <c:v>16</c:v>
                </c:pt>
                <c:pt idx="57">
                  <c:v>9</c:v>
                </c:pt>
                <c:pt idx="58">
                  <c:v>3</c:v>
                </c:pt>
                <c:pt idx="59">
                  <c:v>5</c:v>
                </c:pt>
                <c:pt idx="60">
                  <c:v>1</c:v>
                </c:pt>
                <c:pt idx="61">
                  <c:v>4</c:v>
                </c:pt>
                <c:pt idx="62">
                  <c:v>5</c:v>
                </c:pt>
                <c:pt idx="63">
                  <c:v>2</c:v>
                </c:pt>
                <c:pt idx="64">
                  <c:v>2</c:v>
                </c:pt>
                <c:pt idx="65">
                  <c:v>2</c:v>
                </c:pt>
                <c:pt idx="66">
                  <c:v>0</c:v>
                </c:pt>
                <c:pt idx="67">
                  <c:v>0</c:v>
                </c:pt>
                <c:pt idx="68">
                  <c:v>1</c:v>
                </c:pt>
                <c:pt idx="69">
                  <c:v>0</c:v>
                </c:pt>
                <c:pt idx="70">
                  <c:v>1</c:v>
                </c:pt>
              </c:numCache>
            </c:numRef>
          </c:val>
          <c:extLst>
            <c:ext xmlns:c16="http://schemas.microsoft.com/office/drawing/2014/chart" uri="{C3380CC4-5D6E-409C-BE32-E72D297353CC}">
              <c16:uniqueId val="{00000000-A89E-4C71-81D0-AF044F10FE8E}"/>
            </c:ext>
          </c:extLst>
        </c:ser>
        <c:dLbls>
          <c:showLegendKey val="0"/>
          <c:showVal val="0"/>
          <c:showCatName val="0"/>
          <c:showSerName val="0"/>
          <c:showPercent val="0"/>
          <c:showBubbleSize val="0"/>
        </c:dLbls>
        <c:gapWidth val="219"/>
        <c:overlap val="-27"/>
        <c:axId val="1154380544"/>
        <c:axId val="768498496"/>
      </c:barChart>
      <c:catAx>
        <c:axId val="1154380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498496"/>
        <c:crosses val="autoZero"/>
        <c:auto val="1"/>
        <c:lblAlgn val="ctr"/>
        <c:lblOffset val="100"/>
        <c:noMultiLvlLbl val="0"/>
      </c:catAx>
      <c:valAx>
        <c:axId val="768498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380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Hong Kong Sukuk Ltd </a:t>
            </a:r>
            <a:endParaRPr lang="en-GB" sz="1000" baseline="0"/>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Data!$AI$7:$AI$16</c:f>
              <c:numCache>
                <c:formatCode>0.000%</c:formatCode>
                <c:ptCount val="10"/>
                <c:pt idx="0">
                  <c:v>1.5085864851734001E-3</c:v>
                </c:pt>
                <c:pt idx="1">
                  <c:v>-3.2892895516973501E-3</c:v>
                </c:pt>
                <c:pt idx="2">
                  <c:v>4.3570205466426301E-3</c:v>
                </c:pt>
                <c:pt idx="3">
                  <c:v>-1.46414455295723E-3</c:v>
                </c:pt>
                <c:pt idx="4">
                  <c:v>-4.1151562376828902E-4</c:v>
                </c:pt>
                <c:pt idx="5">
                  <c:v>3.9154931130262998E-4</c:v>
                </c:pt>
                <c:pt idx="6">
                  <c:v>3.1915314542837201E-3</c:v>
                </c:pt>
                <c:pt idx="7">
                  <c:v>-1.65495688978135E-4</c:v>
                </c:pt>
                <c:pt idx="8">
                  <c:v>3.1519288465840998E-5</c:v>
                </c:pt>
                <c:pt idx="9">
                  <c:v>-2.2936201633040699E-4</c:v>
                </c:pt>
              </c:numCache>
            </c:numRef>
          </c:val>
          <c:smooth val="0"/>
          <c:extLst>
            <c:ext xmlns:c16="http://schemas.microsoft.com/office/drawing/2014/chart" uri="{C3380CC4-5D6E-409C-BE32-E72D297353CC}">
              <c16:uniqueId val="{00000000-9026-4C00-823E-F21DFE3C6D93}"/>
            </c:ext>
          </c:extLst>
        </c:ser>
        <c:dLbls>
          <c:showLegendKey val="0"/>
          <c:showVal val="0"/>
          <c:showCatName val="0"/>
          <c:showSerName val="0"/>
          <c:showPercent val="0"/>
          <c:showBubbleSize val="0"/>
        </c:dLbls>
        <c:marker val="1"/>
        <c:smooth val="0"/>
        <c:axId val="768621488"/>
        <c:axId val="768623120"/>
      </c:lineChart>
      <c:catAx>
        <c:axId val="76862148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623120"/>
        <c:crosses val="autoZero"/>
        <c:auto val="1"/>
        <c:lblAlgn val="ctr"/>
        <c:lblOffset val="100"/>
        <c:noMultiLvlLbl val="0"/>
      </c:catAx>
      <c:valAx>
        <c:axId val="76862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621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DP World Sukuk Ltd</a:t>
            </a:r>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Sheet20!$A$2:$A$72</c:f>
              <c:strCache>
                <c:ptCount val="71"/>
                <c:pt idx="0">
                  <c:v>-3.57%</c:v>
                </c:pt>
                <c:pt idx="1">
                  <c:v>-3.47%</c:v>
                </c:pt>
                <c:pt idx="2">
                  <c:v>-3.36%</c:v>
                </c:pt>
                <c:pt idx="3">
                  <c:v>-3.26%</c:v>
                </c:pt>
                <c:pt idx="4">
                  <c:v>-3.15%</c:v>
                </c:pt>
                <c:pt idx="5">
                  <c:v>-3.05%</c:v>
                </c:pt>
                <c:pt idx="6">
                  <c:v>-2.94%</c:v>
                </c:pt>
                <c:pt idx="7">
                  <c:v>-2.84%</c:v>
                </c:pt>
                <c:pt idx="8">
                  <c:v>-2.74%</c:v>
                </c:pt>
                <c:pt idx="9">
                  <c:v>-2.63%</c:v>
                </c:pt>
                <c:pt idx="10">
                  <c:v>-2.53%</c:v>
                </c:pt>
                <c:pt idx="11">
                  <c:v>-2.42%</c:v>
                </c:pt>
                <c:pt idx="12">
                  <c:v>-2.32%</c:v>
                </c:pt>
                <c:pt idx="13">
                  <c:v>-2.22%</c:v>
                </c:pt>
                <c:pt idx="14">
                  <c:v>-2.11%</c:v>
                </c:pt>
                <c:pt idx="15">
                  <c:v>-2.01%</c:v>
                </c:pt>
                <c:pt idx="16">
                  <c:v>-1.90%</c:v>
                </c:pt>
                <c:pt idx="17">
                  <c:v>-1.80%</c:v>
                </c:pt>
                <c:pt idx="18">
                  <c:v>-1.69%</c:v>
                </c:pt>
                <c:pt idx="19">
                  <c:v>-1.59%</c:v>
                </c:pt>
                <c:pt idx="20">
                  <c:v>-1.49%</c:v>
                </c:pt>
                <c:pt idx="21">
                  <c:v>-1.38%</c:v>
                </c:pt>
                <c:pt idx="22">
                  <c:v>-1.28%</c:v>
                </c:pt>
                <c:pt idx="23">
                  <c:v>-1.17%</c:v>
                </c:pt>
                <c:pt idx="24">
                  <c:v>-1.07%</c:v>
                </c:pt>
                <c:pt idx="25">
                  <c:v>-0.97%</c:v>
                </c:pt>
                <c:pt idx="26">
                  <c:v>-0.86%</c:v>
                </c:pt>
                <c:pt idx="27">
                  <c:v>-0.76%</c:v>
                </c:pt>
                <c:pt idx="28">
                  <c:v>-0.65%</c:v>
                </c:pt>
                <c:pt idx="29">
                  <c:v>-0.55%</c:v>
                </c:pt>
                <c:pt idx="30">
                  <c:v>-0.44%</c:v>
                </c:pt>
                <c:pt idx="31">
                  <c:v>-0.34%</c:v>
                </c:pt>
                <c:pt idx="32">
                  <c:v>-0.24%</c:v>
                </c:pt>
                <c:pt idx="33">
                  <c:v>-0.13%</c:v>
                </c:pt>
                <c:pt idx="34">
                  <c:v>-0.03%</c:v>
                </c:pt>
                <c:pt idx="35">
                  <c:v>0.08%</c:v>
                </c:pt>
                <c:pt idx="36">
                  <c:v>0.18%</c:v>
                </c:pt>
                <c:pt idx="37">
                  <c:v>0.28%</c:v>
                </c:pt>
                <c:pt idx="38">
                  <c:v>0.39%</c:v>
                </c:pt>
                <c:pt idx="39">
                  <c:v>0.49%</c:v>
                </c:pt>
                <c:pt idx="40">
                  <c:v>0.60%</c:v>
                </c:pt>
                <c:pt idx="41">
                  <c:v>0.70%</c:v>
                </c:pt>
                <c:pt idx="42">
                  <c:v>0.80%</c:v>
                </c:pt>
                <c:pt idx="43">
                  <c:v>0.91%</c:v>
                </c:pt>
                <c:pt idx="44">
                  <c:v>1.01%</c:v>
                </c:pt>
                <c:pt idx="45">
                  <c:v>1.12%</c:v>
                </c:pt>
                <c:pt idx="46">
                  <c:v>1.22%</c:v>
                </c:pt>
                <c:pt idx="47">
                  <c:v>1.33%</c:v>
                </c:pt>
                <c:pt idx="48">
                  <c:v>1.43%</c:v>
                </c:pt>
                <c:pt idx="49">
                  <c:v>1.53%</c:v>
                </c:pt>
                <c:pt idx="50">
                  <c:v>1.64%</c:v>
                </c:pt>
                <c:pt idx="51">
                  <c:v>1.74%</c:v>
                </c:pt>
                <c:pt idx="52">
                  <c:v>1.85%</c:v>
                </c:pt>
                <c:pt idx="53">
                  <c:v>1.95%</c:v>
                </c:pt>
                <c:pt idx="54">
                  <c:v>2.05%</c:v>
                </c:pt>
                <c:pt idx="55">
                  <c:v>2.16%</c:v>
                </c:pt>
                <c:pt idx="56">
                  <c:v>2.26%</c:v>
                </c:pt>
                <c:pt idx="57">
                  <c:v>2.37%</c:v>
                </c:pt>
                <c:pt idx="58">
                  <c:v>2.47%</c:v>
                </c:pt>
                <c:pt idx="59">
                  <c:v>2.58%</c:v>
                </c:pt>
                <c:pt idx="60">
                  <c:v>2.68%</c:v>
                </c:pt>
                <c:pt idx="61">
                  <c:v>2.78%</c:v>
                </c:pt>
                <c:pt idx="62">
                  <c:v>2.89%</c:v>
                </c:pt>
                <c:pt idx="63">
                  <c:v>2.99%</c:v>
                </c:pt>
                <c:pt idx="64">
                  <c:v>3.10%</c:v>
                </c:pt>
                <c:pt idx="65">
                  <c:v>3.20%</c:v>
                </c:pt>
                <c:pt idx="66">
                  <c:v>3.30%</c:v>
                </c:pt>
                <c:pt idx="67">
                  <c:v>3.41%</c:v>
                </c:pt>
                <c:pt idx="68">
                  <c:v>3.51%</c:v>
                </c:pt>
                <c:pt idx="69">
                  <c:v>3.62%</c:v>
                </c:pt>
                <c:pt idx="70">
                  <c:v>More</c:v>
                </c:pt>
              </c:strCache>
            </c:strRef>
          </c:cat>
          <c:val>
            <c:numRef>
              <c:f>Sheet20!$B$2:$B$72</c:f>
              <c:numCache>
                <c:formatCode>General</c:formatCode>
                <c:ptCount val="71"/>
                <c:pt idx="0">
                  <c:v>1</c:v>
                </c:pt>
                <c:pt idx="1">
                  <c:v>0</c:v>
                </c:pt>
                <c:pt idx="2">
                  <c:v>0</c:v>
                </c:pt>
                <c:pt idx="3">
                  <c:v>2</c:v>
                </c:pt>
                <c:pt idx="4">
                  <c:v>0</c:v>
                </c:pt>
                <c:pt idx="5">
                  <c:v>1</c:v>
                </c:pt>
                <c:pt idx="6">
                  <c:v>0</c:v>
                </c:pt>
                <c:pt idx="7">
                  <c:v>1</c:v>
                </c:pt>
                <c:pt idx="8">
                  <c:v>2</c:v>
                </c:pt>
                <c:pt idx="9">
                  <c:v>4</c:v>
                </c:pt>
                <c:pt idx="10">
                  <c:v>5</c:v>
                </c:pt>
                <c:pt idx="11">
                  <c:v>7</c:v>
                </c:pt>
                <c:pt idx="12">
                  <c:v>6</c:v>
                </c:pt>
                <c:pt idx="13">
                  <c:v>13</c:v>
                </c:pt>
                <c:pt idx="14">
                  <c:v>13</c:v>
                </c:pt>
                <c:pt idx="15">
                  <c:v>11</c:v>
                </c:pt>
                <c:pt idx="16">
                  <c:v>24</c:v>
                </c:pt>
                <c:pt idx="17">
                  <c:v>36</c:v>
                </c:pt>
                <c:pt idx="18">
                  <c:v>25</c:v>
                </c:pt>
                <c:pt idx="19">
                  <c:v>41</c:v>
                </c:pt>
                <c:pt idx="20">
                  <c:v>52</c:v>
                </c:pt>
                <c:pt idx="21">
                  <c:v>56</c:v>
                </c:pt>
                <c:pt idx="22">
                  <c:v>67</c:v>
                </c:pt>
                <c:pt idx="23">
                  <c:v>90</c:v>
                </c:pt>
                <c:pt idx="24">
                  <c:v>91</c:v>
                </c:pt>
                <c:pt idx="25">
                  <c:v>113</c:v>
                </c:pt>
                <c:pt idx="26">
                  <c:v>138</c:v>
                </c:pt>
                <c:pt idx="27">
                  <c:v>141</c:v>
                </c:pt>
                <c:pt idx="28">
                  <c:v>178</c:v>
                </c:pt>
                <c:pt idx="29">
                  <c:v>187</c:v>
                </c:pt>
                <c:pt idx="30">
                  <c:v>182</c:v>
                </c:pt>
                <c:pt idx="31">
                  <c:v>195</c:v>
                </c:pt>
                <c:pt idx="32">
                  <c:v>193</c:v>
                </c:pt>
                <c:pt idx="33">
                  <c:v>232</c:v>
                </c:pt>
                <c:pt idx="34">
                  <c:v>230</c:v>
                </c:pt>
                <c:pt idx="35">
                  <c:v>247</c:v>
                </c:pt>
                <c:pt idx="36">
                  <c:v>244</c:v>
                </c:pt>
                <c:pt idx="37">
                  <c:v>217</c:v>
                </c:pt>
                <c:pt idx="38">
                  <c:v>209</c:v>
                </c:pt>
                <c:pt idx="39">
                  <c:v>218</c:v>
                </c:pt>
                <c:pt idx="40">
                  <c:v>209</c:v>
                </c:pt>
                <c:pt idx="41">
                  <c:v>197</c:v>
                </c:pt>
                <c:pt idx="42">
                  <c:v>158</c:v>
                </c:pt>
                <c:pt idx="43">
                  <c:v>147</c:v>
                </c:pt>
                <c:pt idx="44">
                  <c:v>118</c:v>
                </c:pt>
                <c:pt idx="45">
                  <c:v>128</c:v>
                </c:pt>
                <c:pt idx="46">
                  <c:v>97</c:v>
                </c:pt>
                <c:pt idx="47">
                  <c:v>86</c:v>
                </c:pt>
                <c:pt idx="48">
                  <c:v>79</c:v>
                </c:pt>
                <c:pt idx="49">
                  <c:v>73</c:v>
                </c:pt>
                <c:pt idx="50">
                  <c:v>46</c:v>
                </c:pt>
                <c:pt idx="51">
                  <c:v>42</c:v>
                </c:pt>
                <c:pt idx="52">
                  <c:v>31</c:v>
                </c:pt>
                <c:pt idx="53">
                  <c:v>29</c:v>
                </c:pt>
                <c:pt idx="54">
                  <c:v>16</c:v>
                </c:pt>
                <c:pt idx="55">
                  <c:v>21</c:v>
                </c:pt>
                <c:pt idx="56">
                  <c:v>16</c:v>
                </c:pt>
                <c:pt idx="57">
                  <c:v>9</c:v>
                </c:pt>
                <c:pt idx="58">
                  <c:v>3</c:v>
                </c:pt>
                <c:pt idx="59">
                  <c:v>5</c:v>
                </c:pt>
                <c:pt idx="60">
                  <c:v>1</c:v>
                </c:pt>
                <c:pt idx="61">
                  <c:v>4</c:v>
                </c:pt>
                <c:pt idx="62">
                  <c:v>5</c:v>
                </c:pt>
                <c:pt idx="63">
                  <c:v>2</c:v>
                </c:pt>
                <c:pt idx="64">
                  <c:v>2</c:v>
                </c:pt>
                <c:pt idx="65">
                  <c:v>2</c:v>
                </c:pt>
                <c:pt idx="66">
                  <c:v>0</c:v>
                </c:pt>
                <c:pt idx="67">
                  <c:v>0</c:v>
                </c:pt>
                <c:pt idx="68">
                  <c:v>1</c:v>
                </c:pt>
                <c:pt idx="69">
                  <c:v>0</c:v>
                </c:pt>
                <c:pt idx="70">
                  <c:v>1</c:v>
                </c:pt>
              </c:numCache>
            </c:numRef>
          </c:val>
          <c:extLst>
            <c:ext xmlns:c16="http://schemas.microsoft.com/office/drawing/2014/chart" uri="{C3380CC4-5D6E-409C-BE32-E72D297353CC}">
              <c16:uniqueId val="{00000000-0A68-45D7-A8CE-8CE5473C13C2}"/>
            </c:ext>
          </c:extLst>
        </c:ser>
        <c:dLbls>
          <c:showLegendKey val="0"/>
          <c:showVal val="0"/>
          <c:showCatName val="0"/>
          <c:showSerName val="0"/>
          <c:showPercent val="0"/>
          <c:showBubbleSize val="0"/>
        </c:dLbls>
        <c:gapWidth val="219"/>
        <c:overlap val="-27"/>
        <c:axId val="1154160064"/>
        <c:axId val="1154163760"/>
      </c:barChart>
      <c:catAx>
        <c:axId val="1154160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163760"/>
        <c:crosses val="autoZero"/>
        <c:auto val="1"/>
        <c:lblAlgn val="ctr"/>
        <c:lblOffset val="100"/>
        <c:noMultiLvlLbl val="0"/>
      </c:catAx>
      <c:valAx>
        <c:axId val="1154163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160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DIP Sukuk Ltd </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Data!$S$7:$S$16</c:f>
              <c:numCache>
                <c:formatCode>0.000%</c:formatCode>
                <c:ptCount val="10"/>
                <c:pt idx="0">
                  <c:v>1.53737342337529E-3</c:v>
                </c:pt>
                <c:pt idx="1">
                  <c:v>2.7707922507767097E-4</c:v>
                </c:pt>
                <c:pt idx="2">
                  <c:v>1.42745575592845E-3</c:v>
                </c:pt>
                <c:pt idx="3">
                  <c:v>-3.9264962853106402E-4</c:v>
                </c:pt>
                <c:pt idx="4">
                  <c:v>-7.39301950644241E-4</c:v>
                </c:pt>
                <c:pt idx="5">
                  <c:v>2.4388412751721301E-3</c:v>
                </c:pt>
                <c:pt idx="6">
                  <c:v>-1.05013831698673E-3</c:v>
                </c:pt>
                <c:pt idx="7">
                  <c:v>3.3052728185264398E-4</c:v>
                </c:pt>
                <c:pt idx="8">
                  <c:v>2.3576747574882701E-4</c:v>
                </c:pt>
                <c:pt idx="9">
                  <c:v>1.12326281053463E-3</c:v>
                </c:pt>
              </c:numCache>
            </c:numRef>
          </c:val>
          <c:smooth val="0"/>
          <c:extLst>
            <c:ext xmlns:c16="http://schemas.microsoft.com/office/drawing/2014/chart" uri="{C3380CC4-5D6E-409C-BE32-E72D297353CC}">
              <c16:uniqueId val="{00000000-6A7F-4E49-909E-E5738FA564B1}"/>
            </c:ext>
          </c:extLst>
        </c:ser>
        <c:dLbls>
          <c:showLegendKey val="0"/>
          <c:showVal val="0"/>
          <c:showCatName val="0"/>
          <c:showSerName val="0"/>
          <c:showPercent val="0"/>
          <c:showBubbleSize val="0"/>
        </c:dLbls>
        <c:marker val="1"/>
        <c:smooth val="0"/>
        <c:axId val="767880656"/>
        <c:axId val="767882704"/>
      </c:lineChart>
      <c:catAx>
        <c:axId val="76788065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882704"/>
        <c:crosses val="autoZero"/>
        <c:auto val="1"/>
        <c:lblAlgn val="ctr"/>
        <c:lblOffset val="100"/>
        <c:noMultiLvlLbl val="0"/>
      </c:catAx>
      <c:valAx>
        <c:axId val="767882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880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DP World Sukuk Ltd </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Data!$W$7:$W$16</c:f>
              <c:numCache>
                <c:formatCode>#,##0.000</c:formatCode>
                <c:ptCount val="10"/>
                <c:pt idx="0">
                  <c:v>-3.1516059141678799E-3</c:v>
                </c:pt>
                <c:pt idx="1">
                  <c:v>-4.3496145875247597E-3</c:v>
                </c:pt>
                <c:pt idx="2">
                  <c:v>-1.4736605802748799E-3</c:v>
                </c:pt>
                <c:pt idx="3">
                  <c:v>-1.7184738126477801E-3</c:v>
                </c:pt>
                <c:pt idx="4">
                  <c:v>-4.6331247251905802E-4</c:v>
                </c:pt>
                <c:pt idx="5">
                  <c:v>6.5115609097984601E-4</c:v>
                </c:pt>
                <c:pt idx="6">
                  <c:v>1.70492267204841E-3</c:v>
                </c:pt>
                <c:pt idx="7">
                  <c:v>2.8172774072387501E-3</c:v>
                </c:pt>
                <c:pt idx="8">
                  <c:v>3.02603723524606E-5</c:v>
                </c:pt>
                <c:pt idx="9">
                  <c:v>1.05149121695299E-3</c:v>
                </c:pt>
              </c:numCache>
            </c:numRef>
          </c:val>
          <c:smooth val="0"/>
          <c:extLst>
            <c:ext xmlns:c16="http://schemas.microsoft.com/office/drawing/2014/chart" uri="{C3380CC4-5D6E-409C-BE32-E72D297353CC}">
              <c16:uniqueId val="{00000000-695D-4E27-BF16-569159F243FB}"/>
            </c:ext>
          </c:extLst>
        </c:ser>
        <c:dLbls>
          <c:showLegendKey val="0"/>
          <c:showVal val="0"/>
          <c:showCatName val="0"/>
          <c:showSerName val="0"/>
          <c:showPercent val="0"/>
          <c:showBubbleSize val="0"/>
        </c:dLbls>
        <c:marker val="1"/>
        <c:smooth val="0"/>
        <c:axId val="1154155088"/>
        <c:axId val="1154157136"/>
      </c:lineChart>
      <c:catAx>
        <c:axId val="115415508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157136"/>
        <c:crosses val="autoZero"/>
        <c:auto val="1"/>
        <c:lblAlgn val="ctr"/>
        <c:lblOffset val="100"/>
        <c:noMultiLvlLbl val="0"/>
      </c:catAx>
      <c:valAx>
        <c:axId val="115415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155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DIP Sukuk Ltd</a:t>
            </a:r>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Sheet7!$A$2:$A$72</c:f>
              <c:strCache>
                <c:ptCount val="71"/>
                <c:pt idx="0">
                  <c:v>-3.57%</c:v>
                </c:pt>
                <c:pt idx="1">
                  <c:v>-3.47%</c:v>
                </c:pt>
                <c:pt idx="2">
                  <c:v>-3.36%</c:v>
                </c:pt>
                <c:pt idx="3">
                  <c:v>-3.26%</c:v>
                </c:pt>
                <c:pt idx="4">
                  <c:v>-3.15%</c:v>
                </c:pt>
                <c:pt idx="5">
                  <c:v>-3.05%</c:v>
                </c:pt>
                <c:pt idx="6">
                  <c:v>-2.94%</c:v>
                </c:pt>
                <c:pt idx="7">
                  <c:v>-2.84%</c:v>
                </c:pt>
                <c:pt idx="8">
                  <c:v>-2.74%</c:v>
                </c:pt>
                <c:pt idx="9">
                  <c:v>-2.63%</c:v>
                </c:pt>
                <c:pt idx="10">
                  <c:v>-2.53%</c:v>
                </c:pt>
                <c:pt idx="11">
                  <c:v>-2.42%</c:v>
                </c:pt>
                <c:pt idx="12">
                  <c:v>-2.32%</c:v>
                </c:pt>
                <c:pt idx="13">
                  <c:v>-2.22%</c:v>
                </c:pt>
                <c:pt idx="14">
                  <c:v>-2.11%</c:v>
                </c:pt>
                <c:pt idx="15">
                  <c:v>-2.01%</c:v>
                </c:pt>
                <c:pt idx="16">
                  <c:v>-1.90%</c:v>
                </c:pt>
                <c:pt idx="17">
                  <c:v>-1.80%</c:v>
                </c:pt>
                <c:pt idx="18">
                  <c:v>-1.69%</c:v>
                </c:pt>
                <c:pt idx="19">
                  <c:v>-1.59%</c:v>
                </c:pt>
                <c:pt idx="20">
                  <c:v>-1.49%</c:v>
                </c:pt>
                <c:pt idx="21">
                  <c:v>-1.38%</c:v>
                </c:pt>
                <c:pt idx="22">
                  <c:v>-1.28%</c:v>
                </c:pt>
                <c:pt idx="23">
                  <c:v>-1.17%</c:v>
                </c:pt>
                <c:pt idx="24">
                  <c:v>-1.07%</c:v>
                </c:pt>
                <c:pt idx="25">
                  <c:v>-0.97%</c:v>
                </c:pt>
                <c:pt idx="26">
                  <c:v>-0.86%</c:v>
                </c:pt>
                <c:pt idx="27">
                  <c:v>-0.76%</c:v>
                </c:pt>
                <c:pt idx="28">
                  <c:v>-0.65%</c:v>
                </c:pt>
                <c:pt idx="29">
                  <c:v>-0.55%</c:v>
                </c:pt>
                <c:pt idx="30">
                  <c:v>-0.44%</c:v>
                </c:pt>
                <c:pt idx="31">
                  <c:v>-0.34%</c:v>
                </c:pt>
                <c:pt idx="32">
                  <c:v>-0.24%</c:v>
                </c:pt>
                <c:pt idx="33">
                  <c:v>-0.13%</c:v>
                </c:pt>
                <c:pt idx="34">
                  <c:v>-0.03%</c:v>
                </c:pt>
                <c:pt idx="35">
                  <c:v>0.08%</c:v>
                </c:pt>
                <c:pt idx="36">
                  <c:v>0.18%</c:v>
                </c:pt>
                <c:pt idx="37">
                  <c:v>0.28%</c:v>
                </c:pt>
                <c:pt idx="38">
                  <c:v>0.39%</c:v>
                </c:pt>
                <c:pt idx="39">
                  <c:v>0.49%</c:v>
                </c:pt>
                <c:pt idx="40">
                  <c:v>0.60%</c:v>
                </c:pt>
                <c:pt idx="41">
                  <c:v>0.70%</c:v>
                </c:pt>
                <c:pt idx="42">
                  <c:v>0.80%</c:v>
                </c:pt>
                <c:pt idx="43">
                  <c:v>0.91%</c:v>
                </c:pt>
                <c:pt idx="44">
                  <c:v>1.01%</c:v>
                </c:pt>
                <c:pt idx="45">
                  <c:v>1.12%</c:v>
                </c:pt>
                <c:pt idx="46">
                  <c:v>1.22%</c:v>
                </c:pt>
                <c:pt idx="47">
                  <c:v>1.33%</c:v>
                </c:pt>
                <c:pt idx="48">
                  <c:v>1.43%</c:v>
                </c:pt>
                <c:pt idx="49">
                  <c:v>1.53%</c:v>
                </c:pt>
                <c:pt idx="50">
                  <c:v>1.64%</c:v>
                </c:pt>
                <c:pt idx="51">
                  <c:v>1.74%</c:v>
                </c:pt>
                <c:pt idx="52">
                  <c:v>1.85%</c:v>
                </c:pt>
                <c:pt idx="53">
                  <c:v>1.95%</c:v>
                </c:pt>
                <c:pt idx="54">
                  <c:v>2.05%</c:v>
                </c:pt>
                <c:pt idx="55">
                  <c:v>2.16%</c:v>
                </c:pt>
                <c:pt idx="56">
                  <c:v>2.26%</c:v>
                </c:pt>
                <c:pt idx="57">
                  <c:v>2.37%</c:v>
                </c:pt>
                <c:pt idx="58">
                  <c:v>2.47%</c:v>
                </c:pt>
                <c:pt idx="59">
                  <c:v>2.58%</c:v>
                </c:pt>
                <c:pt idx="60">
                  <c:v>2.68%</c:v>
                </c:pt>
                <c:pt idx="61">
                  <c:v>2.78%</c:v>
                </c:pt>
                <c:pt idx="62">
                  <c:v>2.89%</c:v>
                </c:pt>
                <c:pt idx="63">
                  <c:v>2.99%</c:v>
                </c:pt>
                <c:pt idx="64">
                  <c:v>3.10%</c:v>
                </c:pt>
                <c:pt idx="65">
                  <c:v>3.20%</c:v>
                </c:pt>
                <c:pt idx="66">
                  <c:v>3.30%</c:v>
                </c:pt>
                <c:pt idx="67">
                  <c:v>3.41%</c:v>
                </c:pt>
                <c:pt idx="68">
                  <c:v>3.51%</c:v>
                </c:pt>
                <c:pt idx="69">
                  <c:v>3.62%</c:v>
                </c:pt>
                <c:pt idx="70">
                  <c:v>More</c:v>
                </c:pt>
              </c:strCache>
            </c:strRef>
          </c:cat>
          <c:val>
            <c:numRef>
              <c:f>Sheet7!$B$2:$B$72</c:f>
              <c:numCache>
                <c:formatCode>General</c:formatCode>
                <c:ptCount val="71"/>
                <c:pt idx="0">
                  <c:v>1</c:v>
                </c:pt>
                <c:pt idx="1">
                  <c:v>0</c:v>
                </c:pt>
                <c:pt idx="2">
                  <c:v>0</c:v>
                </c:pt>
                <c:pt idx="3">
                  <c:v>2</c:v>
                </c:pt>
                <c:pt idx="4">
                  <c:v>0</c:v>
                </c:pt>
                <c:pt idx="5">
                  <c:v>1</c:v>
                </c:pt>
                <c:pt idx="6">
                  <c:v>0</c:v>
                </c:pt>
                <c:pt idx="7">
                  <c:v>1</c:v>
                </c:pt>
                <c:pt idx="8">
                  <c:v>2</c:v>
                </c:pt>
                <c:pt idx="9">
                  <c:v>4</c:v>
                </c:pt>
                <c:pt idx="10">
                  <c:v>5</c:v>
                </c:pt>
                <c:pt idx="11">
                  <c:v>7</c:v>
                </c:pt>
                <c:pt idx="12">
                  <c:v>6</c:v>
                </c:pt>
                <c:pt idx="13">
                  <c:v>13</c:v>
                </c:pt>
                <c:pt idx="14">
                  <c:v>13</c:v>
                </c:pt>
                <c:pt idx="15">
                  <c:v>11</c:v>
                </c:pt>
                <c:pt idx="16">
                  <c:v>24</c:v>
                </c:pt>
                <c:pt idx="17">
                  <c:v>36</c:v>
                </c:pt>
                <c:pt idx="18">
                  <c:v>25</c:v>
                </c:pt>
                <c:pt idx="19">
                  <c:v>41</c:v>
                </c:pt>
                <c:pt idx="20">
                  <c:v>52</c:v>
                </c:pt>
                <c:pt idx="21">
                  <c:v>56</c:v>
                </c:pt>
                <c:pt idx="22">
                  <c:v>67</c:v>
                </c:pt>
                <c:pt idx="23">
                  <c:v>90</c:v>
                </c:pt>
                <c:pt idx="24">
                  <c:v>91</c:v>
                </c:pt>
                <c:pt idx="25">
                  <c:v>113</c:v>
                </c:pt>
                <c:pt idx="26">
                  <c:v>138</c:v>
                </c:pt>
                <c:pt idx="27">
                  <c:v>141</c:v>
                </c:pt>
                <c:pt idx="28">
                  <c:v>178</c:v>
                </c:pt>
                <c:pt idx="29">
                  <c:v>187</c:v>
                </c:pt>
                <c:pt idx="30">
                  <c:v>182</c:v>
                </c:pt>
                <c:pt idx="31">
                  <c:v>195</c:v>
                </c:pt>
                <c:pt idx="32">
                  <c:v>193</c:v>
                </c:pt>
                <c:pt idx="33">
                  <c:v>232</c:v>
                </c:pt>
                <c:pt idx="34">
                  <c:v>230</c:v>
                </c:pt>
                <c:pt idx="35">
                  <c:v>247</c:v>
                </c:pt>
                <c:pt idx="36">
                  <c:v>244</c:v>
                </c:pt>
                <c:pt idx="37">
                  <c:v>217</c:v>
                </c:pt>
                <c:pt idx="38">
                  <c:v>209</c:v>
                </c:pt>
                <c:pt idx="39">
                  <c:v>218</c:v>
                </c:pt>
                <c:pt idx="40">
                  <c:v>209</c:v>
                </c:pt>
                <c:pt idx="41">
                  <c:v>197</c:v>
                </c:pt>
                <c:pt idx="42">
                  <c:v>158</c:v>
                </c:pt>
                <c:pt idx="43">
                  <c:v>147</c:v>
                </c:pt>
                <c:pt idx="44">
                  <c:v>118</c:v>
                </c:pt>
                <c:pt idx="45">
                  <c:v>128</c:v>
                </c:pt>
                <c:pt idx="46">
                  <c:v>97</c:v>
                </c:pt>
                <c:pt idx="47">
                  <c:v>86</c:v>
                </c:pt>
                <c:pt idx="48">
                  <c:v>79</c:v>
                </c:pt>
                <c:pt idx="49">
                  <c:v>73</c:v>
                </c:pt>
                <c:pt idx="50">
                  <c:v>46</c:v>
                </c:pt>
                <c:pt idx="51">
                  <c:v>42</c:v>
                </c:pt>
                <c:pt idx="52">
                  <c:v>31</c:v>
                </c:pt>
                <c:pt idx="53">
                  <c:v>29</c:v>
                </c:pt>
                <c:pt idx="54">
                  <c:v>16</c:v>
                </c:pt>
                <c:pt idx="55">
                  <c:v>21</c:v>
                </c:pt>
                <c:pt idx="56">
                  <c:v>16</c:v>
                </c:pt>
                <c:pt idx="57">
                  <c:v>9</c:v>
                </c:pt>
                <c:pt idx="58">
                  <c:v>3</c:v>
                </c:pt>
                <c:pt idx="59">
                  <c:v>5</c:v>
                </c:pt>
                <c:pt idx="60">
                  <c:v>1</c:v>
                </c:pt>
                <c:pt idx="61">
                  <c:v>4</c:v>
                </c:pt>
                <c:pt idx="62">
                  <c:v>5</c:v>
                </c:pt>
                <c:pt idx="63">
                  <c:v>2</c:v>
                </c:pt>
                <c:pt idx="64">
                  <c:v>2</c:v>
                </c:pt>
                <c:pt idx="65">
                  <c:v>2</c:v>
                </c:pt>
                <c:pt idx="66">
                  <c:v>0</c:v>
                </c:pt>
                <c:pt idx="67">
                  <c:v>0</c:v>
                </c:pt>
                <c:pt idx="68">
                  <c:v>1</c:v>
                </c:pt>
                <c:pt idx="69">
                  <c:v>0</c:v>
                </c:pt>
                <c:pt idx="70">
                  <c:v>1</c:v>
                </c:pt>
              </c:numCache>
            </c:numRef>
          </c:val>
          <c:extLst>
            <c:ext xmlns:c16="http://schemas.microsoft.com/office/drawing/2014/chart" uri="{C3380CC4-5D6E-409C-BE32-E72D297353CC}">
              <c16:uniqueId val="{00000000-2487-465C-A6C7-9D91B2F5BFE6}"/>
            </c:ext>
          </c:extLst>
        </c:ser>
        <c:dLbls>
          <c:showLegendKey val="0"/>
          <c:showVal val="0"/>
          <c:showCatName val="0"/>
          <c:showSerName val="0"/>
          <c:showPercent val="0"/>
          <c:showBubbleSize val="0"/>
        </c:dLbls>
        <c:gapWidth val="219"/>
        <c:overlap val="-27"/>
        <c:axId val="768529008"/>
        <c:axId val="768532976"/>
      </c:barChart>
      <c:catAx>
        <c:axId val="768529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532976"/>
        <c:crosses val="autoZero"/>
        <c:auto val="1"/>
        <c:lblAlgn val="ctr"/>
        <c:lblOffset val="100"/>
        <c:noMultiLvlLbl val="0"/>
      </c:catAx>
      <c:valAx>
        <c:axId val="768532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529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EMG Sukuk Limited </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Data!$AA$7:$AA$16</c:f>
              <c:numCache>
                <c:formatCode>#,##0.000</c:formatCode>
                <c:ptCount val="10"/>
                <c:pt idx="0">
                  <c:v>-1.4036877978119799E-3</c:v>
                </c:pt>
                <c:pt idx="1">
                  <c:v>5.7454613091726401E-3</c:v>
                </c:pt>
                <c:pt idx="2">
                  <c:v>-4.7245347143908996E-3</c:v>
                </c:pt>
                <c:pt idx="3">
                  <c:v>3.6861744226486799E-3</c:v>
                </c:pt>
                <c:pt idx="4">
                  <c:v>-5.7349757901213501E-3</c:v>
                </c:pt>
                <c:pt idx="5">
                  <c:v>5.3198396923980905E-4</c:v>
                </c:pt>
                <c:pt idx="6">
                  <c:v>-4.5983302925207597E-3</c:v>
                </c:pt>
                <c:pt idx="7">
                  <c:v>-1.9892003610232499E-3</c:v>
                </c:pt>
                <c:pt idx="8">
                  <c:v>-6.3899310684598998E-3</c:v>
                </c:pt>
                <c:pt idx="9">
                  <c:v>-2.9778239412902199E-3</c:v>
                </c:pt>
              </c:numCache>
            </c:numRef>
          </c:val>
          <c:smooth val="0"/>
          <c:extLst>
            <c:ext xmlns:c16="http://schemas.microsoft.com/office/drawing/2014/chart" uri="{C3380CC4-5D6E-409C-BE32-E72D297353CC}">
              <c16:uniqueId val="{00000000-754E-4D2E-A780-C29377ED67F4}"/>
            </c:ext>
          </c:extLst>
        </c:ser>
        <c:dLbls>
          <c:showLegendKey val="0"/>
          <c:showVal val="0"/>
          <c:showCatName val="0"/>
          <c:showSerName val="0"/>
          <c:showPercent val="0"/>
          <c:showBubbleSize val="0"/>
        </c:dLbls>
        <c:marker val="1"/>
        <c:smooth val="0"/>
        <c:axId val="1154127760"/>
        <c:axId val="1154129808"/>
      </c:lineChart>
      <c:catAx>
        <c:axId val="11541277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129808"/>
        <c:crosses val="autoZero"/>
        <c:auto val="1"/>
        <c:lblAlgn val="ctr"/>
        <c:lblOffset val="100"/>
        <c:noMultiLvlLbl val="0"/>
      </c:catAx>
      <c:valAx>
        <c:axId val="1154129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127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EMG Sukuk Limited</a:t>
            </a:r>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Sheet21!$A$2:$A$72</c:f>
              <c:strCache>
                <c:ptCount val="71"/>
                <c:pt idx="0">
                  <c:v>-3.57%</c:v>
                </c:pt>
                <c:pt idx="1">
                  <c:v>-3.47%</c:v>
                </c:pt>
                <c:pt idx="2">
                  <c:v>-3.36%</c:v>
                </c:pt>
                <c:pt idx="3">
                  <c:v>-3.26%</c:v>
                </c:pt>
                <c:pt idx="4">
                  <c:v>-3.15%</c:v>
                </c:pt>
                <c:pt idx="5">
                  <c:v>-3.05%</c:v>
                </c:pt>
                <c:pt idx="6">
                  <c:v>-2.94%</c:v>
                </c:pt>
                <c:pt idx="7">
                  <c:v>-2.84%</c:v>
                </c:pt>
                <c:pt idx="8">
                  <c:v>-2.74%</c:v>
                </c:pt>
                <c:pt idx="9">
                  <c:v>-2.63%</c:v>
                </c:pt>
                <c:pt idx="10">
                  <c:v>-2.53%</c:v>
                </c:pt>
                <c:pt idx="11">
                  <c:v>-2.42%</c:v>
                </c:pt>
                <c:pt idx="12">
                  <c:v>-2.32%</c:v>
                </c:pt>
                <c:pt idx="13">
                  <c:v>-2.22%</c:v>
                </c:pt>
                <c:pt idx="14">
                  <c:v>-2.11%</c:v>
                </c:pt>
                <c:pt idx="15">
                  <c:v>-2.01%</c:v>
                </c:pt>
                <c:pt idx="16">
                  <c:v>-1.90%</c:v>
                </c:pt>
                <c:pt idx="17">
                  <c:v>-1.80%</c:v>
                </c:pt>
                <c:pt idx="18">
                  <c:v>-1.69%</c:v>
                </c:pt>
                <c:pt idx="19">
                  <c:v>-1.59%</c:v>
                </c:pt>
                <c:pt idx="20">
                  <c:v>-1.49%</c:v>
                </c:pt>
                <c:pt idx="21">
                  <c:v>-1.38%</c:v>
                </c:pt>
                <c:pt idx="22">
                  <c:v>-1.28%</c:v>
                </c:pt>
                <c:pt idx="23">
                  <c:v>-1.17%</c:v>
                </c:pt>
                <c:pt idx="24">
                  <c:v>-1.07%</c:v>
                </c:pt>
                <c:pt idx="25">
                  <c:v>-0.97%</c:v>
                </c:pt>
                <c:pt idx="26">
                  <c:v>-0.86%</c:v>
                </c:pt>
                <c:pt idx="27">
                  <c:v>-0.76%</c:v>
                </c:pt>
                <c:pt idx="28">
                  <c:v>-0.65%</c:v>
                </c:pt>
                <c:pt idx="29">
                  <c:v>-0.55%</c:v>
                </c:pt>
                <c:pt idx="30">
                  <c:v>-0.44%</c:v>
                </c:pt>
                <c:pt idx="31">
                  <c:v>-0.34%</c:v>
                </c:pt>
                <c:pt idx="32">
                  <c:v>-0.24%</c:v>
                </c:pt>
                <c:pt idx="33">
                  <c:v>-0.13%</c:v>
                </c:pt>
                <c:pt idx="34">
                  <c:v>-0.03%</c:v>
                </c:pt>
                <c:pt idx="35">
                  <c:v>0.08%</c:v>
                </c:pt>
                <c:pt idx="36">
                  <c:v>0.18%</c:v>
                </c:pt>
                <c:pt idx="37">
                  <c:v>0.28%</c:v>
                </c:pt>
                <c:pt idx="38">
                  <c:v>0.39%</c:v>
                </c:pt>
                <c:pt idx="39">
                  <c:v>0.49%</c:v>
                </c:pt>
                <c:pt idx="40">
                  <c:v>0.60%</c:v>
                </c:pt>
                <c:pt idx="41">
                  <c:v>0.70%</c:v>
                </c:pt>
                <c:pt idx="42">
                  <c:v>0.80%</c:v>
                </c:pt>
                <c:pt idx="43">
                  <c:v>0.91%</c:v>
                </c:pt>
                <c:pt idx="44">
                  <c:v>1.01%</c:v>
                </c:pt>
                <c:pt idx="45">
                  <c:v>1.12%</c:v>
                </c:pt>
                <c:pt idx="46">
                  <c:v>1.22%</c:v>
                </c:pt>
                <c:pt idx="47">
                  <c:v>1.33%</c:v>
                </c:pt>
                <c:pt idx="48">
                  <c:v>1.43%</c:v>
                </c:pt>
                <c:pt idx="49">
                  <c:v>1.53%</c:v>
                </c:pt>
                <c:pt idx="50">
                  <c:v>1.64%</c:v>
                </c:pt>
                <c:pt idx="51">
                  <c:v>1.74%</c:v>
                </c:pt>
                <c:pt idx="52">
                  <c:v>1.85%</c:v>
                </c:pt>
                <c:pt idx="53">
                  <c:v>1.95%</c:v>
                </c:pt>
                <c:pt idx="54">
                  <c:v>2.05%</c:v>
                </c:pt>
                <c:pt idx="55">
                  <c:v>2.16%</c:v>
                </c:pt>
                <c:pt idx="56">
                  <c:v>2.26%</c:v>
                </c:pt>
                <c:pt idx="57">
                  <c:v>2.37%</c:v>
                </c:pt>
                <c:pt idx="58">
                  <c:v>2.47%</c:v>
                </c:pt>
                <c:pt idx="59">
                  <c:v>2.58%</c:v>
                </c:pt>
                <c:pt idx="60">
                  <c:v>2.68%</c:v>
                </c:pt>
                <c:pt idx="61">
                  <c:v>2.78%</c:v>
                </c:pt>
                <c:pt idx="62">
                  <c:v>2.89%</c:v>
                </c:pt>
                <c:pt idx="63">
                  <c:v>2.99%</c:v>
                </c:pt>
                <c:pt idx="64">
                  <c:v>3.10%</c:v>
                </c:pt>
                <c:pt idx="65">
                  <c:v>3.20%</c:v>
                </c:pt>
                <c:pt idx="66">
                  <c:v>3.30%</c:v>
                </c:pt>
                <c:pt idx="67">
                  <c:v>3.41%</c:v>
                </c:pt>
                <c:pt idx="68">
                  <c:v>3.51%</c:v>
                </c:pt>
                <c:pt idx="69">
                  <c:v>3.62%</c:v>
                </c:pt>
                <c:pt idx="70">
                  <c:v>More</c:v>
                </c:pt>
              </c:strCache>
            </c:strRef>
          </c:cat>
          <c:val>
            <c:numRef>
              <c:f>Sheet21!$B$2:$B$72</c:f>
              <c:numCache>
                <c:formatCode>General</c:formatCode>
                <c:ptCount val="71"/>
                <c:pt idx="0">
                  <c:v>1</c:v>
                </c:pt>
                <c:pt idx="1">
                  <c:v>0</c:v>
                </c:pt>
                <c:pt idx="2">
                  <c:v>0</c:v>
                </c:pt>
                <c:pt idx="3">
                  <c:v>2</c:v>
                </c:pt>
                <c:pt idx="4">
                  <c:v>0</c:v>
                </c:pt>
                <c:pt idx="5">
                  <c:v>1</c:v>
                </c:pt>
                <c:pt idx="6">
                  <c:v>0</c:v>
                </c:pt>
                <c:pt idx="7">
                  <c:v>1</c:v>
                </c:pt>
                <c:pt idx="8">
                  <c:v>2</c:v>
                </c:pt>
                <c:pt idx="9">
                  <c:v>4</c:v>
                </c:pt>
                <c:pt idx="10">
                  <c:v>5</c:v>
                </c:pt>
                <c:pt idx="11">
                  <c:v>7</c:v>
                </c:pt>
                <c:pt idx="12">
                  <c:v>6</c:v>
                </c:pt>
                <c:pt idx="13">
                  <c:v>13</c:v>
                </c:pt>
                <c:pt idx="14">
                  <c:v>13</c:v>
                </c:pt>
                <c:pt idx="15">
                  <c:v>11</c:v>
                </c:pt>
                <c:pt idx="16">
                  <c:v>24</c:v>
                </c:pt>
                <c:pt idx="17">
                  <c:v>36</c:v>
                </c:pt>
                <c:pt idx="18">
                  <c:v>25</c:v>
                </c:pt>
                <c:pt idx="19">
                  <c:v>41</c:v>
                </c:pt>
                <c:pt idx="20">
                  <c:v>52</c:v>
                </c:pt>
                <c:pt idx="21">
                  <c:v>56</c:v>
                </c:pt>
                <c:pt idx="22">
                  <c:v>67</c:v>
                </c:pt>
                <c:pt idx="23">
                  <c:v>90</c:v>
                </c:pt>
                <c:pt idx="24">
                  <c:v>91</c:v>
                </c:pt>
                <c:pt idx="25">
                  <c:v>113</c:v>
                </c:pt>
                <c:pt idx="26">
                  <c:v>138</c:v>
                </c:pt>
                <c:pt idx="27">
                  <c:v>141</c:v>
                </c:pt>
                <c:pt idx="28">
                  <c:v>178</c:v>
                </c:pt>
                <c:pt idx="29">
                  <c:v>187</c:v>
                </c:pt>
                <c:pt idx="30">
                  <c:v>182</c:v>
                </c:pt>
                <c:pt idx="31">
                  <c:v>195</c:v>
                </c:pt>
                <c:pt idx="32">
                  <c:v>193</c:v>
                </c:pt>
                <c:pt idx="33">
                  <c:v>232</c:v>
                </c:pt>
                <c:pt idx="34">
                  <c:v>230</c:v>
                </c:pt>
                <c:pt idx="35">
                  <c:v>247</c:v>
                </c:pt>
                <c:pt idx="36">
                  <c:v>244</c:v>
                </c:pt>
                <c:pt idx="37">
                  <c:v>217</c:v>
                </c:pt>
                <c:pt idx="38">
                  <c:v>209</c:v>
                </c:pt>
                <c:pt idx="39">
                  <c:v>218</c:v>
                </c:pt>
                <c:pt idx="40">
                  <c:v>209</c:v>
                </c:pt>
                <c:pt idx="41">
                  <c:v>197</c:v>
                </c:pt>
                <c:pt idx="42">
                  <c:v>158</c:v>
                </c:pt>
                <c:pt idx="43">
                  <c:v>147</c:v>
                </c:pt>
                <c:pt idx="44">
                  <c:v>118</c:v>
                </c:pt>
                <c:pt idx="45">
                  <c:v>128</c:v>
                </c:pt>
                <c:pt idx="46">
                  <c:v>97</c:v>
                </c:pt>
                <c:pt idx="47">
                  <c:v>86</c:v>
                </c:pt>
                <c:pt idx="48">
                  <c:v>79</c:v>
                </c:pt>
                <c:pt idx="49">
                  <c:v>73</c:v>
                </c:pt>
                <c:pt idx="50">
                  <c:v>46</c:v>
                </c:pt>
                <c:pt idx="51">
                  <c:v>42</c:v>
                </c:pt>
                <c:pt idx="52">
                  <c:v>31</c:v>
                </c:pt>
                <c:pt idx="53">
                  <c:v>29</c:v>
                </c:pt>
                <c:pt idx="54">
                  <c:v>16</c:v>
                </c:pt>
                <c:pt idx="55">
                  <c:v>21</c:v>
                </c:pt>
                <c:pt idx="56">
                  <c:v>16</c:v>
                </c:pt>
                <c:pt idx="57">
                  <c:v>9</c:v>
                </c:pt>
                <c:pt idx="58">
                  <c:v>3</c:v>
                </c:pt>
                <c:pt idx="59">
                  <c:v>5</c:v>
                </c:pt>
                <c:pt idx="60">
                  <c:v>1</c:v>
                </c:pt>
                <c:pt idx="61">
                  <c:v>4</c:v>
                </c:pt>
                <c:pt idx="62">
                  <c:v>5</c:v>
                </c:pt>
                <c:pt idx="63">
                  <c:v>2</c:v>
                </c:pt>
                <c:pt idx="64">
                  <c:v>2</c:v>
                </c:pt>
                <c:pt idx="65">
                  <c:v>2</c:v>
                </c:pt>
                <c:pt idx="66">
                  <c:v>0</c:v>
                </c:pt>
                <c:pt idx="67">
                  <c:v>0</c:v>
                </c:pt>
                <c:pt idx="68">
                  <c:v>1</c:v>
                </c:pt>
                <c:pt idx="69">
                  <c:v>0</c:v>
                </c:pt>
                <c:pt idx="70">
                  <c:v>1</c:v>
                </c:pt>
              </c:numCache>
            </c:numRef>
          </c:val>
          <c:extLst>
            <c:ext xmlns:c16="http://schemas.microsoft.com/office/drawing/2014/chart" uri="{C3380CC4-5D6E-409C-BE32-E72D297353CC}">
              <c16:uniqueId val="{00000000-6F02-4028-A5A7-01FB854BA1AB}"/>
            </c:ext>
          </c:extLst>
        </c:ser>
        <c:dLbls>
          <c:showLegendKey val="0"/>
          <c:showVal val="0"/>
          <c:showCatName val="0"/>
          <c:showSerName val="0"/>
          <c:showPercent val="0"/>
          <c:showBubbleSize val="0"/>
        </c:dLbls>
        <c:gapWidth val="219"/>
        <c:overlap val="-27"/>
        <c:axId val="769294704"/>
        <c:axId val="1147956160"/>
      </c:barChart>
      <c:catAx>
        <c:axId val="769294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956160"/>
        <c:crosses val="autoZero"/>
        <c:auto val="1"/>
        <c:lblAlgn val="ctr"/>
        <c:lblOffset val="100"/>
        <c:noMultiLvlLbl val="0"/>
      </c:catAx>
      <c:valAx>
        <c:axId val="1147956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294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00083123006901"/>
          <c:y val="9.3243263086457306E-2"/>
          <c:w val="0.807253968493862"/>
          <c:h val="0.73859663495820305"/>
        </c:manualLayout>
      </c:layout>
      <c:lineChart>
        <c:grouping val="standard"/>
        <c:varyColors val="0"/>
        <c:ser>
          <c:idx val="0"/>
          <c:order val="0"/>
          <c:tx>
            <c:strRef>
              <c:f>SUKUKVaRDatafinal!$K$517</c:f>
              <c:strCache>
                <c:ptCount val="1"/>
                <c:pt idx="0">
                  <c:v>VaR of Sukuk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SUKUKVaRDatafinal!$K$518:$K$532</c:f>
              <c:numCache>
                <c:formatCode>0.00%</c:formatCode>
                <c:ptCount val="15"/>
                <c:pt idx="0">
                  <c:v>-3.5383610321650397E-2</c:v>
                </c:pt>
                <c:pt idx="1">
                  <c:v>-1.16601867211618E-2</c:v>
                </c:pt>
                <c:pt idx="2">
                  <c:v>-6.1573899904896999E-3</c:v>
                </c:pt>
                <c:pt idx="3">
                  <c:v>-1.2736534511491201E-2</c:v>
                </c:pt>
                <c:pt idx="4">
                  <c:v>-3.2935886582406201E-3</c:v>
                </c:pt>
                <c:pt idx="5">
                  <c:v>-2.02709404471603E-3</c:v>
                </c:pt>
                <c:pt idx="6">
                  <c:v>-6.1604059192664996E-3</c:v>
                </c:pt>
                <c:pt idx="7">
                  <c:v>-2.7977652753810802E-3</c:v>
                </c:pt>
                <c:pt idx="8">
                  <c:v>-2.18625202032038E-3</c:v>
                </c:pt>
                <c:pt idx="9">
                  <c:v>-2.0374897905950699E-2</c:v>
                </c:pt>
                <c:pt idx="10">
                  <c:v>-1.1420721237019E-2</c:v>
                </c:pt>
                <c:pt idx="11">
                  <c:v>-4.07967188254509E-3</c:v>
                </c:pt>
                <c:pt idx="12">
                  <c:v>-5.0667744200380196E-3</c:v>
                </c:pt>
                <c:pt idx="13">
                  <c:v>-2.6080759950669898E-3</c:v>
                </c:pt>
                <c:pt idx="14">
                  <c:v>-8.8427471027149093E-3</c:v>
                </c:pt>
              </c:numCache>
            </c:numRef>
          </c:val>
          <c:smooth val="0"/>
          <c:extLst>
            <c:ext xmlns:c16="http://schemas.microsoft.com/office/drawing/2014/chart" uri="{C3380CC4-5D6E-409C-BE32-E72D297353CC}">
              <c16:uniqueId val="{00000000-52AE-4B39-B3EB-5702578E37C0}"/>
            </c:ext>
          </c:extLst>
        </c:ser>
        <c:ser>
          <c:idx val="1"/>
          <c:order val="1"/>
          <c:tx>
            <c:strRef>
              <c:f>SUKUKVaRDatafinal!$L$517</c:f>
              <c:strCache>
                <c:ptCount val="1"/>
                <c:pt idx="0">
                  <c:v>VaR of Bonds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SUKUKVaRDatafinal!$L$518:$L$532</c:f>
              <c:numCache>
                <c:formatCode>0.00%</c:formatCode>
                <c:ptCount val="15"/>
                <c:pt idx="0">
                  <c:v>-3.5361107408258298E-3</c:v>
                </c:pt>
                <c:pt idx="1">
                  <c:v>-2.2336903952549199E-3</c:v>
                </c:pt>
                <c:pt idx="2">
                  <c:v>-5.9636884510011704E-3</c:v>
                </c:pt>
                <c:pt idx="3">
                  <c:v>-4.0955146404594101E-3</c:v>
                </c:pt>
                <c:pt idx="4">
                  <c:v>-7.4591704036937601E-3</c:v>
                </c:pt>
                <c:pt idx="5">
                  <c:v>-5.3419798223142004E-3</c:v>
                </c:pt>
                <c:pt idx="6">
                  <c:v>-1.87920164683009E-3</c:v>
                </c:pt>
                <c:pt idx="7">
                  <c:v>-1.9311344424529299E-3</c:v>
                </c:pt>
                <c:pt idx="8">
                  <c:v>-2.4997732530596E-3</c:v>
                </c:pt>
                <c:pt idx="9">
                  <c:v>-3.85190563014795E-3</c:v>
                </c:pt>
                <c:pt idx="10">
                  <c:v>-5.1515310248516502E-3</c:v>
                </c:pt>
                <c:pt idx="11">
                  <c:v>-7.3453546561705199E-3</c:v>
                </c:pt>
                <c:pt idx="12">
                  <c:v>-6.0884475086083103E-3</c:v>
                </c:pt>
                <c:pt idx="13">
                  <c:v>-1.1196345454891799E-2</c:v>
                </c:pt>
                <c:pt idx="14">
                  <c:v>-3.91174048143681E-3</c:v>
                </c:pt>
              </c:numCache>
            </c:numRef>
          </c:val>
          <c:smooth val="0"/>
          <c:extLst>
            <c:ext xmlns:c16="http://schemas.microsoft.com/office/drawing/2014/chart" uri="{C3380CC4-5D6E-409C-BE32-E72D297353CC}">
              <c16:uniqueId val="{00000001-52AE-4B39-B3EB-5702578E37C0}"/>
            </c:ext>
          </c:extLst>
        </c:ser>
        <c:dLbls>
          <c:showLegendKey val="0"/>
          <c:showVal val="0"/>
          <c:showCatName val="0"/>
          <c:showSerName val="0"/>
          <c:showPercent val="0"/>
          <c:showBubbleSize val="0"/>
        </c:dLbls>
        <c:marker val="1"/>
        <c:smooth val="0"/>
        <c:axId val="767708688"/>
        <c:axId val="767710736"/>
      </c:lineChart>
      <c:catAx>
        <c:axId val="76770868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710736"/>
        <c:crosses val="autoZero"/>
        <c:auto val="1"/>
        <c:lblAlgn val="ctr"/>
        <c:lblOffset val="100"/>
        <c:noMultiLvlLbl val="0"/>
      </c:catAx>
      <c:valAx>
        <c:axId val="7677107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708688"/>
        <c:crosses val="autoZero"/>
        <c:crossBetween val="between"/>
        <c:majorUnit val="5.0000000000000001E-3"/>
      </c:valAx>
      <c:spPr>
        <a:noFill/>
        <a:ln>
          <a:noFill/>
        </a:ln>
        <a:effectLst/>
      </c:spPr>
    </c:plotArea>
    <c:legend>
      <c:legendPos val="b"/>
      <c:layout>
        <c:manualLayout>
          <c:xMode val="edge"/>
          <c:yMode val="edge"/>
          <c:x val="0.32025851814394762"/>
          <c:y val="0.84568127531274084"/>
          <c:w val="0.42309152640323627"/>
          <c:h val="9.92654006484483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INDONESIA III -144A</a:t>
            </a:r>
            <a:endParaRPr lang="en-GB" sz="1000" baseline="0"/>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Data!$AU$7:$AU$16</c:f>
              <c:numCache>
                <c:formatCode>0.000%</c:formatCode>
                <c:ptCount val="10"/>
                <c:pt idx="0">
                  <c:v>-1.04308503532272E-3</c:v>
                </c:pt>
                <c:pt idx="1">
                  <c:v>2.51501556815356E-3</c:v>
                </c:pt>
                <c:pt idx="2">
                  <c:v>-4.0723582505241499E-3</c:v>
                </c:pt>
                <c:pt idx="3">
                  <c:v>4.7885798064851498E-3</c:v>
                </c:pt>
                <c:pt idx="4">
                  <c:v>-2.3519767169306802E-3</c:v>
                </c:pt>
                <c:pt idx="5">
                  <c:v>2.7737459854068999E-3</c:v>
                </c:pt>
                <c:pt idx="6">
                  <c:v>1.7867465106829999E-2</c:v>
                </c:pt>
                <c:pt idx="7">
                  <c:v>2.2072399668292201E-3</c:v>
                </c:pt>
                <c:pt idx="8">
                  <c:v>-1.9154866373273999E-3</c:v>
                </c:pt>
                <c:pt idx="9">
                  <c:v>3.6315254306895301E-3</c:v>
                </c:pt>
              </c:numCache>
            </c:numRef>
          </c:val>
          <c:smooth val="0"/>
          <c:extLst>
            <c:ext xmlns:c16="http://schemas.microsoft.com/office/drawing/2014/chart" uri="{C3380CC4-5D6E-409C-BE32-E72D297353CC}">
              <c16:uniqueId val="{00000000-E21B-4195-959C-DB7D8C0FD0F1}"/>
            </c:ext>
          </c:extLst>
        </c:ser>
        <c:dLbls>
          <c:showLegendKey val="0"/>
          <c:showVal val="0"/>
          <c:showCatName val="0"/>
          <c:showSerName val="0"/>
          <c:showPercent val="0"/>
          <c:showBubbleSize val="0"/>
        </c:dLbls>
        <c:marker val="1"/>
        <c:smooth val="0"/>
        <c:axId val="769006432"/>
        <c:axId val="1153741280"/>
      </c:lineChart>
      <c:catAx>
        <c:axId val="76900643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3741280"/>
        <c:crosses val="autoZero"/>
        <c:auto val="1"/>
        <c:lblAlgn val="ctr"/>
        <c:lblOffset val="100"/>
        <c:noMultiLvlLbl val="0"/>
      </c:catAx>
      <c:valAx>
        <c:axId val="115374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006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Indonesia III - 144A</a:t>
            </a:r>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Sheet26!$A$2:$A$72</c:f>
              <c:strCache>
                <c:ptCount val="71"/>
                <c:pt idx="0">
                  <c:v>-3.57%</c:v>
                </c:pt>
                <c:pt idx="1">
                  <c:v>-3.47%</c:v>
                </c:pt>
                <c:pt idx="2">
                  <c:v>-3.36%</c:v>
                </c:pt>
                <c:pt idx="3">
                  <c:v>-3.26%</c:v>
                </c:pt>
                <c:pt idx="4">
                  <c:v>-3.15%</c:v>
                </c:pt>
                <c:pt idx="5">
                  <c:v>-3.05%</c:v>
                </c:pt>
                <c:pt idx="6">
                  <c:v>-2.94%</c:v>
                </c:pt>
                <c:pt idx="7">
                  <c:v>-2.84%</c:v>
                </c:pt>
                <c:pt idx="8">
                  <c:v>-2.74%</c:v>
                </c:pt>
                <c:pt idx="9">
                  <c:v>-2.63%</c:v>
                </c:pt>
                <c:pt idx="10">
                  <c:v>-2.53%</c:v>
                </c:pt>
                <c:pt idx="11">
                  <c:v>-2.42%</c:v>
                </c:pt>
                <c:pt idx="12">
                  <c:v>-2.32%</c:v>
                </c:pt>
                <c:pt idx="13">
                  <c:v>-2.22%</c:v>
                </c:pt>
                <c:pt idx="14">
                  <c:v>-2.11%</c:v>
                </c:pt>
                <c:pt idx="15">
                  <c:v>-2.01%</c:v>
                </c:pt>
                <c:pt idx="16">
                  <c:v>-1.90%</c:v>
                </c:pt>
                <c:pt idx="17">
                  <c:v>-1.80%</c:v>
                </c:pt>
                <c:pt idx="18">
                  <c:v>-1.69%</c:v>
                </c:pt>
                <c:pt idx="19">
                  <c:v>-1.59%</c:v>
                </c:pt>
                <c:pt idx="20">
                  <c:v>-1.49%</c:v>
                </c:pt>
                <c:pt idx="21">
                  <c:v>-1.38%</c:v>
                </c:pt>
                <c:pt idx="22">
                  <c:v>-1.28%</c:v>
                </c:pt>
                <c:pt idx="23">
                  <c:v>-1.17%</c:v>
                </c:pt>
                <c:pt idx="24">
                  <c:v>-1.07%</c:v>
                </c:pt>
                <c:pt idx="25">
                  <c:v>-0.97%</c:v>
                </c:pt>
                <c:pt idx="26">
                  <c:v>-0.86%</c:v>
                </c:pt>
                <c:pt idx="27">
                  <c:v>-0.76%</c:v>
                </c:pt>
                <c:pt idx="28">
                  <c:v>-0.65%</c:v>
                </c:pt>
                <c:pt idx="29">
                  <c:v>-0.55%</c:v>
                </c:pt>
                <c:pt idx="30">
                  <c:v>-0.44%</c:v>
                </c:pt>
                <c:pt idx="31">
                  <c:v>-0.34%</c:v>
                </c:pt>
                <c:pt idx="32">
                  <c:v>-0.24%</c:v>
                </c:pt>
                <c:pt idx="33">
                  <c:v>-0.13%</c:v>
                </c:pt>
                <c:pt idx="34">
                  <c:v>-0.03%</c:v>
                </c:pt>
                <c:pt idx="35">
                  <c:v>0.08%</c:v>
                </c:pt>
                <c:pt idx="36">
                  <c:v>0.18%</c:v>
                </c:pt>
                <c:pt idx="37">
                  <c:v>0.28%</c:v>
                </c:pt>
                <c:pt idx="38">
                  <c:v>0.39%</c:v>
                </c:pt>
                <c:pt idx="39">
                  <c:v>0.49%</c:v>
                </c:pt>
                <c:pt idx="40">
                  <c:v>0.60%</c:v>
                </c:pt>
                <c:pt idx="41">
                  <c:v>0.70%</c:v>
                </c:pt>
                <c:pt idx="42">
                  <c:v>0.80%</c:v>
                </c:pt>
                <c:pt idx="43">
                  <c:v>0.91%</c:v>
                </c:pt>
                <c:pt idx="44">
                  <c:v>1.01%</c:v>
                </c:pt>
                <c:pt idx="45">
                  <c:v>1.12%</c:v>
                </c:pt>
                <c:pt idx="46">
                  <c:v>1.22%</c:v>
                </c:pt>
                <c:pt idx="47">
                  <c:v>1.33%</c:v>
                </c:pt>
                <c:pt idx="48">
                  <c:v>1.43%</c:v>
                </c:pt>
                <c:pt idx="49">
                  <c:v>1.53%</c:v>
                </c:pt>
                <c:pt idx="50">
                  <c:v>1.64%</c:v>
                </c:pt>
                <c:pt idx="51">
                  <c:v>1.74%</c:v>
                </c:pt>
                <c:pt idx="52">
                  <c:v>1.85%</c:v>
                </c:pt>
                <c:pt idx="53">
                  <c:v>1.95%</c:v>
                </c:pt>
                <c:pt idx="54">
                  <c:v>2.05%</c:v>
                </c:pt>
                <c:pt idx="55">
                  <c:v>2.16%</c:v>
                </c:pt>
                <c:pt idx="56">
                  <c:v>2.26%</c:v>
                </c:pt>
                <c:pt idx="57">
                  <c:v>2.37%</c:v>
                </c:pt>
                <c:pt idx="58">
                  <c:v>2.47%</c:v>
                </c:pt>
                <c:pt idx="59">
                  <c:v>2.58%</c:v>
                </c:pt>
                <c:pt idx="60">
                  <c:v>2.68%</c:v>
                </c:pt>
                <c:pt idx="61">
                  <c:v>2.78%</c:v>
                </c:pt>
                <c:pt idx="62">
                  <c:v>2.89%</c:v>
                </c:pt>
                <c:pt idx="63">
                  <c:v>2.99%</c:v>
                </c:pt>
                <c:pt idx="64">
                  <c:v>3.10%</c:v>
                </c:pt>
                <c:pt idx="65">
                  <c:v>3.20%</c:v>
                </c:pt>
                <c:pt idx="66">
                  <c:v>3.30%</c:v>
                </c:pt>
                <c:pt idx="67">
                  <c:v>3.41%</c:v>
                </c:pt>
                <c:pt idx="68">
                  <c:v>3.51%</c:v>
                </c:pt>
                <c:pt idx="69">
                  <c:v>3.62%</c:v>
                </c:pt>
                <c:pt idx="70">
                  <c:v>More</c:v>
                </c:pt>
              </c:strCache>
            </c:strRef>
          </c:cat>
          <c:val>
            <c:numRef>
              <c:f>Sheet26!$B$2:$B$72</c:f>
              <c:numCache>
                <c:formatCode>General</c:formatCode>
                <c:ptCount val="71"/>
                <c:pt idx="0">
                  <c:v>1</c:v>
                </c:pt>
                <c:pt idx="1">
                  <c:v>0</c:v>
                </c:pt>
                <c:pt idx="2">
                  <c:v>0</c:v>
                </c:pt>
                <c:pt idx="3">
                  <c:v>2</c:v>
                </c:pt>
                <c:pt idx="4">
                  <c:v>0</c:v>
                </c:pt>
                <c:pt idx="5">
                  <c:v>1</c:v>
                </c:pt>
                <c:pt idx="6">
                  <c:v>0</c:v>
                </c:pt>
                <c:pt idx="7">
                  <c:v>1</c:v>
                </c:pt>
                <c:pt idx="8">
                  <c:v>2</c:v>
                </c:pt>
                <c:pt idx="9">
                  <c:v>4</c:v>
                </c:pt>
                <c:pt idx="10">
                  <c:v>5</c:v>
                </c:pt>
                <c:pt idx="11">
                  <c:v>7</c:v>
                </c:pt>
                <c:pt idx="12">
                  <c:v>6</c:v>
                </c:pt>
                <c:pt idx="13">
                  <c:v>13</c:v>
                </c:pt>
                <c:pt idx="14">
                  <c:v>13</c:v>
                </c:pt>
                <c:pt idx="15">
                  <c:v>11</c:v>
                </c:pt>
                <c:pt idx="16">
                  <c:v>24</c:v>
                </c:pt>
                <c:pt idx="17">
                  <c:v>36</c:v>
                </c:pt>
                <c:pt idx="18">
                  <c:v>25</c:v>
                </c:pt>
                <c:pt idx="19">
                  <c:v>41</c:v>
                </c:pt>
                <c:pt idx="20">
                  <c:v>52</c:v>
                </c:pt>
                <c:pt idx="21">
                  <c:v>56</c:v>
                </c:pt>
                <c:pt idx="22">
                  <c:v>67</c:v>
                </c:pt>
                <c:pt idx="23">
                  <c:v>90</c:v>
                </c:pt>
                <c:pt idx="24">
                  <c:v>91</c:v>
                </c:pt>
                <c:pt idx="25">
                  <c:v>113</c:v>
                </c:pt>
                <c:pt idx="26">
                  <c:v>138</c:v>
                </c:pt>
                <c:pt idx="27">
                  <c:v>141</c:v>
                </c:pt>
                <c:pt idx="28">
                  <c:v>178</c:v>
                </c:pt>
                <c:pt idx="29">
                  <c:v>187</c:v>
                </c:pt>
                <c:pt idx="30">
                  <c:v>182</c:v>
                </c:pt>
                <c:pt idx="31">
                  <c:v>195</c:v>
                </c:pt>
                <c:pt idx="32">
                  <c:v>193</c:v>
                </c:pt>
                <c:pt idx="33">
                  <c:v>232</c:v>
                </c:pt>
                <c:pt idx="34">
                  <c:v>230</c:v>
                </c:pt>
                <c:pt idx="35">
                  <c:v>247</c:v>
                </c:pt>
                <c:pt idx="36">
                  <c:v>244</c:v>
                </c:pt>
                <c:pt idx="37">
                  <c:v>217</c:v>
                </c:pt>
                <c:pt idx="38">
                  <c:v>209</c:v>
                </c:pt>
                <c:pt idx="39">
                  <c:v>218</c:v>
                </c:pt>
                <c:pt idx="40">
                  <c:v>209</c:v>
                </c:pt>
                <c:pt idx="41">
                  <c:v>197</c:v>
                </c:pt>
                <c:pt idx="42">
                  <c:v>158</c:v>
                </c:pt>
                <c:pt idx="43">
                  <c:v>147</c:v>
                </c:pt>
                <c:pt idx="44">
                  <c:v>118</c:v>
                </c:pt>
                <c:pt idx="45">
                  <c:v>128</c:v>
                </c:pt>
                <c:pt idx="46">
                  <c:v>97</c:v>
                </c:pt>
                <c:pt idx="47">
                  <c:v>86</c:v>
                </c:pt>
                <c:pt idx="48">
                  <c:v>79</c:v>
                </c:pt>
                <c:pt idx="49">
                  <c:v>73</c:v>
                </c:pt>
                <c:pt idx="50">
                  <c:v>46</c:v>
                </c:pt>
                <c:pt idx="51">
                  <c:v>42</c:v>
                </c:pt>
                <c:pt idx="52">
                  <c:v>31</c:v>
                </c:pt>
                <c:pt idx="53">
                  <c:v>29</c:v>
                </c:pt>
                <c:pt idx="54">
                  <c:v>16</c:v>
                </c:pt>
                <c:pt idx="55">
                  <c:v>21</c:v>
                </c:pt>
                <c:pt idx="56">
                  <c:v>16</c:v>
                </c:pt>
                <c:pt idx="57">
                  <c:v>9</c:v>
                </c:pt>
                <c:pt idx="58">
                  <c:v>3</c:v>
                </c:pt>
                <c:pt idx="59">
                  <c:v>5</c:v>
                </c:pt>
                <c:pt idx="60">
                  <c:v>1</c:v>
                </c:pt>
                <c:pt idx="61">
                  <c:v>4</c:v>
                </c:pt>
                <c:pt idx="62">
                  <c:v>5</c:v>
                </c:pt>
                <c:pt idx="63">
                  <c:v>2</c:v>
                </c:pt>
                <c:pt idx="64">
                  <c:v>2</c:v>
                </c:pt>
                <c:pt idx="65">
                  <c:v>2</c:v>
                </c:pt>
                <c:pt idx="66">
                  <c:v>0</c:v>
                </c:pt>
                <c:pt idx="67">
                  <c:v>0</c:v>
                </c:pt>
                <c:pt idx="68">
                  <c:v>1</c:v>
                </c:pt>
                <c:pt idx="69">
                  <c:v>0</c:v>
                </c:pt>
                <c:pt idx="70">
                  <c:v>1</c:v>
                </c:pt>
              </c:numCache>
            </c:numRef>
          </c:val>
          <c:extLst>
            <c:ext xmlns:c16="http://schemas.microsoft.com/office/drawing/2014/chart" uri="{C3380CC4-5D6E-409C-BE32-E72D297353CC}">
              <c16:uniqueId val="{00000000-0A58-4B9C-8975-7706D4659628}"/>
            </c:ext>
          </c:extLst>
        </c:ser>
        <c:dLbls>
          <c:showLegendKey val="0"/>
          <c:showVal val="0"/>
          <c:showCatName val="0"/>
          <c:showSerName val="0"/>
          <c:showPercent val="0"/>
          <c:showBubbleSize val="0"/>
        </c:dLbls>
        <c:gapWidth val="219"/>
        <c:overlap val="-27"/>
        <c:axId val="769183840"/>
        <c:axId val="1154261504"/>
      </c:barChart>
      <c:catAx>
        <c:axId val="769183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Bin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261504"/>
        <c:crosses val="autoZero"/>
        <c:auto val="1"/>
        <c:lblAlgn val="ctr"/>
        <c:lblOffset val="100"/>
        <c:noMultiLvlLbl val="0"/>
      </c:catAx>
      <c:valAx>
        <c:axId val="1154261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183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IBD Trust Services Ltd</a:t>
            </a:r>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Sheet25!$A$2:$A$72</c:f>
              <c:strCache>
                <c:ptCount val="71"/>
                <c:pt idx="0">
                  <c:v>-3.57%</c:v>
                </c:pt>
                <c:pt idx="1">
                  <c:v>-3.47%</c:v>
                </c:pt>
                <c:pt idx="2">
                  <c:v>-3.36%</c:v>
                </c:pt>
                <c:pt idx="3">
                  <c:v>-3.26%</c:v>
                </c:pt>
                <c:pt idx="4">
                  <c:v>-3.15%</c:v>
                </c:pt>
                <c:pt idx="5">
                  <c:v>-3.05%</c:v>
                </c:pt>
                <c:pt idx="6">
                  <c:v>-2.94%</c:v>
                </c:pt>
                <c:pt idx="7">
                  <c:v>-2.84%</c:v>
                </c:pt>
                <c:pt idx="8">
                  <c:v>-2.74%</c:v>
                </c:pt>
                <c:pt idx="9">
                  <c:v>-2.63%</c:v>
                </c:pt>
                <c:pt idx="10">
                  <c:v>-2.53%</c:v>
                </c:pt>
                <c:pt idx="11">
                  <c:v>-2.42%</c:v>
                </c:pt>
                <c:pt idx="12">
                  <c:v>-2.32%</c:v>
                </c:pt>
                <c:pt idx="13">
                  <c:v>-2.22%</c:v>
                </c:pt>
                <c:pt idx="14">
                  <c:v>-2.11%</c:v>
                </c:pt>
                <c:pt idx="15">
                  <c:v>-2.01%</c:v>
                </c:pt>
                <c:pt idx="16">
                  <c:v>-1.90%</c:v>
                </c:pt>
                <c:pt idx="17">
                  <c:v>-1.80%</c:v>
                </c:pt>
                <c:pt idx="18">
                  <c:v>-1.69%</c:v>
                </c:pt>
                <c:pt idx="19">
                  <c:v>-1.59%</c:v>
                </c:pt>
                <c:pt idx="20">
                  <c:v>-1.49%</c:v>
                </c:pt>
                <c:pt idx="21">
                  <c:v>-1.38%</c:v>
                </c:pt>
                <c:pt idx="22">
                  <c:v>-1.28%</c:v>
                </c:pt>
                <c:pt idx="23">
                  <c:v>-1.17%</c:v>
                </c:pt>
                <c:pt idx="24">
                  <c:v>-1.07%</c:v>
                </c:pt>
                <c:pt idx="25">
                  <c:v>-0.97%</c:v>
                </c:pt>
                <c:pt idx="26">
                  <c:v>-0.86%</c:v>
                </c:pt>
                <c:pt idx="27">
                  <c:v>-0.76%</c:v>
                </c:pt>
                <c:pt idx="28">
                  <c:v>-0.65%</c:v>
                </c:pt>
                <c:pt idx="29">
                  <c:v>-0.55%</c:v>
                </c:pt>
                <c:pt idx="30">
                  <c:v>-0.44%</c:v>
                </c:pt>
                <c:pt idx="31">
                  <c:v>-0.34%</c:v>
                </c:pt>
                <c:pt idx="32">
                  <c:v>-0.24%</c:v>
                </c:pt>
                <c:pt idx="33">
                  <c:v>-0.13%</c:v>
                </c:pt>
                <c:pt idx="34">
                  <c:v>-0.03%</c:v>
                </c:pt>
                <c:pt idx="35">
                  <c:v>0.08%</c:v>
                </c:pt>
                <c:pt idx="36">
                  <c:v>0.18%</c:v>
                </c:pt>
                <c:pt idx="37">
                  <c:v>0.28%</c:v>
                </c:pt>
                <c:pt idx="38">
                  <c:v>0.39%</c:v>
                </c:pt>
                <c:pt idx="39">
                  <c:v>0.49%</c:v>
                </c:pt>
                <c:pt idx="40">
                  <c:v>0.60%</c:v>
                </c:pt>
                <c:pt idx="41">
                  <c:v>0.70%</c:v>
                </c:pt>
                <c:pt idx="42">
                  <c:v>0.80%</c:v>
                </c:pt>
                <c:pt idx="43">
                  <c:v>0.91%</c:v>
                </c:pt>
                <c:pt idx="44">
                  <c:v>1.01%</c:v>
                </c:pt>
                <c:pt idx="45">
                  <c:v>1.12%</c:v>
                </c:pt>
                <c:pt idx="46">
                  <c:v>1.22%</c:v>
                </c:pt>
                <c:pt idx="47">
                  <c:v>1.33%</c:v>
                </c:pt>
                <c:pt idx="48">
                  <c:v>1.43%</c:v>
                </c:pt>
                <c:pt idx="49">
                  <c:v>1.53%</c:v>
                </c:pt>
                <c:pt idx="50">
                  <c:v>1.64%</c:v>
                </c:pt>
                <c:pt idx="51">
                  <c:v>1.74%</c:v>
                </c:pt>
                <c:pt idx="52">
                  <c:v>1.85%</c:v>
                </c:pt>
                <c:pt idx="53">
                  <c:v>1.95%</c:v>
                </c:pt>
                <c:pt idx="54">
                  <c:v>2.05%</c:v>
                </c:pt>
                <c:pt idx="55">
                  <c:v>2.16%</c:v>
                </c:pt>
                <c:pt idx="56">
                  <c:v>2.26%</c:v>
                </c:pt>
                <c:pt idx="57">
                  <c:v>2.37%</c:v>
                </c:pt>
                <c:pt idx="58">
                  <c:v>2.47%</c:v>
                </c:pt>
                <c:pt idx="59">
                  <c:v>2.58%</c:v>
                </c:pt>
                <c:pt idx="60">
                  <c:v>2.68%</c:v>
                </c:pt>
                <c:pt idx="61">
                  <c:v>2.78%</c:v>
                </c:pt>
                <c:pt idx="62">
                  <c:v>2.89%</c:v>
                </c:pt>
                <c:pt idx="63">
                  <c:v>2.99%</c:v>
                </c:pt>
                <c:pt idx="64">
                  <c:v>3.10%</c:v>
                </c:pt>
                <c:pt idx="65">
                  <c:v>3.20%</c:v>
                </c:pt>
                <c:pt idx="66">
                  <c:v>3.30%</c:v>
                </c:pt>
                <c:pt idx="67">
                  <c:v>3.41%</c:v>
                </c:pt>
                <c:pt idx="68">
                  <c:v>3.51%</c:v>
                </c:pt>
                <c:pt idx="69">
                  <c:v>3.62%</c:v>
                </c:pt>
                <c:pt idx="70">
                  <c:v>More</c:v>
                </c:pt>
              </c:strCache>
            </c:strRef>
          </c:cat>
          <c:val>
            <c:numRef>
              <c:f>Sheet25!$B$2:$B$72</c:f>
              <c:numCache>
                <c:formatCode>General</c:formatCode>
                <c:ptCount val="71"/>
                <c:pt idx="0">
                  <c:v>1</c:v>
                </c:pt>
                <c:pt idx="1">
                  <c:v>0</c:v>
                </c:pt>
                <c:pt idx="2">
                  <c:v>0</c:v>
                </c:pt>
                <c:pt idx="3">
                  <c:v>2</c:v>
                </c:pt>
                <c:pt idx="4">
                  <c:v>0</c:v>
                </c:pt>
                <c:pt idx="5">
                  <c:v>1</c:v>
                </c:pt>
                <c:pt idx="6">
                  <c:v>0</c:v>
                </c:pt>
                <c:pt idx="7">
                  <c:v>1</c:v>
                </c:pt>
                <c:pt idx="8">
                  <c:v>2</c:v>
                </c:pt>
                <c:pt idx="9">
                  <c:v>4</c:v>
                </c:pt>
                <c:pt idx="10">
                  <c:v>5</c:v>
                </c:pt>
                <c:pt idx="11">
                  <c:v>7</c:v>
                </c:pt>
                <c:pt idx="12">
                  <c:v>6</c:v>
                </c:pt>
                <c:pt idx="13">
                  <c:v>13</c:v>
                </c:pt>
                <c:pt idx="14">
                  <c:v>13</c:v>
                </c:pt>
                <c:pt idx="15">
                  <c:v>11</c:v>
                </c:pt>
                <c:pt idx="16">
                  <c:v>24</c:v>
                </c:pt>
                <c:pt idx="17">
                  <c:v>36</c:v>
                </c:pt>
                <c:pt idx="18">
                  <c:v>25</c:v>
                </c:pt>
                <c:pt idx="19">
                  <c:v>41</c:v>
                </c:pt>
                <c:pt idx="20">
                  <c:v>52</c:v>
                </c:pt>
                <c:pt idx="21">
                  <c:v>56</c:v>
                </c:pt>
                <c:pt idx="22">
                  <c:v>67</c:v>
                </c:pt>
                <c:pt idx="23">
                  <c:v>90</c:v>
                </c:pt>
                <c:pt idx="24">
                  <c:v>91</c:v>
                </c:pt>
                <c:pt idx="25">
                  <c:v>113</c:v>
                </c:pt>
                <c:pt idx="26">
                  <c:v>138</c:v>
                </c:pt>
                <c:pt idx="27">
                  <c:v>141</c:v>
                </c:pt>
                <c:pt idx="28">
                  <c:v>178</c:v>
                </c:pt>
                <c:pt idx="29">
                  <c:v>187</c:v>
                </c:pt>
                <c:pt idx="30">
                  <c:v>182</c:v>
                </c:pt>
                <c:pt idx="31">
                  <c:v>195</c:v>
                </c:pt>
                <c:pt idx="32">
                  <c:v>193</c:v>
                </c:pt>
                <c:pt idx="33">
                  <c:v>232</c:v>
                </c:pt>
                <c:pt idx="34">
                  <c:v>230</c:v>
                </c:pt>
                <c:pt idx="35">
                  <c:v>247</c:v>
                </c:pt>
                <c:pt idx="36">
                  <c:v>244</c:v>
                </c:pt>
                <c:pt idx="37">
                  <c:v>217</c:v>
                </c:pt>
                <c:pt idx="38">
                  <c:v>209</c:v>
                </c:pt>
                <c:pt idx="39">
                  <c:v>218</c:v>
                </c:pt>
                <c:pt idx="40">
                  <c:v>209</c:v>
                </c:pt>
                <c:pt idx="41">
                  <c:v>197</c:v>
                </c:pt>
                <c:pt idx="42">
                  <c:v>158</c:v>
                </c:pt>
                <c:pt idx="43">
                  <c:v>147</c:v>
                </c:pt>
                <c:pt idx="44">
                  <c:v>118</c:v>
                </c:pt>
                <c:pt idx="45">
                  <c:v>128</c:v>
                </c:pt>
                <c:pt idx="46">
                  <c:v>97</c:v>
                </c:pt>
                <c:pt idx="47">
                  <c:v>86</c:v>
                </c:pt>
                <c:pt idx="48">
                  <c:v>79</c:v>
                </c:pt>
                <c:pt idx="49">
                  <c:v>73</c:v>
                </c:pt>
                <c:pt idx="50">
                  <c:v>46</c:v>
                </c:pt>
                <c:pt idx="51">
                  <c:v>42</c:v>
                </c:pt>
                <c:pt idx="52">
                  <c:v>31</c:v>
                </c:pt>
                <c:pt idx="53">
                  <c:v>29</c:v>
                </c:pt>
                <c:pt idx="54">
                  <c:v>16</c:v>
                </c:pt>
                <c:pt idx="55">
                  <c:v>21</c:v>
                </c:pt>
                <c:pt idx="56">
                  <c:v>16</c:v>
                </c:pt>
                <c:pt idx="57">
                  <c:v>9</c:v>
                </c:pt>
                <c:pt idx="58">
                  <c:v>3</c:v>
                </c:pt>
                <c:pt idx="59">
                  <c:v>5</c:v>
                </c:pt>
                <c:pt idx="60">
                  <c:v>1</c:v>
                </c:pt>
                <c:pt idx="61">
                  <c:v>4</c:v>
                </c:pt>
                <c:pt idx="62">
                  <c:v>5</c:v>
                </c:pt>
                <c:pt idx="63">
                  <c:v>2</c:v>
                </c:pt>
                <c:pt idx="64">
                  <c:v>2</c:v>
                </c:pt>
                <c:pt idx="65">
                  <c:v>2</c:v>
                </c:pt>
                <c:pt idx="66">
                  <c:v>0</c:v>
                </c:pt>
                <c:pt idx="67">
                  <c:v>0</c:v>
                </c:pt>
                <c:pt idx="68">
                  <c:v>1</c:v>
                </c:pt>
                <c:pt idx="69">
                  <c:v>0</c:v>
                </c:pt>
                <c:pt idx="70">
                  <c:v>1</c:v>
                </c:pt>
              </c:numCache>
            </c:numRef>
          </c:val>
          <c:extLst>
            <c:ext xmlns:c16="http://schemas.microsoft.com/office/drawing/2014/chart" uri="{C3380CC4-5D6E-409C-BE32-E72D297353CC}">
              <c16:uniqueId val="{00000000-D631-4AE0-A565-DB309E01CDE1}"/>
            </c:ext>
          </c:extLst>
        </c:ser>
        <c:dLbls>
          <c:showLegendKey val="0"/>
          <c:showVal val="0"/>
          <c:showCatName val="0"/>
          <c:showSerName val="0"/>
          <c:showPercent val="0"/>
          <c:showBubbleSize val="0"/>
        </c:dLbls>
        <c:gapWidth val="219"/>
        <c:overlap val="-27"/>
        <c:axId val="767740560"/>
        <c:axId val="767744528"/>
      </c:barChart>
      <c:catAx>
        <c:axId val="767740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Bin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744528"/>
        <c:crosses val="autoZero"/>
        <c:auto val="1"/>
        <c:lblAlgn val="ctr"/>
        <c:lblOffset val="100"/>
        <c:noMultiLvlLbl val="0"/>
      </c:catAx>
      <c:valAx>
        <c:axId val="767744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740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IDB Trust Services Ltd</a:t>
            </a:r>
            <a:endParaRPr lang="en-GB" sz="1000" baseline="0"/>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Data!$AQ$7:$AQ$16</c:f>
              <c:numCache>
                <c:formatCode>#,##0.000</c:formatCode>
                <c:ptCount val="10"/>
                <c:pt idx="0">
                  <c:v>-2.0556457125690901E-3</c:v>
                </c:pt>
                <c:pt idx="1">
                  <c:v>-1.05251465720703E-3</c:v>
                </c:pt>
                <c:pt idx="2">
                  <c:v>8.1871179904299905E-4</c:v>
                </c:pt>
                <c:pt idx="3">
                  <c:v>-4.7082077298162299E-4</c:v>
                </c:pt>
                <c:pt idx="4">
                  <c:v>-2.19165907987932E-4</c:v>
                </c:pt>
                <c:pt idx="5">
                  <c:v>9.7954431199023201E-5</c:v>
                </c:pt>
                <c:pt idx="6">
                  <c:v>2.7917912205735799E-4</c:v>
                </c:pt>
                <c:pt idx="7">
                  <c:v>3.69811457140972E-4</c:v>
                </c:pt>
                <c:pt idx="8">
                  <c:v>-3.7878795370238898E-4</c:v>
                </c:pt>
                <c:pt idx="9">
                  <c:v>-1.46764709041619E-3</c:v>
                </c:pt>
              </c:numCache>
            </c:numRef>
          </c:val>
          <c:smooth val="0"/>
          <c:extLst>
            <c:ext xmlns:c16="http://schemas.microsoft.com/office/drawing/2014/chart" uri="{C3380CC4-5D6E-409C-BE32-E72D297353CC}">
              <c16:uniqueId val="{00000000-DD4A-4419-91DD-9C5257BDF71E}"/>
            </c:ext>
          </c:extLst>
        </c:ser>
        <c:dLbls>
          <c:showLegendKey val="0"/>
          <c:showVal val="0"/>
          <c:showCatName val="0"/>
          <c:showSerName val="0"/>
          <c:showPercent val="0"/>
          <c:showBubbleSize val="0"/>
        </c:dLbls>
        <c:marker val="1"/>
        <c:smooth val="0"/>
        <c:axId val="1154310048"/>
        <c:axId val="1154311680"/>
      </c:lineChart>
      <c:catAx>
        <c:axId val="115431004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311680"/>
        <c:crosses val="autoZero"/>
        <c:auto val="1"/>
        <c:lblAlgn val="ctr"/>
        <c:lblOffset val="100"/>
        <c:noMultiLvlLbl val="0"/>
      </c:catAx>
      <c:valAx>
        <c:axId val="1154311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310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ICD Sukuk</a:t>
            </a:r>
            <a:r>
              <a:rPr lang="en-GB" sz="1000" baseline="0"/>
              <a:t> Co. Ltd</a:t>
            </a:r>
            <a:endParaRPr lang="en-GB" sz="1000"/>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Sheet24!$A$2:$A$72</c:f>
              <c:strCache>
                <c:ptCount val="71"/>
                <c:pt idx="0">
                  <c:v>-3.57%</c:v>
                </c:pt>
                <c:pt idx="1">
                  <c:v>-3.47%</c:v>
                </c:pt>
                <c:pt idx="2">
                  <c:v>-3.36%</c:v>
                </c:pt>
                <c:pt idx="3">
                  <c:v>-3.26%</c:v>
                </c:pt>
                <c:pt idx="4">
                  <c:v>-3.15%</c:v>
                </c:pt>
                <c:pt idx="5">
                  <c:v>-3.05%</c:v>
                </c:pt>
                <c:pt idx="6">
                  <c:v>-2.94%</c:v>
                </c:pt>
                <c:pt idx="7">
                  <c:v>-2.84%</c:v>
                </c:pt>
                <c:pt idx="8">
                  <c:v>-2.74%</c:v>
                </c:pt>
                <c:pt idx="9">
                  <c:v>-2.63%</c:v>
                </c:pt>
                <c:pt idx="10">
                  <c:v>-2.53%</c:v>
                </c:pt>
                <c:pt idx="11">
                  <c:v>-2.42%</c:v>
                </c:pt>
                <c:pt idx="12">
                  <c:v>-2.32%</c:v>
                </c:pt>
                <c:pt idx="13">
                  <c:v>-2.22%</c:v>
                </c:pt>
                <c:pt idx="14">
                  <c:v>-2.11%</c:v>
                </c:pt>
                <c:pt idx="15">
                  <c:v>-2.01%</c:v>
                </c:pt>
                <c:pt idx="16">
                  <c:v>-1.90%</c:v>
                </c:pt>
                <c:pt idx="17">
                  <c:v>-1.80%</c:v>
                </c:pt>
                <c:pt idx="18">
                  <c:v>-1.69%</c:v>
                </c:pt>
                <c:pt idx="19">
                  <c:v>-1.59%</c:v>
                </c:pt>
                <c:pt idx="20">
                  <c:v>-1.49%</c:v>
                </c:pt>
                <c:pt idx="21">
                  <c:v>-1.38%</c:v>
                </c:pt>
                <c:pt idx="22">
                  <c:v>-1.28%</c:v>
                </c:pt>
                <c:pt idx="23">
                  <c:v>-1.17%</c:v>
                </c:pt>
                <c:pt idx="24">
                  <c:v>-1.07%</c:v>
                </c:pt>
                <c:pt idx="25">
                  <c:v>-0.97%</c:v>
                </c:pt>
                <c:pt idx="26">
                  <c:v>-0.86%</c:v>
                </c:pt>
                <c:pt idx="27">
                  <c:v>-0.76%</c:v>
                </c:pt>
                <c:pt idx="28">
                  <c:v>-0.65%</c:v>
                </c:pt>
                <c:pt idx="29">
                  <c:v>-0.55%</c:v>
                </c:pt>
                <c:pt idx="30">
                  <c:v>-0.44%</c:v>
                </c:pt>
                <c:pt idx="31">
                  <c:v>-0.34%</c:v>
                </c:pt>
                <c:pt idx="32">
                  <c:v>-0.24%</c:v>
                </c:pt>
                <c:pt idx="33">
                  <c:v>-0.13%</c:v>
                </c:pt>
                <c:pt idx="34">
                  <c:v>-0.03%</c:v>
                </c:pt>
                <c:pt idx="35">
                  <c:v>0.08%</c:v>
                </c:pt>
                <c:pt idx="36">
                  <c:v>0.18%</c:v>
                </c:pt>
                <c:pt idx="37">
                  <c:v>0.28%</c:v>
                </c:pt>
                <c:pt idx="38">
                  <c:v>0.39%</c:v>
                </c:pt>
                <c:pt idx="39">
                  <c:v>0.49%</c:v>
                </c:pt>
                <c:pt idx="40">
                  <c:v>0.60%</c:v>
                </c:pt>
                <c:pt idx="41">
                  <c:v>0.70%</c:v>
                </c:pt>
                <c:pt idx="42">
                  <c:v>0.80%</c:v>
                </c:pt>
                <c:pt idx="43">
                  <c:v>0.91%</c:v>
                </c:pt>
                <c:pt idx="44">
                  <c:v>1.01%</c:v>
                </c:pt>
                <c:pt idx="45">
                  <c:v>1.12%</c:v>
                </c:pt>
                <c:pt idx="46">
                  <c:v>1.22%</c:v>
                </c:pt>
                <c:pt idx="47">
                  <c:v>1.33%</c:v>
                </c:pt>
                <c:pt idx="48">
                  <c:v>1.43%</c:v>
                </c:pt>
                <c:pt idx="49">
                  <c:v>1.53%</c:v>
                </c:pt>
                <c:pt idx="50">
                  <c:v>1.64%</c:v>
                </c:pt>
                <c:pt idx="51">
                  <c:v>1.74%</c:v>
                </c:pt>
                <c:pt idx="52">
                  <c:v>1.85%</c:v>
                </c:pt>
                <c:pt idx="53">
                  <c:v>1.95%</c:v>
                </c:pt>
                <c:pt idx="54">
                  <c:v>2.05%</c:v>
                </c:pt>
                <c:pt idx="55">
                  <c:v>2.16%</c:v>
                </c:pt>
                <c:pt idx="56">
                  <c:v>2.26%</c:v>
                </c:pt>
                <c:pt idx="57">
                  <c:v>2.37%</c:v>
                </c:pt>
                <c:pt idx="58">
                  <c:v>2.47%</c:v>
                </c:pt>
                <c:pt idx="59">
                  <c:v>2.58%</c:v>
                </c:pt>
                <c:pt idx="60">
                  <c:v>2.68%</c:v>
                </c:pt>
                <c:pt idx="61">
                  <c:v>2.78%</c:v>
                </c:pt>
                <c:pt idx="62">
                  <c:v>2.89%</c:v>
                </c:pt>
                <c:pt idx="63">
                  <c:v>2.99%</c:v>
                </c:pt>
                <c:pt idx="64">
                  <c:v>3.10%</c:v>
                </c:pt>
                <c:pt idx="65">
                  <c:v>3.20%</c:v>
                </c:pt>
                <c:pt idx="66">
                  <c:v>3.30%</c:v>
                </c:pt>
                <c:pt idx="67">
                  <c:v>3.41%</c:v>
                </c:pt>
                <c:pt idx="68">
                  <c:v>3.51%</c:v>
                </c:pt>
                <c:pt idx="69">
                  <c:v>3.62%</c:v>
                </c:pt>
                <c:pt idx="70">
                  <c:v>More</c:v>
                </c:pt>
              </c:strCache>
            </c:strRef>
          </c:cat>
          <c:val>
            <c:numRef>
              <c:f>Sheet24!$B$2:$B$72</c:f>
              <c:numCache>
                <c:formatCode>General</c:formatCode>
                <c:ptCount val="71"/>
                <c:pt idx="0">
                  <c:v>1</c:v>
                </c:pt>
                <c:pt idx="1">
                  <c:v>0</c:v>
                </c:pt>
                <c:pt idx="2">
                  <c:v>0</c:v>
                </c:pt>
                <c:pt idx="3">
                  <c:v>2</c:v>
                </c:pt>
                <c:pt idx="4">
                  <c:v>0</c:v>
                </c:pt>
                <c:pt idx="5">
                  <c:v>1</c:v>
                </c:pt>
                <c:pt idx="6">
                  <c:v>0</c:v>
                </c:pt>
                <c:pt idx="7">
                  <c:v>1</c:v>
                </c:pt>
                <c:pt idx="8">
                  <c:v>2</c:v>
                </c:pt>
                <c:pt idx="9">
                  <c:v>4</c:v>
                </c:pt>
                <c:pt idx="10">
                  <c:v>5</c:v>
                </c:pt>
                <c:pt idx="11">
                  <c:v>7</c:v>
                </c:pt>
                <c:pt idx="12">
                  <c:v>6</c:v>
                </c:pt>
                <c:pt idx="13">
                  <c:v>13</c:v>
                </c:pt>
                <c:pt idx="14">
                  <c:v>13</c:v>
                </c:pt>
                <c:pt idx="15">
                  <c:v>11</c:v>
                </c:pt>
                <c:pt idx="16">
                  <c:v>24</c:v>
                </c:pt>
                <c:pt idx="17">
                  <c:v>36</c:v>
                </c:pt>
                <c:pt idx="18">
                  <c:v>25</c:v>
                </c:pt>
                <c:pt idx="19">
                  <c:v>41</c:v>
                </c:pt>
                <c:pt idx="20">
                  <c:v>52</c:v>
                </c:pt>
                <c:pt idx="21">
                  <c:v>56</c:v>
                </c:pt>
                <c:pt idx="22">
                  <c:v>67</c:v>
                </c:pt>
                <c:pt idx="23">
                  <c:v>90</c:v>
                </c:pt>
                <c:pt idx="24">
                  <c:v>91</c:v>
                </c:pt>
                <c:pt idx="25">
                  <c:v>113</c:v>
                </c:pt>
                <c:pt idx="26">
                  <c:v>138</c:v>
                </c:pt>
                <c:pt idx="27">
                  <c:v>141</c:v>
                </c:pt>
                <c:pt idx="28">
                  <c:v>178</c:v>
                </c:pt>
                <c:pt idx="29">
                  <c:v>187</c:v>
                </c:pt>
                <c:pt idx="30">
                  <c:v>182</c:v>
                </c:pt>
                <c:pt idx="31">
                  <c:v>195</c:v>
                </c:pt>
                <c:pt idx="32">
                  <c:v>193</c:v>
                </c:pt>
                <c:pt idx="33">
                  <c:v>232</c:v>
                </c:pt>
                <c:pt idx="34">
                  <c:v>230</c:v>
                </c:pt>
                <c:pt idx="35">
                  <c:v>247</c:v>
                </c:pt>
                <c:pt idx="36">
                  <c:v>244</c:v>
                </c:pt>
                <c:pt idx="37">
                  <c:v>217</c:v>
                </c:pt>
                <c:pt idx="38">
                  <c:v>209</c:v>
                </c:pt>
                <c:pt idx="39">
                  <c:v>218</c:v>
                </c:pt>
                <c:pt idx="40">
                  <c:v>209</c:v>
                </c:pt>
                <c:pt idx="41">
                  <c:v>197</c:v>
                </c:pt>
                <c:pt idx="42">
                  <c:v>158</c:v>
                </c:pt>
                <c:pt idx="43">
                  <c:v>147</c:v>
                </c:pt>
                <c:pt idx="44">
                  <c:v>118</c:v>
                </c:pt>
                <c:pt idx="45">
                  <c:v>128</c:v>
                </c:pt>
                <c:pt idx="46">
                  <c:v>97</c:v>
                </c:pt>
                <c:pt idx="47">
                  <c:v>86</c:v>
                </c:pt>
                <c:pt idx="48">
                  <c:v>79</c:v>
                </c:pt>
                <c:pt idx="49">
                  <c:v>73</c:v>
                </c:pt>
                <c:pt idx="50">
                  <c:v>46</c:v>
                </c:pt>
                <c:pt idx="51">
                  <c:v>42</c:v>
                </c:pt>
                <c:pt idx="52">
                  <c:v>31</c:v>
                </c:pt>
                <c:pt idx="53">
                  <c:v>29</c:v>
                </c:pt>
                <c:pt idx="54">
                  <c:v>16</c:v>
                </c:pt>
                <c:pt idx="55">
                  <c:v>21</c:v>
                </c:pt>
                <c:pt idx="56">
                  <c:v>16</c:v>
                </c:pt>
                <c:pt idx="57">
                  <c:v>9</c:v>
                </c:pt>
                <c:pt idx="58">
                  <c:v>3</c:v>
                </c:pt>
                <c:pt idx="59">
                  <c:v>5</c:v>
                </c:pt>
                <c:pt idx="60">
                  <c:v>1</c:v>
                </c:pt>
                <c:pt idx="61">
                  <c:v>4</c:v>
                </c:pt>
                <c:pt idx="62">
                  <c:v>5</c:v>
                </c:pt>
                <c:pt idx="63">
                  <c:v>2</c:v>
                </c:pt>
                <c:pt idx="64">
                  <c:v>2</c:v>
                </c:pt>
                <c:pt idx="65">
                  <c:v>2</c:v>
                </c:pt>
                <c:pt idx="66">
                  <c:v>0</c:v>
                </c:pt>
                <c:pt idx="67">
                  <c:v>0</c:v>
                </c:pt>
                <c:pt idx="68">
                  <c:v>1</c:v>
                </c:pt>
                <c:pt idx="69">
                  <c:v>0</c:v>
                </c:pt>
                <c:pt idx="70">
                  <c:v>1</c:v>
                </c:pt>
              </c:numCache>
            </c:numRef>
          </c:val>
          <c:extLst>
            <c:ext xmlns:c16="http://schemas.microsoft.com/office/drawing/2014/chart" uri="{C3380CC4-5D6E-409C-BE32-E72D297353CC}">
              <c16:uniqueId val="{00000000-2D66-4491-B55C-4B3F645F9C6D}"/>
            </c:ext>
          </c:extLst>
        </c:ser>
        <c:dLbls>
          <c:showLegendKey val="0"/>
          <c:showVal val="0"/>
          <c:showCatName val="0"/>
          <c:showSerName val="0"/>
          <c:showPercent val="0"/>
          <c:showBubbleSize val="0"/>
        </c:dLbls>
        <c:gapWidth val="219"/>
        <c:overlap val="-27"/>
        <c:axId val="1154182736"/>
        <c:axId val="1154186704"/>
      </c:barChart>
      <c:catAx>
        <c:axId val="1154182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186704"/>
        <c:crosses val="autoZero"/>
        <c:auto val="1"/>
        <c:lblAlgn val="ctr"/>
        <c:lblOffset val="100"/>
        <c:noMultiLvlLbl val="0"/>
      </c:catAx>
      <c:valAx>
        <c:axId val="1154186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182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ICD Sukuk Co. Ltd </a:t>
            </a:r>
            <a:endParaRPr lang="en-GB" sz="1000" baseline="0"/>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Data!$AM$7:$AM$16</c:f>
              <c:numCache>
                <c:formatCode>#,##0.000</c:formatCode>
                <c:ptCount val="10"/>
                <c:pt idx="0">
                  <c:v>-2.0583077928770899E-4</c:v>
                </c:pt>
                <c:pt idx="1">
                  <c:v>6.5003743737508104E-4</c:v>
                </c:pt>
                <c:pt idx="2">
                  <c:v>1.09075585952462E-3</c:v>
                </c:pt>
                <c:pt idx="3">
                  <c:v>-8.0577972146843096E-4</c:v>
                </c:pt>
                <c:pt idx="4">
                  <c:v>9.4350142328381698E-4</c:v>
                </c:pt>
                <c:pt idx="5">
                  <c:v>-1.0410045009826301E-3</c:v>
                </c:pt>
                <c:pt idx="6">
                  <c:v>-1.0563654859520801E-3</c:v>
                </c:pt>
                <c:pt idx="7">
                  <c:v>9.6499555034220596E-5</c:v>
                </c:pt>
                <c:pt idx="8">
                  <c:v>5.9658535466868804E-4</c:v>
                </c:pt>
                <c:pt idx="9">
                  <c:v>2.1479420859692901E-4</c:v>
                </c:pt>
              </c:numCache>
            </c:numRef>
          </c:val>
          <c:smooth val="0"/>
          <c:extLst>
            <c:ext xmlns:c16="http://schemas.microsoft.com/office/drawing/2014/chart" uri="{C3380CC4-5D6E-409C-BE32-E72D297353CC}">
              <c16:uniqueId val="{00000000-7289-4B5E-BCB3-A4A8C17348C1}"/>
            </c:ext>
          </c:extLst>
        </c:ser>
        <c:dLbls>
          <c:showLegendKey val="0"/>
          <c:showVal val="0"/>
          <c:showCatName val="0"/>
          <c:showSerName val="0"/>
          <c:showPercent val="0"/>
          <c:showBubbleSize val="0"/>
        </c:dLbls>
        <c:marker val="1"/>
        <c:smooth val="0"/>
        <c:axId val="767821088"/>
        <c:axId val="767823136"/>
      </c:lineChart>
      <c:catAx>
        <c:axId val="76782108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823136"/>
        <c:crosses val="autoZero"/>
        <c:auto val="1"/>
        <c:lblAlgn val="ctr"/>
        <c:lblOffset val="100"/>
        <c:noMultiLvlLbl val="0"/>
      </c:catAx>
      <c:valAx>
        <c:axId val="767823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821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RAK Capital</a:t>
            </a:r>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Sheet30!$A$2:$A$72</c:f>
              <c:strCache>
                <c:ptCount val="71"/>
                <c:pt idx="0">
                  <c:v>-3.57%</c:v>
                </c:pt>
                <c:pt idx="1">
                  <c:v>-3.47%</c:v>
                </c:pt>
                <c:pt idx="2">
                  <c:v>-3.36%</c:v>
                </c:pt>
                <c:pt idx="3">
                  <c:v>-3.26%</c:v>
                </c:pt>
                <c:pt idx="4">
                  <c:v>-3.15%</c:v>
                </c:pt>
                <c:pt idx="5">
                  <c:v>-3.05%</c:v>
                </c:pt>
                <c:pt idx="6">
                  <c:v>-2.94%</c:v>
                </c:pt>
                <c:pt idx="7">
                  <c:v>-2.84%</c:v>
                </c:pt>
                <c:pt idx="8">
                  <c:v>-2.74%</c:v>
                </c:pt>
                <c:pt idx="9">
                  <c:v>-2.63%</c:v>
                </c:pt>
                <c:pt idx="10">
                  <c:v>-2.53%</c:v>
                </c:pt>
                <c:pt idx="11">
                  <c:v>-2.42%</c:v>
                </c:pt>
                <c:pt idx="12">
                  <c:v>-2.32%</c:v>
                </c:pt>
                <c:pt idx="13">
                  <c:v>-2.22%</c:v>
                </c:pt>
                <c:pt idx="14">
                  <c:v>-2.11%</c:v>
                </c:pt>
                <c:pt idx="15">
                  <c:v>-2.01%</c:v>
                </c:pt>
                <c:pt idx="16">
                  <c:v>-1.90%</c:v>
                </c:pt>
                <c:pt idx="17">
                  <c:v>-1.80%</c:v>
                </c:pt>
                <c:pt idx="18">
                  <c:v>-1.69%</c:v>
                </c:pt>
                <c:pt idx="19">
                  <c:v>-1.59%</c:v>
                </c:pt>
                <c:pt idx="20">
                  <c:v>-1.49%</c:v>
                </c:pt>
                <c:pt idx="21">
                  <c:v>-1.38%</c:v>
                </c:pt>
                <c:pt idx="22">
                  <c:v>-1.28%</c:v>
                </c:pt>
                <c:pt idx="23">
                  <c:v>-1.17%</c:v>
                </c:pt>
                <c:pt idx="24">
                  <c:v>-1.07%</c:v>
                </c:pt>
                <c:pt idx="25">
                  <c:v>-0.97%</c:v>
                </c:pt>
                <c:pt idx="26">
                  <c:v>-0.86%</c:v>
                </c:pt>
                <c:pt idx="27">
                  <c:v>-0.76%</c:v>
                </c:pt>
                <c:pt idx="28">
                  <c:v>-0.65%</c:v>
                </c:pt>
                <c:pt idx="29">
                  <c:v>-0.55%</c:v>
                </c:pt>
                <c:pt idx="30">
                  <c:v>-0.44%</c:v>
                </c:pt>
                <c:pt idx="31">
                  <c:v>-0.34%</c:v>
                </c:pt>
                <c:pt idx="32">
                  <c:v>-0.24%</c:v>
                </c:pt>
                <c:pt idx="33">
                  <c:v>-0.13%</c:v>
                </c:pt>
                <c:pt idx="34">
                  <c:v>-0.03%</c:v>
                </c:pt>
                <c:pt idx="35">
                  <c:v>0.08%</c:v>
                </c:pt>
                <c:pt idx="36">
                  <c:v>0.18%</c:v>
                </c:pt>
                <c:pt idx="37">
                  <c:v>0.28%</c:v>
                </c:pt>
                <c:pt idx="38">
                  <c:v>0.39%</c:v>
                </c:pt>
                <c:pt idx="39">
                  <c:v>0.49%</c:v>
                </c:pt>
                <c:pt idx="40">
                  <c:v>0.60%</c:v>
                </c:pt>
                <c:pt idx="41">
                  <c:v>0.70%</c:v>
                </c:pt>
                <c:pt idx="42">
                  <c:v>0.80%</c:v>
                </c:pt>
                <c:pt idx="43">
                  <c:v>0.91%</c:v>
                </c:pt>
                <c:pt idx="44">
                  <c:v>1.01%</c:v>
                </c:pt>
                <c:pt idx="45">
                  <c:v>1.12%</c:v>
                </c:pt>
                <c:pt idx="46">
                  <c:v>1.22%</c:v>
                </c:pt>
                <c:pt idx="47">
                  <c:v>1.33%</c:v>
                </c:pt>
                <c:pt idx="48">
                  <c:v>1.43%</c:v>
                </c:pt>
                <c:pt idx="49">
                  <c:v>1.53%</c:v>
                </c:pt>
                <c:pt idx="50">
                  <c:v>1.64%</c:v>
                </c:pt>
                <c:pt idx="51">
                  <c:v>1.74%</c:v>
                </c:pt>
                <c:pt idx="52">
                  <c:v>1.85%</c:v>
                </c:pt>
                <c:pt idx="53">
                  <c:v>1.95%</c:v>
                </c:pt>
                <c:pt idx="54">
                  <c:v>2.05%</c:v>
                </c:pt>
                <c:pt idx="55">
                  <c:v>2.16%</c:v>
                </c:pt>
                <c:pt idx="56">
                  <c:v>2.26%</c:v>
                </c:pt>
                <c:pt idx="57">
                  <c:v>2.37%</c:v>
                </c:pt>
                <c:pt idx="58">
                  <c:v>2.47%</c:v>
                </c:pt>
                <c:pt idx="59">
                  <c:v>2.58%</c:v>
                </c:pt>
                <c:pt idx="60">
                  <c:v>2.68%</c:v>
                </c:pt>
                <c:pt idx="61">
                  <c:v>2.78%</c:v>
                </c:pt>
                <c:pt idx="62">
                  <c:v>2.89%</c:v>
                </c:pt>
                <c:pt idx="63">
                  <c:v>2.99%</c:v>
                </c:pt>
                <c:pt idx="64">
                  <c:v>3.10%</c:v>
                </c:pt>
                <c:pt idx="65">
                  <c:v>3.20%</c:v>
                </c:pt>
                <c:pt idx="66">
                  <c:v>3.30%</c:v>
                </c:pt>
                <c:pt idx="67">
                  <c:v>3.41%</c:v>
                </c:pt>
                <c:pt idx="68">
                  <c:v>3.51%</c:v>
                </c:pt>
                <c:pt idx="69">
                  <c:v>3.62%</c:v>
                </c:pt>
                <c:pt idx="70">
                  <c:v>More</c:v>
                </c:pt>
              </c:strCache>
            </c:strRef>
          </c:cat>
          <c:val>
            <c:numRef>
              <c:f>Sheet30!$B$2:$B$72</c:f>
              <c:numCache>
                <c:formatCode>General</c:formatCode>
                <c:ptCount val="71"/>
                <c:pt idx="0">
                  <c:v>1</c:v>
                </c:pt>
                <c:pt idx="1">
                  <c:v>0</c:v>
                </c:pt>
                <c:pt idx="2">
                  <c:v>0</c:v>
                </c:pt>
                <c:pt idx="3">
                  <c:v>2</c:v>
                </c:pt>
                <c:pt idx="4">
                  <c:v>0</c:v>
                </c:pt>
                <c:pt idx="5">
                  <c:v>1</c:v>
                </c:pt>
                <c:pt idx="6">
                  <c:v>0</c:v>
                </c:pt>
                <c:pt idx="7">
                  <c:v>1</c:v>
                </c:pt>
                <c:pt idx="8">
                  <c:v>2</c:v>
                </c:pt>
                <c:pt idx="9">
                  <c:v>4</c:v>
                </c:pt>
                <c:pt idx="10">
                  <c:v>5</c:v>
                </c:pt>
                <c:pt idx="11">
                  <c:v>7</c:v>
                </c:pt>
                <c:pt idx="12">
                  <c:v>6</c:v>
                </c:pt>
                <c:pt idx="13">
                  <c:v>13</c:v>
                </c:pt>
                <c:pt idx="14">
                  <c:v>13</c:v>
                </c:pt>
                <c:pt idx="15">
                  <c:v>11</c:v>
                </c:pt>
                <c:pt idx="16">
                  <c:v>24</c:v>
                </c:pt>
                <c:pt idx="17">
                  <c:v>36</c:v>
                </c:pt>
                <c:pt idx="18">
                  <c:v>25</c:v>
                </c:pt>
                <c:pt idx="19">
                  <c:v>41</c:v>
                </c:pt>
                <c:pt idx="20">
                  <c:v>52</c:v>
                </c:pt>
                <c:pt idx="21">
                  <c:v>56</c:v>
                </c:pt>
                <c:pt idx="22">
                  <c:v>67</c:v>
                </c:pt>
                <c:pt idx="23">
                  <c:v>90</c:v>
                </c:pt>
                <c:pt idx="24">
                  <c:v>91</c:v>
                </c:pt>
                <c:pt idx="25">
                  <c:v>113</c:v>
                </c:pt>
                <c:pt idx="26">
                  <c:v>138</c:v>
                </c:pt>
                <c:pt idx="27">
                  <c:v>141</c:v>
                </c:pt>
                <c:pt idx="28">
                  <c:v>178</c:v>
                </c:pt>
                <c:pt idx="29">
                  <c:v>187</c:v>
                </c:pt>
                <c:pt idx="30">
                  <c:v>182</c:v>
                </c:pt>
                <c:pt idx="31">
                  <c:v>195</c:v>
                </c:pt>
                <c:pt idx="32">
                  <c:v>193</c:v>
                </c:pt>
                <c:pt idx="33">
                  <c:v>232</c:v>
                </c:pt>
                <c:pt idx="34">
                  <c:v>230</c:v>
                </c:pt>
                <c:pt idx="35">
                  <c:v>247</c:v>
                </c:pt>
                <c:pt idx="36">
                  <c:v>244</c:v>
                </c:pt>
                <c:pt idx="37">
                  <c:v>217</c:v>
                </c:pt>
                <c:pt idx="38">
                  <c:v>209</c:v>
                </c:pt>
                <c:pt idx="39">
                  <c:v>218</c:v>
                </c:pt>
                <c:pt idx="40">
                  <c:v>209</c:v>
                </c:pt>
                <c:pt idx="41">
                  <c:v>197</c:v>
                </c:pt>
                <c:pt idx="42">
                  <c:v>158</c:v>
                </c:pt>
                <c:pt idx="43">
                  <c:v>147</c:v>
                </c:pt>
                <c:pt idx="44">
                  <c:v>118</c:v>
                </c:pt>
                <c:pt idx="45">
                  <c:v>128</c:v>
                </c:pt>
                <c:pt idx="46">
                  <c:v>97</c:v>
                </c:pt>
                <c:pt idx="47">
                  <c:v>86</c:v>
                </c:pt>
                <c:pt idx="48">
                  <c:v>79</c:v>
                </c:pt>
                <c:pt idx="49">
                  <c:v>73</c:v>
                </c:pt>
                <c:pt idx="50">
                  <c:v>46</c:v>
                </c:pt>
                <c:pt idx="51">
                  <c:v>42</c:v>
                </c:pt>
                <c:pt idx="52">
                  <c:v>31</c:v>
                </c:pt>
                <c:pt idx="53">
                  <c:v>29</c:v>
                </c:pt>
                <c:pt idx="54">
                  <c:v>16</c:v>
                </c:pt>
                <c:pt idx="55">
                  <c:v>21</c:v>
                </c:pt>
                <c:pt idx="56">
                  <c:v>16</c:v>
                </c:pt>
                <c:pt idx="57">
                  <c:v>9</c:v>
                </c:pt>
                <c:pt idx="58">
                  <c:v>3</c:v>
                </c:pt>
                <c:pt idx="59">
                  <c:v>5</c:v>
                </c:pt>
                <c:pt idx="60">
                  <c:v>1</c:v>
                </c:pt>
                <c:pt idx="61">
                  <c:v>4</c:v>
                </c:pt>
                <c:pt idx="62">
                  <c:v>5</c:v>
                </c:pt>
                <c:pt idx="63">
                  <c:v>2</c:v>
                </c:pt>
                <c:pt idx="64">
                  <c:v>2</c:v>
                </c:pt>
                <c:pt idx="65">
                  <c:v>2</c:v>
                </c:pt>
                <c:pt idx="66">
                  <c:v>0</c:v>
                </c:pt>
                <c:pt idx="67">
                  <c:v>0</c:v>
                </c:pt>
                <c:pt idx="68">
                  <c:v>1</c:v>
                </c:pt>
                <c:pt idx="69">
                  <c:v>0</c:v>
                </c:pt>
                <c:pt idx="70">
                  <c:v>1</c:v>
                </c:pt>
              </c:numCache>
            </c:numRef>
          </c:val>
          <c:extLst>
            <c:ext xmlns:c16="http://schemas.microsoft.com/office/drawing/2014/chart" uri="{C3380CC4-5D6E-409C-BE32-E72D297353CC}">
              <c16:uniqueId val="{00000000-1E88-40CA-8953-529077329E76}"/>
            </c:ext>
          </c:extLst>
        </c:ser>
        <c:dLbls>
          <c:showLegendKey val="0"/>
          <c:showVal val="0"/>
          <c:showCatName val="0"/>
          <c:showSerName val="0"/>
          <c:showPercent val="0"/>
          <c:showBubbleSize val="0"/>
        </c:dLbls>
        <c:gapWidth val="219"/>
        <c:overlap val="-27"/>
        <c:axId val="768388112"/>
        <c:axId val="768392080"/>
      </c:barChart>
      <c:catAx>
        <c:axId val="768388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Bin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392080"/>
        <c:crosses val="autoZero"/>
        <c:auto val="1"/>
        <c:lblAlgn val="ctr"/>
        <c:lblOffset val="100"/>
        <c:noMultiLvlLbl val="0"/>
      </c:catAx>
      <c:valAx>
        <c:axId val="768392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3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RAK Capital </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Data!$BG$7:$BG$16</c:f>
              <c:numCache>
                <c:formatCode>0.000%</c:formatCode>
                <c:ptCount val="10"/>
                <c:pt idx="0">
                  <c:v>-2.4582559051957603E-4</c:v>
                </c:pt>
                <c:pt idx="1">
                  <c:v>5.0864197846702498E-3</c:v>
                </c:pt>
                <c:pt idx="2">
                  <c:v>-4.1286231867914197E-3</c:v>
                </c:pt>
                <c:pt idx="3">
                  <c:v>-3.19164461955508E-3</c:v>
                </c:pt>
                <c:pt idx="4">
                  <c:v>9.3048377429433E-4</c:v>
                </c:pt>
                <c:pt idx="5">
                  <c:v>2.2250344030850199E-4</c:v>
                </c:pt>
                <c:pt idx="6">
                  <c:v>6.7275952234334402E-4</c:v>
                </c:pt>
                <c:pt idx="7">
                  <c:v>3.2971904714546498E-3</c:v>
                </c:pt>
                <c:pt idx="8">
                  <c:v>4.0209128440279601E-3</c:v>
                </c:pt>
                <c:pt idx="9">
                  <c:v>2.5478840537566899E-3</c:v>
                </c:pt>
              </c:numCache>
            </c:numRef>
          </c:val>
          <c:smooth val="0"/>
          <c:extLst>
            <c:ext xmlns:c16="http://schemas.microsoft.com/office/drawing/2014/chart" uri="{C3380CC4-5D6E-409C-BE32-E72D297353CC}">
              <c16:uniqueId val="{00000000-24C8-449D-8913-0906C71695FF}"/>
            </c:ext>
          </c:extLst>
        </c:ser>
        <c:dLbls>
          <c:showLegendKey val="0"/>
          <c:showVal val="0"/>
          <c:showCatName val="0"/>
          <c:showSerName val="0"/>
          <c:showPercent val="0"/>
          <c:showBubbleSize val="0"/>
        </c:dLbls>
        <c:marker val="1"/>
        <c:smooth val="0"/>
        <c:axId val="1154219056"/>
        <c:axId val="1154221104"/>
      </c:lineChart>
      <c:catAx>
        <c:axId val="115421905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221104"/>
        <c:crosses val="autoZero"/>
        <c:auto val="1"/>
        <c:lblAlgn val="ctr"/>
        <c:lblOffset val="100"/>
        <c:noMultiLvlLbl val="0"/>
      </c:catAx>
      <c:valAx>
        <c:axId val="11542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219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JAFZ Sukuk Ltd </a:t>
            </a:r>
            <a:endParaRPr lang="en-GB" sz="1000" baseline="0"/>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Data!$BC$7:$BC$16</c:f>
              <c:numCache>
                <c:formatCode>0.000%</c:formatCode>
                <c:ptCount val="10"/>
                <c:pt idx="0">
                  <c:v>9.4791981082543303E-3</c:v>
                </c:pt>
                <c:pt idx="1">
                  <c:v>3.2600330540999301E-3</c:v>
                </c:pt>
                <c:pt idx="2">
                  <c:v>-1.166547071657E-2</c:v>
                </c:pt>
                <c:pt idx="3">
                  <c:v>7.3336925641881304E-4</c:v>
                </c:pt>
                <c:pt idx="4">
                  <c:v>8.7826443283479192E-3</c:v>
                </c:pt>
                <c:pt idx="5">
                  <c:v>5.5061132490534697E-3</c:v>
                </c:pt>
                <c:pt idx="6">
                  <c:v>-1.6083152416123798E-2</c:v>
                </c:pt>
                <c:pt idx="7">
                  <c:v>2.4074503440776399E-4</c:v>
                </c:pt>
                <c:pt idx="8">
                  <c:v>-4.13429856616332E-3</c:v>
                </c:pt>
                <c:pt idx="9">
                  <c:v>9.2430226720460699E-3</c:v>
                </c:pt>
              </c:numCache>
            </c:numRef>
          </c:val>
          <c:smooth val="0"/>
          <c:extLst>
            <c:ext xmlns:c16="http://schemas.microsoft.com/office/drawing/2014/chart" uri="{C3380CC4-5D6E-409C-BE32-E72D297353CC}">
              <c16:uniqueId val="{00000000-2B98-42A9-9D4A-17F8C23B1098}"/>
            </c:ext>
          </c:extLst>
        </c:ser>
        <c:dLbls>
          <c:showLegendKey val="0"/>
          <c:showVal val="0"/>
          <c:showCatName val="0"/>
          <c:showSerName val="0"/>
          <c:showPercent val="0"/>
          <c:showBubbleSize val="0"/>
        </c:dLbls>
        <c:marker val="1"/>
        <c:smooth val="0"/>
        <c:axId val="768072032"/>
        <c:axId val="768074080"/>
      </c:lineChart>
      <c:catAx>
        <c:axId val="76807203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074080"/>
        <c:crosses val="autoZero"/>
        <c:auto val="1"/>
        <c:lblAlgn val="ctr"/>
        <c:lblOffset val="100"/>
        <c:noMultiLvlLbl val="0"/>
      </c:catAx>
      <c:valAx>
        <c:axId val="768074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072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JAFZ Sukuk Ltd</a:t>
            </a:r>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Sheet29!$A$2:$A$72</c:f>
              <c:strCache>
                <c:ptCount val="71"/>
                <c:pt idx="0">
                  <c:v>-3.57%</c:v>
                </c:pt>
                <c:pt idx="1">
                  <c:v>-3.47%</c:v>
                </c:pt>
                <c:pt idx="2">
                  <c:v>-3.36%</c:v>
                </c:pt>
                <c:pt idx="3">
                  <c:v>-3.26%</c:v>
                </c:pt>
                <c:pt idx="4">
                  <c:v>-3.15%</c:v>
                </c:pt>
                <c:pt idx="5">
                  <c:v>-3.05%</c:v>
                </c:pt>
                <c:pt idx="6">
                  <c:v>-2.94%</c:v>
                </c:pt>
                <c:pt idx="7">
                  <c:v>-2.84%</c:v>
                </c:pt>
                <c:pt idx="8">
                  <c:v>-2.74%</c:v>
                </c:pt>
                <c:pt idx="9">
                  <c:v>-2.63%</c:v>
                </c:pt>
                <c:pt idx="10">
                  <c:v>-2.53%</c:v>
                </c:pt>
                <c:pt idx="11">
                  <c:v>-2.42%</c:v>
                </c:pt>
                <c:pt idx="12">
                  <c:v>-2.32%</c:v>
                </c:pt>
                <c:pt idx="13">
                  <c:v>-2.22%</c:v>
                </c:pt>
                <c:pt idx="14">
                  <c:v>-2.11%</c:v>
                </c:pt>
                <c:pt idx="15">
                  <c:v>-2.01%</c:v>
                </c:pt>
                <c:pt idx="16">
                  <c:v>-1.90%</c:v>
                </c:pt>
                <c:pt idx="17">
                  <c:v>-1.80%</c:v>
                </c:pt>
                <c:pt idx="18">
                  <c:v>-1.69%</c:v>
                </c:pt>
                <c:pt idx="19">
                  <c:v>-1.59%</c:v>
                </c:pt>
                <c:pt idx="20">
                  <c:v>-1.49%</c:v>
                </c:pt>
                <c:pt idx="21">
                  <c:v>-1.38%</c:v>
                </c:pt>
                <c:pt idx="22">
                  <c:v>-1.28%</c:v>
                </c:pt>
                <c:pt idx="23">
                  <c:v>-1.17%</c:v>
                </c:pt>
                <c:pt idx="24">
                  <c:v>-1.07%</c:v>
                </c:pt>
                <c:pt idx="25">
                  <c:v>-0.97%</c:v>
                </c:pt>
                <c:pt idx="26">
                  <c:v>-0.86%</c:v>
                </c:pt>
                <c:pt idx="27">
                  <c:v>-0.76%</c:v>
                </c:pt>
                <c:pt idx="28">
                  <c:v>-0.65%</c:v>
                </c:pt>
                <c:pt idx="29">
                  <c:v>-0.55%</c:v>
                </c:pt>
                <c:pt idx="30">
                  <c:v>-0.44%</c:v>
                </c:pt>
                <c:pt idx="31">
                  <c:v>-0.34%</c:v>
                </c:pt>
                <c:pt idx="32">
                  <c:v>-0.24%</c:v>
                </c:pt>
                <c:pt idx="33">
                  <c:v>-0.13%</c:v>
                </c:pt>
                <c:pt idx="34">
                  <c:v>-0.03%</c:v>
                </c:pt>
                <c:pt idx="35">
                  <c:v>0.08%</c:v>
                </c:pt>
                <c:pt idx="36">
                  <c:v>0.18%</c:v>
                </c:pt>
                <c:pt idx="37">
                  <c:v>0.28%</c:v>
                </c:pt>
                <c:pt idx="38">
                  <c:v>0.39%</c:v>
                </c:pt>
                <c:pt idx="39">
                  <c:v>0.49%</c:v>
                </c:pt>
                <c:pt idx="40">
                  <c:v>0.60%</c:v>
                </c:pt>
                <c:pt idx="41">
                  <c:v>0.70%</c:v>
                </c:pt>
                <c:pt idx="42">
                  <c:v>0.80%</c:v>
                </c:pt>
                <c:pt idx="43">
                  <c:v>0.91%</c:v>
                </c:pt>
                <c:pt idx="44">
                  <c:v>1.01%</c:v>
                </c:pt>
                <c:pt idx="45">
                  <c:v>1.12%</c:v>
                </c:pt>
                <c:pt idx="46">
                  <c:v>1.22%</c:v>
                </c:pt>
                <c:pt idx="47">
                  <c:v>1.33%</c:v>
                </c:pt>
                <c:pt idx="48">
                  <c:v>1.43%</c:v>
                </c:pt>
                <c:pt idx="49">
                  <c:v>1.53%</c:v>
                </c:pt>
                <c:pt idx="50">
                  <c:v>1.64%</c:v>
                </c:pt>
                <c:pt idx="51">
                  <c:v>1.74%</c:v>
                </c:pt>
                <c:pt idx="52">
                  <c:v>1.85%</c:v>
                </c:pt>
                <c:pt idx="53">
                  <c:v>1.95%</c:v>
                </c:pt>
                <c:pt idx="54">
                  <c:v>2.05%</c:v>
                </c:pt>
                <c:pt idx="55">
                  <c:v>2.16%</c:v>
                </c:pt>
                <c:pt idx="56">
                  <c:v>2.26%</c:v>
                </c:pt>
                <c:pt idx="57">
                  <c:v>2.37%</c:v>
                </c:pt>
                <c:pt idx="58">
                  <c:v>2.47%</c:v>
                </c:pt>
                <c:pt idx="59">
                  <c:v>2.58%</c:v>
                </c:pt>
                <c:pt idx="60">
                  <c:v>2.68%</c:v>
                </c:pt>
                <c:pt idx="61">
                  <c:v>2.78%</c:v>
                </c:pt>
                <c:pt idx="62">
                  <c:v>2.89%</c:v>
                </c:pt>
                <c:pt idx="63">
                  <c:v>2.99%</c:v>
                </c:pt>
                <c:pt idx="64">
                  <c:v>3.10%</c:v>
                </c:pt>
                <c:pt idx="65">
                  <c:v>3.20%</c:v>
                </c:pt>
                <c:pt idx="66">
                  <c:v>3.30%</c:v>
                </c:pt>
                <c:pt idx="67">
                  <c:v>3.41%</c:v>
                </c:pt>
                <c:pt idx="68">
                  <c:v>3.51%</c:v>
                </c:pt>
                <c:pt idx="69">
                  <c:v>3.62%</c:v>
                </c:pt>
                <c:pt idx="70">
                  <c:v>More</c:v>
                </c:pt>
              </c:strCache>
            </c:strRef>
          </c:cat>
          <c:val>
            <c:numRef>
              <c:f>Sheet29!$B$2:$B$72</c:f>
              <c:numCache>
                <c:formatCode>General</c:formatCode>
                <c:ptCount val="71"/>
                <c:pt idx="0">
                  <c:v>1</c:v>
                </c:pt>
                <c:pt idx="1">
                  <c:v>0</c:v>
                </c:pt>
                <c:pt idx="2">
                  <c:v>0</c:v>
                </c:pt>
                <c:pt idx="3">
                  <c:v>2</c:v>
                </c:pt>
                <c:pt idx="4">
                  <c:v>0</c:v>
                </c:pt>
                <c:pt idx="5">
                  <c:v>1</c:v>
                </c:pt>
                <c:pt idx="6">
                  <c:v>0</c:v>
                </c:pt>
                <c:pt idx="7">
                  <c:v>1</c:v>
                </c:pt>
                <c:pt idx="8">
                  <c:v>2</c:v>
                </c:pt>
                <c:pt idx="9">
                  <c:v>4</c:v>
                </c:pt>
                <c:pt idx="10">
                  <c:v>5</c:v>
                </c:pt>
                <c:pt idx="11">
                  <c:v>7</c:v>
                </c:pt>
                <c:pt idx="12">
                  <c:v>6</c:v>
                </c:pt>
                <c:pt idx="13">
                  <c:v>13</c:v>
                </c:pt>
                <c:pt idx="14">
                  <c:v>13</c:v>
                </c:pt>
                <c:pt idx="15">
                  <c:v>11</c:v>
                </c:pt>
                <c:pt idx="16">
                  <c:v>24</c:v>
                </c:pt>
                <c:pt idx="17">
                  <c:v>36</c:v>
                </c:pt>
                <c:pt idx="18">
                  <c:v>25</c:v>
                </c:pt>
                <c:pt idx="19">
                  <c:v>41</c:v>
                </c:pt>
                <c:pt idx="20">
                  <c:v>52</c:v>
                </c:pt>
                <c:pt idx="21">
                  <c:v>56</c:v>
                </c:pt>
                <c:pt idx="22">
                  <c:v>67</c:v>
                </c:pt>
                <c:pt idx="23">
                  <c:v>90</c:v>
                </c:pt>
                <c:pt idx="24">
                  <c:v>91</c:v>
                </c:pt>
                <c:pt idx="25">
                  <c:v>113</c:v>
                </c:pt>
                <c:pt idx="26">
                  <c:v>138</c:v>
                </c:pt>
                <c:pt idx="27">
                  <c:v>141</c:v>
                </c:pt>
                <c:pt idx="28">
                  <c:v>178</c:v>
                </c:pt>
                <c:pt idx="29">
                  <c:v>187</c:v>
                </c:pt>
                <c:pt idx="30">
                  <c:v>182</c:v>
                </c:pt>
                <c:pt idx="31">
                  <c:v>195</c:v>
                </c:pt>
                <c:pt idx="32">
                  <c:v>193</c:v>
                </c:pt>
                <c:pt idx="33">
                  <c:v>232</c:v>
                </c:pt>
                <c:pt idx="34">
                  <c:v>230</c:v>
                </c:pt>
                <c:pt idx="35">
                  <c:v>247</c:v>
                </c:pt>
                <c:pt idx="36">
                  <c:v>244</c:v>
                </c:pt>
                <c:pt idx="37">
                  <c:v>217</c:v>
                </c:pt>
                <c:pt idx="38">
                  <c:v>209</c:v>
                </c:pt>
                <c:pt idx="39">
                  <c:v>218</c:v>
                </c:pt>
                <c:pt idx="40">
                  <c:v>209</c:v>
                </c:pt>
                <c:pt idx="41">
                  <c:v>197</c:v>
                </c:pt>
                <c:pt idx="42">
                  <c:v>158</c:v>
                </c:pt>
                <c:pt idx="43">
                  <c:v>147</c:v>
                </c:pt>
                <c:pt idx="44">
                  <c:v>118</c:v>
                </c:pt>
                <c:pt idx="45">
                  <c:v>128</c:v>
                </c:pt>
                <c:pt idx="46">
                  <c:v>97</c:v>
                </c:pt>
                <c:pt idx="47">
                  <c:v>86</c:v>
                </c:pt>
                <c:pt idx="48">
                  <c:v>79</c:v>
                </c:pt>
                <c:pt idx="49">
                  <c:v>73</c:v>
                </c:pt>
                <c:pt idx="50">
                  <c:v>46</c:v>
                </c:pt>
                <c:pt idx="51">
                  <c:v>42</c:v>
                </c:pt>
                <c:pt idx="52">
                  <c:v>31</c:v>
                </c:pt>
                <c:pt idx="53">
                  <c:v>29</c:v>
                </c:pt>
                <c:pt idx="54">
                  <c:v>16</c:v>
                </c:pt>
                <c:pt idx="55">
                  <c:v>21</c:v>
                </c:pt>
                <c:pt idx="56">
                  <c:v>16</c:v>
                </c:pt>
                <c:pt idx="57">
                  <c:v>9</c:v>
                </c:pt>
                <c:pt idx="58">
                  <c:v>3</c:v>
                </c:pt>
                <c:pt idx="59">
                  <c:v>5</c:v>
                </c:pt>
                <c:pt idx="60">
                  <c:v>1</c:v>
                </c:pt>
                <c:pt idx="61">
                  <c:v>4</c:v>
                </c:pt>
                <c:pt idx="62">
                  <c:v>5</c:v>
                </c:pt>
                <c:pt idx="63">
                  <c:v>2</c:v>
                </c:pt>
                <c:pt idx="64">
                  <c:v>2</c:v>
                </c:pt>
                <c:pt idx="65">
                  <c:v>2</c:v>
                </c:pt>
                <c:pt idx="66">
                  <c:v>0</c:v>
                </c:pt>
                <c:pt idx="67">
                  <c:v>0</c:v>
                </c:pt>
                <c:pt idx="68">
                  <c:v>1</c:v>
                </c:pt>
                <c:pt idx="69">
                  <c:v>0</c:v>
                </c:pt>
                <c:pt idx="70">
                  <c:v>1</c:v>
                </c:pt>
              </c:numCache>
            </c:numRef>
          </c:val>
          <c:extLst>
            <c:ext xmlns:c16="http://schemas.microsoft.com/office/drawing/2014/chart" uri="{C3380CC4-5D6E-409C-BE32-E72D297353CC}">
              <c16:uniqueId val="{00000000-073C-4FDB-A90D-6A6CCD654302}"/>
            </c:ext>
          </c:extLst>
        </c:ser>
        <c:dLbls>
          <c:showLegendKey val="0"/>
          <c:showVal val="0"/>
          <c:showCatName val="0"/>
          <c:showSerName val="0"/>
          <c:showPercent val="0"/>
          <c:showBubbleSize val="0"/>
        </c:dLbls>
        <c:gapWidth val="219"/>
        <c:overlap val="-27"/>
        <c:axId val="767661440"/>
        <c:axId val="767665408"/>
      </c:barChart>
      <c:catAx>
        <c:axId val="767661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Bin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665408"/>
        <c:crosses val="autoZero"/>
        <c:auto val="1"/>
        <c:lblAlgn val="ctr"/>
        <c:lblOffset val="100"/>
        <c:noMultiLvlLbl val="0"/>
      </c:catAx>
      <c:valAx>
        <c:axId val="767665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661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GB" sz="1050" b="1" i="0" u="none" strike="noStrike" kern="1200" spc="0" baseline="0">
                <a:solidFill>
                  <a:sysClr val="windowText" lastClr="000000">
                    <a:lumMod val="65000"/>
                    <a:lumOff val="35000"/>
                  </a:sysClr>
                </a:solidFill>
                <a:latin typeface="+mn-lt"/>
                <a:ea typeface="+mn-ea"/>
                <a:cs typeface="+mn-cs"/>
              </a:rPr>
              <a:t>Sukuk</a:t>
            </a:r>
            <a:r>
              <a:rPr lang="en-GB" sz="1050" b="1"/>
              <a:t>/Bonds_5000 </a:t>
            </a:r>
            <a:r>
              <a:rPr lang="en-GB" sz="1050" b="1" i="0" baseline="0"/>
              <a:t>Iterations</a:t>
            </a:r>
          </a:p>
        </c:rich>
      </c:tx>
      <c:overlay val="0"/>
      <c:spPr>
        <a:noFill/>
        <a:ln>
          <a:noFill/>
        </a:ln>
        <a:effectLst/>
      </c:spPr>
    </c:title>
    <c:autoTitleDeleted val="0"/>
    <c:plotArea>
      <c:layout/>
      <c:lineChart>
        <c:grouping val="standard"/>
        <c:varyColors val="0"/>
        <c:ser>
          <c:idx val="0"/>
          <c:order val="0"/>
          <c:tx>
            <c:strRef>
              <c:f>'3rd runs'!$E$32</c:f>
              <c:strCache>
                <c:ptCount val="1"/>
                <c:pt idx="0">
                  <c:v>VaR of Sukuk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'3rd runs'!$E$33:$E$47</c:f>
              <c:numCache>
                <c:formatCode>0.00%</c:formatCode>
                <c:ptCount val="15"/>
                <c:pt idx="0">
                  <c:v>-2.1327394096435599E-2</c:v>
                </c:pt>
                <c:pt idx="1">
                  <c:v>-5.3558591320330704E-3</c:v>
                </c:pt>
                <c:pt idx="2">
                  <c:v>-1.47180275946159E-2</c:v>
                </c:pt>
                <c:pt idx="3">
                  <c:v>-1.44481062439266E-2</c:v>
                </c:pt>
                <c:pt idx="4">
                  <c:v>-2.8333919830714799E-3</c:v>
                </c:pt>
                <c:pt idx="5">
                  <c:v>-5.4598978829070496E-3</c:v>
                </c:pt>
                <c:pt idx="6">
                  <c:v>-1.3702116532407001E-2</c:v>
                </c:pt>
                <c:pt idx="7">
                  <c:v>-1.1762536752057099E-2</c:v>
                </c:pt>
                <c:pt idx="8">
                  <c:v>-3.9260670338672103E-3</c:v>
                </c:pt>
                <c:pt idx="9">
                  <c:v>-1.9539026038879999E-3</c:v>
                </c:pt>
                <c:pt idx="10">
                  <c:v>-1.3831950979554799E-2</c:v>
                </c:pt>
                <c:pt idx="11">
                  <c:v>-1.2952147659072599E-2</c:v>
                </c:pt>
                <c:pt idx="12">
                  <c:v>-3.8637000075858702E-3</c:v>
                </c:pt>
                <c:pt idx="13">
                  <c:v>-1.98756421584073E-2</c:v>
                </c:pt>
                <c:pt idx="14">
                  <c:v>-7.0616173534776101E-3</c:v>
                </c:pt>
              </c:numCache>
            </c:numRef>
          </c:val>
          <c:smooth val="0"/>
          <c:extLst>
            <c:ext xmlns:c16="http://schemas.microsoft.com/office/drawing/2014/chart" uri="{C3380CC4-5D6E-409C-BE32-E72D297353CC}">
              <c16:uniqueId val="{00000000-9A5F-4921-9455-64D2E76537BF}"/>
            </c:ext>
          </c:extLst>
        </c:ser>
        <c:ser>
          <c:idx val="1"/>
          <c:order val="1"/>
          <c:tx>
            <c:strRef>
              <c:f>'3rd runs'!$F$32</c:f>
              <c:strCache>
                <c:ptCount val="1"/>
                <c:pt idx="0">
                  <c:v>VaR of Bonds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'3rd runs'!$F$33:$F$47</c:f>
              <c:numCache>
                <c:formatCode>0.00%</c:formatCode>
                <c:ptCount val="15"/>
                <c:pt idx="0">
                  <c:v>-2.4328148160315199E-3</c:v>
                </c:pt>
                <c:pt idx="1">
                  <c:v>-1.9743782517545102E-3</c:v>
                </c:pt>
                <c:pt idx="2">
                  <c:v>-4.5137033618762104E-3</c:v>
                </c:pt>
                <c:pt idx="3">
                  <c:v>-5.6570813846817903E-3</c:v>
                </c:pt>
                <c:pt idx="4">
                  <c:v>-6.6779095931777301E-3</c:v>
                </c:pt>
                <c:pt idx="5">
                  <c:v>-3.3580172593295501E-3</c:v>
                </c:pt>
                <c:pt idx="6">
                  <c:v>-3.1432334756049101E-3</c:v>
                </c:pt>
                <c:pt idx="7">
                  <c:v>-4.3418504837465398E-3</c:v>
                </c:pt>
                <c:pt idx="8">
                  <c:v>-1.85976947008589E-3</c:v>
                </c:pt>
                <c:pt idx="9">
                  <c:v>-2.1983558693054899E-3</c:v>
                </c:pt>
                <c:pt idx="10">
                  <c:v>-3.8621644444999598E-3</c:v>
                </c:pt>
                <c:pt idx="11">
                  <c:v>-1.7316426138418502E-2</c:v>
                </c:pt>
                <c:pt idx="12">
                  <c:v>-6.6392721011464401E-3</c:v>
                </c:pt>
                <c:pt idx="13">
                  <c:v>-1.42223501298688E-2</c:v>
                </c:pt>
                <c:pt idx="14">
                  <c:v>-2.2173296162309301E-3</c:v>
                </c:pt>
              </c:numCache>
            </c:numRef>
          </c:val>
          <c:smooth val="0"/>
          <c:extLst>
            <c:ext xmlns:c16="http://schemas.microsoft.com/office/drawing/2014/chart" uri="{C3380CC4-5D6E-409C-BE32-E72D297353CC}">
              <c16:uniqueId val="{00000001-9A5F-4921-9455-64D2E76537BF}"/>
            </c:ext>
          </c:extLst>
        </c:ser>
        <c:dLbls>
          <c:showLegendKey val="0"/>
          <c:showVal val="0"/>
          <c:showCatName val="0"/>
          <c:showSerName val="0"/>
          <c:showPercent val="0"/>
          <c:showBubbleSize val="0"/>
        </c:dLbls>
        <c:marker val="1"/>
        <c:smooth val="0"/>
        <c:axId val="768767664"/>
        <c:axId val="768241088"/>
      </c:lineChart>
      <c:catAx>
        <c:axId val="7687676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241088"/>
        <c:crosses val="autoZero"/>
        <c:auto val="1"/>
        <c:lblAlgn val="ctr"/>
        <c:lblOffset val="100"/>
        <c:noMultiLvlLbl val="0"/>
      </c:catAx>
      <c:valAx>
        <c:axId val="768241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GB" sz="900" b="1" i="0" baseline="0"/>
                  <a:t>Returns</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68767664"/>
        <c:crosses val="autoZero"/>
        <c:crossBetween val="between"/>
        <c:majorUnit val="3.0000000000000001E-3"/>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INDONESIA III </a:t>
            </a:r>
            <a:endParaRPr lang="en-GB" sz="1000" baseline="0"/>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Data!$AY$7:$AY$16</c:f>
              <c:numCache>
                <c:formatCode>0.000%</c:formatCode>
                <c:ptCount val="10"/>
                <c:pt idx="0">
                  <c:v>5.0349596352877298E-3</c:v>
                </c:pt>
                <c:pt idx="1">
                  <c:v>-4.4890749236366897E-3</c:v>
                </c:pt>
                <c:pt idx="2">
                  <c:v>3.4451766960951502E-3</c:v>
                </c:pt>
                <c:pt idx="3">
                  <c:v>1.6940537802521099E-3</c:v>
                </c:pt>
                <c:pt idx="4">
                  <c:v>3.3617013008546098E-3</c:v>
                </c:pt>
                <c:pt idx="5">
                  <c:v>-6.5260639398805997E-4</c:v>
                </c:pt>
                <c:pt idx="6">
                  <c:v>1.6261073719633699E-3</c:v>
                </c:pt>
                <c:pt idx="7">
                  <c:v>-5.5885454640712696E-3</c:v>
                </c:pt>
                <c:pt idx="8">
                  <c:v>3.0293858361061799E-4</c:v>
                </c:pt>
                <c:pt idx="9">
                  <c:v>-1.85756042798644E-3</c:v>
                </c:pt>
              </c:numCache>
            </c:numRef>
          </c:val>
          <c:smooth val="0"/>
          <c:extLst>
            <c:ext xmlns:c16="http://schemas.microsoft.com/office/drawing/2014/chart" uri="{C3380CC4-5D6E-409C-BE32-E72D297353CC}">
              <c16:uniqueId val="{00000000-B989-421D-9A9C-75F40CC4CD1B}"/>
            </c:ext>
          </c:extLst>
        </c:ser>
        <c:dLbls>
          <c:showLegendKey val="0"/>
          <c:showVal val="0"/>
          <c:showCatName val="0"/>
          <c:showSerName val="0"/>
          <c:showPercent val="0"/>
          <c:showBubbleSize val="0"/>
        </c:dLbls>
        <c:marker val="1"/>
        <c:smooth val="0"/>
        <c:axId val="767634688"/>
        <c:axId val="767636320"/>
      </c:lineChart>
      <c:catAx>
        <c:axId val="76763468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636320"/>
        <c:crosses val="autoZero"/>
        <c:auto val="1"/>
        <c:lblAlgn val="ctr"/>
        <c:lblOffset val="100"/>
        <c:noMultiLvlLbl val="0"/>
      </c:catAx>
      <c:valAx>
        <c:axId val="767636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634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Indonesia III</a:t>
            </a:r>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Sheet27!$A$2:$A$72</c:f>
              <c:strCache>
                <c:ptCount val="71"/>
                <c:pt idx="0">
                  <c:v>-3.57%</c:v>
                </c:pt>
                <c:pt idx="1">
                  <c:v>-3.47%</c:v>
                </c:pt>
                <c:pt idx="2">
                  <c:v>-3.36%</c:v>
                </c:pt>
                <c:pt idx="3">
                  <c:v>-3.26%</c:v>
                </c:pt>
                <c:pt idx="4">
                  <c:v>-3.15%</c:v>
                </c:pt>
                <c:pt idx="5">
                  <c:v>-3.05%</c:v>
                </c:pt>
                <c:pt idx="6">
                  <c:v>-2.94%</c:v>
                </c:pt>
                <c:pt idx="7">
                  <c:v>-2.84%</c:v>
                </c:pt>
                <c:pt idx="8">
                  <c:v>-2.74%</c:v>
                </c:pt>
                <c:pt idx="9">
                  <c:v>-2.63%</c:v>
                </c:pt>
                <c:pt idx="10">
                  <c:v>-2.53%</c:v>
                </c:pt>
                <c:pt idx="11">
                  <c:v>-2.42%</c:v>
                </c:pt>
                <c:pt idx="12">
                  <c:v>-2.32%</c:v>
                </c:pt>
                <c:pt idx="13">
                  <c:v>-2.22%</c:v>
                </c:pt>
                <c:pt idx="14">
                  <c:v>-2.11%</c:v>
                </c:pt>
                <c:pt idx="15">
                  <c:v>-2.01%</c:v>
                </c:pt>
                <c:pt idx="16">
                  <c:v>-1.90%</c:v>
                </c:pt>
                <c:pt idx="17">
                  <c:v>-1.80%</c:v>
                </c:pt>
                <c:pt idx="18">
                  <c:v>-1.69%</c:v>
                </c:pt>
                <c:pt idx="19">
                  <c:v>-1.59%</c:v>
                </c:pt>
                <c:pt idx="20">
                  <c:v>-1.49%</c:v>
                </c:pt>
                <c:pt idx="21">
                  <c:v>-1.38%</c:v>
                </c:pt>
                <c:pt idx="22">
                  <c:v>-1.28%</c:v>
                </c:pt>
                <c:pt idx="23">
                  <c:v>-1.17%</c:v>
                </c:pt>
                <c:pt idx="24">
                  <c:v>-1.07%</c:v>
                </c:pt>
                <c:pt idx="25">
                  <c:v>-0.97%</c:v>
                </c:pt>
                <c:pt idx="26">
                  <c:v>-0.86%</c:v>
                </c:pt>
                <c:pt idx="27">
                  <c:v>-0.76%</c:v>
                </c:pt>
                <c:pt idx="28">
                  <c:v>-0.65%</c:v>
                </c:pt>
                <c:pt idx="29">
                  <c:v>-0.55%</c:v>
                </c:pt>
                <c:pt idx="30">
                  <c:v>-0.44%</c:v>
                </c:pt>
                <c:pt idx="31">
                  <c:v>-0.34%</c:v>
                </c:pt>
                <c:pt idx="32">
                  <c:v>-0.24%</c:v>
                </c:pt>
                <c:pt idx="33">
                  <c:v>-0.13%</c:v>
                </c:pt>
                <c:pt idx="34">
                  <c:v>-0.03%</c:v>
                </c:pt>
                <c:pt idx="35">
                  <c:v>0.08%</c:v>
                </c:pt>
                <c:pt idx="36">
                  <c:v>0.18%</c:v>
                </c:pt>
                <c:pt idx="37">
                  <c:v>0.28%</c:v>
                </c:pt>
                <c:pt idx="38">
                  <c:v>0.39%</c:v>
                </c:pt>
                <c:pt idx="39">
                  <c:v>0.49%</c:v>
                </c:pt>
                <c:pt idx="40">
                  <c:v>0.60%</c:v>
                </c:pt>
                <c:pt idx="41">
                  <c:v>0.70%</c:v>
                </c:pt>
                <c:pt idx="42">
                  <c:v>0.80%</c:v>
                </c:pt>
                <c:pt idx="43">
                  <c:v>0.91%</c:v>
                </c:pt>
                <c:pt idx="44">
                  <c:v>1.01%</c:v>
                </c:pt>
                <c:pt idx="45">
                  <c:v>1.12%</c:v>
                </c:pt>
                <c:pt idx="46">
                  <c:v>1.22%</c:v>
                </c:pt>
                <c:pt idx="47">
                  <c:v>1.33%</c:v>
                </c:pt>
                <c:pt idx="48">
                  <c:v>1.43%</c:v>
                </c:pt>
                <c:pt idx="49">
                  <c:v>1.53%</c:v>
                </c:pt>
                <c:pt idx="50">
                  <c:v>1.64%</c:v>
                </c:pt>
                <c:pt idx="51">
                  <c:v>1.74%</c:v>
                </c:pt>
                <c:pt idx="52">
                  <c:v>1.85%</c:v>
                </c:pt>
                <c:pt idx="53">
                  <c:v>1.95%</c:v>
                </c:pt>
                <c:pt idx="54">
                  <c:v>2.05%</c:v>
                </c:pt>
                <c:pt idx="55">
                  <c:v>2.16%</c:v>
                </c:pt>
                <c:pt idx="56">
                  <c:v>2.26%</c:v>
                </c:pt>
                <c:pt idx="57">
                  <c:v>2.37%</c:v>
                </c:pt>
                <c:pt idx="58">
                  <c:v>2.47%</c:v>
                </c:pt>
                <c:pt idx="59">
                  <c:v>2.58%</c:v>
                </c:pt>
                <c:pt idx="60">
                  <c:v>2.68%</c:v>
                </c:pt>
                <c:pt idx="61">
                  <c:v>2.78%</c:v>
                </c:pt>
                <c:pt idx="62">
                  <c:v>2.89%</c:v>
                </c:pt>
                <c:pt idx="63">
                  <c:v>2.99%</c:v>
                </c:pt>
                <c:pt idx="64">
                  <c:v>3.10%</c:v>
                </c:pt>
                <c:pt idx="65">
                  <c:v>3.20%</c:v>
                </c:pt>
                <c:pt idx="66">
                  <c:v>3.30%</c:v>
                </c:pt>
                <c:pt idx="67">
                  <c:v>3.41%</c:v>
                </c:pt>
                <c:pt idx="68">
                  <c:v>3.51%</c:v>
                </c:pt>
                <c:pt idx="69">
                  <c:v>3.62%</c:v>
                </c:pt>
                <c:pt idx="70">
                  <c:v>More</c:v>
                </c:pt>
              </c:strCache>
            </c:strRef>
          </c:cat>
          <c:val>
            <c:numRef>
              <c:f>Sheet27!$B$2:$B$72</c:f>
              <c:numCache>
                <c:formatCode>General</c:formatCode>
                <c:ptCount val="71"/>
                <c:pt idx="0">
                  <c:v>1</c:v>
                </c:pt>
                <c:pt idx="1">
                  <c:v>0</c:v>
                </c:pt>
                <c:pt idx="2">
                  <c:v>0</c:v>
                </c:pt>
                <c:pt idx="3">
                  <c:v>2</c:v>
                </c:pt>
                <c:pt idx="4">
                  <c:v>0</c:v>
                </c:pt>
                <c:pt idx="5">
                  <c:v>1</c:v>
                </c:pt>
                <c:pt idx="6">
                  <c:v>0</c:v>
                </c:pt>
                <c:pt idx="7">
                  <c:v>1</c:v>
                </c:pt>
                <c:pt idx="8">
                  <c:v>2</c:v>
                </c:pt>
                <c:pt idx="9">
                  <c:v>4</c:v>
                </c:pt>
                <c:pt idx="10">
                  <c:v>5</c:v>
                </c:pt>
                <c:pt idx="11">
                  <c:v>7</c:v>
                </c:pt>
                <c:pt idx="12">
                  <c:v>6</c:v>
                </c:pt>
                <c:pt idx="13">
                  <c:v>13</c:v>
                </c:pt>
                <c:pt idx="14">
                  <c:v>13</c:v>
                </c:pt>
                <c:pt idx="15">
                  <c:v>11</c:v>
                </c:pt>
                <c:pt idx="16">
                  <c:v>24</c:v>
                </c:pt>
                <c:pt idx="17">
                  <c:v>36</c:v>
                </c:pt>
                <c:pt idx="18">
                  <c:v>25</c:v>
                </c:pt>
                <c:pt idx="19">
                  <c:v>41</c:v>
                </c:pt>
                <c:pt idx="20">
                  <c:v>52</c:v>
                </c:pt>
                <c:pt idx="21">
                  <c:v>56</c:v>
                </c:pt>
                <c:pt idx="22">
                  <c:v>67</c:v>
                </c:pt>
                <c:pt idx="23">
                  <c:v>90</c:v>
                </c:pt>
                <c:pt idx="24">
                  <c:v>91</c:v>
                </c:pt>
                <c:pt idx="25">
                  <c:v>113</c:v>
                </c:pt>
                <c:pt idx="26">
                  <c:v>138</c:v>
                </c:pt>
                <c:pt idx="27">
                  <c:v>141</c:v>
                </c:pt>
                <c:pt idx="28">
                  <c:v>178</c:v>
                </c:pt>
                <c:pt idx="29">
                  <c:v>187</c:v>
                </c:pt>
                <c:pt idx="30">
                  <c:v>182</c:v>
                </c:pt>
                <c:pt idx="31">
                  <c:v>195</c:v>
                </c:pt>
                <c:pt idx="32">
                  <c:v>193</c:v>
                </c:pt>
                <c:pt idx="33">
                  <c:v>232</c:v>
                </c:pt>
                <c:pt idx="34">
                  <c:v>230</c:v>
                </c:pt>
                <c:pt idx="35">
                  <c:v>247</c:v>
                </c:pt>
                <c:pt idx="36">
                  <c:v>244</c:v>
                </c:pt>
                <c:pt idx="37">
                  <c:v>217</c:v>
                </c:pt>
                <c:pt idx="38">
                  <c:v>209</c:v>
                </c:pt>
                <c:pt idx="39">
                  <c:v>218</c:v>
                </c:pt>
                <c:pt idx="40">
                  <c:v>209</c:v>
                </c:pt>
                <c:pt idx="41">
                  <c:v>197</c:v>
                </c:pt>
                <c:pt idx="42">
                  <c:v>158</c:v>
                </c:pt>
                <c:pt idx="43">
                  <c:v>147</c:v>
                </c:pt>
                <c:pt idx="44">
                  <c:v>118</c:v>
                </c:pt>
                <c:pt idx="45">
                  <c:v>128</c:v>
                </c:pt>
                <c:pt idx="46">
                  <c:v>97</c:v>
                </c:pt>
                <c:pt idx="47">
                  <c:v>86</c:v>
                </c:pt>
                <c:pt idx="48">
                  <c:v>79</c:v>
                </c:pt>
                <c:pt idx="49">
                  <c:v>73</c:v>
                </c:pt>
                <c:pt idx="50">
                  <c:v>46</c:v>
                </c:pt>
                <c:pt idx="51">
                  <c:v>42</c:v>
                </c:pt>
                <c:pt idx="52">
                  <c:v>31</c:v>
                </c:pt>
                <c:pt idx="53">
                  <c:v>29</c:v>
                </c:pt>
                <c:pt idx="54">
                  <c:v>16</c:v>
                </c:pt>
                <c:pt idx="55">
                  <c:v>21</c:v>
                </c:pt>
                <c:pt idx="56">
                  <c:v>16</c:v>
                </c:pt>
                <c:pt idx="57">
                  <c:v>9</c:v>
                </c:pt>
                <c:pt idx="58">
                  <c:v>3</c:v>
                </c:pt>
                <c:pt idx="59">
                  <c:v>5</c:v>
                </c:pt>
                <c:pt idx="60">
                  <c:v>1</c:v>
                </c:pt>
                <c:pt idx="61">
                  <c:v>4</c:v>
                </c:pt>
                <c:pt idx="62">
                  <c:v>5</c:v>
                </c:pt>
                <c:pt idx="63">
                  <c:v>2</c:v>
                </c:pt>
                <c:pt idx="64">
                  <c:v>2</c:v>
                </c:pt>
                <c:pt idx="65">
                  <c:v>2</c:v>
                </c:pt>
                <c:pt idx="66">
                  <c:v>0</c:v>
                </c:pt>
                <c:pt idx="67">
                  <c:v>0</c:v>
                </c:pt>
                <c:pt idx="68">
                  <c:v>1</c:v>
                </c:pt>
                <c:pt idx="69">
                  <c:v>0</c:v>
                </c:pt>
                <c:pt idx="70">
                  <c:v>1</c:v>
                </c:pt>
              </c:numCache>
            </c:numRef>
          </c:val>
          <c:extLst>
            <c:ext xmlns:c16="http://schemas.microsoft.com/office/drawing/2014/chart" uri="{C3380CC4-5D6E-409C-BE32-E72D297353CC}">
              <c16:uniqueId val="{00000000-A2E4-41D9-9EBA-FC9BBE2945D4}"/>
            </c:ext>
          </c:extLst>
        </c:ser>
        <c:dLbls>
          <c:showLegendKey val="0"/>
          <c:showVal val="0"/>
          <c:showCatName val="0"/>
          <c:showSerName val="0"/>
          <c:showPercent val="0"/>
          <c:showBubbleSize val="0"/>
        </c:dLbls>
        <c:gapWidth val="219"/>
        <c:overlap val="-27"/>
        <c:axId val="767588048"/>
        <c:axId val="767560416"/>
      </c:barChart>
      <c:catAx>
        <c:axId val="767588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Bin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560416"/>
        <c:crosses val="autoZero"/>
        <c:auto val="1"/>
        <c:lblAlgn val="ctr"/>
        <c:lblOffset val="100"/>
        <c:noMultiLvlLbl val="0"/>
      </c:catAx>
      <c:valAx>
        <c:axId val="76756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588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DP World LTD - 144A</a:t>
            </a:r>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Sheet9!$A$2:$A$72</c:f>
              <c:strCache>
                <c:ptCount val="71"/>
                <c:pt idx="0">
                  <c:v>-0.35%</c:v>
                </c:pt>
                <c:pt idx="1">
                  <c:v>-0.34%</c:v>
                </c:pt>
                <c:pt idx="2">
                  <c:v>-0.33%</c:v>
                </c:pt>
                <c:pt idx="3">
                  <c:v>-0.32%</c:v>
                </c:pt>
                <c:pt idx="4">
                  <c:v>-0.31%</c:v>
                </c:pt>
                <c:pt idx="5">
                  <c:v>-0.30%</c:v>
                </c:pt>
                <c:pt idx="6">
                  <c:v>-0.29%</c:v>
                </c:pt>
                <c:pt idx="7">
                  <c:v>-0.28%</c:v>
                </c:pt>
                <c:pt idx="8">
                  <c:v>-0.27%</c:v>
                </c:pt>
                <c:pt idx="9">
                  <c:v>-0.26%</c:v>
                </c:pt>
                <c:pt idx="10">
                  <c:v>-0.25%</c:v>
                </c:pt>
                <c:pt idx="11">
                  <c:v>-0.24%</c:v>
                </c:pt>
                <c:pt idx="12">
                  <c:v>-0.23%</c:v>
                </c:pt>
                <c:pt idx="13">
                  <c:v>-0.22%</c:v>
                </c:pt>
                <c:pt idx="14">
                  <c:v>-0.21%</c:v>
                </c:pt>
                <c:pt idx="15">
                  <c:v>-0.20%</c:v>
                </c:pt>
                <c:pt idx="16">
                  <c:v>-0.19%</c:v>
                </c:pt>
                <c:pt idx="17">
                  <c:v>-0.18%</c:v>
                </c:pt>
                <c:pt idx="18">
                  <c:v>-0.17%</c:v>
                </c:pt>
                <c:pt idx="19">
                  <c:v>-0.16%</c:v>
                </c:pt>
                <c:pt idx="20">
                  <c:v>-0.15%</c:v>
                </c:pt>
                <c:pt idx="21">
                  <c:v>-0.14%</c:v>
                </c:pt>
                <c:pt idx="22">
                  <c:v>-0.13%</c:v>
                </c:pt>
                <c:pt idx="23">
                  <c:v>-0.12%</c:v>
                </c:pt>
                <c:pt idx="24">
                  <c:v>-0.11%</c:v>
                </c:pt>
                <c:pt idx="25">
                  <c:v>-0.10%</c:v>
                </c:pt>
                <c:pt idx="26">
                  <c:v>-0.09%</c:v>
                </c:pt>
                <c:pt idx="27">
                  <c:v>-0.08%</c:v>
                </c:pt>
                <c:pt idx="28">
                  <c:v>-0.07%</c:v>
                </c:pt>
                <c:pt idx="29">
                  <c:v>-0.06%</c:v>
                </c:pt>
                <c:pt idx="30">
                  <c:v>-0.05%</c:v>
                </c:pt>
                <c:pt idx="31">
                  <c:v>-0.04%</c:v>
                </c:pt>
                <c:pt idx="32">
                  <c:v>-0.03%</c:v>
                </c:pt>
                <c:pt idx="33">
                  <c:v>-0.02%</c:v>
                </c:pt>
                <c:pt idx="34">
                  <c:v>-0.01%</c:v>
                </c:pt>
                <c:pt idx="35">
                  <c:v>0.00%</c:v>
                </c:pt>
                <c:pt idx="36">
                  <c:v>0.01%</c:v>
                </c:pt>
                <c:pt idx="37">
                  <c:v>0.02%</c:v>
                </c:pt>
                <c:pt idx="38">
                  <c:v>0.03%</c:v>
                </c:pt>
                <c:pt idx="39">
                  <c:v>0.04%</c:v>
                </c:pt>
                <c:pt idx="40">
                  <c:v>0.05%</c:v>
                </c:pt>
                <c:pt idx="41">
                  <c:v>0.06%</c:v>
                </c:pt>
                <c:pt idx="42">
                  <c:v>0.07%</c:v>
                </c:pt>
                <c:pt idx="43">
                  <c:v>0.08%</c:v>
                </c:pt>
                <c:pt idx="44">
                  <c:v>0.09%</c:v>
                </c:pt>
                <c:pt idx="45">
                  <c:v>0.10%</c:v>
                </c:pt>
                <c:pt idx="46">
                  <c:v>0.11%</c:v>
                </c:pt>
                <c:pt idx="47">
                  <c:v>0.12%</c:v>
                </c:pt>
                <c:pt idx="48">
                  <c:v>0.13%</c:v>
                </c:pt>
                <c:pt idx="49">
                  <c:v>0.14%</c:v>
                </c:pt>
                <c:pt idx="50">
                  <c:v>0.15%</c:v>
                </c:pt>
                <c:pt idx="51">
                  <c:v>0.16%</c:v>
                </c:pt>
                <c:pt idx="52">
                  <c:v>0.17%</c:v>
                </c:pt>
                <c:pt idx="53">
                  <c:v>0.18%</c:v>
                </c:pt>
                <c:pt idx="54">
                  <c:v>0.19%</c:v>
                </c:pt>
                <c:pt idx="55">
                  <c:v>0.20%</c:v>
                </c:pt>
                <c:pt idx="56">
                  <c:v>0.21%</c:v>
                </c:pt>
                <c:pt idx="57">
                  <c:v>0.22%</c:v>
                </c:pt>
                <c:pt idx="58">
                  <c:v>0.23%</c:v>
                </c:pt>
                <c:pt idx="59">
                  <c:v>0.24%</c:v>
                </c:pt>
                <c:pt idx="60">
                  <c:v>0.25%</c:v>
                </c:pt>
                <c:pt idx="61">
                  <c:v>0.26%</c:v>
                </c:pt>
                <c:pt idx="62">
                  <c:v>0.27%</c:v>
                </c:pt>
                <c:pt idx="63">
                  <c:v>0.28%</c:v>
                </c:pt>
                <c:pt idx="64">
                  <c:v>0.29%</c:v>
                </c:pt>
                <c:pt idx="65">
                  <c:v>0.30%</c:v>
                </c:pt>
                <c:pt idx="66">
                  <c:v>0.31%</c:v>
                </c:pt>
                <c:pt idx="67">
                  <c:v>0.32%</c:v>
                </c:pt>
                <c:pt idx="68">
                  <c:v>0.33%</c:v>
                </c:pt>
                <c:pt idx="69">
                  <c:v>0.34%</c:v>
                </c:pt>
                <c:pt idx="70">
                  <c:v>More</c:v>
                </c:pt>
              </c:strCache>
            </c:strRef>
          </c:cat>
          <c:val>
            <c:numRef>
              <c:f>Sheet9!$B$2:$B$72</c:f>
              <c:numCache>
                <c:formatCode>General</c:formatCode>
                <c:ptCount val="71"/>
                <c:pt idx="0">
                  <c:v>1</c:v>
                </c:pt>
                <c:pt idx="1">
                  <c:v>0</c:v>
                </c:pt>
                <c:pt idx="2">
                  <c:v>1</c:v>
                </c:pt>
                <c:pt idx="3">
                  <c:v>0</c:v>
                </c:pt>
                <c:pt idx="4">
                  <c:v>3</c:v>
                </c:pt>
                <c:pt idx="5">
                  <c:v>3</c:v>
                </c:pt>
                <c:pt idx="6">
                  <c:v>4</c:v>
                </c:pt>
                <c:pt idx="7">
                  <c:v>9</c:v>
                </c:pt>
                <c:pt idx="8">
                  <c:v>4</c:v>
                </c:pt>
                <c:pt idx="9">
                  <c:v>7</c:v>
                </c:pt>
                <c:pt idx="10">
                  <c:v>7</c:v>
                </c:pt>
                <c:pt idx="11">
                  <c:v>16</c:v>
                </c:pt>
                <c:pt idx="12">
                  <c:v>10</c:v>
                </c:pt>
                <c:pt idx="13">
                  <c:v>16</c:v>
                </c:pt>
                <c:pt idx="14">
                  <c:v>22</c:v>
                </c:pt>
                <c:pt idx="15">
                  <c:v>30</c:v>
                </c:pt>
                <c:pt idx="16">
                  <c:v>36</c:v>
                </c:pt>
                <c:pt idx="17">
                  <c:v>35</c:v>
                </c:pt>
                <c:pt idx="18">
                  <c:v>42</c:v>
                </c:pt>
                <c:pt idx="19">
                  <c:v>54</c:v>
                </c:pt>
                <c:pt idx="20">
                  <c:v>63</c:v>
                </c:pt>
                <c:pt idx="21">
                  <c:v>64</c:v>
                </c:pt>
                <c:pt idx="22">
                  <c:v>89</c:v>
                </c:pt>
                <c:pt idx="23">
                  <c:v>107</c:v>
                </c:pt>
                <c:pt idx="24">
                  <c:v>115</c:v>
                </c:pt>
                <c:pt idx="25">
                  <c:v>123</c:v>
                </c:pt>
                <c:pt idx="26">
                  <c:v>134</c:v>
                </c:pt>
                <c:pt idx="27">
                  <c:v>142</c:v>
                </c:pt>
                <c:pt idx="28">
                  <c:v>161</c:v>
                </c:pt>
                <c:pt idx="29">
                  <c:v>154</c:v>
                </c:pt>
                <c:pt idx="30">
                  <c:v>172</c:v>
                </c:pt>
                <c:pt idx="31">
                  <c:v>197</c:v>
                </c:pt>
                <c:pt idx="32">
                  <c:v>181</c:v>
                </c:pt>
                <c:pt idx="33">
                  <c:v>168</c:v>
                </c:pt>
                <c:pt idx="34">
                  <c:v>191</c:v>
                </c:pt>
                <c:pt idx="35">
                  <c:v>165</c:v>
                </c:pt>
                <c:pt idx="36">
                  <c:v>173</c:v>
                </c:pt>
                <c:pt idx="37">
                  <c:v>192</c:v>
                </c:pt>
                <c:pt idx="38">
                  <c:v>180</c:v>
                </c:pt>
                <c:pt idx="39">
                  <c:v>188</c:v>
                </c:pt>
                <c:pt idx="40">
                  <c:v>164</c:v>
                </c:pt>
                <c:pt idx="41">
                  <c:v>169</c:v>
                </c:pt>
                <c:pt idx="42">
                  <c:v>150</c:v>
                </c:pt>
                <c:pt idx="43">
                  <c:v>166</c:v>
                </c:pt>
                <c:pt idx="44">
                  <c:v>130</c:v>
                </c:pt>
                <c:pt idx="45">
                  <c:v>104</c:v>
                </c:pt>
                <c:pt idx="46">
                  <c:v>123</c:v>
                </c:pt>
                <c:pt idx="47">
                  <c:v>96</c:v>
                </c:pt>
                <c:pt idx="48">
                  <c:v>95</c:v>
                </c:pt>
                <c:pt idx="49">
                  <c:v>94</c:v>
                </c:pt>
                <c:pt idx="50">
                  <c:v>58</c:v>
                </c:pt>
                <c:pt idx="51">
                  <c:v>60</c:v>
                </c:pt>
                <c:pt idx="52">
                  <c:v>61</c:v>
                </c:pt>
                <c:pt idx="53">
                  <c:v>43</c:v>
                </c:pt>
                <c:pt idx="54">
                  <c:v>35</c:v>
                </c:pt>
                <c:pt idx="55">
                  <c:v>34</c:v>
                </c:pt>
                <c:pt idx="56">
                  <c:v>32</c:v>
                </c:pt>
                <c:pt idx="57">
                  <c:v>31</c:v>
                </c:pt>
                <c:pt idx="58">
                  <c:v>27</c:v>
                </c:pt>
                <c:pt idx="59">
                  <c:v>15</c:v>
                </c:pt>
                <c:pt idx="60">
                  <c:v>12</c:v>
                </c:pt>
                <c:pt idx="61">
                  <c:v>15</c:v>
                </c:pt>
                <c:pt idx="62">
                  <c:v>11</c:v>
                </c:pt>
                <c:pt idx="63">
                  <c:v>4</c:v>
                </c:pt>
                <c:pt idx="64">
                  <c:v>3</c:v>
                </c:pt>
                <c:pt idx="65">
                  <c:v>5</c:v>
                </c:pt>
                <c:pt idx="66">
                  <c:v>1</c:v>
                </c:pt>
                <c:pt idx="67">
                  <c:v>1</c:v>
                </c:pt>
                <c:pt idx="68">
                  <c:v>0</c:v>
                </c:pt>
                <c:pt idx="69">
                  <c:v>1</c:v>
                </c:pt>
                <c:pt idx="70">
                  <c:v>2</c:v>
                </c:pt>
              </c:numCache>
            </c:numRef>
          </c:val>
          <c:extLst>
            <c:ext xmlns:c16="http://schemas.microsoft.com/office/drawing/2014/chart" uri="{C3380CC4-5D6E-409C-BE32-E72D297353CC}">
              <c16:uniqueId val="{00000000-4949-48C2-A0F9-93DDCA6E2941}"/>
            </c:ext>
          </c:extLst>
        </c:ser>
        <c:dLbls>
          <c:showLegendKey val="0"/>
          <c:showVal val="0"/>
          <c:showCatName val="0"/>
          <c:showSerName val="0"/>
          <c:showPercent val="0"/>
          <c:showBubbleSize val="0"/>
        </c:dLbls>
        <c:gapWidth val="219"/>
        <c:overlap val="-27"/>
        <c:axId val="798993808"/>
        <c:axId val="798989440"/>
      </c:barChart>
      <c:catAx>
        <c:axId val="798993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Results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989440"/>
        <c:crosses val="autoZero"/>
        <c:auto val="1"/>
        <c:lblAlgn val="ctr"/>
        <c:lblOffset val="100"/>
        <c:noMultiLvlLbl val="0"/>
      </c:catAx>
      <c:valAx>
        <c:axId val="798989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993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DP</a:t>
            </a:r>
            <a:r>
              <a:rPr lang="en-GB" sz="1000" baseline="0"/>
              <a:t> World LTD- 144A</a:t>
            </a:r>
            <a:endParaRPr lang="en-GB" sz="1000"/>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Data!$O$7:$O$16</c:f>
              <c:numCache>
                <c:formatCode>0.000%</c:formatCode>
                <c:ptCount val="10"/>
                <c:pt idx="0">
                  <c:v>-4.6746791190108196E-3</c:v>
                </c:pt>
                <c:pt idx="1">
                  <c:v>2.1982210331648799E-3</c:v>
                </c:pt>
                <c:pt idx="2">
                  <c:v>2.3619597892736801E-3</c:v>
                </c:pt>
                <c:pt idx="3">
                  <c:v>-4.3898777394160802E-4</c:v>
                </c:pt>
                <c:pt idx="4">
                  <c:v>2.3895818926367202E-3</c:v>
                </c:pt>
                <c:pt idx="5">
                  <c:v>8.1727976445681596E-4</c:v>
                </c:pt>
                <c:pt idx="6">
                  <c:v>8.5731387543612101E-4</c:v>
                </c:pt>
                <c:pt idx="7">
                  <c:v>-2.1708770768931302E-3</c:v>
                </c:pt>
                <c:pt idx="8">
                  <c:v>3.20314366294779E-4</c:v>
                </c:pt>
                <c:pt idx="9">
                  <c:v>5.9917297497076296E-3</c:v>
                </c:pt>
              </c:numCache>
            </c:numRef>
          </c:val>
          <c:smooth val="0"/>
          <c:extLst>
            <c:ext xmlns:c16="http://schemas.microsoft.com/office/drawing/2014/chart" uri="{C3380CC4-5D6E-409C-BE32-E72D297353CC}">
              <c16:uniqueId val="{00000000-D3AB-4F08-AB6D-4EF7EEAE87F2}"/>
            </c:ext>
          </c:extLst>
        </c:ser>
        <c:dLbls>
          <c:showLegendKey val="0"/>
          <c:showVal val="0"/>
          <c:showCatName val="0"/>
          <c:showSerName val="0"/>
          <c:showPercent val="0"/>
          <c:showBubbleSize val="0"/>
        </c:dLbls>
        <c:marker val="1"/>
        <c:smooth val="0"/>
        <c:axId val="798958992"/>
        <c:axId val="798950192"/>
      </c:lineChart>
      <c:catAx>
        <c:axId val="79895899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950192"/>
        <c:crosses val="autoZero"/>
        <c:auto val="1"/>
        <c:lblAlgn val="ctr"/>
        <c:lblOffset val="100"/>
        <c:noMultiLvlLbl val="0"/>
      </c:catAx>
      <c:valAx>
        <c:axId val="798950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Results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958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DP</a:t>
            </a:r>
            <a:r>
              <a:rPr lang="en-GB" sz="1000" baseline="0"/>
              <a:t> World LTD - GMTN RegS</a:t>
            </a:r>
            <a:endParaRPr lang="en-GB" sz="1000"/>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Sheet8!$A$2:$A$72</c:f>
              <c:strCache>
                <c:ptCount val="71"/>
                <c:pt idx="0">
                  <c:v>-0.35%</c:v>
                </c:pt>
                <c:pt idx="1">
                  <c:v>-0.34%</c:v>
                </c:pt>
                <c:pt idx="2">
                  <c:v>-0.33%</c:v>
                </c:pt>
                <c:pt idx="3">
                  <c:v>-0.32%</c:v>
                </c:pt>
                <c:pt idx="4">
                  <c:v>-0.31%</c:v>
                </c:pt>
                <c:pt idx="5">
                  <c:v>-0.30%</c:v>
                </c:pt>
                <c:pt idx="6">
                  <c:v>-0.29%</c:v>
                </c:pt>
                <c:pt idx="7">
                  <c:v>-0.28%</c:v>
                </c:pt>
                <c:pt idx="8">
                  <c:v>-0.27%</c:v>
                </c:pt>
                <c:pt idx="9">
                  <c:v>-0.26%</c:v>
                </c:pt>
                <c:pt idx="10">
                  <c:v>-0.25%</c:v>
                </c:pt>
                <c:pt idx="11">
                  <c:v>-0.24%</c:v>
                </c:pt>
                <c:pt idx="12">
                  <c:v>-0.23%</c:v>
                </c:pt>
                <c:pt idx="13">
                  <c:v>-0.22%</c:v>
                </c:pt>
                <c:pt idx="14">
                  <c:v>-0.21%</c:v>
                </c:pt>
                <c:pt idx="15">
                  <c:v>-0.20%</c:v>
                </c:pt>
                <c:pt idx="16">
                  <c:v>-0.19%</c:v>
                </c:pt>
                <c:pt idx="17">
                  <c:v>-0.18%</c:v>
                </c:pt>
                <c:pt idx="18">
                  <c:v>-0.17%</c:v>
                </c:pt>
                <c:pt idx="19">
                  <c:v>-0.16%</c:v>
                </c:pt>
                <c:pt idx="20">
                  <c:v>-0.15%</c:v>
                </c:pt>
                <c:pt idx="21">
                  <c:v>-0.14%</c:v>
                </c:pt>
                <c:pt idx="22">
                  <c:v>-0.13%</c:v>
                </c:pt>
                <c:pt idx="23">
                  <c:v>-0.12%</c:v>
                </c:pt>
                <c:pt idx="24">
                  <c:v>-0.11%</c:v>
                </c:pt>
                <c:pt idx="25">
                  <c:v>-0.10%</c:v>
                </c:pt>
                <c:pt idx="26">
                  <c:v>-0.09%</c:v>
                </c:pt>
                <c:pt idx="27">
                  <c:v>-0.08%</c:v>
                </c:pt>
                <c:pt idx="28">
                  <c:v>-0.07%</c:v>
                </c:pt>
                <c:pt idx="29">
                  <c:v>-0.06%</c:v>
                </c:pt>
                <c:pt idx="30">
                  <c:v>-0.05%</c:v>
                </c:pt>
                <c:pt idx="31">
                  <c:v>-0.04%</c:v>
                </c:pt>
                <c:pt idx="32">
                  <c:v>-0.03%</c:v>
                </c:pt>
                <c:pt idx="33">
                  <c:v>-0.02%</c:v>
                </c:pt>
                <c:pt idx="34">
                  <c:v>-0.01%</c:v>
                </c:pt>
                <c:pt idx="35">
                  <c:v>0.00%</c:v>
                </c:pt>
                <c:pt idx="36">
                  <c:v>0.01%</c:v>
                </c:pt>
                <c:pt idx="37">
                  <c:v>0.02%</c:v>
                </c:pt>
                <c:pt idx="38">
                  <c:v>0.03%</c:v>
                </c:pt>
                <c:pt idx="39">
                  <c:v>0.04%</c:v>
                </c:pt>
                <c:pt idx="40">
                  <c:v>0.05%</c:v>
                </c:pt>
                <c:pt idx="41">
                  <c:v>0.06%</c:v>
                </c:pt>
                <c:pt idx="42">
                  <c:v>0.07%</c:v>
                </c:pt>
                <c:pt idx="43">
                  <c:v>0.08%</c:v>
                </c:pt>
                <c:pt idx="44">
                  <c:v>0.09%</c:v>
                </c:pt>
                <c:pt idx="45">
                  <c:v>0.10%</c:v>
                </c:pt>
                <c:pt idx="46">
                  <c:v>0.11%</c:v>
                </c:pt>
                <c:pt idx="47">
                  <c:v>0.12%</c:v>
                </c:pt>
                <c:pt idx="48">
                  <c:v>0.13%</c:v>
                </c:pt>
                <c:pt idx="49">
                  <c:v>0.14%</c:v>
                </c:pt>
                <c:pt idx="50">
                  <c:v>0.15%</c:v>
                </c:pt>
                <c:pt idx="51">
                  <c:v>0.16%</c:v>
                </c:pt>
                <c:pt idx="52">
                  <c:v>0.17%</c:v>
                </c:pt>
                <c:pt idx="53">
                  <c:v>0.18%</c:v>
                </c:pt>
                <c:pt idx="54">
                  <c:v>0.19%</c:v>
                </c:pt>
                <c:pt idx="55">
                  <c:v>0.20%</c:v>
                </c:pt>
                <c:pt idx="56">
                  <c:v>0.21%</c:v>
                </c:pt>
                <c:pt idx="57">
                  <c:v>0.22%</c:v>
                </c:pt>
                <c:pt idx="58">
                  <c:v>0.23%</c:v>
                </c:pt>
                <c:pt idx="59">
                  <c:v>0.24%</c:v>
                </c:pt>
                <c:pt idx="60">
                  <c:v>0.25%</c:v>
                </c:pt>
                <c:pt idx="61">
                  <c:v>0.26%</c:v>
                </c:pt>
                <c:pt idx="62">
                  <c:v>0.27%</c:v>
                </c:pt>
                <c:pt idx="63">
                  <c:v>0.28%</c:v>
                </c:pt>
                <c:pt idx="64">
                  <c:v>0.29%</c:v>
                </c:pt>
                <c:pt idx="65">
                  <c:v>0.30%</c:v>
                </c:pt>
                <c:pt idx="66">
                  <c:v>0.31%</c:v>
                </c:pt>
                <c:pt idx="67">
                  <c:v>0.32%</c:v>
                </c:pt>
                <c:pt idx="68">
                  <c:v>0.33%</c:v>
                </c:pt>
                <c:pt idx="69">
                  <c:v>0.34%</c:v>
                </c:pt>
                <c:pt idx="70">
                  <c:v>More</c:v>
                </c:pt>
              </c:strCache>
            </c:strRef>
          </c:cat>
          <c:val>
            <c:numRef>
              <c:f>Sheet8!$B$2:$B$72</c:f>
              <c:numCache>
                <c:formatCode>General</c:formatCode>
                <c:ptCount val="71"/>
                <c:pt idx="0">
                  <c:v>1</c:v>
                </c:pt>
                <c:pt idx="1">
                  <c:v>0</c:v>
                </c:pt>
                <c:pt idx="2">
                  <c:v>1</c:v>
                </c:pt>
                <c:pt idx="3">
                  <c:v>0</c:v>
                </c:pt>
                <c:pt idx="4">
                  <c:v>3</c:v>
                </c:pt>
                <c:pt idx="5">
                  <c:v>3</c:v>
                </c:pt>
                <c:pt idx="6">
                  <c:v>4</c:v>
                </c:pt>
                <c:pt idx="7">
                  <c:v>9</c:v>
                </c:pt>
                <c:pt idx="8">
                  <c:v>4</c:v>
                </c:pt>
                <c:pt idx="9">
                  <c:v>7</c:v>
                </c:pt>
                <c:pt idx="10">
                  <c:v>7</c:v>
                </c:pt>
                <c:pt idx="11">
                  <c:v>16</c:v>
                </c:pt>
                <c:pt idx="12">
                  <c:v>10</c:v>
                </c:pt>
                <c:pt idx="13">
                  <c:v>16</c:v>
                </c:pt>
                <c:pt idx="14">
                  <c:v>22</c:v>
                </c:pt>
                <c:pt idx="15">
                  <c:v>30</c:v>
                </c:pt>
                <c:pt idx="16">
                  <c:v>36</c:v>
                </c:pt>
                <c:pt idx="17">
                  <c:v>35</c:v>
                </c:pt>
                <c:pt idx="18">
                  <c:v>42</c:v>
                </c:pt>
                <c:pt idx="19">
                  <c:v>54</c:v>
                </c:pt>
                <c:pt idx="20">
                  <c:v>63</c:v>
                </c:pt>
                <c:pt idx="21">
                  <c:v>64</c:v>
                </c:pt>
                <c:pt idx="22">
                  <c:v>89</c:v>
                </c:pt>
                <c:pt idx="23">
                  <c:v>107</c:v>
                </c:pt>
                <c:pt idx="24">
                  <c:v>115</c:v>
                </c:pt>
                <c:pt idx="25">
                  <c:v>123</c:v>
                </c:pt>
                <c:pt idx="26">
                  <c:v>134</c:v>
                </c:pt>
                <c:pt idx="27">
                  <c:v>142</c:v>
                </c:pt>
                <c:pt idx="28">
                  <c:v>161</c:v>
                </c:pt>
                <c:pt idx="29">
                  <c:v>154</c:v>
                </c:pt>
                <c:pt idx="30">
                  <c:v>172</c:v>
                </c:pt>
                <c:pt idx="31">
                  <c:v>197</c:v>
                </c:pt>
                <c:pt idx="32">
                  <c:v>181</c:v>
                </c:pt>
                <c:pt idx="33">
                  <c:v>168</c:v>
                </c:pt>
                <c:pt idx="34">
                  <c:v>191</c:v>
                </c:pt>
                <c:pt idx="35">
                  <c:v>165</c:v>
                </c:pt>
                <c:pt idx="36">
                  <c:v>173</c:v>
                </c:pt>
                <c:pt idx="37">
                  <c:v>192</c:v>
                </c:pt>
                <c:pt idx="38">
                  <c:v>180</c:v>
                </c:pt>
                <c:pt idx="39">
                  <c:v>188</c:v>
                </c:pt>
                <c:pt idx="40">
                  <c:v>164</c:v>
                </c:pt>
                <c:pt idx="41">
                  <c:v>169</c:v>
                </c:pt>
                <c:pt idx="42">
                  <c:v>150</c:v>
                </c:pt>
                <c:pt idx="43">
                  <c:v>166</c:v>
                </c:pt>
                <c:pt idx="44">
                  <c:v>130</c:v>
                </c:pt>
                <c:pt idx="45">
                  <c:v>104</c:v>
                </c:pt>
                <c:pt idx="46">
                  <c:v>123</c:v>
                </c:pt>
                <c:pt idx="47">
                  <c:v>96</c:v>
                </c:pt>
                <c:pt idx="48">
                  <c:v>95</c:v>
                </c:pt>
                <c:pt idx="49">
                  <c:v>94</c:v>
                </c:pt>
                <c:pt idx="50">
                  <c:v>58</c:v>
                </c:pt>
                <c:pt idx="51">
                  <c:v>60</c:v>
                </c:pt>
                <c:pt idx="52">
                  <c:v>61</c:v>
                </c:pt>
                <c:pt idx="53">
                  <c:v>43</c:v>
                </c:pt>
                <c:pt idx="54">
                  <c:v>35</c:v>
                </c:pt>
                <c:pt idx="55">
                  <c:v>34</c:v>
                </c:pt>
                <c:pt idx="56">
                  <c:v>32</c:v>
                </c:pt>
                <c:pt idx="57">
                  <c:v>31</c:v>
                </c:pt>
                <c:pt idx="58">
                  <c:v>27</c:v>
                </c:pt>
                <c:pt idx="59">
                  <c:v>15</c:v>
                </c:pt>
                <c:pt idx="60">
                  <c:v>12</c:v>
                </c:pt>
                <c:pt idx="61">
                  <c:v>15</c:v>
                </c:pt>
                <c:pt idx="62">
                  <c:v>11</c:v>
                </c:pt>
                <c:pt idx="63">
                  <c:v>4</c:v>
                </c:pt>
                <c:pt idx="64">
                  <c:v>3</c:v>
                </c:pt>
                <c:pt idx="65">
                  <c:v>5</c:v>
                </c:pt>
                <c:pt idx="66">
                  <c:v>1</c:v>
                </c:pt>
                <c:pt idx="67">
                  <c:v>1</c:v>
                </c:pt>
                <c:pt idx="68">
                  <c:v>0</c:v>
                </c:pt>
                <c:pt idx="69">
                  <c:v>1</c:v>
                </c:pt>
                <c:pt idx="70">
                  <c:v>2</c:v>
                </c:pt>
              </c:numCache>
            </c:numRef>
          </c:val>
          <c:extLst>
            <c:ext xmlns:c16="http://schemas.microsoft.com/office/drawing/2014/chart" uri="{C3380CC4-5D6E-409C-BE32-E72D297353CC}">
              <c16:uniqueId val="{00000000-8083-4202-B3E0-499CA569B10C}"/>
            </c:ext>
          </c:extLst>
        </c:ser>
        <c:dLbls>
          <c:showLegendKey val="0"/>
          <c:showVal val="0"/>
          <c:showCatName val="0"/>
          <c:showSerName val="0"/>
          <c:showPercent val="0"/>
          <c:showBubbleSize val="0"/>
        </c:dLbls>
        <c:gapWidth val="219"/>
        <c:overlap val="-27"/>
        <c:axId val="798914640"/>
        <c:axId val="798918608"/>
      </c:barChart>
      <c:catAx>
        <c:axId val="798914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Results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918608"/>
        <c:crosses val="autoZero"/>
        <c:auto val="1"/>
        <c:lblAlgn val="ctr"/>
        <c:lblOffset val="100"/>
        <c:noMultiLvlLbl val="0"/>
      </c:catAx>
      <c:valAx>
        <c:axId val="798918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914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DP</a:t>
            </a:r>
            <a:r>
              <a:rPr lang="en-GB" sz="1000" baseline="0"/>
              <a:t> World LTD- GMTN - RegS</a:t>
            </a:r>
            <a:endParaRPr lang="en-GB" sz="1000"/>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Data!$K$7:$K$16</c:f>
              <c:numCache>
                <c:formatCode>0.000%</c:formatCode>
                <c:ptCount val="10"/>
                <c:pt idx="0">
                  <c:v>1.7430654575216001E-3</c:v>
                </c:pt>
                <c:pt idx="1">
                  <c:v>-2.34581499993732E-4</c:v>
                </c:pt>
                <c:pt idx="2">
                  <c:v>6.8515149007289302E-4</c:v>
                </c:pt>
                <c:pt idx="3">
                  <c:v>3.0277846199173201E-3</c:v>
                </c:pt>
                <c:pt idx="4">
                  <c:v>-3.3709726912284398E-3</c:v>
                </c:pt>
                <c:pt idx="5">
                  <c:v>3.3309868193799299E-4</c:v>
                </c:pt>
                <c:pt idx="6">
                  <c:v>1.5393079971084099E-3</c:v>
                </c:pt>
                <c:pt idx="7">
                  <c:v>-2.9380306525510002E-4</c:v>
                </c:pt>
                <c:pt idx="8">
                  <c:v>2.1524418208843702E-3</c:v>
                </c:pt>
                <c:pt idx="9">
                  <c:v>-3.6881228031874999E-3</c:v>
                </c:pt>
              </c:numCache>
            </c:numRef>
          </c:val>
          <c:smooth val="0"/>
          <c:extLst>
            <c:ext xmlns:c16="http://schemas.microsoft.com/office/drawing/2014/chart" uri="{C3380CC4-5D6E-409C-BE32-E72D297353CC}">
              <c16:uniqueId val="{00000000-3145-4269-9954-92C9396E86FB}"/>
            </c:ext>
          </c:extLst>
        </c:ser>
        <c:dLbls>
          <c:showLegendKey val="0"/>
          <c:showVal val="0"/>
          <c:showCatName val="0"/>
          <c:showSerName val="0"/>
          <c:showPercent val="0"/>
          <c:showBubbleSize val="0"/>
        </c:dLbls>
        <c:marker val="1"/>
        <c:smooth val="0"/>
        <c:axId val="798875744"/>
        <c:axId val="798870832"/>
      </c:lineChart>
      <c:catAx>
        <c:axId val="79887574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870832"/>
        <c:crosses val="autoZero"/>
        <c:auto val="1"/>
        <c:lblAlgn val="ctr"/>
        <c:lblOffset val="100"/>
        <c:noMultiLvlLbl val="0"/>
      </c:catAx>
      <c:valAx>
        <c:axId val="798870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Results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875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Bank</a:t>
            </a:r>
            <a:r>
              <a:rPr lang="en-GB" sz="1000" baseline="0"/>
              <a:t> of China LTD</a:t>
            </a:r>
            <a:endParaRPr lang="en-GB" sz="1000"/>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Data!$G$7:$G$16</c:f>
              <c:numCache>
                <c:formatCode>0.000%</c:formatCode>
                <c:ptCount val="10"/>
                <c:pt idx="0">
                  <c:v>-1.44388651310277E-3</c:v>
                </c:pt>
                <c:pt idx="1">
                  <c:v>1.13244106728875E-3</c:v>
                </c:pt>
                <c:pt idx="2">
                  <c:v>4.70763045313804E-4</c:v>
                </c:pt>
                <c:pt idx="3">
                  <c:v>2.8336678010477501E-3</c:v>
                </c:pt>
                <c:pt idx="4">
                  <c:v>-6.7870537606553899E-4</c:v>
                </c:pt>
                <c:pt idx="5">
                  <c:v>-3.1532519634483799E-4</c:v>
                </c:pt>
                <c:pt idx="6">
                  <c:v>1.7524173093556501E-3</c:v>
                </c:pt>
                <c:pt idx="7">
                  <c:v>-6.9753621002000902E-5</c:v>
                </c:pt>
                <c:pt idx="8">
                  <c:v>9.2455722151503603E-4</c:v>
                </c:pt>
                <c:pt idx="9">
                  <c:v>-6.79008072216212E-4</c:v>
                </c:pt>
              </c:numCache>
            </c:numRef>
          </c:val>
          <c:smooth val="0"/>
          <c:extLst>
            <c:ext xmlns:c16="http://schemas.microsoft.com/office/drawing/2014/chart" uri="{C3380CC4-5D6E-409C-BE32-E72D297353CC}">
              <c16:uniqueId val="{00000000-19FE-4D94-8794-EB3C08B4556B}"/>
            </c:ext>
          </c:extLst>
        </c:ser>
        <c:dLbls>
          <c:showLegendKey val="0"/>
          <c:showVal val="0"/>
          <c:showCatName val="0"/>
          <c:showSerName val="0"/>
          <c:showPercent val="0"/>
          <c:showBubbleSize val="0"/>
        </c:dLbls>
        <c:marker val="1"/>
        <c:smooth val="0"/>
        <c:axId val="798776752"/>
        <c:axId val="798778384"/>
      </c:lineChart>
      <c:catAx>
        <c:axId val="79877675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778384"/>
        <c:crosses val="autoZero"/>
        <c:auto val="1"/>
        <c:lblAlgn val="ctr"/>
        <c:lblOffset val="100"/>
        <c:noMultiLvlLbl val="0"/>
      </c:catAx>
      <c:valAx>
        <c:axId val="798778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Results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776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Bank of Chin</a:t>
            </a:r>
            <a:r>
              <a:rPr lang="en-GB" sz="1000" baseline="0"/>
              <a:t>a LTD</a:t>
            </a:r>
          </a:p>
        </c:rich>
      </c:tx>
      <c:overlay val="0"/>
      <c:spPr>
        <a:noFill/>
        <a:ln>
          <a:noFill/>
        </a:ln>
        <a:effectLst/>
      </c:spPr>
    </c:title>
    <c:autoTitleDeleted val="0"/>
    <c:plotArea>
      <c:layout/>
      <c:barChart>
        <c:barDir val="col"/>
        <c:grouping val="stacked"/>
        <c:varyColors val="0"/>
        <c:ser>
          <c:idx val="0"/>
          <c:order val="0"/>
          <c:tx>
            <c:strRef>
              <c:f>Sheet5!$B$1</c:f>
              <c:strCache>
                <c:ptCount val="1"/>
                <c:pt idx="0">
                  <c:v>Frequency</c:v>
                </c:pt>
              </c:strCache>
            </c:strRef>
          </c:tx>
          <c:spPr>
            <a:solidFill>
              <a:schemeClr val="accent1"/>
            </a:solidFill>
            <a:ln>
              <a:noFill/>
            </a:ln>
            <a:effectLst/>
          </c:spPr>
          <c:invertIfNegative val="0"/>
          <c:cat>
            <c:strRef>
              <c:f>Sheet5!$A$2:$A$72</c:f>
              <c:strCache>
                <c:ptCount val="71"/>
                <c:pt idx="0">
                  <c:v>-0.35%</c:v>
                </c:pt>
                <c:pt idx="1">
                  <c:v>-0.34%</c:v>
                </c:pt>
                <c:pt idx="2">
                  <c:v>-0.33%</c:v>
                </c:pt>
                <c:pt idx="3">
                  <c:v>-0.32%</c:v>
                </c:pt>
                <c:pt idx="4">
                  <c:v>-0.31%</c:v>
                </c:pt>
                <c:pt idx="5">
                  <c:v>-0.30%</c:v>
                </c:pt>
                <c:pt idx="6">
                  <c:v>-0.29%</c:v>
                </c:pt>
                <c:pt idx="7">
                  <c:v>-0.28%</c:v>
                </c:pt>
                <c:pt idx="8">
                  <c:v>-0.27%</c:v>
                </c:pt>
                <c:pt idx="9">
                  <c:v>-0.26%</c:v>
                </c:pt>
                <c:pt idx="10">
                  <c:v>-0.25%</c:v>
                </c:pt>
                <c:pt idx="11">
                  <c:v>-0.24%</c:v>
                </c:pt>
                <c:pt idx="12">
                  <c:v>-0.23%</c:v>
                </c:pt>
                <c:pt idx="13">
                  <c:v>-0.22%</c:v>
                </c:pt>
                <c:pt idx="14">
                  <c:v>-0.21%</c:v>
                </c:pt>
                <c:pt idx="15">
                  <c:v>-0.20%</c:v>
                </c:pt>
                <c:pt idx="16">
                  <c:v>-0.19%</c:v>
                </c:pt>
                <c:pt idx="17">
                  <c:v>-0.18%</c:v>
                </c:pt>
                <c:pt idx="18">
                  <c:v>-0.17%</c:v>
                </c:pt>
                <c:pt idx="19">
                  <c:v>-0.16%</c:v>
                </c:pt>
                <c:pt idx="20">
                  <c:v>-0.15%</c:v>
                </c:pt>
                <c:pt idx="21">
                  <c:v>-0.14%</c:v>
                </c:pt>
                <c:pt idx="22">
                  <c:v>-0.13%</c:v>
                </c:pt>
                <c:pt idx="23">
                  <c:v>-0.12%</c:v>
                </c:pt>
                <c:pt idx="24">
                  <c:v>-0.11%</c:v>
                </c:pt>
                <c:pt idx="25">
                  <c:v>-0.10%</c:v>
                </c:pt>
                <c:pt idx="26">
                  <c:v>-0.09%</c:v>
                </c:pt>
                <c:pt idx="27">
                  <c:v>-0.08%</c:v>
                </c:pt>
                <c:pt idx="28">
                  <c:v>-0.07%</c:v>
                </c:pt>
                <c:pt idx="29">
                  <c:v>-0.06%</c:v>
                </c:pt>
                <c:pt idx="30">
                  <c:v>-0.05%</c:v>
                </c:pt>
                <c:pt idx="31">
                  <c:v>-0.04%</c:v>
                </c:pt>
                <c:pt idx="32">
                  <c:v>-0.03%</c:v>
                </c:pt>
                <c:pt idx="33">
                  <c:v>-0.02%</c:v>
                </c:pt>
                <c:pt idx="34">
                  <c:v>-0.01%</c:v>
                </c:pt>
                <c:pt idx="35">
                  <c:v>0.00%</c:v>
                </c:pt>
                <c:pt idx="36">
                  <c:v>0.01%</c:v>
                </c:pt>
                <c:pt idx="37">
                  <c:v>0.02%</c:v>
                </c:pt>
                <c:pt idx="38">
                  <c:v>0.03%</c:v>
                </c:pt>
                <c:pt idx="39">
                  <c:v>0.04%</c:v>
                </c:pt>
                <c:pt idx="40">
                  <c:v>0.05%</c:v>
                </c:pt>
                <c:pt idx="41">
                  <c:v>0.06%</c:v>
                </c:pt>
                <c:pt idx="42">
                  <c:v>0.07%</c:v>
                </c:pt>
                <c:pt idx="43">
                  <c:v>0.08%</c:v>
                </c:pt>
                <c:pt idx="44">
                  <c:v>0.09%</c:v>
                </c:pt>
                <c:pt idx="45">
                  <c:v>0.10%</c:v>
                </c:pt>
                <c:pt idx="46">
                  <c:v>0.11%</c:v>
                </c:pt>
                <c:pt idx="47">
                  <c:v>0.12%</c:v>
                </c:pt>
                <c:pt idx="48">
                  <c:v>0.13%</c:v>
                </c:pt>
                <c:pt idx="49">
                  <c:v>0.14%</c:v>
                </c:pt>
                <c:pt idx="50">
                  <c:v>0.15%</c:v>
                </c:pt>
                <c:pt idx="51">
                  <c:v>0.16%</c:v>
                </c:pt>
                <c:pt idx="52">
                  <c:v>0.17%</c:v>
                </c:pt>
                <c:pt idx="53">
                  <c:v>0.18%</c:v>
                </c:pt>
                <c:pt idx="54">
                  <c:v>0.19%</c:v>
                </c:pt>
                <c:pt idx="55">
                  <c:v>0.20%</c:v>
                </c:pt>
                <c:pt idx="56">
                  <c:v>0.21%</c:v>
                </c:pt>
                <c:pt idx="57">
                  <c:v>0.22%</c:v>
                </c:pt>
                <c:pt idx="58">
                  <c:v>0.23%</c:v>
                </c:pt>
                <c:pt idx="59">
                  <c:v>0.24%</c:v>
                </c:pt>
                <c:pt idx="60">
                  <c:v>0.25%</c:v>
                </c:pt>
                <c:pt idx="61">
                  <c:v>0.26%</c:v>
                </c:pt>
                <c:pt idx="62">
                  <c:v>0.27%</c:v>
                </c:pt>
                <c:pt idx="63">
                  <c:v>0.28%</c:v>
                </c:pt>
                <c:pt idx="64">
                  <c:v>0.29%</c:v>
                </c:pt>
                <c:pt idx="65">
                  <c:v>0.30%</c:v>
                </c:pt>
                <c:pt idx="66">
                  <c:v>0.31%</c:v>
                </c:pt>
                <c:pt idx="67">
                  <c:v>0.32%</c:v>
                </c:pt>
                <c:pt idx="68">
                  <c:v>0.33%</c:v>
                </c:pt>
                <c:pt idx="69">
                  <c:v>0.34%</c:v>
                </c:pt>
                <c:pt idx="70">
                  <c:v>More</c:v>
                </c:pt>
              </c:strCache>
            </c:strRef>
          </c:cat>
          <c:val>
            <c:numRef>
              <c:f>Sheet5!$B$2:$B$72</c:f>
              <c:numCache>
                <c:formatCode>General</c:formatCode>
                <c:ptCount val="71"/>
                <c:pt idx="0">
                  <c:v>1</c:v>
                </c:pt>
                <c:pt idx="1">
                  <c:v>0</c:v>
                </c:pt>
                <c:pt idx="2">
                  <c:v>1</c:v>
                </c:pt>
                <c:pt idx="3">
                  <c:v>0</c:v>
                </c:pt>
                <c:pt idx="4">
                  <c:v>3</c:v>
                </c:pt>
                <c:pt idx="5">
                  <c:v>3</c:v>
                </c:pt>
                <c:pt idx="6">
                  <c:v>4</c:v>
                </c:pt>
                <c:pt idx="7">
                  <c:v>9</c:v>
                </c:pt>
                <c:pt idx="8">
                  <c:v>4</c:v>
                </c:pt>
                <c:pt idx="9">
                  <c:v>7</c:v>
                </c:pt>
                <c:pt idx="10">
                  <c:v>7</c:v>
                </c:pt>
                <c:pt idx="11">
                  <c:v>16</c:v>
                </c:pt>
                <c:pt idx="12">
                  <c:v>10</c:v>
                </c:pt>
                <c:pt idx="13">
                  <c:v>16</c:v>
                </c:pt>
                <c:pt idx="14">
                  <c:v>22</c:v>
                </c:pt>
                <c:pt idx="15">
                  <c:v>30</c:v>
                </c:pt>
                <c:pt idx="16">
                  <c:v>36</c:v>
                </c:pt>
                <c:pt idx="17">
                  <c:v>35</c:v>
                </c:pt>
                <c:pt idx="18">
                  <c:v>42</c:v>
                </c:pt>
                <c:pt idx="19">
                  <c:v>54</c:v>
                </c:pt>
                <c:pt idx="20">
                  <c:v>63</c:v>
                </c:pt>
                <c:pt idx="21">
                  <c:v>64</c:v>
                </c:pt>
                <c:pt idx="22">
                  <c:v>89</c:v>
                </c:pt>
                <c:pt idx="23">
                  <c:v>107</c:v>
                </c:pt>
                <c:pt idx="24">
                  <c:v>115</c:v>
                </c:pt>
                <c:pt idx="25">
                  <c:v>123</c:v>
                </c:pt>
                <c:pt idx="26">
                  <c:v>134</c:v>
                </c:pt>
                <c:pt idx="27">
                  <c:v>142</c:v>
                </c:pt>
                <c:pt idx="28">
                  <c:v>161</c:v>
                </c:pt>
                <c:pt idx="29">
                  <c:v>154</c:v>
                </c:pt>
                <c:pt idx="30">
                  <c:v>172</c:v>
                </c:pt>
                <c:pt idx="31">
                  <c:v>197</c:v>
                </c:pt>
                <c:pt idx="32">
                  <c:v>181</c:v>
                </c:pt>
                <c:pt idx="33">
                  <c:v>168</c:v>
                </c:pt>
                <c:pt idx="34">
                  <c:v>191</c:v>
                </c:pt>
                <c:pt idx="35">
                  <c:v>165</c:v>
                </c:pt>
                <c:pt idx="36">
                  <c:v>173</c:v>
                </c:pt>
                <c:pt idx="37">
                  <c:v>192</c:v>
                </c:pt>
                <c:pt idx="38">
                  <c:v>180</c:v>
                </c:pt>
                <c:pt idx="39">
                  <c:v>188</c:v>
                </c:pt>
                <c:pt idx="40">
                  <c:v>164</c:v>
                </c:pt>
                <c:pt idx="41">
                  <c:v>169</c:v>
                </c:pt>
                <c:pt idx="42">
                  <c:v>150</c:v>
                </c:pt>
                <c:pt idx="43">
                  <c:v>166</c:v>
                </c:pt>
                <c:pt idx="44">
                  <c:v>130</c:v>
                </c:pt>
                <c:pt idx="45">
                  <c:v>104</c:v>
                </c:pt>
                <c:pt idx="46">
                  <c:v>123</c:v>
                </c:pt>
                <c:pt idx="47">
                  <c:v>96</c:v>
                </c:pt>
                <c:pt idx="48">
                  <c:v>95</c:v>
                </c:pt>
                <c:pt idx="49">
                  <c:v>94</c:v>
                </c:pt>
                <c:pt idx="50">
                  <c:v>58</c:v>
                </c:pt>
                <c:pt idx="51">
                  <c:v>60</c:v>
                </c:pt>
                <c:pt idx="52">
                  <c:v>61</c:v>
                </c:pt>
                <c:pt idx="53">
                  <c:v>43</c:v>
                </c:pt>
                <c:pt idx="54">
                  <c:v>35</c:v>
                </c:pt>
                <c:pt idx="55">
                  <c:v>34</c:v>
                </c:pt>
                <c:pt idx="56">
                  <c:v>32</c:v>
                </c:pt>
                <c:pt idx="57">
                  <c:v>31</c:v>
                </c:pt>
                <c:pt idx="58">
                  <c:v>27</c:v>
                </c:pt>
                <c:pt idx="59">
                  <c:v>15</c:v>
                </c:pt>
                <c:pt idx="60">
                  <c:v>12</c:v>
                </c:pt>
                <c:pt idx="61">
                  <c:v>15</c:v>
                </c:pt>
                <c:pt idx="62">
                  <c:v>11</c:v>
                </c:pt>
                <c:pt idx="63">
                  <c:v>4</c:v>
                </c:pt>
                <c:pt idx="64">
                  <c:v>3</c:v>
                </c:pt>
                <c:pt idx="65">
                  <c:v>5</c:v>
                </c:pt>
                <c:pt idx="66">
                  <c:v>1</c:v>
                </c:pt>
                <c:pt idx="67">
                  <c:v>1</c:v>
                </c:pt>
                <c:pt idx="68">
                  <c:v>0</c:v>
                </c:pt>
                <c:pt idx="69">
                  <c:v>1</c:v>
                </c:pt>
                <c:pt idx="70">
                  <c:v>2</c:v>
                </c:pt>
              </c:numCache>
            </c:numRef>
          </c:val>
          <c:extLst>
            <c:ext xmlns:c16="http://schemas.microsoft.com/office/drawing/2014/chart" uri="{C3380CC4-5D6E-409C-BE32-E72D297353CC}">
              <c16:uniqueId val="{00000000-85D1-4041-9F19-0671BCEA7E6B}"/>
            </c:ext>
          </c:extLst>
        </c:ser>
        <c:dLbls>
          <c:showLegendKey val="0"/>
          <c:showVal val="0"/>
          <c:showCatName val="0"/>
          <c:showSerName val="0"/>
          <c:showPercent val="0"/>
          <c:showBubbleSize val="0"/>
        </c:dLbls>
        <c:gapWidth val="150"/>
        <c:overlap val="100"/>
        <c:axId val="798765088"/>
        <c:axId val="798743440"/>
      </c:barChart>
      <c:catAx>
        <c:axId val="79876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743440"/>
        <c:crosses val="autoZero"/>
        <c:auto val="1"/>
        <c:lblAlgn val="ctr"/>
        <c:lblOffset val="100"/>
        <c:noMultiLvlLbl val="0"/>
      </c:catAx>
      <c:valAx>
        <c:axId val="798743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765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Emirates NBD PJSC 2014</a:t>
            </a:r>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Sheet13!$A$2:$A$72</c:f>
              <c:strCache>
                <c:ptCount val="71"/>
                <c:pt idx="0">
                  <c:v>-0.35%</c:v>
                </c:pt>
                <c:pt idx="1">
                  <c:v>-0.34%</c:v>
                </c:pt>
                <c:pt idx="2">
                  <c:v>-0.33%</c:v>
                </c:pt>
                <c:pt idx="3">
                  <c:v>-0.32%</c:v>
                </c:pt>
                <c:pt idx="4">
                  <c:v>-0.31%</c:v>
                </c:pt>
                <c:pt idx="5">
                  <c:v>-0.30%</c:v>
                </c:pt>
                <c:pt idx="6">
                  <c:v>-0.29%</c:v>
                </c:pt>
                <c:pt idx="7">
                  <c:v>-0.28%</c:v>
                </c:pt>
                <c:pt idx="8">
                  <c:v>-0.27%</c:v>
                </c:pt>
                <c:pt idx="9">
                  <c:v>-0.26%</c:v>
                </c:pt>
                <c:pt idx="10">
                  <c:v>-0.25%</c:v>
                </c:pt>
                <c:pt idx="11">
                  <c:v>-0.24%</c:v>
                </c:pt>
                <c:pt idx="12">
                  <c:v>-0.23%</c:v>
                </c:pt>
                <c:pt idx="13">
                  <c:v>-0.22%</c:v>
                </c:pt>
                <c:pt idx="14">
                  <c:v>-0.21%</c:v>
                </c:pt>
                <c:pt idx="15">
                  <c:v>-0.20%</c:v>
                </c:pt>
                <c:pt idx="16">
                  <c:v>-0.19%</c:v>
                </c:pt>
                <c:pt idx="17">
                  <c:v>-0.18%</c:v>
                </c:pt>
                <c:pt idx="18">
                  <c:v>-0.17%</c:v>
                </c:pt>
                <c:pt idx="19">
                  <c:v>-0.16%</c:v>
                </c:pt>
                <c:pt idx="20">
                  <c:v>-0.15%</c:v>
                </c:pt>
                <c:pt idx="21">
                  <c:v>-0.14%</c:v>
                </c:pt>
                <c:pt idx="22">
                  <c:v>-0.13%</c:v>
                </c:pt>
                <c:pt idx="23">
                  <c:v>-0.12%</c:v>
                </c:pt>
                <c:pt idx="24">
                  <c:v>-0.11%</c:v>
                </c:pt>
                <c:pt idx="25">
                  <c:v>-0.10%</c:v>
                </c:pt>
                <c:pt idx="26">
                  <c:v>-0.09%</c:v>
                </c:pt>
                <c:pt idx="27">
                  <c:v>-0.08%</c:v>
                </c:pt>
                <c:pt idx="28">
                  <c:v>-0.07%</c:v>
                </c:pt>
                <c:pt idx="29">
                  <c:v>-0.06%</c:v>
                </c:pt>
                <c:pt idx="30">
                  <c:v>-0.05%</c:v>
                </c:pt>
                <c:pt idx="31">
                  <c:v>-0.04%</c:v>
                </c:pt>
                <c:pt idx="32">
                  <c:v>-0.03%</c:v>
                </c:pt>
                <c:pt idx="33">
                  <c:v>-0.02%</c:v>
                </c:pt>
                <c:pt idx="34">
                  <c:v>-0.01%</c:v>
                </c:pt>
                <c:pt idx="35">
                  <c:v>0.00%</c:v>
                </c:pt>
                <c:pt idx="36">
                  <c:v>0.01%</c:v>
                </c:pt>
                <c:pt idx="37">
                  <c:v>0.02%</c:v>
                </c:pt>
                <c:pt idx="38">
                  <c:v>0.03%</c:v>
                </c:pt>
                <c:pt idx="39">
                  <c:v>0.04%</c:v>
                </c:pt>
                <c:pt idx="40">
                  <c:v>0.05%</c:v>
                </c:pt>
                <c:pt idx="41">
                  <c:v>0.06%</c:v>
                </c:pt>
                <c:pt idx="42">
                  <c:v>0.07%</c:v>
                </c:pt>
                <c:pt idx="43">
                  <c:v>0.08%</c:v>
                </c:pt>
                <c:pt idx="44">
                  <c:v>0.09%</c:v>
                </c:pt>
                <c:pt idx="45">
                  <c:v>0.10%</c:v>
                </c:pt>
                <c:pt idx="46">
                  <c:v>0.11%</c:v>
                </c:pt>
                <c:pt idx="47">
                  <c:v>0.12%</c:v>
                </c:pt>
                <c:pt idx="48">
                  <c:v>0.13%</c:v>
                </c:pt>
                <c:pt idx="49">
                  <c:v>0.14%</c:v>
                </c:pt>
                <c:pt idx="50">
                  <c:v>0.15%</c:v>
                </c:pt>
                <c:pt idx="51">
                  <c:v>0.16%</c:v>
                </c:pt>
                <c:pt idx="52">
                  <c:v>0.17%</c:v>
                </c:pt>
                <c:pt idx="53">
                  <c:v>0.18%</c:v>
                </c:pt>
                <c:pt idx="54">
                  <c:v>0.19%</c:v>
                </c:pt>
                <c:pt idx="55">
                  <c:v>0.20%</c:v>
                </c:pt>
                <c:pt idx="56">
                  <c:v>0.21%</c:v>
                </c:pt>
                <c:pt idx="57">
                  <c:v>0.22%</c:v>
                </c:pt>
                <c:pt idx="58">
                  <c:v>0.23%</c:v>
                </c:pt>
                <c:pt idx="59">
                  <c:v>0.24%</c:v>
                </c:pt>
                <c:pt idx="60">
                  <c:v>0.25%</c:v>
                </c:pt>
                <c:pt idx="61">
                  <c:v>0.26%</c:v>
                </c:pt>
                <c:pt idx="62">
                  <c:v>0.27%</c:v>
                </c:pt>
                <c:pt idx="63">
                  <c:v>0.28%</c:v>
                </c:pt>
                <c:pt idx="64">
                  <c:v>0.29%</c:v>
                </c:pt>
                <c:pt idx="65">
                  <c:v>0.30%</c:v>
                </c:pt>
                <c:pt idx="66">
                  <c:v>0.31%</c:v>
                </c:pt>
                <c:pt idx="67">
                  <c:v>0.32%</c:v>
                </c:pt>
                <c:pt idx="68">
                  <c:v>0.33%</c:v>
                </c:pt>
                <c:pt idx="69">
                  <c:v>0.34%</c:v>
                </c:pt>
                <c:pt idx="70">
                  <c:v>More</c:v>
                </c:pt>
              </c:strCache>
            </c:strRef>
          </c:cat>
          <c:val>
            <c:numRef>
              <c:f>Sheet13!$B$2:$B$72</c:f>
              <c:numCache>
                <c:formatCode>General</c:formatCode>
                <c:ptCount val="71"/>
                <c:pt idx="0">
                  <c:v>1</c:v>
                </c:pt>
                <c:pt idx="1">
                  <c:v>0</c:v>
                </c:pt>
                <c:pt idx="2">
                  <c:v>1</c:v>
                </c:pt>
                <c:pt idx="3">
                  <c:v>0</c:v>
                </c:pt>
                <c:pt idx="4">
                  <c:v>3</c:v>
                </c:pt>
                <c:pt idx="5">
                  <c:v>3</c:v>
                </c:pt>
                <c:pt idx="6">
                  <c:v>4</c:v>
                </c:pt>
                <c:pt idx="7">
                  <c:v>9</c:v>
                </c:pt>
                <c:pt idx="8">
                  <c:v>4</c:v>
                </c:pt>
                <c:pt idx="9">
                  <c:v>7</c:v>
                </c:pt>
                <c:pt idx="10">
                  <c:v>7</c:v>
                </c:pt>
                <c:pt idx="11">
                  <c:v>16</c:v>
                </c:pt>
                <c:pt idx="12">
                  <c:v>10</c:v>
                </c:pt>
                <c:pt idx="13">
                  <c:v>16</c:v>
                </c:pt>
                <c:pt idx="14">
                  <c:v>22</c:v>
                </c:pt>
                <c:pt idx="15">
                  <c:v>30</c:v>
                </c:pt>
                <c:pt idx="16">
                  <c:v>36</c:v>
                </c:pt>
                <c:pt idx="17">
                  <c:v>35</c:v>
                </c:pt>
                <c:pt idx="18">
                  <c:v>42</c:v>
                </c:pt>
                <c:pt idx="19">
                  <c:v>54</c:v>
                </c:pt>
                <c:pt idx="20">
                  <c:v>63</c:v>
                </c:pt>
                <c:pt idx="21">
                  <c:v>64</c:v>
                </c:pt>
                <c:pt idx="22">
                  <c:v>89</c:v>
                </c:pt>
                <c:pt idx="23">
                  <c:v>107</c:v>
                </c:pt>
                <c:pt idx="24">
                  <c:v>115</c:v>
                </c:pt>
                <c:pt idx="25">
                  <c:v>123</c:v>
                </c:pt>
                <c:pt idx="26">
                  <c:v>134</c:v>
                </c:pt>
                <c:pt idx="27">
                  <c:v>142</c:v>
                </c:pt>
                <c:pt idx="28">
                  <c:v>161</c:v>
                </c:pt>
                <c:pt idx="29">
                  <c:v>154</c:v>
                </c:pt>
                <c:pt idx="30">
                  <c:v>172</c:v>
                </c:pt>
                <c:pt idx="31">
                  <c:v>197</c:v>
                </c:pt>
                <c:pt idx="32">
                  <c:v>181</c:v>
                </c:pt>
                <c:pt idx="33">
                  <c:v>168</c:v>
                </c:pt>
                <c:pt idx="34">
                  <c:v>191</c:v>
                </c:pt>
                <c:pt idx="35">
                  <c:v>165</c:v>
                </c:pt>
                <c:pt idx="36">
                  <c:v>173</c:v>
                </c:pt>
                <c:pt idx="37">
                  <c:v>192</c:v>
                </c:pt>
                <c:pt idx="38">
                  <c:v>180</c:v>
                </c:pt>
                <c:pt idx="39">
                  <c:v>188</c:v>
                </c:pt>
                <c:pt idx="40">
                  <c:v>164</c:v>
                </c:pt>
                <c:pt idx="41">
                  <c:v>169</c:v>
                </c:pt>
                <c:pt idx="42">
                  <c:v>150</c:v>
                </c:pt>
                <c:pt idx="43">
                  <c:v>166</c:v>
                </c:pt>
                <c:pt idx="44">
                  <c:v>130</c:v>
                </c:pt>
                <c:pt idx="45">
                  <c:v>104</c:v>
                </c:pt>
                <c:pt idx="46">
                  <c:v>123</c:v>
                </c:pt>
                <c:pt idx="47">
                  <c:v>96</c:v>
                </c:pt>
                <c:pt idx="48">
                  <c:v>95</c:v>
                </c:pt>
                <c:pt idx="49">
                  <c:v>94</c:v>
                </c:pt>
                <c:pt idx="50">
                  <c:v>58</c:v>
                </c:pt>
                <c:pt idx="51">
                  <c:v>60</c:v>
                </c:pt>
                <c:pt idx="52">
                  <c:v>61</c:v>
                </c:pt>
                <c:pt idx="53">
                  <c:v>43</c:v>
                </c:pt>
                <c:pt idx="54">
                  <c:v>35</c:v>
                </c:pt>
                <c:pt idx="55">
                  <c:v>34</c:v>
                </c:pt>
                <c:pt idx="56">
                  <c:v>32</c:v>
                </c:pt>
                <c:pt idx="57">
                  <c:v>31</c:v>
                </c:pt>
                <c:pt idx="58">
                  <c:v>27</c:v>
                </c:pt>
                <c:pt idx="59">
                  <c:v>15</c:v>
                </c:pt>
                <c:pt idx="60">
                  <c:v>12</c:v>
                </c:pt>
                <c:pt idx="61">
                  <c:v>15</c:v>
                </c:pt>
                <c:pt idx="62">
                  <c:v>11</c:v>
                </c:pt>
                <c:pt idx="63">
                  <c:v>4</c:v>
                </c:pt>
                <c:pt idx="64">
                  <c:v>3</c:v>
                </c:pt>
                <c:pt idx="65">
                  <c:v>5</c:v>
                </c:pt>
                <c:pt idx="66">
                  <c:v>1</c:v>
                </c:pt>
                <c:pt idx="67">
                  <c:v>1</c:v>
                </c:pt>
                <c:pt idx="68">
                  <c:v>0</c:v>
                </c:pt>
                <c:pt idx="69">
                  <c:v>1</c:v>
                </c:pt>
                <c:pt idx="70">
                  <c:v>2</c:v>
                </c:pt>
              </c:numCache>
            </c:numRef>
          </c:val>
          <c:extLst>
            <c:ext xmlns:c16="http://schemas.microsoft.com/office/drawing/2014/chart" uri="{C3380CC4-5D6E-409C-BE32-E72D297353CC}">
              <c16:uniqueId val="{00000000-E01D-4A92-B000-D63BA9C93033}"/>
            </c:ext>
          </c:extLst>
        </c:ser>
        <c:dLbls>
          <c:showLegendKey val="0"/>
          <c:showVal val="0"/>
          <c:showCatName val="0"/>
          <c:showSerName val="0"/>
          <c:showPercent val="0"/>
          <c:showBubbleSize val="0"/>
        </c:dLbls>
        <c:gapWidth val="219"/>
        <c:overlap val="-27"/>
        <c:axId val="798720736"/>
        <c:axId val="798696928"/>
      </c:barChart>
      <c:catAx>
        <c:axId val="798720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Results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696928"/>
        <c:crosses val="autoZero"/>
        <c:auto val="1"/>
        <c:lblAlgn val="ctr"/>
        <c:lblOffset val="100"/>
        <c:noMultiLvlLbl val="0"/>
      </c:catAx>
      <c:valAx>
        <c:axId val="798696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720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2-Emirates</a:t>
            </a:r>
            <a:r>
              <a:rPr lang="en-GB" sz="1000" baseline="0"/>
              <a:t> NBD PJSC 2015</a:t>
            </a:r>
            <a:endParaRPr lang="en-GB" sz="1000"/>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Data!$AA$7:$AA$16</c:f>
              <c:numCache>
                <c:formatCode>#,##0.000</c:formatCode>
                <c:ptCount val="10"/>
                <c:pt idx="0">
                  <c:v>-3.7539382534651597E-4</c:v>
                </c:pt>
                <c:pt idx="1">
                  <c:v>-9.7548482830683099E-4</c:v>
                </c:pt>
                <c:pt idx="2">
                  <c:v>1.04882870625248E-3</c:v>
                </c:pt>
                <c:pt idx="3">
                  <c:v>-5.9162429501661705E-4</c:v>
                </c:pt>
                <c:pt idx="4">
                  <c:v>2.3949383809281498E-3</c:v>
                </c:pt>
                <c:pt idx="5">
                  <c:v>-2.0409343436095001E-3</c:v>
                </c:pt>
                <c:pt idx="6">
                  <c:v>-1.5901099867505701E-3</c:v>
                </c:pt>
                <c:pt idx="7">
                  <c:v>6.5060960618289199E-4</c:v>
                </c:pt>
                <c:pt idx="8">
                  <c:v>-2.78890481997651E-4</c:v>
                </c:pt>
                <c:pt idx="9">
                  <c:v>1.23510220879802E-3</c:v>
                </c:pt>
              </c:numCache>
            </c:numRef>
          </c:val>
          <c:smooth val="0"/>
          <c:extLst>
            <c:ext xmlns:c16="http://schemas.microsoft.com/office/drawing/2014/chart" uri="{C3380CC4-5D6E-409C-BE32-E72D297353CC}">
              <c16:uniqueId val="{00000000-ECC4-4706-B71C-B93892F21486}"/>
            </c:ext>
          </c:extLst>
        </c:ser>
        <c:dLbls>
          <c:showLegendKey val="0"/>
          <c:showVal val="0"/>
          <c:showCatName val="0"/>
          <c:showSerName val="0"/>
          <c:showPercent val="0"/>
          <c:showBubbleSize val="0"/>
        </c:dLbls>
        <c:marker val="1"/>
        <c:smooth val="0"/>
        <c:axId val="798675536"/>
        <c:axId val="798668864"/>
      </c:lineChart>
      <c:catAx>
        <c:axId val="7986755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668864"/>
        <c:crosses val="autoZero"/>
        <c:auto val="1"/>
        <c:lblAlgn val="ctr"/>
        <c:lblOffset val="100"/>
        <c:noMultiLvlLbl val="0"/>
      </c:catAx>
      <c:valAx>
        <c:axId val="798668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67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GB" sz="1000" b="1" i="0" u="none" strike="noStrike" kern="1200" spc="0" baseline="0">
                <a:solidFill>
                  <a:sysClr val="windowText" lastClr="000000">
                    <a:lumMod val="65000"/>
                    <a:lumOff val="35000"/>
                  </a:sysClr>
                </a:solidFill>
                <a:latin typeface="+mn-lt"/>
                <a:ea typeface="+mn-ea"/>
                <a:cs typeface="+mn-cs"/>
              </a:rPr>
              <a:t>Sukuk</a:t>
            </a:r>
            <a:r>
              <a:rPr lang="en-GB" sz="1000" b="1"/>
              <a:t>/Bonds_10 </a:t>
            </a:r>
            <a:r>
              <a:rPr lang="en-GB" sz="1000" b="1" i="0" baseline="0"/>
              <a:t>days</a:t>
            </a:r>
            <a:r>
              <a:rPr lang="en-GB" sz="1000" b="1"/>
              <a:t> holding period</a:t>
            </a:r>
          </a:p>
        </c:rich>
      </c:tx>
      <c:overlay val="0"/>
      <c:spPr>
        <a:noFill/>
        <a:ln>
          <a:noFill/>
        </a:ln>
        <a:effectLst/>
      </c:spPr>
    </c:title>
    <c:autoTitleDeleted val="0"/>
    <c:plotArea>
      <c:layout/>
      <c:lineChart>
        <c:grouping val="standard"/>
        <c:varyColors val="0"/>
        <c:ser>
          <c:idx val="0"/>
          <c:order val="0"/>
          <c:tx>
            <c:strRef>
              <c:f>'3rd runs'!$B$32</c:f>
              <c:strCache>
                <c:ptCount val="1"/>
                <c:pt idx="0">
                  <c:v>VaR of Sukuk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'3rd runs'!$B$33:$B$47</c:f>
              <c:numCache>
                <c:formatCode>0.00%</c:formatCode>
                <c:ptCount val="15"/>
                <c:pt idx="0">
                  <c:v>-1.5190002974650001E-2</c:v>
                </c:pt>
                <c:pt idx="1">
                  <c:v>-2.9318402768083798E-3</c:v>
                </c:pt>
                <c:pt idx="2">
                  <c:v>-8.3241118738276304E-3</c:v>
                </c:pt>
                <c:pt idx="3">
                  <c:v>-1.05151069348194E-2</c:v>
                </c:pt>
                <c:pt idx="4">
                  <c:v>-3.3223827392573901E-3</c:v>
                </c:pt>
                <c:pt idx="5">
                  <c:v>-2.1503110177517699E-3</c:v>
                </c:pt>
                <c:pt idx="6">
                  <c:v>-1.34414055006816E-2</c:v>
                </c:pt>
                <c:pt idx="7">
                  <c:v>-8.0910924864029295E-3</c:v>
                </c:pt>
                <c:pt idx="8">
                  <c:v>-3.2029917582675001E-3</c:v>
                </c:pt>
                <c:pt idx="9">
                  <c:v>-1.5979637443563901E-3</c:v>
                </c:pt>
                <c:pt idx="10">
                  <c:v>-5.7544034571070895E-4</c:v>
                </c:pt>
                <c:pt idx="11">
                  <c:v>-9.4697600138641501E-3</c:v>
                </c:pt>
                <c:pt idx="12">
                  <c:v>-4.0268457673837297E-3</c:v>
                </c:pt>
                <c:pt idx="13">
                  <c:v>-1.6496422865313502E-2</c:v>
                </c:pt>
                <c:pt idx="14">
                  <c:v>-2.4165219727112701E-3</c:v>
                </c:pt>
              </c:numCache>
            </c:numRef>
          </c:val>
          <c:smooth val="0"/>
          <c:extLst>
            <c:ext xmlns:c16="http://schemas.microsoft.com/office/drawing/2014/chart" uri="{C3380CC4-5D6E-409C-BE32-E72D297353CC}">
              <c16:uniqueId val="{00000000-DF3A-41F6-A296-C693C8843462}"/>
            </c:ext>
          </c:extLst>
        </c:ser>
        <c:ser>
          <c:idx val="1"/>
          <c:order val="1"/>
          <c:tx>
            <c:strRef>
              <c:f>'3rd runs'!$C$32</c:f>
              <c:strCache>
                <c:ptCount val="1"/>
                <c:pt idx="0">
                  <c:v>VaR of Bonds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'3rd runs'!$C$33:$C$47</c:f>
              <c:numCache>
                <c:formatCode>0.00%</c:formatCode>
                <c:ptCount val="15"/>
                <c:pt idx="0">
                  <c:v>-2.24548837501239E-3</c:v>
                </c:pt>
                <c:pt idx="1">
                  <c:v>-1.9592967727592001E-3</c:v>
                </c:pt>
                <c:pt idx="2">
                  <c:v>-3.16547796269706E-3</c:v>
                </c:pt>
                <c:pt idx="3">
                  <c:v>-2.0623965040158002E-3</c:v>
                </c:pt>
                <c:pt idx="4">
                  <c:v>-4.6505786837727197E-3</c:v>
                </c:pt>
                <c:pt idx="5">
                  <c:v>-2.9532082803266401E-3</c:v>
                </c:pt>
                <c:pt idx="6">
                  <c:v>-1.7650140301663101E-3</c:v>
                </c:pt>
                <c:pt idx="7">
                  <c:v>-3.7639801796877799E-3</c:v>
                </c:pt>
                <c:pt idx="8">
                  <c:v>-1.40438244631859E-3</c:v>
                </c:pt>
                <c:pt idx="9">
                  <c:v>-1.11489994304221E-3</c:v>
                </c:pt>
                <c:pt idx="10">
                  <c:v>-6.6671447849556999E-4</c:v>
                </c:pt>
                <c:pt idx="11">
                  <c:v>-8.6445080504548195E-3</c:v>
                </c:pt>
                <c:pt idx="12">
                  <c:v>-1.46145096159937E-3</c:v>
                </c:pt>
                <c:pt idx="13">
                  <c:v>-1.18493898096545E-2</c:v>
                </c:pt>
                <c:pt idx="14">
                  <c:v>-2.90063206466454E-3</c:v>
                </c:pt>
              </c:numCache>
            </c:numRef>
          </c:val>
          <c:smooth val="0"/>
          <c:extLst>
            <c:ext xmlns:c16="http://schemas.microsoft.com/office/drawing/2014/chart" uri="{C3380CC4-5D6E-409C-BE32-E72D297353CC}">
              <c16:uniqueId val="{00000001-DF3A-41F6-A296-C693C8843462}"/>
            </c:ext>
          </c:extLst>
        </c:ser>
        <c:dLbls>
          <c:showLegendKey val="0"/>
          <c:showVal val="0"/>
          <c:showCatName val="0"/>
          <c:showSerName val="0"/>
          <c:showPercent val="0"/>
          <c:showBubbleSize val="0"/>
        </c:dLbls>
        <c:marker val="1"/>
        <c:smooth val="0"/>
        <c:axId val="1154279776"/>
        <c:axId val="1154281824"/>
      </c:lineChart>
      <c:catAx>
        <c:axId val="115427977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281824"/>
        <c:crosses val="autoZero"/>
        <c:auto val="1"/>
        <c:lblAlgn val="ctr"/>
        <c:lblOffset val="100"/>
        <c:noMultiLvlLbl val="0"/>
      </c:catAx>
      <c:valAx>
        <c:axId val="1154281824"/>
        <c:scaling>
          <c:orientation val="minMax"/>
          <c:min val="-1.7999999999999999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GB" sz="900" b="1" i="0" baseline="0"/>
                  <a:t>Returns</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154279776"/>
        <c:crosses val="autoZero"/>
        <c:crossBetween val="between"/>
        <c:majorUnit val="3.0000000000000001E-3"/>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2-Emirates</a:t>
            </a:r>
            <a:r>
              <a:rPr lang="en-GB" sz="1000" baseline="0"/>
              <a:t> NBD PJSC 2015</a:t>
            </a:r>
            <a:endParaRPr lang="en-GB" sz="1000"/>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Sheet12!$A$2:$A$72</c:f>
              <c:strCache>
                <c:ptCount val="71"/>
                <c:pt idx="0">
                  <c:v>-0.35%</c:v>
                </c:pt>
                <c:pt idx="1">
                  <c:v>-0.34%</c:v>
                </c:pt>
                <c:pt idx="2">
                  <c:v>-0.33%</c:v>
                </c:pt>
                <c:pt idx="3">
                  <c:v>-0.32%</c:v>
                </c:pt>
                <c:pt idx="4">
                  <c:v>-0.31%</c:v>
                </c:pt>
                <c:pt idx="5">
                  <c:v>-0.30%</c:v>
                </c:pt>
                <c:pt idx="6">
                  <c:v>-0.29%</c:v>
                </c:pt>
                <c:pt idx="7">
                  <c:v>-0.28%</c:v>
                </c:pt>
                <c:pt idx="8">
                  <c:v>-0.27%</c:v>
                </c:pt>
                <c:pt idx="9">
                  <c:v>-0.26%</c:v>
                </c:pt>
                <c:pt idx="10">
                  <c:v>-0.25%</c:v>
                </c:pt>
                <c:pt idx="11">
                  <c:v>-0.24%</c:v>
                </c:pt>
                <c:pt idx="12">
                  <c:v>-0.23%</c:v>
                </c:pt>
                <c:pt idx="13">
                  <c:v>-0.22%</c:v>
                </c:pt>
                <c:pt idx="14">
                  <c:v>-0.21%</c:v>
                </c:pt>
                <c:pt idx="15">
                  <c:v>-0.20%</c:v>
                </c:pt>
                <c:pt idx="16">
                  <c:v>-0.19%</c:v>
                </c:pt>
                <c:pt idx="17">
                  <c:v>-0.18%</c:v>
                </c:pt>
                <c:pt idx="18">
                  <c:v>-0.17%</c:v>
                </c:pt>
                <c:pt idx="19">
                  <c:v>-0.16%</c:v>
                </c:pt>
                <c:pt idx="20">
                  <c:v>-0.15%</c:v>
                </c:pt>
                <c:pt idx="21">
                  <c:v>-0.14%</c:v>
                </c:pt>
                <c:pt idx="22">
                  <c:v>-0.13%</c:v>
                </c:pt>
                <c:pt idx="23">
                  <c:v>-0.12%</c:v>
                </c:pt>
                <c:pt idx="24">
                  <c:v>-0.11%</c:v>
                </c:pt>
                <c:pt idx="25">
                  <c:v>-0.10%</c:v>
                </c:pt>
                <c:pt idx="26">
                  <c:v>-0.09%</c:v>
                </c:pt>
                <c:pt idx="27">
                  <c:v>-0.08%</c:v>
                </c:pt>
                <c:pt idx="28">
                  <c:v>-0.07%</c:v>
                </c:pt>
                <c:pt idx="29">
                  <c:v>-0.06%</c:v>
                </c:pt>
                <c:pt idx="30">
                  <c:v>-0.05%</c:v>
                </c:pt>
                <c:pt idx="31">
                  <c:v>-0.04%</c:v>
                </c:pt>
                <c:pt idx="32">
                  <c:v>-0.03%</c:v>
                </c:pt>
                <c:pt idx="33">
                  <c:v>-0.02%</c:v>
                </c:pt>
                <c:pt idx="34">
                  <c:v>-0.01%</c:v>
                </c:pt>
                <c:pt idx="35">
                  <c:v>0.00%</c:v>
                </c:pt>
                <c:pt idx="36">
                  <c:v>0.01%</c:v>
                </c:pt>
                <c:pt idx="37">
                  <c:v>0.02%</c:v>
                </c:pt>
                <c:pt idx="38">
                  <c:v>0.03%</c:v>
                </c:pt>
                <c:pt idx="39">
                  <c:v>0.04%</c:v>
                </c:pt>
                <c:pt idx="40">
                  <c:v>0.05%</c:v>
                </c:pt>
                <c:pt idx="41">
                  <c:v>0.06%</c:v>
                </c:pt>
                <c:pt idx="42">
                  <c:v>0.07%</c:v>
                </c:pt>
                <c:pt idx="43">
                  <c:v>0.08%</c:v>
                </c:pt>
                <c:pt idx="44">
                  <c:v>0.09%</c:v>
                </c:pt>
                <c:pt idx="45">
                  <c:v>0.10%</c:v>
                </c:pt>
                <c:pt idx="46">
                  <c:v>0.11%</c:v>
                </c:pt>
                <c:pt idx="47">
                  <c:v>0.12%</c:v>
                </c:pt>
                <c:pt idx="48">
                  <c:v>0.13%</c:v>
                </c:pt>
                <c:pt idx="49">
                  <c:v>0.14%</c:v>
                </c:pt>
                <c:pt idx="50">
                  <c:v>0.15%</c:v>
                </c:pt>
                <c:pt idx="51">
                  <c:v>0.16%</c:v>
                </c:pt>
                <c:pt idx="52">
                  <c:v>0.17%</c:v>
                </c:pt>
                <c:pt idx="53">
                  <c:v>0.18%</c:v>
                </c:pt>
                <c:pt idx="54">
                  <c:v>0.19%</c:v>
                </c:pt>
                <c:pt idx="55">
                  <c:v>0.20%</c:v>
                </c:pt>
                <c:pt idx="56">
                  <c:v>0.21%</c:v>
                </c:pt>
                <c:pt idx="57">
                  <c:v>0.22%</c:v>
                </c:pt>
                <c:pt idx="58">
                  <c:v>0.23%</c:v>
                </c:pt>
                <c:pt idx="59">
                  <c:v>0.24%</c:v>
                </c:pt>
                <c:pt idx="60">
                  <c:v>0.25%</c:v>
                </c:pt>
                <c:pt idx="61">
                  <c:v>0.26%</c:v>
                </c:pt>
                <c:pt idx="62">
                  <c:v>0.27%</c:v>
                </c:pt>
                <c:pt idx="63">
                  <c:v>0.28%</c:v>
                </c:pt>
                <c:pt idx="64">
                  <c:v>0.29%</c:v>
                </c:pt>
                <c:pt idx="65">
                  <c:v>0.30%</c:v>
                </c:pt>
                <c:pt idx="66">
                  <c:v>0.31%</c:v>
                </c:pt>
                <c:pt idx="67">
                  <c:v>0.32%</c:v>
                </c:pt>
                <c:pt idx="68">
                  <c:v>0.33%</c:v>
                </c:pt>
                <c:pt idx="69">
                  <c:v>0.34%</c:v>
                </c:pt>
                <c:pt idx="70">
                  <c:v>More</c:v>
                </c:pt>
              </c:strCache>
            </c:strRef>
          </c:cat>
          <c:val>
            <c:numRef>
              <c:f>Sheet12!$B$2:$B$72</c:f>
              <c:numCache>
                <c:formatCode>General</c:formatCode>
                <c:ptCount val="71"/>
                <c:pt idx="0">
                  <c:v>1</c:v>
                </c:pt>
                <c:pt idx="1">
                  <c:v>0</c:v>
                </c:pt>
                <c:pt idx="2">
                  <c:v>1</c:v>
                </c:pt>
                <c:pt idx="3">
                  <c:v>0</c:v>
                </c:pt>
                <c:pt idx="4">
                  <c:v>3</c:v>
                </c:pt>
                <c:pt idx="5">
                  <c:v>3</c:v>
                </c:pt>
                <c:pt idx="6">
                  <c:v>4</c:v>
                </c:pt>
                <c:pt idx="7">
                  <c:v>9</c:v>
                </c:pt>
                <c:pt idx="8">
                  <c:v>4</c:v>
                </c:pt>
                <c:pt idx="9">
                  <c:v>7</c:v>
                </c:pt>
                <c:pt idx="10">
                  <c:v>7</c:v>
                </c:pt>
                <c:pt idx="11">
                  <c:v>16</c:v>
                </c:pt>
                <c:pt idx="12">
                  <c:v>10</c:v>
                </c:pt>
                <c:pt idx="13">
                  <c:v>16</c:v>
                </c:pt>
                <c:pt idx="14">
                  <c:v>22</c:v>
                </c:pt>
                <c:pt idx="15">
                  <c:v>30</c:v>
                </c:pt>
                <c:pt idx="16">
                  <c:v>36</c:v>
                </c:pt>
                <c:pt idx="17">
                  <c:v>35</c:v>
                </c:pt>
                <c:pt idx="18">
                  <c:v>42</c:v>
                </c:pt>
                <c:pt idx="19">
                  <c:v>54</c:v>
                </c:pt>
                <c:pt idx="20">
                  <c:v>63</c:v>
                </c:pt>
                <c:pt idx="21">
                  <c:v>64</c:v>
                </c:pt>
                <c:pt idx="22">
                  <c:v>89</c:v>
                </c:pt>
                <c:pt idx="23">
                  <c:v>107</c:v>
                </c:pt>
                <c:pt idx="24">
                  <c:v>115</c:v>
                </c:pt>
                <c:pt idx="25">
                  <c:v>123</c:v>
                </c:pt>
                <c:pt idx="26">
                  <c:v>134</c:v>
                </c:pt>
                <c:pt idx="27">
                  <c:v>142</c:v>
                </c:pt>
                <c:pt idx="28">
                  <c:v>161</c:v>
                </c:pt>
                <c:pt idx="29">
                  <c:v>154</c:v>
                </c:pt>
                <c:pt idx="30">
                  <c:v>172</c:v>
                </c:pt>
                <c:pt idx="31">
                  <c:v>197</c:v>
                </c:pt>
                <c:pt idx="32">
                  <c:v>181</c:v>
                </c:pt>
                <c:pt idx="33">
                  <c:v>168</c:v>
                </c:pt>
                <c:pt idx="34">
                  <c:v>191</c:v>
                </c:pt>
                <c:pt idx="35">
                  <c:v>165</c:v>
                </c:pt>
                <c:pt idx="36">
                  <c:v>173</c:v>
                </c:pt>
                <c:pt idx="37">
                  <c:v>192</c:v>
                </c:pt>
                <c:pt idx="38">
                  <c:v>180</c:v>
                </c:pt>
                <c:pt idx="39">
                  <c:v>188</c:v>
                </c:pt>
                <c:pt idx="40">
                  <c:v>164</c:v>
                </c:pt>
                <c:pt idx="41">
                  <c:v>169</c:v>
                </c:pt>
                <c:pt idx="42">
                  <c:v>150</c:v>
                </c:pt>
                <c:pt idx="43">
                  <c:v>166</c:v>
                </c:pt>
                <c:pt idx="44">
                  <c:v>130</c:v>
                </c:pt>
                <c:pt idx="45">
                  <c:v>104</c:v>
                </c:pt>
                <c:pt idx="46">
                  <c:v>123</c:v>
                </c:pt>
                <c:pt idx="47">
                  <c:v>96</c:v>
                </c:pt>
                <c:pt idx="48">
                  <c:v>95</c:v>
                </c:pt>
                <c:pt idx="49">
                  <c:v>94</c:v>
                </c:pt>
                <c:pt idx="50">
                  <c:v>58</c:v>
                </c:pt>
                <c:pt idx="51">
                  <c:v>60</c:v>
                </c:pt>
                <c:pt idx="52">
                  <c:v>61</c:v>
                </c:pt>
                <c:pt idx="53">
                  <c:v>43</c:v>
                </c:pt>
                <c:pt idx="54">
                  <c:v>35</c:v>
                </c:pt>
                <c:pt idx="55">
                  <c:v>34</c:v>
                </c:pt>
                <c:pt idx="56">
                  <c:v>32</c:v>
                </c:pt>
                <c:pt idx="57">
                  <c:v>31</c:v>
                </c:pt>
                <c:pt idx="58">
                  <c:v>27</c:v>
                </c:pt>
                <c:pt idx="59">
                  <c:v>15</c:v>
                </c:pt>
                <c:pt idx="60">
                  <c:v>12</c:v>
                </c:pt>
                <c:pt idx="61">
                  <c:v>15</c:v>
                </c:pt>
                <c:pt idx="62">
                  <c:v>11</c:v>
                </c:pt>
                <c:pt idx="63">
                  <c:v>4</c:v>
                </c:pt>
                <c:pt idx="64">
                  <c:v>3</c:v>
                </c:pt>
                <c:pt idx="65">
                  <c:v>5</c:v>
                </c:pt>
                <c:pt idx="66">
                  <c:v>1</c:v>
                </c:pt>
                <c:pt idx="67">
                  <c:v>1</c:v>
                </c:pt>
                <c:pt idx="68">
                  <c:v>0</c:v>
                </c:pt>
                <c:pt idx="69">
                  <c:v>1</c:v>
                </c:pt>
                <c:pt idx="70">
                  <c:v>2</c:v>
                </c:pt>
              </c:numCache>
            </c:numRef>
          </c:val>
          <c:extLst>
            <c:ext xmlns:c16="http://schemas.microsoft.com/office/drawing/2014/chart" uri="{C3380CC4-5D6E-409C-BE32-E72D297353CC}">
              <c16:uniqueId val="{00000000-AC97-47F3-AEBE-886128204610}"/>
            </c:ext>
          </c:extLst>
        </c:ser>
        <c:dLbls>
          <c:showLegendKey val="0"/>
          <c:showVal val="0"/>
          <c:showCatName val="0"/>
          <c:showSerName val="0"/>
          <c:showPercent val="0"/>
          <c:showBubbleSize val="0"/>
        </c:dLbls>
        <c:gapWidth val="219"/>
        <c:overlap val="-27"/>
        <c:axId val="798619568"/>
        <c:axId val="798623536"/>
      </c:barChart>
      <c:catAx>
        <c:axId val="798619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Results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623536"/>
        <c:crosses val="autoZero"/>
        <c:auto val="1"/>
        <c:lblAlgn val="ctr"/>
        <c:lblOffset val="100"/>
        <c:noMultiLvlLbl val="0"/>
      </c:catAx>
      <c:valAx>
        <c:axId val="798623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619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Emirates</a:t>
            </a:r>
            <a:r>
              <a:rPr lang="en-GB" sz="1000" baseline="0"/>
              <a:t> NBD PJSC 2014</a:t>
            </a:r>
            <a:endParaRPr lang="en-GB" sz="1000"/>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Data!$AE$7:$AE$16</c:f>
              <c:numCache>
                <c:formatCode>0.000%</c:formatCode>
                <c:ptCount val="10"/>
                <c:pt idx="0">
                  <c:v>-2.7637441634618199E-3</c:v>
                </c:pt>
                <c:pt idx="1">
                  <c:v>2.7994737601260799E-3</c:v>
                </c:pt>
                <c:pt idx="2">
                  <c:v>-1.30039923429666E-3</c:v>
                </c:pt>
                <c:pt idx="3">
                  <c:v>-4.5903138163006698E-3</c:v>
                </c:pt>
                <c:pt idx="4">
                  <c:v>3.5872214407849101E-3</c:v>
                </c:pt>
                <c:pt idx="5">
                  <c:v>-2.1427819420570099E-3</c:v>
                </c:pt>
                <c:pt idx="6">
                  <c:v>1.1424129772737001E-3</c:v>
                </c:pt>
                <c:pt idx="7">
                  <c:v>4.9422825918806002E-3</c:v>
                </c:pt>
                <c:pt idx="8">
                  <c:v>-1.3685142375640699E-3</c:v>
                </c:pt>
                <c:pt idx="9">
                  <c:v>3.6328887232307102E-5</c:v>
                </c:pt>
              </c:numCache>
            </c:numRef>
          </c:val>
          <c:smooth val="0"/>
          <c:extLst>
            <c:ext xmlns:c16="http://schemas.microsoft.com/office/drawing/2014/chart" uri="{C3380CC4-5D6E-409C-BE32-E72D297353CC}">
              <c16:uniqueId val="{00000000-A52A-49FE-BAF6-96CA8E1B7562}"/>
            </c:ext>
          </c:extLst>
        </c:ser>
        <c:dLbls>
          <c:showLegendKey val="0"/>
          <c:showVal val="0"/>
          <c:showCatName val="0"/>
          <c:showSerName val="0"/>
          <c:showPercent val="0"/>
          <c:showBubbleSize val="0"/>
        </c:dLbls>
        <c:marker val="1"/>
        <c:smooth val="0"/>
        <c:axId val="798586896"/>
        <c:axId val="798574064"/>
      </c:lineChart>
      <c:catAx>
        <c:axId val="79858689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574064"/>
        <c:crosses val="autoZero"/>
        <c:auto val="1"/>
        <c:lblAlgn val="ctr"/>
        <c:lblOffset val="100"/>
        <c:noMultiLvlLbl val="0"/>
      </c:catAx>
      <c:valAx>
        <c:axId val="798574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586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1-Emirates</a:t>
            </a:r>
            <a:r>
              <a:rPr lang="en-GB" sz="1000" baseline="0"/>
              <a:t> NBD PJSC 2015</a:t>
            </a:r>
            <a:endParaRPr lang="en-GB" sz="1000"/>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Data!$W$7:$W$16</c:f>
              <c:numCache>
                <c:formatCode>#,##0.000</c:formatCode>
                <c:ptCount val="10"/>
                <c:pt idx="0">
                  <c:v>6.8399531877401398E-4</c:v>
                </c:pt>
                <c:pt idx="1">
                  <c:v>-5.94679146475048E-4</c:v>
                </c:pt>
                <c:pt idx="2">
                  <c:v>1.2932934033050799E-3</c:v>
                </c:pt>
                <c:pt idx="3">
                  <c:v>4.0094633465406998E-4</c:v>
                </c:pt>
                <c:pt idx="4">
                  <c:v>2.76395056566137E-3</c:v>
                </c:pt>
                <c:pt idx="5">
                  <c:v>2.0436454603571701E-3</c:v>
                </c:pt>
                <c:pt idx="6">
                  <c:v>-1.1579122659856999E-3</c:v>
                </c:pt>
                <c:pt idx="7">
                  <c:v>6.2743748490235395E-4</c:v>
                </c:pt>
                <c:pt idx="8">
                  <c:v>-1.4812828148025401E-4</c:v>
                </c:pt>
                <c:pt idx="9">
                  <c:v>5.8021240057846198E-4</c:v>
                </c:pt>
              </c:numCache>
            </c:numRef>
          </c:val>
          <c:smooth val="0"/>
          <c:extLst>
            <c:ext xmlns:c16="http://schemas.microsoft.com/office/drawing/2014/chart" uri="{C3380CC4-5D6E-409C-BE32-E72D297353CC}">
              <c16:uniqueId val="{00000000-16EF-4611-A47C-C58C19B47C20}"/>
            </c:ext>
          </c:extLst>
        </c:ser>
        <c:dLbls>
          <c:showLegendKey val="0"/>
          <c:showVal val="0"/>
          <c:showCatName val="0"/>
          <c:showSerName val="0"/>
          <c:showPercent val="0"/>
          <c:showBubbleSize val="0"/>
        </c:dLbls>
        <c:marker val="1"/>
        <c:smooth val="0"/>
        <c:axId val="798514192"/>
        <c:axId val="798516240"/>
      </c:lineChart>
      <c:catAx>
        <c:axId val="79851419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516240"/>
        <c:crosses val="autoZero"/>
        <c:auto val="1"/>
        <c:lblAlgn val="ctr"/>
        <c:lblOffset val="100"/>
        <c:noMultiLvlLbl val="0"/>
      </c:catAx>
      <c:valAx>
        <c:axId val="798516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514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1- Emirates NBD PJSC 2015</a:t>
            </a:r>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Sheet11!$A$2:$A$72</c:f>
              <c:strCache>
                <c:ptCount val="71"/>
                <c:pt idx="0">
                  <c:v>-0.35%</c:v>
                </c:pt>
                <c:pt idx="1">
                  <c:v>-0.34%</c:v>
                </c:pt>
                <c:pt idx="2">
                  <c:v>-0.33%</c:v>
                </c:pt>
                <c:pt idx="3">
                  <c:v>-0.32%</c:v>
                </c:pt>
                <c:pt idx="4">
                  <c:v>-0.31%</c:v>
                </c:pt>
                <c:pt idx="5">
                  <c:v>-0.30%</c:v>
                </c:pt>
                <c:pt idx="6">
                  <c:v>-0.29%</c:v>
                </c:pt>
                <c:pt idx="7">
                  <c:v>-0.28%</c:v>
                </c:pt>
                <c:pt idx="8">
                  <c:v>-0.27%</c:v>
                </c:pt>
                <c:pt idx="9">
                  <c:v>-0.26%</c:v>
                </c:pt>
                <c:pt idx="10">
                  <c:v>-0.25%</c:v>
                </c:pt>
                <c:pt idx="11">
                  <c:v>-0.24%</c:v>
                </c:pt>
                <c:pt idx="12">
                  <c:v>-0.23%</c:v>
                </c:pt>
                <c:pt idx="13">
                  <c:v>-0.22%</c:v>
                </c:pt>
                <c:pt idx="14">
                  <c:v>-0.21%</c:v>
                </c:pt>
                <c:pt idx="15">
                  <c:v>-0.20%</c:v>
                </c:pt>
                <c:pt idx="16">
                  <c:v>-0.19%</c:v>
                </c:pt>
                <c:pt idx="17">
                  <c:v>-0.18%</c:v>
                </c:pt>
                <c:pt idx="18">
                  <c:v>-0.17%</c:v>
                </c:pt>
                <c:pt idx="19">
                  <c:v>-0.16%</c:v>
                </c:pt>
                <c:pt idx="20">
                  <c:v>-0.15%</c:v>
                </c:pt>
                <c:pt idx="21">
                  <c:v>-0.14%</c:v>
                </c:pt>
                <c:pt idx="22">
                  <c:v>-0.13%</c:v>
                </c:pt>
                <c:pt idx="23">
                  <c:v>-0.12%</c:v>
                </c:pt>
                <c:pt idx="24">
                  <c:v>-0.11%</c:v>
                </c:pt>
                <c:pt idx="25">
                  <c:v>-0.10%</c:v>
                </c:pt>
                <c:pt idx="26">
                  <c:v>-0.09%</c:v>
                </c:pt>
                <c:pt idx="27">
                  <c:v>-0.08%</c:v>
                </c:pt>
                <c:pt idx="28">
                  <c:v>-0.07%</c:v>
                </c:pt>
                <c:pt idx="29">
                  <c:v>-0.06%</c:v>
                </c:pt>
                <c:pt idx="30">
                  <c:v>-0.05%</c:v>
                </c:pt>
                <c:pt idx="31">
                  <c:v>-0.04%</c:v>
                </c:pt>
                <c:pt idx="32">
                  <c:v>-0.03%</c:v>
                </c:pt>
                <c:pt idx="33">
                  <c:v>-0.02%</c:v>
                </c:pt>
                <c:pt idx="34">
                  <c:v>-0.01%</c:v>
                </c:pt>
                <c:pt idx="35">
                  <c:v>0.00%</c:v>
                </c:pt>
                <c:pt idx="36">
                  <c:v>0.01%</c:v>
                </c:pt>
                <c:pt idx="37">
                  <c:v>0.02%</c:v>
                </c:pt>
                <c:pt idx="38">
                  <c:v>0.03%</c:v>
                </c:pt>
                <c:pt idx="39">
                  <c:v>0.04%</c:v>
                </c:pt>
                <c:pt idx="40">
                  <c:v>0.05%</c:v>
                </c:pt>
                <c:pt idx="41">
                  <c:v>0.06%</c:v>
                </c:pt>
                <c:pt idx="42">
                  <c:v>0.07%</c:v>
                </c:pt>
                <c:pt idx="43">
                  <c:v>0.08%</c:v>
                </c:pt>
                <c:pt idx="44">
                  <c:v>0.09%</c:v>
                </c:pt>
                <c:pt idx="45">
                  <c:v>0.10%</c:v>
                </c:pt>
                <c:pt idx="46">
                  <c:v>0.11%</c:v>
                </c:pt>
                <c:pt idx="47">
                  <c:v>0.12%</c:v>
                </c:pt>
                <c:pt idx="48">
                  <c:v>0.13%</c:v>
                </c:pt>
                <c:pt idx="49">
                  <c:v>0.14%</c:v>
                </c:pt>
                <c:pt idx="50">
                  <c:v>0.15%</c:v>
                </c:pt>
                <c:pt idx="51">
                  <c:v>0.16%</c:v>
                </c:pt>
                <c:pt idx="52">
                  <c:v>0.17%</c:v>
                </c:pt>
                <c:pt idx="53">
                  <c:v>0.18%</c:v>
                </c:pt>
                <c:pt idx="54">
                  <c:v>0.19%</c:v>
                </c:pt>
                <c:pt idx="55">
                  <c:v>0.20%</c:v>
                </c:pt>
                <c:pt idx="56">
                  <c:v>0.21%</c:v>
                </c:pt>
                <c:pt idx="57">
                  <c:v>0.22%</c:v>
                </c:pt>
                <c:pt idx="58">
                  <c:v>0.23%</c:v>
                </c:pt>
                <c:pt idx="59">
                  <c:v>0.24%</c:v>
                </c:pt>
                <c:pt idx="60">
                  <c:v>0.25%</c:v>
                </c:pt>
                <c:pt idx="61">
                  <c:v>0.26%</c:v>
                </c:pt>
                <c:pt idx="62">
                  <c:v>0.27%</c:v>
                </c:pt>
                <c:pt idx="63">
                  <c:v>0.28%</c:v>
                </c:pt>
                <c:pt idx="64">
                  <c:v>0.29%</c:v>
                </c:pt>
                <c:pt idx="65">
                  <c:v>0.30%</c:v>
                </c:pt>
                <c:pt idx="66">
                  <c:v>0.31%</c:v>
                </c:pt>
                <c:pt idx="67">
                  <c:v>0.32%</c:v>
                </c:pt>
                <c:pt idx="68">
                  <c:v>0.33%</c:v>
                </c:pt>
                <c:pt idx="69">
                  <c:v>0.34%</c:v>
                </c:pt>
                <c:pt idx="70">
                  <c:v>More</c:v>
                </c:pt>
              </c:strCache>
            </c:strRef>
          </c:cat>
          <c:val>
            <c:numRef>
              <c:f>Sheet11!$B$2:$B$72</c:f>
              <c:numCache>
                <c:formatCode>General</c:formatCode>
                <c:ptCount val="71"/>
                <c:pt idx="0">
                  <c:v>1</c:v>
                </c:pt>
                <c:pt idx="1">
                  <c:v>0</c:v>
                </c:pt>
                <c:pt idx="2">
                  <c:v>1</c:v>
                </c:pt>
                <c:pt idx="3">
                  <c:v>0</c:v>
                </c:pt>
                <c:pt idx="4">
                  <c:v>3</c:v>
                </c:pt>
                <c:pt idx="5">
                  <c:v>3</c:v>
                </c:pt>
                <c:pt idx="6">
                  <c:v>4</c:v>
                </c:pt>
                <c:pt idx="7">
                  <c:v>9</c:v>
                </c:pt>
                <c:pt idx="8">
                  <c:v>4</c:v>
                </c:pt>
                <c:pt idx="9">
                  <c:v>7</c:v>
                </c:pt>
                <c:pt idx="10">
                  <c:v>7</c:v>
                </c:pt>
                <c:pt idx="11">
                  <c:v>16</c:v>
                </c:pt>
                <c:pt idx="12">
                  <c:v>10</c:v>
                </c:pt>
                <c:pt idx="13">
                  <c:v>16</c:v>
                </c:pt>
                <c:pt idx="14">
                  <c:v>22</c:v>
                </c:pt>
                <c:pt idx="15">
                  <c:v>30</c:v>
                </c:pt>
                <c:pt idx="16">
                  <c:v>36</c:v>
                </c:pt>
                <c:pt idx="17">
                  <c:v>35</c:v>
                </c:pt>
                <c:pt idx="18">
                  <c:v>42</c:v>
                </c:pt>
                <c:pt idx="19">
                  <c:v>54</c:v>
                </c:pt>
                <c:pt idx="20">
                  <c:v>63</c:v>
                </c:pt>
                <c:pt idx="21">
                  <c:v>64</c:v>
                </c:pt>
                <c:pt idx="22">
                  <c:v>89</c:v>
                </c:pt>
                <c:pt idx="23">
                  <c:v>107</c:v>
                </c:pt>
                <c:pt idx="24">
                  <c:v>115</c:v>
                </c:pt>
                <c:pt idx="25">
                  <c:v>123</c:v>
                </c:pt>
                <c:pt idx="26">
                  <c:v>134</c:v>
                </c:pt>
                <c:pt idx="27">
                  <c:v>142</c:v>
                </c:pt>
                <c:pt idx="28">
                  <c:v>161</c:v>
                </c:pt>
                <c:pt idx="29">
                  <c:v>154</c:v>
                </c:pt>
                <c:pt idx="30">
                  <c:v>172</c:v>
                </c:pt>
                <c:pt idx="31">
                  <c:v>197</c:v>
                </c:pt>
                <c:pt idx="32">
                  <c:v>181</c:v>
                </c:pt>
                <c:pt idx="33">
                  <c:v>168</c:v>
                </c:pt>
                <c:pt idx="34">
                  <c:v>191</c:v>
                </c:pt>
                <c:pt idx="35">
                  <c:v>165</c:v>
                </c:pt>
                <c:pt idx="36">
                  <c:v>173</c:v>
                </c:pt>
                <c:pt idx="37">
                  <c:v>192</c:v>
                </c:pt>
                <c:pt idx="38">
                  <c:v>180</c:v>
                </c:pt>
                <c:pt idx="39">
                  <c:v>188</c:v>
                </c:pt>
                <c:pt idx="40">
                  <c:v>164</c:v>
                </c:pt>
                <c:pt idx="41">
                  <c:v>169</c:v>
                </c:pt>
                <c:pt idx="42">
                  <c:v>150</c:v>
                </c:pt>
                <c:pt idx="43">
                  <c:v>166</c:v>
                </c:pt>
                <c:pt idx="44">
                  <c:v>130</c:v>
                </c:pt>
                <c:pt idx="45">
                  <c:v>104</c:v>
                </c:pt>
                <c:pt idx="46">
                  <c:v>123</c:v>
                </c:pt>
                <c:pt idx="47">
                  <c:v>96</c:v>
                </c:pt>
                <c:pt idx="48">
                  <c:v>95</c:v>
                </c:pt>
                <c:pt idx="49">
                  <c:v>94</c:v>
                </c:pt>
                <c:pt idx="50">
                  <c:v>58</c:v>
                </c:pt>
                <c:pt idx="51">
                  <c:v>60</c:v>
                </c:pt>
                <c:pt idx="52">
                  <c:v>61</c:v>
                </c:pt>
                <c:pt idx="53">
                  <c:v>43</c:v>
                </c:pt>
                <c:pt idx="54">
                  <c:v>35</c:v>
                </c:pt>
                <c:pt idx="55">
                  <c:v>34</c:v>
                </c:pt>
                <c:pt idx="56">
                  <c:v>32</c:v>
                </c:pt>
                <c:pt idx="57">
                  <c:v>31</c:v>
                </c:pt>
                <c:pt idx="58">
                  <c:v>27</c:v>
                </c:pt>
                <c:pt idx="59">
                  <c:v>15</c:v>
                </c:pt>
                <c:pt idx="60">
                  <c:v>12</c:v>
                </c:pt>
                <c:pt idx="61">
                  <c:v>15</c:v>
                </c:pt>
                <c:pt idx="62">
                  <c:v>11</c:v>
                </c:pt>
                <c:pt idx="63">
                  <c:v>4</c:v>
                </c:pt>
                <c:pt idx="64">
                  <c:v>3</c:v>
                </c:pt>
                <c:pt idx="65">
                  <c:v>5</c:v>
                </c:pt>
                <c:pt idx="66">
                  <c:v>1</c:v>
                </c:pt>
                <c:pt idx="67">
                  <c:v>1</c:v>
                </c:pt>
                <c:pt idx="68">
                  <c:v>0</c:v>
                </c:pt>
                <c:pt idx="69">
                  <c:v>1</c:v>
                </c:pt>
                <c:pt idx="70">
                  <c:v>2</c:v>
                </c:pt>
              </c:numCache>
            </c:numRef>
          </c:val>
          <c:extLst>
            <c:ext xmlns:c16="http://schemas.microsoft.com/office/drawing/2014/chart" uri="{C3380CC4-5D6E-409C-BE32-E72D297353CC}">
              <c16:uniqueId val="{00000000-9788-4593-8881-2EB532DB40A2}"/>
            </c:ext>
          </c:extLst>
        </c:ser>
        <c:dLbls>
          <c:showLegendKey val="0"/>
          <c:showVal val="0"/>
          <c:showCatName val="0"/>
          <c:showSerName val="0"/>
          <c:showPercent val="0"/>
          <c:showBubbleSize val="0"/>
        </c:dLbls>
        <c:gapWidth val="219"/>
        <c:overlap val="-27"/>
        <c:axId val="798476912"/>
        <c:axId val="798471744"/>
      </c:barChart>
      <c:catAx>
        <c:axId val="798476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Results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471744"/>
        <c:crosses val="autoZero"/>
        <c:auto val="1"/>
        <c:lblAlgn val="ctr"/>
        <c:lblOffset val="100"/>
        <c:noMultiLvlLbl val="0"/>
      </c:catAx>
      <c:valAx>
        <c:axId val="798471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476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Dubai</a:t>
            </a:r>
            <a:r>
              <a:rPr lang="en-US" sz="1000" baseline="0"/>
              <a:t> Holding C.O Ltd</a:t>
            </a:r>
            <a:endParaRPr lang="en-US" sz="1000"/>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Sheet10!$A$2:$A$72</c:f>
              <c:strCache>
                <c:ptCount val="71"/>
                <c:pt idx="0">
                  <c:v>-0.35%</c:v>
                </c:pt>
                <c:pt idx="1">
                  <c:v>-0.34%</c:v>
                </c:pt>
                <c:pt idx="2">
                  <c:v>-0.33%</c:v>
                </c:pt>
                <c:pt idx="3">
                  <c:v>-0.32%</c:v>
                </c:pt>
                <c:pt idx="4">
                  <c:v>-0.31%</c:v>
                </c:pt>
                <c:pt idx="5">
                  <c:v>-0.30%</c:v>
                </c:pt>
                <c:pt idx="6">
                  <c:v>-0.29%</c:v>
                </c:pt>
                <c:pt idx="7">
                  <c:v>-0.28%</c:v>
                </c:pt>
                <c:pt idx="8">
                  <c:v>-0.27%</c:v>
                </c:pt>
                <c:pt idx="9">
                  <c:v>-0.26%</c:v>
                </c:pt>
                <c:pt idx="10">
                  <c:v>-0.25%</c:v>
                </c:pt>
                <c:pt idx="11">
                  <c:v>-0.24%</c:v>
                </c:pt>
                <c:pt idx="12">
                  <c:v>-0.23%</c:v>
                </c:pt>
                <c:pt idx="13">
                  <c:v>-0.22%</c:v>
                </c:pt>
                <c:pt idx="14">
                  <c:v>-0.21%</c:v>
                </c:pt>
                <c:pt idx="15">
                  <c:v>-0.20%</c:v>
                </c:pt>
                <c:pt idx="16">
                  <c:v>-0.19%</c:v>
                </c:pt>
                <c:pt idx="17">
                  <c:v>-0.18%</c:v>
                </c:pt>
                <c:pt idx="18">
                  <c:v>-0.17%</c:v>
                </c:pt>
                <c:pt idx="19">
                  <c:v>-0.16%</c:v>
                </c:pt>
                <c:pt idx="20">
                  <c:v>-0.15%</c:v>
                </c:pt>
                <c:pt idx="21">
                  <c:v>-0.14%</c:v>
                </c:pt>
                <c:pt idx="22">
                  <c:v>-0.13%</c:v>
                </c:pt>
                <c:pt idx="23">
                  <c:v>-0.12%</c:v>
                </c:pt>
                <c:pt idx="24">
                  <c:v>-0.11%</c:v>
                </c:pt>
                <c:pt idx="25">
                  <c:v>-0.10%</c:v>
                </c:pt>
                <c:pt idx="26">
                  <c:v>-0.09%</c:v>
                </c:pt>
                <c:pt idx="27">
                  <c:v>-0.08%</c:v>
                </c:pt>
                <c:pt idx="28">
                  <c:v>-0.07%</c:v>
                </c:pt>
                <c:pt idx="29">
                  <c:v>-0.06%</c:v>
                </c:pt>
                <c:pt idx="30">
                  <c:v>-0.05%</c:v>
                </c:pt>
                <c:pt idx="31">
                  <c:v>-0.04%</c:v>
                </c:pt>
                <c:pt idx="32">
                  <c:v>-0.03%</c:v>
                </c:pt>
                <c:pt idx="33">
                  <c:v>-0.02%</c:v>
                </c:pt>
                <c:pt idx="34">
                  <c:v>-0.01%</c:v>
                </c:pt>
                <c:pt idx="35">
                  <c:v>0.00%</c:v>
                </c:pt>
                <c:pt idx="36">
                  <c:v>0.01%</c:v>
                </c:pt>
                <c:pt idx="37">
                  <c:v>0.02%</c:v>
                </c:pt>
                <c:pt idx="38">
                  <c:v>0.03%</c:v>
                </c:pt>
                <c:pt idx="39">
                  <c:v>0.04%</c:v>
                </c:pt>
                <c:pt idx="40">
                  <c:v>0.05%</c:v>
                </c:pt>
                <c:pt idx="41">
                  <c:v>0.06%</c:v>
                </c:pt>
                <c:pt idx="42">
                  <c:v>0.07%</c:v>
                </c:pt>
                <c:pt idx="43">
                  <c:v>0.08%</c:v>
                </c:pt>
                <c:pt idx="44">
                  <c:v>0.09%</c:v>
                </c:pt>
                <c:pt idx="45">
                  <c:v>0.10%</c:v>
                </c:pt>
                <c:pt idx="46">
                  <c:v>0.11%</c:v>
                </c:pt>
                <c:pt idx="47">
                  <c:v>0.12%</c:v>
                </c:pt>
                <c:pt idx="48">
                  <c:v>0.13%</c:v>
                </c:pt>
                <c:pt idx="49">
                  <c:v>0.14%</c:v>
                </c:pt>
                <c:pt idx="50">
                  <c:v>0.15%</c:v>
                </c:pt>
                <c:pt idx="51">
                  <c:v>0.16%</c:v>
                </c:pt>
                <c:pt idx="52">
                  <c:v>0.17%</c:v>
                </c:pt>
                <c:pt idx="53">
                  <c:v>0.18%</c:v>
                </c:pt>
                <c:pt idx="54">
                  <c:v>0.19%</c:v>
                </c:pt>
                <c:pt idx="55">
                  <c:v>0.20%</c:v>
                </c:pt>
                <c:pt idx="56">
                  <c:v>0.21%</c:v>
                </c:pt>
                <c:pt idx="57">
                  <c:v>0.22%</c:v>
                </c:pt>
                <c:pt idx="58">
                  <c:v>0.23%</c:v>
                </c:pt>
                <c:pt idx="59">
                  <c:v>0.24%</c:v>
                </c:pt>
                <c:pt idx="60">
                  <c:v>0.25%</c:v>
                </c:pt>
                <c:pt idx="61">
                  <c:v>0.26%</c:v>
                </c:pt>
                <c:pt idx="62">
                  <c:v>0.27%</c:v>
                </c:pt>
                <c:pt idx="63">
                  <c:v>0.28%</c:v>
                </c:pt>
                <c:pt idx="64">
                  <c:v>0.29%</c:v>
                </c:pt>
                <c:pt idx="65">
                  <c:v>0.30%</c:v>
                </c:pt>
                <c:pt idx="66">
                  <c:v>0.31%</c:v>
                </c:pt>
                <c:pt idx="67">
                  <c:v>0.32%</c:v>
                </c:pt>
                <c:pt idx="68">
                  <c:v>0.33%</c:v>
                </c:pt>
                <c:pt idx="69">
                  <c:v>0.34%</c:v>
                </c:pt>
                <c:pt idx="70">
                  <c:v>More</c:v>
                </c:pt>
              </c:strCache>
            </c:strRef>
          </c:cat>
          <c:val>
            <c:numRef>
              <c:f>Sheet10!$B$2:$B$72</c:f>
              <c:numCache>
                <c:formatCode>General</c:formatCode>
                <c:ptCount val="71"/>
                <c:pt idx="0">
                  <c:v>1</c:v>
                </c:pt>
                <c:pt idx="1">
                  <c:v>0</c:v>
                </c:pt>
                <c:pt idx="2">
                  <c:v>1</c:v>
                </c:pt>
                <c:pt idx="3">
                  <c:v>0</c:v>
                </c:pt>
                <c:pt idx="4">
                  <c:v>3</c:v>
                </c:pt>
                <c:pt idx="5">
                  <c:v>3</c:v>
                </c:pt>
                <c:pt idx="6">
                  <c:v>4</c:v>
                </c:pt>
                <c:pt idx="7">
                  <c:v>9</c:v>
                </c:pt>
                <c:pt idx="8">
                  <c:v>4</c:v>
                </c:pt>
                <c:pt idx="9">
                  <c:v>7</c:v>
                </c:pt>
                <c:pt idx="10">
                  <c:v>7</c:v>
                </c:pt>
                <c:pt idx="11">
                  <c:v>16</c:v>
                </c:pt>
                <c:pt idx="12">
                  <c:v>10</c:v>
                </c:pt>
                <c:pt idx="13">
                  <c:v>16</c:v>
                </c:pt>
                <c:pt idx="14">
                  <c:v>22</c:v>
                </c:pt>
                <c:pt idx="15">
                  <c:v>30</c:v>
                </c:pt>
                <c:pt idx="16">
                  <c:v>36</c:v>
                </c:pt>
                <c:pt idx="17">
                  <c:v>35</c:v>
                </c:pt>
                <c:pt idx="18">
                  <c:v>42</c:v>
                </c:pt>
                <c:pt idx="19">
                  <c:v>54</c:v>
                </c:pt>
                <c:pt idx="20">
                  <c:v>63</c:v>
                </c:pt>
                <c:pt idx="21">
                  <c:v>64</c:v>
                </c:pt>
                <c:pt idx="22">
                  <c:v>89</c:v>
                </c:pt>
                <c:pt idx="23">
                  <c:v>107</c:v>
                </c:pt>
                <c:pt idx="24">
                  <c:v>115</c:v>
                </c:pt>
                <c:pt idx="25">
                  <c:v>123</c:v>
                </c:pt>
                <c:pt idx="26">
                  <c:v>134</c:v>
                </c:pt>
                <c:pt idx="27">
                  <c:v>142</c:v>
                </c:pt>
                <c:pt idx="28">
                  <c:v>161</c:v>
                </c:pt>
                <c:pt idx="29">
                  <c:v>154</c:v>
                </c:pt>
                <c:pt idx="30">
                  <c:v>172</c:v>
                </c:pt>
                <c:pt idx="31">
                  <c:v>197</c:v>
                </c:pt>
                <c:pt idx="32">
                  <c:v>181</c:v>
                </c:pt>
                <c:pt idx="33">
                  <c:v>168</c:v>
                </c:pt>
                <c:pt idx="34">
                  <c:v>191</c:v>
                </c:pt>
                <c:pt idx="35">
                  <c:v>165</c:v>
                </c:pt>
                <c:pt idx="36">
                  <c:v>173</c:v>
                </c:pt>
                <c:pt idx="37">
                  <c:v>192</c:v>
                </c:pt>
                <c:pt idx="38">
                  <c:v>180</c:v>
                </c:pt>
                <c:pt idx="39">
                  <c:v>188</c:v>
                </c:pt>
                <c:pt idx="40">
                  <c:v>164</c:v>
                </c:pt>
                <c:pt idx="41">
                  <c:v>169</c:v>
                </c:pt>
                <c:pt idx="42">
                  <c:v>150</c:v>
                </c:pt>
                <c:pt idx="43">
                  <c:v>166</c:v>
                </c:pt>
                <c:pt idx="44">
                  <c:v>130</c:v>
                </c:pt>
                <c:pt idx="45">
                  <c:v>104</c:v>
                </c:pt>
                <c:pt idx="46">
                  <c:v>123</c:v>
                </c:pt>
                <c:pt idx="47">
                  <c:v>96</c:v>
                </c:pt>
                <c:pt idx="48">
                  <c:v>95</c:v>
                </c:pt>
                <c:pt idx="49">
                  <c:v>94</c:v>
                </c:pt>
                <c:pt idx="50">
                  <c:v>58</c:v>
                </c:pt>
                <c:pt idx="51">
                  <c:v>60</c:v>
                </c:pt>
                <c:pt idx="52">
                  <c:v>61</c:v>
                </c:pt>
                <c:pt idx="53">
                  <c:v>43</c:v>
                </c:pt>
                <c:pt idx="54">
                  <c:v>35</c:v>
                </c:pt>
                <c:pt idx="55">
                  <c:v>34</c:v>
                </c:pt>
                <c:pt idx="56">
                  <c:v>32</c:v>
                </c:pt>
                <c:pt idx="57">
                  <c:v>31</c:v>
                </c:pt>
                <c:pt idx="58">
                  <c:v>27</c:v>
                </c:pt>
                <c:pt idx="59">
                  <c:v>15</c:v>
                </c:pt>
                <c:pt idx="60">
                  <c:v>12</c:v>
                </c:pt>
                <c:pt idx="61">
                  <c:v>15</c:v>
                </c:pt>
                <c:pt idx="62">
                  <c:v>11</c:v>
                </c:pt>
                <c:pt idx="63">
                  <c:v>4</c:v>
                </c:pt>
                <c:pt idx="64">
                  <c:v>3</c:v>
                </c:pt>
                <c:pt idx="65">
                  <c:v>5</c:v>
                </c:pt>
                <c:pt idx="66">
                  <c:v>1</c:v>
                </c:pt>
                <c:pt idx="67">
                  <c:v>1</c:v>
                </c:pt>
                <c:pt idx="68">
                  <c:v>0</c:v>
                </c:pt>
                <c:pt idx="69">
                  <c:v>1</c:v>
                </c:pt>
                <c:pt idx="70">
                  <c:v>2</c:v>
                </c:pt>
              </c:numCache>
            </c:numRef>
          </c:val>
          <c:extLst>
            <c:ext xmlns:c16="http://schemas.microsoft.com/office/drawing/2014/chart" uri="{C3380CC4-5D6E-409C-BE32-E72D297353CC}">
              <c16:uniqueId val="{00000000-E5FA-4780-A846-D4206590E1AB}"/>
            </c:ext>
          </c:extLst>
        </c:ser>
        <c:dLbls>
          <c:showLegendKey val="0"/>
          <c:showVal val="0"/>
          <c:showCatName val="0"/>
          <c:showSerName val="0"/>
          <c:showPercent val="0"/>
          <c:showBubbleSize val="0"/>
        </c:dLbls>
        <c:gapWidth val="219"/>
        <c:overlap val="-27"/>
        <c:axId val="798406288"/>
        <c:axId val="798409984"/>
      </c:barChart>
      <c:catAx>
        <c:axId val="798406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Results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409984"/>
        <c:crosses val="autoZero"/>
        <c:auto val="1"/>
        <c:lblAlgn val="ctr"/>
        <c:lblOffset val="100"/>
        <c:noMultiLvlLbl val="0"/>
      </c:catAx>
      <c:valAx>
        <c:axId val="798409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406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Dubai Holding C.O. Ltd</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Data!$S$7:$S$16</c:f>
              <c:numCache>
                <c:formatCode>0.000%</c:formatCode>
                <c:ptCount val="10"/>
                <c:pt idx="0">
                  <c:v>4.4116230957504099E-4</c:v>
                </c:pt>
                <c:pt idx="1">
                  <c:v>1.2527800531167199E-4</c:v>
                </c:pt>
                <c:pt idx="2">
                  <c:v>-4.0823334027670797E-3</c:v>
                </c:pt>
                <c:pt idx="3">
                  <c:v>3.8353741713011498E-3</c:v>
                </c:pt>
                <c:pt idx="4">
                  <c:v>1.59574974882419E-3</c:v>
                </c:pt>
                <c:pt idx="5">
                  <c:v>-1.09176210166773E-3</c:v>
                </c:pt>
                <c:pt idx="6">
                  <c:v>-2.35756701411812E-3</c:v>
                </c:pt>
                <c:pt idx="7">
                  <c:v>-2.2208759896056901E-3</c:v>
                </c:pt>
                <c:pt idx="8">
                  <c:v>3.7612085111798699E-4</c:v>
                </c:pt>
                <c:pt idx="9">
                  <c:v>-5.5200725055728197E-3</c:v>
                </c:pt>
              </c:numCache>
            </c:numRef>
          </c:val>
          <c:smooth val="0"/>
          <c:extLst>
            <c:ext xmlns:c16="http://schemas.microsoft.com/office/drawing/2014/chart" uri="{C3380CC4-5D6E-409C-BE32-E72D297353CC}">
              <c16:uniqueId val="{00000000-54F8-4B25-930A-E61B6127BF2E}"/>
            </c:ext>
          </c:extLst>
        </c:ser>
        <c:dLbls>
          <c:showLegendKey val="0"/>
          <c:showVal val="0"/>
          <c:showCatName val="0"/>
          <c:showSerName val="0"/>
          <c:showPercent val="0"/>
          <c:showBubbleSize val="0"/>
        </c:dLbls>
        <c:marker val="1"/>
        <c:smooth val="0"/>
        <c:axId val="798363840"/>
        <c:axId val="798365888"/>
      </c:lineChart>
      <c:catAx>
        <c:axId val="7983638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365888"/>
        <c:crosses val="autoZero"/>
        <c:auto val="1"/>
        <c:lblAlgn val="ctr"/>
        <c:lblOffset val="100"/>
        <c:noMultiLvlLbl val="0"/>
      </c:catAx>
      <c:valAx>
        <c:axId val="798365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363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MAF Global Securities 13</a:t>
            </a:r>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Sheet20!$A$2:$A$72</c:f>
              <c:strCache>
                <c:ptCount val="71"/>
                <c:pt idx="0">
                  <c:v>-0.35%</c:v>
                </c:pt>
                <c:pt idx="1">
                  <c:v>-0.34%</c:v>
                </c:pt>
                <c:pt idx="2">
                  <c:v>-0.33%</c:v>
                </c:pt>
                <c:pt idx="3">
                  <c:v>-0.32%</c:v>
                </c:pt>
                <c:pt idx="4">
                  <c:v>-0.31%</c:v>
                </c:pt>
                <c:pt idx="5">
                  <c:v>-0.30%</c:v>
                </c:pt>
                <c:pt idx="6">
                  <c:v>-0.29%</c:v>
                </c:pt>
                <c:pt idx="7">
                  <c:v>-0.28%</c:v>
                </c:pt>
                <c:pt idx="8">
                  <c:v>-0.27%</c:v>
                </c:pt>
                <c:pt idx="9">
                  <c:v>-0.26%</c:v>
                </c:pt>
                <c:pt idx="10">
                  <c:v>-0.25%</c:v>
                </c:pt>
                <c:pt idx="11">
                  <c:v>-0.24%</c:v>
                </c:pt>
                <c:pt idx="12">
                  <c:v>-0.23%</c:v>
                </c:pt>
                <c:pt idx="13">
                  <c:v>-0.22%</c:v>
                </c:pt>
                <c:pt idx="14">
                  <c:v>-0.21%</c:v>
                </c:pt>
                <c:pt idx="15">
                  <c:v>-0.20%</c:v>
                </c:pt>
                <c:pt idx="16">
                  <c:v>-0.19%</c:v>
                </c:pt>
                <c:pt idx="17">
                  <c:v>-0.18%</c:v>
                </c:pt>
                <c:pt idx="18">
                  <c:v>-0.17%</c:v>
                </c:pt>
                <c:pt idx="19">
                  <c:v>-0.16%</c:v>
                </c:pt>
                <c:pt idx="20">
                  <c:v>-0.15%</c:v>
                </c:pt>
                <c:pt idx="21">
                  <c:v>-0.14%</c:v>
                </c:pt>
                <c:pt idx="22">
                  <c:v>-0.13%</c:v>
                </c:pt>
                <c:pt idx="23">
                  <c:v>-0.12%</c:v>
                </c:pt>
                <c:pt idx="24">
                  <c:v>-0.11%</c:v>
                </c:pt>
                <c:pt idx="25">
                  <c:v>-0.10%</c:v>
                </c:pt>
                <c:pt idx="26">
                  <c:v>-0.09%</c:v>
                </c:pt>
                <c:pt idx="27">
                  <c:v>-0.08%</c:v>
                </c:pt>
                <c:pt idx="28">
                  <c:v>-0.07%</c:v>
                </c:pt>
                <c:pt idx="29">
                  <c:v>-0.06%</c:v>
                </c:pt>
                <c:pt idx="30">
                  <c:v>-0.05%</c:v>
                </c:pt>
                <c:pt idx="31">
                  <c:v>-0.04%</c:v>
                </c:pt>
                <c:pt idx="32">
                  <c:v>-0.03%</c:v>
                </c:pt>
                <c:pt idx="33">
                  <c:v>-0.02%</c:v>
                </c:pt>
                <c:pt idx="34">
                  <c:v>-0.01%</c:v>
                </c:pt>
                <c:pt idx="35">
                  <c:v>0.00%</c:v>
                </c:pt>
                <c:pt idx="36">
                  <c:v>0.01%</c:v>
                </c:pt>
                <c:pt idx="37">
                  <c:v>0.02%</c:v>
                </c:pt>
                <c:pt idx="38">
                  <c:v>0.03%</c:v>
                </c:pt>
                <c:pt idx="39">
                  <c:v>0.04%</c:v>
                </c:pt>
                <c:pt idx="40">
                  <c:v>0.05%</c:v>
                </c:pt>
                <c:pt idx="41">
                  <c:v>0.06%</c:v>
                </c:pt>
                <c:pt idx="42">
                  <c:v>0.07%</c:v>
                </c:pt>
                <c:pt idx="43">
                  <c:v>0.08%</c:v>
                </c:pt>
                <c:pt idx="44">
                  <c:v>0.09%</c:v>
                </c:pt>
                <c:pt idx="45">
                  <c:v>0.10%</c:v>
                </c:pt>
                <c:pt idx="46">
                  <c:v>0.11%</c:v>
                </c:pt>
                <c:pt idx="47">
                  <c:v>0.12%</c:v>
                </c:pt>
                <c:pt idx="48">
                  <c:v>0.13%</c:v>
                </c:pt>
                <c:pt idx="49">
                  <c:v>0.14%</c:v>
                </c:pt>
                <c:pt idx="50">
                  <c:v>0.15%</c:v>
                </c:pt>
                <c:pt idx="51">
                  <c:v>0.16%</c:v>
                </c:pt>
                <c:pt idx="52">
                  <c:v>0.17%</c:v>
                </c:pt>
                <c:pt idx="53">
                  <c:v>0.18%</c:v>
                </c:pt>
                <c:pt idx="54">
                  <c:v>0.19%</c:v>
                </c:pt>
                <c:pt idx="55">
                  <c:v>0.20%</c:v>
                </c:pt>
                <c:pt idx="56">
                  <c:v>0.21%</c:v>
                </c:pt>
                <c:pt idx="57">
                  <c:v>0.22%</c:v>
                </c:pt>
                <c:pt idx="58">
                  <c:v>0.23%</c:v>
                </c:pt>
                <c:pt idx="59">
                  <c:v>0.24%</c:v>
                </c:pt>
                <c:pt idx="60">
                  <c:v>0.25%</c:v>
                </c:pt>
                <c:pt idx="61">
                  <c:v>0.26%</c:v>
                </c:pt>
                <c:pt idx="62">
                  <c:v>0.27%</c:v>
                </c:pt>
                <c:pt idx="63">
                  <c:v>0.28%</c:v>
                </c:pt>
                <c:pt idx="64">
                  <c:v>0.29%</c:v>
                </c:pt>
                <c:pt idx="65">
                  <c:v>0.30%</c:v>
                </c:pt>
                <c:pt idx="66">
                  <c:v>0.31%</c:v>
                </c:pt>
                <c:pt idx="67">
                  <c:v>0.32%</c:v>
                </c:pt>
                <c:pt idx="68">
                  <c:v>0.33%</c:v>
                </c:pt>
                <c:pt idx="69">
                  <c:v>0.34%</c:v>
                </c:pt>
                <c:pt idx="70">
                  <c:v>More</c:v>
                </c:pt>
              </c:strCache>
            </c:strRef>
          </c:cat>
          <c:val>
            <c:numRef>
              <c:f>Sheet20!$B$2:$B$72</c:f>
              <c:numCache>
                <c:formatCode>General</c:formatCode>
                <c:ptCount val="71"/>
                <c:pt idx="0">
                  <c:v>1</c:v>
                </c:pt>
                <c:pt idx="1">
                  <c:v>0</c:v>
                </c:pt>
                <c:pt idx="2">
                  <c:v>1</c:v>
                </c:pt>
                <c:pt idx="3">
                  <c:v>0</c:v>
                </c:pt>
                <c:pt idx="4">
                  <c:v>3</c:v>
                </c:pt>
                <c:pt idx="5">
                  <c:v>3</c:v>
                </c:pt>
                <c:pt idx="6">
                  <c:v>4</c:v>
                </c:pt>
                <c:pt idx="7">
                  <c:v>9</c:v>
                </c:pt>
                <c:pt idx="8">
                  <c:v>4</c:v>
                </c:pt>
                <c:pt idx="9">
                  <c:v>7</c:v>
                </c:pt>
                <c:pt idx="10">
                  <c:v>7</c:v>
                </c:pt>
                <c:pt idx="11">
                  <c:v>16</c:v>
                </c:pt>
                <c:pt idx="12">
                  <c:v>10</c:v>
                </c:pt>
                <c:pt idx="13">
                  <c:v>16</c:v>
                </c:pt>
                <c:pt idx="14">
                  <c:v>22</c:v>
                </c:pt>
                <c:pt idx="15">
                  <c:v>30</c:v>
                </c:pt>
                <c:pt idx="16">
                  <c:v>36</c:v>
                </c:pt>
                <c:pt idx="17">
                  <c:v>35</c:v>
                </c:pt>
                <c:pt idx="18">
                  <c:v>42</c:v>
                </c:pt>
                <c:pt idx="19">
                  <c:v>54</c:v>
                </c:pt>
                <c:pt idx="20">
                  <c:v>63</c:v>
                </c:pt>
                <c:pt idx="21">
                  <c:v>64</c:v>
                </c:pt>
                <c:pt idx="22">
                  <c:v>89</c:v>
                </c:pt>
                <c:pt idx="23">
                  <c:v>107</c:v>
                </c:pt>
                <c:pt idx="24">
                  <c:v>115</c:v>
                </c:pt>
                <c:pt idx="25">
                  <c:v>123</c:v>
                </c:pt>
                <c:pt idx="26">
                  <c:v>134</c:v>
                </c:pt>
                <c:pt idx="27">
                  <c:v>142</c:v>
                </c:pt>
                <c:pt idx="28">
                  <c:v>161</c:v>
                </c:pt>
                <c:pt idx="29">
                  <c:v>154</c:v>
                </c:pt>
                <c:pt idx="30">
                  <c:v>172</c:v>
                </c:pt>
                <c:pt idx="31">
                  <c:v>197</c:v>
                </c:pt>
                <c:pt idx="32">
                  <c:v>181</c:v>
                </c:pt>
                <c:pt idx="33">
                  <c:v>168</c:v>
                </c:pt>
                <c:pt idx="34">
                  <c:v>191</c:v>
                </c:pt>
                <c:pt idx="35">
                  <c:v>165</c:v>
                </c:pt>
                <c:pt idx="36">
                  <c:v>173</c:v>
                </c:pt>
                <c:pt idx="37">
                  <c:v>192</c:v>
                </c:pt>
                <c:pt idx="38">
                  <c:v>180</c:v>
                </c:pt>
                <c:pt idx="39">
                  <c:v>188</c:v>
                </c:pt>
                <c:pt idx="40">
                  <c:v>164</c:v>
                </c:pt>
                <c:pt idx="41">
                  <c:v>169</c:v>
                </c:pt>
                <c:pt idx="42">
                  <c:v>150</c:v>
                </c:pt>
                <c:pt idx="43">
                  <c:v>166</c:v>
                </c:pt>
                <c:pt idx="44">
                  <c:v>130</c:v>
                </c:pt>
                <c:pt idx="45">
                  <c:v>104</c:v>
                </c:pt>
                <c:pt idx="46">
                  <c:v>123</c:v>
                </c:pt>
                <c:pt idx="47">
                  <c:v>96</c:v>
                </c:pt>
                <c:pt idx="48">
                  <c:v>95</c:v>
                </c:pt>
                <c:pt idx="49">
                  <c:v>94</c:v>
                </c:pt>
                <c:pt idx="50">
                  <c:v>58</c:v>
                </c:pt>
                <c:pt idx="51">
                  <c:v>60</c:v>
                </c:pt>
                <c:pt idx="52">
                  <c:v>61</c:v>
                </c:pt>
                <c:pt idx="53">
                  <c:v>43</c:v>
                </c:pt>
                <c:pt idx="54">
                  <c:v>35</c:v>
                </c:pt>
                <c:pt idx="55">
                  <c:v>34</c:v>
                </c:pt>
                <c:pt idx="56">
                  <c:v>32</c:v>
                </c:pt>
                <c:pt idx="57">
                  <c:v>31</c:v>
                </c:pt>
                <c:pt idx="58">
                  <c:v>27</c:v>
                </c:pt>
                <c:pt idx="59">
                  <c:v>15</c:v>
                </c:pt>
                <c:pt idx="60">
                  <c:v>12</c:v>
                </c:pt>
                <c:pt idx="61">
                  <c:v>15</c:v>
                </c:pt>
                <c:pt idx="62">
                  <c:v>11</c:v>
                </c:pt>
                <c:pt idx="63">
                  <c:v>4</c:v>
                </c:pt>
                <c:pt idx="64">
                  <c:v>3</c:v>
                </c:pt>
                <c:pt idx="65">
                  <c:v>5</c:v>
                </c:pt>
                <c:pt idx="66">
                  <c:v>1</c:v>
                </c:pt>
                <c:pt idx="67">
                  <c:v>1</c:v>
                </c:pt>
                <c:pt idx="68">
                  <c:v>0</c:v>
                </c:pt>
                <c:pt idx="69">
                  <c:v>1</c:v>
                </c:pt>
                <c:pt idx="70">
                  <c:v>2</c:v>
                </c:pt>
              </c:numCache>
            </c:numRef>
          </c:val>
          <c:extLst>
            <c:ext xmlns:c16="http://schemas.microsoft.com/office/drawing/2014/chart" uri="{C3380CC4-5D6E-409C-BE32-E72D297353CC}">
              <c16:uniqueId val="{00000000-C318-4A60-8D94-B04B620874A3}"/>
            </c:ext>
          </c:extLst>
        </c:ser>
        <c:dLbls>
          <c:showLegendKey val="0"/>
          <c:showVal val="0"/>
          <c:showCatName val="0"/>
          <c:showSerName val="0"/>
          <c:showPercent val="0"/>
          <c:showBubbleSize val="0"/>
        </c:dLbls>
        <c:gapWidth val="219"/>
        <c:overlap val="-27"/>
        <c:axId val="798322752"/>
        <c:axId val="798326720"/>
      </c:barChart>
      <c:catAx>
        <c:axId val="798322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Results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326720"/>
        <c:crosses val="autoZero"/>
        <c:auto val="1"/>
        <c:lblAlgn val="ctr"/>
        <c:lblOffset val="100"/>
        <c:noMultiLvlLbl val="0"/>
      </c:catAx>
      <c:valAx>
        <c:axId val="798326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322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Emirates NBD Tier1 Ltd - PRP</a:t>
            </a:r>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Sheet16!$A$2:$A$72</c:f>
              <c:strCache>
                <c:ptCount val="71"/>
                <c:pt idx="0">
                  <c:v>-0.35%</c:v>
                </c:pt>
                <c:pt idx="1">
                  <c:v>-0.34%</c:v>
                </c:pt>
                <c:pt idx="2">
                  <c:v>-0.33%</c:v>
                </c:pt>
                <c:pt idx="3">
                  <c:v>-0.32%</c:v>
                </c:pt>
                <c:pt idx="4">
                  <c:v>-0.31%</c:v>
                </c:pt>
                <c:pt idx="5">
                  <c:v>-0.30%</c:v>
                </c:pt>
                <c:pt idx="6">
                  <c:v>-0.29%</c:v>
                </c:pt>
                <c:pt idx="7">
                  <c:v>-0.28%</c:v>
                </c:pt>
                <c:pt idx="8">
                  <c:v>-0.27%</c:v>
                </c:pt>
                <c:pt idx="9">
                  <c:v>-0.26%</c:v>
                </c:pt>
                <c:pt idx="10">
                  <c:v>-0.25%</c:v>
                </c:pt>
                <c:pt idx="11">
                  <c:v>-0.24%</c:v>
                </c:pt>
                <c:pt idx="12">
                  <c:v>-0.23%</c:v>
                </c:pt>
                <c:pt idx="13">
                  <c:v>-0.22%</c:v>
                </c:pt>
                <c:pt idx="14">
                  <c:v>-0.21%</c:v>
                </c:pt>
                <c:pt idx="15">
                  <c:v>-0.20%</c:v>
                </c:pt>
                <c:pt idx="16">
                  <c:v>-0.19%</c:v>
                </c:pt>
                <c:pt idx="17">
                  <c:v>-0.18%</c:v>
                </c:pt>
                <c:pt idx="18">
                  <c:v>-0.17%</c:v>
                </c:pt>
                <c:pt idx="19">
                  <c:v>-0.16%</c:v>
                </c:pt>
                <c:pt idx="20">
                  <c:v>-0.15%</c:v>
                </c:pt>
                <c:pt idx="21">
                  <c:v>-0.14%</c:v>
                </c:pt>
                <c:pt idx="22">
                  <c:v>-0.13%</c:v>
                </c:pt>
                <c:pt idx="23">
                  <c:v>-0.12%</c:v>
                </c:pt>
                <c:pt idx="24">
                  <c:v>-0.11%</c:v>
                </c:pt>
                <c:pt idx="25">
                  <c:v>-0.10%</c:v>
                </c:pt>
                <c:pt idx="26">
                  <c:v>-0.09%</c:v>
                </c:pt>
                <c:pt idx="27">
                  <c:v>-0.08%</c:v>
                </c:pt>
                <c:pt idx="28">
                  <c:v>-0.07%</c:v>
                </c:pt>
                <c:pt idx="29">
                  <c:v>-0.06%</c:v>
                </c:pt>
                <c:pt idx="30">
                  <c:v>-0.05%</c:v>
                </c:pt>
                <c:pt idx="31">
                  <c:v>-0.04%</c:v>
                </c:pt>
                <c:pt idx="32">
                  <c:v>-0.03%</c:v>
                </c:pt>
                <c:pt idx="33">
                  <c:v>-0.02%</c:v>
                </c:pt>
                <c:pt idx="34">
                  <c:v>-0.01%</c:v>
                </c:pt>
                <c:pt idx="35">
                  <c:v>0.00%</c:v>
                </c:pt>
                <c:pt idx="36">
                  <c:v>0.01%</c:v>
                </c:pt>
                <c:pt idx="37">
                  <c:v>0.02%</c:v>
                </c:pt>
                <c:pt idx="38">
                  <c:v>0.03%</c:v>
                </c:pt>
                <c:pt idx="39">
                  <c:v>0.04%</c:v>
                </c:pt>
                <c:pt idx="40">
                  <c:v>0.05%</c:v>
                </c:pt>
                <c:pt idx="41">
                  <c:v>0.06%</c:v>
                </c:pt>
                <c:pt idx="42">
                  <c:v>0.07%</c:v>
                </c:pt>
                <c:pt idx="43">
                  <c:v>0.08%</c:v>
                </c:pt>
                <c:pt idx="44">
                  <c:v>0.09%</c:v>
                </c:pt>
                <c:pt idx="45">
                  <c:v>0.10%</c:v>
                </c:pt>
                <c:pt idx="46">
                  <c:v>0.11%</c:v>
                </c:pt>
                <c:pt idx="47">
                  <c:v>0.12%</c:v>
                </c:pt>
                <c:pt idx="48">
                  <c:v>0.13%</c:v>
                </c:pt>
                <c:pt idx="49">
                  <c:v>0.14%</c:v>
                </c:pt>
                <c:pt idx="50">
                  <c:v>0.15%</c:v>
                </c:pt>
                <c:pt idx="51">
                  <c:v>0.16%</c:v>
                </c:pt>
                <c:pt idx="52">
                  <c:v>0.17%</c:v>
                </c:pt>
                <c:pt idx="53">
                  <c:v>0.18%</c:v>
                </c:pt>
                <c:pt idx="54">
                  <c:v>0.19%</c:v>
                </c:pt>
                <c:pt idx="55">
                  <c:v>0.20%</c:v>
                </c:pt>
                <c:pt idx="56">
                  <c:v>0.21%</c:v>
                </c:pt>
                <c:pt idx="57">
                  <c:v>0.22%</c:v>
                </c:pt>
                <c:pt idx="58">
                  <c:v>0.23%</c:v>
                </c:pt>
                <c:pt idx="59">
                  <c:v>0.24%</c:v>
                </c:pt>
                <c:pt idx="60">
                  <c:v>0.25%</c:v>
                </c:pt>
                <c:pt idx="61">
                  <c:v>0.26%</c:v>
                </c:pt>
                <c:pt idx="62">
                  <c:v>0.27%</c:v>
                </c:pt>
                <c:pt idx="63">
                  <c:v>0.28%</c:v>
                </c:pt>
                <c:pt idx="64">
                  <c:v>0.29%</c:v>
                </c:pt>
                <c:pt idx="65">
                  <c:v>0.30%</c:v>
                </c:pt>
                <c:pt idx="66">
                  <c:v>0.31%</c:v>
                </c:pt>
                <c:pt idx="67">
                  <c:v>0.32%</c:v>
                </c:pt>
                <c:pt idx="68">
                  <c:v>0.33%</c:v>
                </c:pt>
                <c:pt idx="69">
                  <c:v>0.34%</c:v>
                </c:pt>
                <c:pt idx="70">
                  <c:v>More</c:v>
                </c:pt>
              </c:strCache>
            </c:strRef>
          </c:cat>
          <c:val>
            <c:numRef>
              <c:f>Sheet16!$B$2:$B$72</c:f>
              <c:numCache>
                <c:formatCode>General</c:formatCode>
                <c:ptCount val="71"/>
                <c:pt idx="0">
                  <c:v>1</c:v>
                </c:pt>
                <c:pt idx="1">
                  <c:v>0</c:v>
                </c:pt>
                <c:pt idx="2">
                  <c:v>1</c:v>
                </c:pt>
                <c:pt idx="3">
                  <c:v>0</c:v>
                </c:pt>
                <c:pt idx="4">
                  <c:v>3</c:v>
                </c:pt>
                <c:pt idx="5">
                  <c:v>3</c:v>
                </c:pt>
                <c:pt idx="6">
                  <c:v>4</c:v>
                </c:pt>
                <c:pt idx="7">
                  <c:v>9</c:v>
                </c:pt>
                <c:pt idx="8">
                  <c:v>4</c:v>
                </c:pt>
                <c:pt idx="9">
                  <c:v>7</c:v>
                </c:pt>
                <c:pt idx="10">
                  <c:v>7</c:v>
                </c:pt>
                <c:pt idx="11">
                  <c:v>16</c:v>
                </c:pt>
                <c:pt idx="12">
                  <c:v>10</c:v>
                </c:pt>
                <c:pt idx="13">
                  <c:v>16</c:v>
                </c:pt>
                <c:pt idx="14">
                  <c:v>22</c:v>
                </c:pt>
                <c:pt idx="15">
                  <c:v>30</c:v>
                </c:pt>
                <c:pt idx="16">
                  <c:v>36</c:v>
                </c:pt>
                <c:pt idx="17">
                  <c:v>35</c:v>
                </c:pt>
                <c:pt idx="18">
                  <c:v>42</c:v>
                </c:pt>
                <c:pt idx="19">
                  <c:v>54</c:v>
                </c:pt>
                <c:pt idx="20">
                  <c:v>63</c:v>
                </c:pt>
                <c:pt idx="21">
                  <c:v>64</c:v>
                </c:pt>
                <c:pt idx="22">
                  <c:v>89</c:v>
                </c:pt>
                <c:pt idx="23">
                  <c:v>107</c:v>
                </c:pt>
                <c:pt idx="24">
                  <c:v>115</c:v>
                </c:pt>
                <c:pt idx="25">
                  <c:v>123</c:v>
                </c:pt>
                <c:pt idx="26">
                  <c:v>134</c:v>
                </c:pt>
                <c:pt idx="27">
                  <c:v>142</c:v>
                </c:pt>
                <c:pt idx="28">
                  <c:v>161</c:v>
                </c:pt>
                <c:pt idx="29">
                  <c:v>154</c:v>
                </c:pt>
                <c:pt idx="30">
                  <c:v>172</c:v>
                </c:pt>
                <c:pt idx="31">
                  <c:v>197</c:v>
                </c:pt>
                <c:pt idx="32">
                  <c:v>181</c:v>
                </c:pt>
                <c:pt idx="33">
                  <c:v>168</c:v>
                </c:pt>
                <c:pt idx="34">
                  <c:v>191</c:v>
                </c:pt>
                <c:pt idx="35">
                  <c:v>165</c:v>
                </c:pt>
                <c:pt idx="36">
                  <c:v>173</c:v>
                </c:pt>
                <c:pt idx="37">
                  <c:v>192</c:v>
                </c:pt>
                <c:pt idx="38">
                  <c:v>180</c:v>
                </c:pt>
                <c:pt idx="39">
                  <c:v>188</c:v>
                </c:pt>
                <c:pt idx="40">
                  <c:v>164</c:v>
                </c:pt>
                <c:pt idx="41">
                  <c:v>169</c:v>
                </c:pt>
                <c:pt idx="42">
                  <c:v>150</c:v>
                </c:pt>
                <c:pt idx="43">
                  <c:v>166</c:v>
                </c:pt>
                <c:pt idx="44">
                  <c:v>130</c:v>
                </c:pt>
                <c:pt idx="45">
                  <c:v>104</c:v>
                </c:pt>
                <c:pt idx="46">
                  <c:v>123</c:v>
                </c:pt>
                <c:pt idx="47">
                  <c:v>96</c:v>
                </c:pt>
                <c:pt idx="48">
                  <c:v>95</c:v>
                </c:pt>
                <c:pt idx="49">
                  <c:v>94</c:v>
                </c:pt>
                <c:pt idx="50">
                  <c:v>58</c:v>
                </c:pt>
                <c:pt idx="51">
                  <c:v>60</c:v>
                </c:pt>
                <c:pt idx="52">
                  <c:v>61</c:v>
                </c:pt>
                <c:pt idx="53">
                  <c:v>43</c:v>
                </c:pt>
                <c:pt idx="54">
                  <c:v>35</c:v>
                </c:pt>
                <c:pt idx="55">
                  <c:v>34</c:v>
                </c:pt>
                <c:pt idx="56">
                  <c:v>32</c:v>
                </c:pt>
                <c:pt idx="57">
                  <c:v>31</c:v>
                </c:pt>
                <c:pt idx="58">
                  <c:v>27</c:v>
                </c:pt>
                <c:pt idx="59">
                  <c:v>15</c:v>
                </c:pt>
                <c:pt idx="60">
                  <c:v>12</c:v>
                </c:pt>
                <c:pt idx="61">
                  <c:v>15</c:v>
                </c:pt>
                <c:pt idx="62">
                  <c:v>11</c:v>
                </c:pt>
                <c:pt idx="63">
                  <c:v>4</c:v>
                </c:pt>
                <c:pt idx="64">
                  <c:v>3</c:v>
                </c:pt>
                <c:pt idx="65">
                  <c:v>5</c:v>
                </c:pt>
                <c:pt idx="66">
                  <c:v>1</c:v>
                </c:pt>
                <c:pt idx="67">
                  <c:v>1</c:v>
                </c:pt>
                <c:pt idx="68">
                  <c:v>0</c:v>
                </c:pt>
                <c:pt idx="69">
                  <c:v>1</c:v>
                </c:pt>
                <c:pt idx="70">
                  <c:v>2</c:v>
                </c:pt>
              </c:numCache>
            </c:numRef>
          </c:val>
          <c:extLst>
            <c:ext xmlns:c16="http://schemas.microsoft.com/office/drawing/2014/chart" uri="{C3380CC4-5D6E-409C-BE32-E72D297353CC}">
              <c16:uniqueId val="{00000000-791F-46AD-BB2A-DBFA2D789F01}"/>
            </c:ext>
          </c:extLst>
        </c:ser>
        <c:dLbls>
          <c:showLegendKey val="0"/>
          <c:showVal val="0"/>
          <c:showCatName val="0"/>
          <c:showSerName val="0"/>
          <c:showPercent val="0"/>
          <c:showBubbleSize val="0"/>
        </c:dLbls>
        <c:gapWidth val="219"/>
        <c:overlap val="-27"/>
        <c:axId val="798308512"/>
        <c:axId val="798285888"/>
      </c:barChart>
      <c:catAx>
        <c:axId val="7983085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Results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285888"/>
        <c:crosses val="autoZero"/>
        <c:auto val="1"/>
        <c:lblAlgn val="ctr"/>
        <c:lblOffset val="100"/>
        <c:noMultiLvlLbl val="0"/>
      </c:catAx>
      <c:valAx>
        <c:axId val="798285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308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MAF Global Securities-13</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Data!$BG$7:$BG$16</c:f>
              <c:numCache>
                <c:formatCode>0.000%</c:formatCode>
                <c:ptCount val="10"/>
                <c:pt idx="0">
                  <c:v>-5.4073080451312301E-4</c:v>
                </c:pt>
                <c:pt idx="1">
                  <c:v>1.2080897044360599E-3</c:v>
                </c:pt>
                <c:pt idx="2">
                  <c:v>3.7827083309337699E-4</c:v>
                </c:pt>
                <c:pt idx="3">
                  <c:v>2.9200186455881501E-4</c:v>
                </c:pt>
                <c:pt idx="4">
                  <c:v>1.9779207316471502E-3</c:v>
                </c:pt>
                <c:pt idx="5">
                  <c:v>1.1345506808057299E-3</c:v>
                </c:pt>
                <c:pt idx="6">
                  <c:v>-1.25383192032633E-5</c:v>
                </c:pt>
                <c:pt idx="7">
                  <c:v>4.59293317636782E-4</c:v>
                </c:pt>
                <c:pt idx="8">
                  <c:v>-1.080761936256E-3</c:v>
                </c:pt>
                <c:pt idx="9">
                  <c:v>-6.9460444141090905E-4</c:v>
                </c:pt>
              </c:numCache>
            </c:numRef>
          </c:val>
          <c:smooth val="0"/>
          <c:extLst>
            <c:ext xmlns:c16="http://schemas.microsoft.com/office/drawing/2014/chart" uri="{C3380CC4-5D6E-409C-BE32-E72D297353CC}">
              <c16:uniqueId val="{00000000-B59E-40E2-872A-6FCC5A11BBCB}"/>
            </c:ext>
          </c:extLst>
        </c:ser>
        <c:dLbls>
          <c:showLegendKey val="0"/>
          <c:showVal val="0"/>
          <c:showCatName val="0"/>
          <c:showSerName val="0"/>
          <c:showPercent val="0"/>
          <c:showBubbleSize val="0"/>
        </c:dLbls>
        <c:marker val="1"/>
        <c:smooth val="0"/>
        <c:axId val="798255296"/>
        <c:axId val="798257344"/>
      </c:lineChart>
      <c:catAx>
        <c:axId val="79825529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257344"/>
        <c:crosses val="autoZero"/>
        <c:auto val="1"/>
        <c:lblAlgn val="ctr"/>
        <c:lblOffset val="100"/>
        <c:noMultiLvlLbl val="0"/>
      </c:catAx>
      <c:valAx>
        <c:axId val="798257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255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Emirates NBD Tier</a:t>
            </a:r>
            <a:r>
              <a:rPr lang="en-GB" sz="1000" baseline="0"/>
              <a:t> 1 Ltd - PRP</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Data!$AQ$7:$AQ$16</c:f>
              <c:numCache>
                <c:formatCode>#,##0.000</c:formatCode>
                <c:ptCount val="10"/>
                <c:pt idx="0">
                  <c:v>-1.3259850402394299E-4</c:v>
                </c:pt>
                <c:pt idx="1">
                  <c:v>-1.44229625088762E-3</c:v>
                </c:pt>
                <c:pt idx="2">
                  <c:v>2.85165651826229E-3</c:v>
                </c:pt>
                <c:pt idx="3">
                  <c:v>6.7587041715289498E-4</c:v>
                </c:pt>
                <c:pt idx="4">
                  <c:v>2.1511366152121101E-3</c:v>
                </c:pt>
                <c:pt idx="5">
                  <c:v>-5.5323584859808103E-4</c:v>
                </c:pt>
                <c:pt idx="6">
                  <c:v>-1.82623467014974E-4</c:v>
                </c:pt>
                <c:pt idx="7">
                  <c:v>-2.2282674321254799E-3</c:v>
                </c:pt>
                <c:pt idx="8">
                  <c:v>-1.12439367090569E-3</c:v>
                </c:pt>
                <c:pt idx="9">
                  <c:v>1.6823415184478001E-4</c:v>
                </c:pt>
              </c:numCache>
            </c:numRef>
          </c:val>
          <c:smooth val="0"/>
          <c:extLst>
            <c:ext xmlns:c16="http://schemas.microsoft.com/office/drawing/2014/chart" uri="{C3380CC4-5D6E-409C-BE32-E72D297353CC}">
              <c16:uniqueId val="{00000000-8D10-44F6-A390-4B9DC1223FF5}"/>
            </c:ext>
          </c:extLst>
        </c:ser>
        <c:dLbls>
          <c:showLegendKey val="0"/>
          <c:showVal val="0"/>
          <c:showCatName val="0"/>
          <c:showSerName val="0"/>
          <c:showPercent val="0"/>
          <c:showBubbleSize val="0"/>
        </c:dLbls>
        <c:marker val="1"/>
        <c:smooth val="0"/>
        <c:axId val="798213456"/>
        <c:axId val="798215088"/>
      </c:lineChart>
      <c:catAx>
        <c:axId val="79821345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215088"/>
        <c:crosses val="autoZero"/>
        <c:auto val="1"/>
        <c:lblAlgn val="ctr"/>
        <c:lblOffset val="100"/>
        <c:noMultiLvlLbl val="0"/>
      </c:catAx>
      <c:valAx>
        <c:axId val="798215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213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Dar Al</a:t>
            </a:r>
            <a:r>
              <a:rPr lang="en-GB" sz="1000" baseline="0"/>
              <a:t> Arkan </a:t>
            </a:r>
            <a:r>
              <a:rPr lang="en-GB" sz="1000" b="0" i="0" u="none" strike="noStrike" kern="1200" spc="0" baseline="0">
                <a:solidFill>
                  <a:sysClr val="windowText" lastClr="000000">
                    <a:lumMod val="65000"/>
                    <a:lumOff val="35000"/>
                  </a:sysClr>
                </a:solidFill>
                <a:latin typeface="+mn-lt"/>
                <a:ea typeface="+mn-ea"/>
                <a:cs typeface="+mn-cs"/>
              </a:rPr>
              <a:t>Sukuk</a:t>
            </a:r>
            <a:r>
              <a:rPr lang="en-GB" sz="1000" baseline="0"/>
              <a:t> Co_5000 iterations</a:t>
            </a:r>
            <a:endParaRPr lang="en-GB" sz="1000"/>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Sheet1!$A$2:$A$72</c:f>
              <c:strCache>
                <c:ptCount val="71"/>
                <c:pt idx="0">
                  <c:v>-3.57%</c:v>
                </c:pt>
                <c:pt idx="1">
                  <c:v>-3.47%</c:v>
                </c:pt>
                <c:pt idx="2">
                  <c:v>-3.36%</c:v>
                </c:pt>
                <c:pt idx="3">
                  <c:v>-3.26%</c:v>
                </c:pt>
                <c:pt idx="4">
                  <c:v>-3.15%</c:v>
                </c:pt>
                <c:pt idx="5">
                  <c:v>-3.05%</c:v>
                </c:pt>
                <c:pt idx="6">
                  <c:v>-2.94%</c:v>
                </c:pt>
                <c:pt idx="7">
                  <c:v>-2.84%</c:v>
                </c:pt>
                <c:pt idx="8">
                  <c:v>-2.74%</c:v>
                </c:pt>
                <c:pt idx="9">
                  <c:v>-2.63%</c:v>
                </c:pt>
                <c:pt idx="10">
                  <c:v>-2.53%</c:v>
                </c:pt>
                <c:pt idx="11">
                  <c:v>-2.42%</c:v>
                </c:pt>
                <c:pt idx="12">
                  <c:v>-2.32%</c:v>
                </c:pt>
                <c:pt idx="13">
                  <c:v>-2.22%</c:v>
                </c:pt>
                <c:pt idx="14">
                  <c:v>-2.11%</c:v>
                </c:pt>
                <c:pt idx="15">
                  <c:v>-2.01%</c:v>
                </c:pt>
                <c:pt idx="16">
                  <c:v>-1.90%</c:v>
                </c:pt>
                <c:pt idx="17">
                  <c:v>-1.80%</c:v>
                </c:pt>
                <c:pt idx="18">
                  <c:v>-1.69%</c:v>
                </c:pt>
                <c:pt idx="19">
                  <c:v>-1.59%</c:v>
                </c:pt>
                <c:pt idx="20">
                  <c:v>-1.49%</c:v>
                </c:pt>
                <c:pt idx="21">
                  <c:v>-1.38%</c:v>
                </c:pt>
                <c:pt idx="22">
                  <c:v>-1.28%</c:v>
                </c:pt>
                <c:pt idx="23">
                  <c:v>-1.17%</c:v>
                </c:pt>
                <c:pt idx="24">
                  <c:v>-1.07%</c:v>
                </c:pt>
                <c:pt idx="25">
                  <c:v>-0.97%</c:v>
                </c:pt>
                <c:pt idx="26">
                  <c:v>-0.86%</c:v>
                </c:pt>
                <c:pt idx="27">
                  <c:v>-0.76%</c:v>
                </c:pt>
                <c:pt idx="28">
                  <c:v>-0.65%</c:v>
                </c:pt>
                <c:pt idx="29">
                  <c:v>-0.55%</c:v>
                </c:pt>
                <c:pt idx="30">
                  <c:v>-0.44%</c:v>
                </c:pt>
                <c:pt idx="31">
                  <c:v>-0.34%</c:v>
                </c:pt>
                <c:pt idx="32">
                  <c:v>-0.24%</c:v>
                </c:pt>
                <c:pt idx="33">
                  <c:v>-0.13%</c:v>
                </c:pt>
                <c:pt idx="34">
                  <c:v>-0.03%</c:v>
                </c:pt>
                <c:pt idx="35">
                  <c:v>0.08%</c:v>
                </c:pt>
                <c:pt idx="36">
                  <c:v>0.18%</c:v>
                </c:pt>
                <c:pt idx="37">
                  <c:v>0.28%</c:v>
                </c:pt>
                <c:pt idx="38">
                  <c:v>0.39%</c:v>
                </c:pt>
                <c:pt idx="39">
                  <c:v>0.49%</c:v>
                </c:pt>
                <c:pt idx="40">
                  <c:v>0.60%</c:v>
                </c:pt>
                <c:pt idx="41">
                  <c:v>0.70%</c:v>
                </c:pt>
                <c:pt idx="42">
                  <c:v>0.80%</c:v>
                </c:pt>
                <c:pt idx="43">
                  <c:v>0.91%</c:v>
                </c:pt>
                <c:pt idx="44">
                  <c:v>1.01%</c:v>
                </c:pt>
                <c:pt idx="45">
                  <c:v>1.12%</c:v>
                </c:pt>
                <c:pt idx="46">
                  <c:v>1.22%</c:v>
                </c:pt>
                <c:pt idx="47">
                  <c:v>1.33%</c:v>
                </c:pt>
                <c:pt idx="48">
                  <c:v>1.43%</c:v>
                </c:pt>
                <c:pt idx="49">
                  <c:v>1.53%</c:v>
                </c:pt>
                <c:pt idx="50">
                  <c:v>1.64%</c:v>
                </c:pt>
                <c:pt idx="51">
                  <c:v>1.74%</c:v>
                </c:pt>
                <c:pt idx="52">
                  <c:v>1.85%</c:v>
                </c:pt>
                <c:pt idx="53">
                  <c:v>1.95%</c:v>
                </c:pt>
                <c:pt idx="54">
                  <c:v>2.05%</c:v>
                </c:pt>
                <c:pt idx="55">
                  <c:v>2.16%</c:v>
                </c:pt>
                <c:pt idx="56">
                  <c:v>2.26%</c:v>
                </c:pt>
                <c:pt idx="57">
                  <c:v>2.37%</c:v>
                </c:pt>
                <c:pt idx="58">
                  <c:v>2.47%</c:v>
                </c:pt>
                <c:pt idx="59">
                  <c:v>2.58%</c:v>
                </c:pt>
                <c:pt idx="60">
                  <c:v>2.68%</c:v>
                </c:pt>
                <c:pt idx="61">
                  <c:v>2.78%</c:v>
                </c:pt>
                <c:pt idx="62">
                  <c:v>2.89%</c:v>
                </c:pt>
                <c:pt idx="63">
                  <c:v>2.99%</c:v>
                </c:pt>
                <c:pt idx="64">
                  <c:v>3.10%</c:v>
                </c:pt>
                <c:pt idx="65">
                  <c:v>3.20%</c:v>
                </c:pt>
                <c:pt idx="66">
                  <c:v>3.30%</c:v>
                </c:pt>
                <c:pt idx="67">
                  <c:v>3.41%</c:v>
                </c:pt>
                <c:pt idx="68">
                  <c:v>3.51%</c:v>
                </c:pt>
                <c:pt idx="69">
                  <c:v>3.62%</c:v>
                </c:pt>
                <c:pt idx="70">
                  <c:v>More</c:v>
                </c:pt>
              </c:strCache>
            </c:strRef>
          </c:cat>
          <c:val>
            <c:numRef>
              <c:f>Sheet1!$B$2:$B$72</c:f>
              <c:numCache>
                <c:formatCode>General</c:formatCode>
                <c:ptCount val="71"/>
                <c:pt idx="0">
                  <c:v>1</c:v>
                </c:pt>
                <c:pt idx="1">
                  <c:v>0</c:v>
                </c:pt>
                <c:pt idx="2">
                  <c:v>0</c:v>
                </c:pt>
                <c:pt idx="3">
                  <c:v>2</c:v>
                </c:pt>
                <c:pt idx="4">
                  <c:v>0</c:v>
                </c:pt>
                <c:pt idx="5">
                  <c:v>1</c:v>
                </c:pt>
                <c:pt idx="6">
                  <c:v>0</c:v>
                </c:pt>
                <c:pt idx="7">
                  <c:v>1</c:v>
                </c:pt>
                <c:pt idx="8">
                  <c:v>2</c:v>
                </c:pt>
                <c:pt idx="9">
                  <c:v>4</c:v>
                </c:pt>
                <c:pt idx="10">
                  <c:v>5</c:v>
                </c:pt>
                <c:pt idx="11">
                  <c:v>7</c:v>
                </c:pt>
                <c:pt idx="12">
                  <c:v>6</c:v>
                </c:pt>
                <c:pt idx="13">
                  <c:v>13</c:v>
                </c:pt>
                <c:pt idx="14">
                  <c:v>13</c:v>
                </c:pt>
                <c:pt idx="15">
                  <c:v>11</c:v>
                </c:pt>
                <c:pt idx="16">
                  <c:v>24</c:v>
                </c:pt>
                <c:pt idx="17">
                  <c:v>36</c:v>
                </c:pt>
                <c:pt idx="18">
                  <c:v>25</c:v>
                </c:pt>
                <c:pt idx="19">
                  <c:v>41</c:v>
                </c:pt>
                <c:pt idx="20">
                  <c:v>52</c:v>
                </c:pt>
                <c:pt idx="21">
                  <c:v>56</c:v>
                </c:pt>
                <c:pt idx="22">
                  <c:v>67</c:v>
                </c:pt>
                <c:pt idx="23">
                  <c:v>90</c:v>
                </c:pt>
                <c:pt idx="24">
                  <c:v>91</c:v>
                </c:pt>
                <c:pt idx="25">
                  <c:v>113</c:v>
                </c:pt>
                <c:pt idx="26">
                  <c:v>138</c:v>
                </c:pt>
                <c:pt idx="27">
                  <c:v>141</c:v>
                </c:pt>
                <c:pt idx="28">
                  <c:v>178</c:v>
                </c:pt>
                <c:pt idx="29">
                  <c:v>187</c:v>
                </c:pt>
                <c:pt idx="30">
                  <c:v>182</c:v>
                </c:pt>
                <c:pt idx="31">
                  <c:v>195</c:v>
                </c:pt>
                <c:pt idx="32">
                  <c:v>193</c:v>
                </c:pt>
                <c:pt idx="33">
                  <c:v>232</c:v>
                </c:pt>
                <c:pt idx="34">
                  <c:v>230</c:v>
                </c:pt>
                <c:pt idx="35">
                  <c:v>247</c:v>
                </c:pt>
                <c:pt idx="36">
                  <c:v>244</c:v>
                </c:pt>
                <c:pt idx="37">
                  <c:v>217</c:v>
                </c:pt>
                <c:pt idx="38">
                  <c:v>209</c:v>
                </c:pt>
                <c:pt idx="39">
                  <c:v>218</c:v>
                </c:pt>
                <c:pt idx="40">
                  <c:v>209</c:v>
                </c:pt>
                <c:pt idx="41">
                  <c:v>197</c:v>
                </c:pt>
                <c:pt idx="42">
                  <c:v>158</c:v>
                </c:pt>
                <c:pt idx="43">
                  <c:v>147</c:v>
                </c:pt>
                <c:pt idx="44">
                  <c:v>118</c:v>
                </c:pt>
                <c:pt idx="45">
                  <c:v>128</c:v>
                </c:pt>
                <c:pt idx="46">
                  <c:v>97</c:v>
                </c:pt>
                <c:pt idx="47">
                  <c:v>86</c:v>
                </c:pt>
                <c:pt idx="48">
                  <c:v>79</c:v>
                </c:pt>
                <c:pt idx="49">
                  <c:v>73</c:v>
                </c:pt>
                <c:pt idx="50">
                  <c:v>46</c:v>
                </c:pt>
                <c:pt idx="51">
                  <c:v>42</c:v>
                </c:pt>
                <c:pt idx="52">
                  <c:v>31</c:v>
                </c:pt>
                <c:pt idx="53">
                  <c:v>29</c:v>
                </c:pt>
                <c:pt idx="54">
                  <c:v>16</c:v>
                </c:pt>
                <c:pt idx="55">
                  <c:v>21</c:v>
                </c:pt>
                <c:pt idx="56">
                  <c:v>16</c:v>
                </c:pt>
                <c:pt idx="57">
                  <c:v>9</c:v>
                </c:pt>
                <c:pt idx="58">
                  <c:v>3</c:v>
                </c:pt>
                <c:pt idx="59">
                  <c:v>5</c:v>
                </c:pt>
                <c:pt idx="60">
                  <c:v>1</c:v>
                </c:pt>
                <c:pt idx="61">
                  <c:v>4</c:v>
                </c:pt>
                <c:pt idx="62">
                  <c:v>5</c:v>
                </c:pt>
                <c:pt idx="63">
                  <c:v>2</c:v>
                </c:pt>
                <c:pt idx="64">
                  <c:v>2</c:v>
                </c:pt>
                <c:pt idx="65">
                  <c:v>2</c:v>
                </c:pt>
                <c:pt idx="66">
                  <c:v>0</c:v>
                </c:pt>
                <c:pt idx="67">
                  <c:v>0</c:v>
                </c:pt>
                <c:pt idx="68">
                  <c:v>1</c:v>
                </c:pt>
                <c:pt idx="69">
                  <c:v>0</c:v>
                </c:pt>
                <c:pt idx="70">
                  <c:v>1</c:v>
                </c:pt>
              </c:numCache>
            </c:numRef>
          </c:val>
          <c:extLst>
            <c:ext xmlns:c16="http://schemas.microsoft.com/office/drawing/2014/chart" uri="{C3380CC4-5D6E-409C-BE32-E72D297353CC}">
              <c16:uniqueId val="{00000000-1C2A-4D70-A589-DB2F51CAA666}"/>
            </c:ext>
          </c:extLst>
        </c:ser>
        <c:dLbls>
          <c:showLegendKey val="0"/>
          <c:showVal val="0"/>
          <c:showCatName val="0"/>
          <c:showSerName val="0"/>
          <c:showPercent val="0"/>
          <c:showBubbleSize val="0"/>
        </c:dLbls>
        <c:gapWidth val="219"/>
        <c:overlap val="-27"/>
        <c:axId val="768476496"/>
        <c:axId val="768480464"/>
      </c:barChart>
      <c:catAx>
        <c:axId val="768476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480464"/>
        <c:crosses val="autoZero"/>
        <c:auto val="1"/>
        <c:lblAlgn val="ctr"/>
        <c:lblOffset val="100"/>
        <c:noMultiLvlLbl val="0"/>
      </c:catAx>
      <c:valAx>
        <c:axId val="768480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476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2-Emirates NBD PJSC 2014</a:t>
            </a:r>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Sheet15!$A$2:$A$72</c:f>
              <c:strCache>
                <c:ptCount val="71"/>
                <c:pt idx="0">
                  <c:v>-0.35%</c:v>
                </c:pt>
                <c:pt idx="1">
                  <c:v>-0.34%</c:v>
                </c:pt>
                <c:pt idx="2">
                  <c:v>-0.33%</c:v>
                </c:pt>
                <c:pt idx="3">
                  <c:v>-0.32%</c:v>
                </c:pt>
                <c:pt idx="4">
                  <c:v>-0.31%</c:v>
                </c:pt>
                <c:pt idx="5">
                  <c:v>-0.30%</c:v>
                </c:pt>
                <c:pt idx="6">
                  <c:v>-0.29%</c:v>
                </c:pt>
                <c:pt idx="7">
                  <c:v>-0.28%</c:v>
                </c:pt>
                <c:pt idx="8">
                  <c:v>-0.27%</c:v>
                </c:pt>
                <c:pt idx="9">
                  <c:v>-0.26%</c:v>
                </c:pt>
                <c:pt idx="10">
                  <c:v>-0.25%</c:v>
                </c:pt>
                <c:pt idx="11">
                  <c:v>-0.24%</c:v>
                </c:pt>
                <c:pt idx="12">
                  <c:v>-0.23%</c:v>
                </c:pt>
                <c:pt idx="13">
                  <c:v>-0.22%</c:v>
                </c:pt>
                <c:pt idx="14">
                  <c:v>-0.21%</c:v>
                </c:pt>
                <c:pt idx="15">
                  <c:v>-0.20%</c:v>
                </c:pt>
                <c:pt idx="16">
                  <c:v>-0.19%</c:v>
                </c:pt>
                <c:pt idx="17">
                  <c:v>-0.18%</c:v>
                </c:pt>
                <c:pt idx="18">
                  <c:v>-0.17%</c:v>
                </c:pt>
                <c:pt idx="19">
                  <c:v>-0.16%</c:v>
                </c:pt>
                <c:pt idx="20">
                  <c:v>-0.15%</c:v>
                </c:pt>
                <c:pt idx="21">
                  <c:v>-0.14%</c:v>
                </c:pt>
                <c:pt idx="22">
                  <c:v>-0.13%</c:v>
                </c:pt>
                <c:pt idx="23">
                  <c:v>-0.12%</c:v>
                </c:pt>
                <c:pt idx="24">
                  <c:v>-0.11%</c:v>
                </c:pt>
                <c:pt idx="25">
                  <c:v>-0.10%</c:v>
                </c:pt>
                <c:pt idx="26">
                  <c:v>-0.09%</c:v>
                </c:pt>
                <c:pt idx="27">
                  <c:v>-0.08%</c:v>
                </c:pt>
                <c:pt idx="28">
                  <c:v>-0.07%</c:v>
                </c:pt>
                <c:pt idx="29">
                  <c:v>-0.06%</c:v>
                </c:pt>
                <c:pt idx="30">
                  <c:v>-0.05%</c:v>
                </c:pt>
                <c:pt idx="31">
                  <c:v>-0.04%</c:v>
                </c:pt>
                <c:pt idx="32">
                  <c:v>-0.03%</c:v>
                </c:pt>
                <c:pt idx="33">
                  <c:v>-0.02%</c:v>
                </c:pt>
                <c:pt idx="34">
                  <c:v>-0.01%</c:v>
                </c:pt>
                <c:pt idx="35">
                  <c:v>0.00%</c:v>
                </c:pt>
                <c:pt idx="36">
                  <c:v>0.01%</c:v>
                </c:pt>
                <c:pt idx="37">
                  <c:v>0.02%</c:v>
                </c:pt>
                <c:pt idx="38">
                  <c:v>0.03%</c:v>
                </c:pt>
                <c:pt idx="39">
                  <c:v>0.04%</c:v>
                </c:pt>
                <c:pt idx="40">
                  <c:v>0.05%</c:v>
                </c:pt>
                <c:pt idx="41">
                  <c:v>0.06%</c:v>
                </c:pt>
                <c:pt idx="42">
                  <c:v>0.07%</c:v>
                </c:pt>
                <c:pt idx="43">
                  <c:v>0.08%</c:v>
                </c:pt>
                <c:pt idx="44">
                  <c:v>0.09%</c:v>
                </c:pt>
                <c:pt idx="45">
                  <c:v>0.10%</c:v>
                </c:pt>
                <c:pt idx="46">
                  <c:v>0.11%</c:v>
                </c:pt>
                <c:pt idx="47">
                  <c:v>0.12%</c:v>
                </c:pt>
                <c:pt idx="48">
                  <c:v>0.13%</c:v>
                </c:pt>
                <c:pt idx="49">
                  <c:v>0.14%</c:v>
                </c:pt>
                <c:pt idx="50">
                  <c:v>0.15%</c:v>
                </c:pt>
                <c:pt idx="51">
                  <c:v>0.16%</c:v>
                </c:pt>
                <c:pt idx="52">
                  <c:v>0.17%</c:v>
                </c:pt>
                <c:pt idx="53">
                  <c:v>0.18%</c:v>
                </c:pt>
                <c:pt idx="54">
                  <c:v>0.19%</c:v>
                </c:pt>
                <c:pt idx="55">
                  <c:v>0.20%</c:v>
                </c:pt>
                <c:pt idx="56">
                  <c:v>0.21%</c:v>
                </c:pt>
                <c:pt idx="57">
                  <c:v>0.22%</c:v>
                </c:pt>
                <c:pt idx="58">
                  <c:v>0.23%</c:v>
                </c:pt>
                <c:pt idx="59">
                  <c:v>0.24%</c:v>
                </c:pt>
                <c:pt idx="60">
                  <c:v>0.25%</c:v>
                </c:pt>
                <c:pt idx="61">
                  <c:v>0.26%</c:v>
                </c:pt>
                <c:pt idx="62">
                  <c:v>0.27%</c:v>
                </c:pt>
                <c:pt idx="63">
                  <c:v>0.28%</c:v>
                </c:pt>
                <c:pt idx="64">
                  <c:v>0.29%</c:v>
                </c:pt>
                <c:pt idx="65">
                  <c:v>0.30%</c:v>
                </c:pt>
                <c:pt idx="66">
                  <c:v>0.31%</c:v>
                </c:pt>
                <c:pt idx="67">
                  <c:v>0.32%</c:v>
                </c:pt>
                <c:pt idx="68">
                  <c:v>0.33%</c:v>
                </c:pt>
                <c:pt idx="69">
                  <c:v>0.34%</c:v>
                </c:pt>
                <c:pt idx="70">
                  <c:v>More</c:v>
                </c:pt>
              </c:strCache>
            </c:strRef>
          </c:cat>
          <c:val>
            <c:numRef>
              <c:f>Sheet15!$B$2:$B$72</c:f>
              <c:numCache>
                <c:formatCode>General</c:formatCode>
                <c:ptCount val="71"/>
                <c:pt idx="0">
                  <c:v>1</c:v>
                </c:pt>
                <c:pt idx="1">
                  <c:v>0</c:v>
                </c:pt>
                <c:pt idx="2">
                  <c:v>1</c:v>
                </c:pt>
                <c:pt idx="3">
                  <c:v>0</c:v>
                </c:pt>
                <c:pt idx="4">
                  <c:v>3</c:v>
                </c:pt>
                <c:pt idx="5">
                  <c:v>3</c:v>
                </c:pt>
                <c:pt idx="6">
                  <c:v>4</c:v>
                </c:pt>
                <c:pt idx="7">
                  <c:v>9</c:v>
                </c:pt>
                <c:pt idx="8">
                  <c:v>4</c:v>
                </c:pt>
                <c:pt idx="9">
                  <c:v>7</c:v>
                </c:pt>
                <c:pt idx="10">
                  <c:v>7</c:v>
                </c:pt>
                <c:pt idx="11">
                  <c:v>16</c:v>
                </c:pt>
                <c:pt idx="12">
                  <c:v>10</c:v>
                </c:pt>
                <c:pt idx="13">
                  <c:v>16</c:v>
                </c:pt>
                <c:pt idx="14">
                  <c:v>22</c:v>
                </c:pt>
                <c:pt idx="15">
                  <c:v>30</c:v>
                </c:pt>
                <c:pt idx="16">
                  <c:v>36</c:v>
                </c:pt>
                <c:pt idx="17">
                  <c:v>35</c:v>
                </c:pt>
                <c:pt idx="18">
                  <c:v>42</c:v>
                </c:pt>
                <c:pt idx="19">
                  <c:v>54</c:v>
                </c:pt>
                <c:pt idx="20">
                  <c:v>63</c:v>
                </c:pt>
                <c:pt idx="21">
                  <c:v>64</c:v>
                </c:pt>
                <c:pt idx="22">
                  <c:v>89</c:v>
                </c:pt>
                <c:pt idx="23">
                  <c:v>107</c:v>
                </c:pt>
                <c:pt idx="24">
                  <c:v>115</c:v>
                </c:pt>
                <c:pt idx="25">
                  <c:v>123</c:v>
                </c:pt>
                <c:pt idx="26">
                  <c:v>134</c:v>
                </c:pt>
                <c:pt idx="27">
                  <c:v>142</c:v>
                </c:pt>
                <c:pt idx="28">
                  <c:v>161</c:v>
                </c:pt>
                <c:pt idx="29">
                  <c:v>154</c:v>
                </c:pt>
                <c:pt idx="30">
                  <c:v>172</c:v>
                </c:pt>
                <c:pt idx="31">
                  <c:v>197</c:v>
                </c:pt>
                <c:pt idx="32">
                  <c:v>181</c:v>
                </c:pt>
                <c:pt idx="33">
                  <c:v>168</c:v>
                </c:pt>
                <c:pt idx="34">
                  <c:v>191</c:v>
                </c:pt>
                <c:pt idx="35">
                  <c:v>165</c:v>
                </c:pt>
                <c:pt idx="36">
                  <c:v>173</c:v>
                </c:pt>
                <c:pt idx="37">
                  <c:v>192</c:v>
                </c:pt>
                <c:pt idx="38">
                  <c:v>180</c:v>
                </c:pt>
                <c:pt idx="39">
                  <c:v>188</c:v>
                </c:pt>
                <c:pt idx="40">
                  <c:v>164</c:v>
                </c:pt>
                <c:pt idx="41">
                  <c:v>169</c:v>
                </c:pt>
                <c:pt idx="42">
                  <c:v>150</c:v>
                </c:pt>
                <c:pt idx="43">
                  <c:v>166</c:v>
                </c:pt>
                <c:pt idx="44">
                  <c:v>130</c:v>
                </c:pt>
                <c:pt idx="45">
                  <c:v>104</c:v>
                </c:pt>
                <c:pt idx="46">
                  <c:v>123</c:v>
                </c:pt>
                <c:pt idx="47">
                  <c:v>96</c:v>
                </c:pt>
                <c:pt idx="48">
                  <c:v>95</c:v>
                </c:pt>
                <c:pt idx="49">
                  <c:v>94</c:v>
                </c:pt>
                <c:pt idx="50">
                  <c:v>58</c:v>
                </c:pt>
                <c:pt idx="51">
                  <c:v>60</c:v>
                </c:pt>
                <c:pt idx="52">
                  <c:v>61</c:v>
                </c:pt>
                <c:pt idx="53">
                  <c:v>43</c:v>
                </c:pt>
                <c:pt idx="54">
                  <c:v>35</c:v>
                </c:pt>
                <c:pt idx="55">
                  <c:v>34</c:v>
                </c:pt>
                <c:pt idx="56">
                  <c:v>32</c:v>
                </c:pt>
                <c:pt idx="57">
                  <c:v>31</c:v>
                </c:pt>
                <c:pt idx="58">
                  <c:v>27</c:v>
                </c:pt>
                <c:pt idx="59">
                  <c:v>15</c:v>
                </c:pt>
                <c:pt idx="60">
                  <c:v>12</c:v>
                </c:pt>
                <c:pt idx="61">
                  <c:v>15</c:v>
                </c:pt>
                <c:pt idx="62">
                  <c:v>11</c:v>
                </c:pt>
                <c:pt idx="63">
                  <c:v>4</c:v>
                </c:pt>
                <c:pt idx="64">
                  <c:v>3</c:v>
                </c:pt>
                <c:pt idx="65">
                  <c:v>5</c:v>
                </c:pt>
                <c:pt idx="66">
                  <c:v>1</c:v>
                </c:pt>
                <c:pt idx="67">
                  <c:v>1</c:v>
                </c:pt>
                <c:pt idx="68">
                  <c:v>0</c:v>
                </c:pt>
                <c:pt idx="69">
                  <c:v>1</c:v>
                </c:pt>
                <c:pt idx="70">
                  <c:v>2</c:v>
                </c:pt>
              </c:numCache>
            </c:numRef>
          </c:val>
          <c:extLst>
            <c:ext xmlns:c16="http://schemas.microsoft.com/office/drawing/2014/chart" uri="{C3380CC4-5D6E-409C-BE32-E72D297353CC}">
              <c16:uniqueId val="{00000000-50AF-411C-8455-AA88C37D622F}"/>
            </c:ext>
          </c:extLst>
        </c:ser>
        <c:dLbls>
          <c:showLegendKey val="0"/>
          <c:showVal val="0"/>
          <c:showCatName val="0"/>
          <c:showSerName val="0"/>
          <c:showPercent val="0"/>
          <c:showBubbleSize val="0"/>
        </c:dLbls>
        <c:gapWidth val="219"/>
        <c:overlap val="-27"/>
        <c:axId val="798179216"/>
        <c:axId val="798168016"/>
      </c:barChart>
      <c:catAx>
        <c:axId val="7981792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Results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168016"/>
        <c:crosses val="autoZero"/>
        <c:auto val="1"/>
        <c:lblAlgn val="ctr"/>
        <c:lblOffset val="100"/>
        <c:noMultiLvlLbl val="0"/>
      </c:catAx>
      <c:valAx>
        <c:axId val="798168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179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2-Emirates</a:t>
            </a:r>
            <a:r>
              <a:rPr lang="en-GB" sz="1000" baseline="0"/>
              <a:t> NBD PJSC 2014</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Data!$AM$7:$AM$16</c:f>
              <c:numCache>
                <c:formatCode>#,##0.000</c:formatCode>
                <c:ptCount val="10"/>
                <c:pt idx="0">
                  <c:v>3.4709866018846699E-4</c:v>
                </c:pt>
                <c:pt idx="1">
                  <c:v>2.7720209115299601E-4</c:v>
                </c:pt>
                <c:pt idx="2">
                  <c:v>5.6661676879094197E-4</c:v>
                </c:pt>
                <c:pt idx="3">
                  <c:v>9.0596326165234196E-5</c:v>
                </c:pt>
                <c:pt idx="4">
                  <c:v>8.7022784493959095E-4</c:v>
                </c:pt>
                <c:pt idx="5">
                  <c:v>7.2430300756791801E-4</c:v>
                </c:pt>
                <c:pt idx="6">
                  <c:v>-4.0088749513953901E-4</c:v>
                </c:pt>
                <c:pt idx="7">
                  <c:v>1.19686798409694E-4</c:v>
                </c:pt>
                <c:pt idx="8">
                  <c:v>-6.2138786130895305E-5</c:v>
                </c:pt>
                <c:pt idx="9">
                  <c:v>-9.0811756224324898E-4</c:v>
                </c:pt>
              </c:numCache>
            </c:numRef>
          </c:val>
          <c:smooth val="0"/>
          <c:extLst>
            <c:ext xmlns:c16="http://schemas.microsoft.com/office/drawing/2014/chart" uri="{C3380CC4-5D6E-409C-BE32-E72D297353CC}">
              <c16:uniqueId val="{00000000-9F9F-40F1-B8EB-D7E4F47B1F27}"/>
            </c:ext>
          </c:extLst>
        </c:ser>
        <c:dLbls>
          <c:showLegendKey val="0"/>
          <c:showVal val="0"/>
          <c:showCatName val="0"/>
          <c:showSerName val="0"/>
          <c:showPercent val="0"/>
          <c:showBubbleSize val="0"/>
        </c:dLbls>
        <c:marker val="1"/>
        <c:smooth val="0"/>
        <c:axId val="798139920"/>
        <c:axId val="798132672"/>
      </c:lineChart>
      <c:catAx>
        <c:axId val="79813992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132672"/>
        <c:crosses val="autoZero"/>
        <c:auto val="1"/>
        <c:lblAlgn val="ctr"/>
        <c:lblOffset val="100"/>
        <c:noMultiLvlLbl val="0"/>
      </c:catAx>
      <c:valAx>
        <c:axId val="798132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13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Emirates</a:t>
            </a:r>
            <a:r>
              <a:rPr lang="en-GB" sz="1000" baseline="0"/>
              <a:t> NBD PJSC 2013</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Data!$AI$7:$AI$16</c:f>
              <c:numCache>
                <c:formatCode>0.000%</c:formatCode>
                <c:ptCount val="10"/>
                <c:pt idx="0">
                  <c:v>-8.7547629127228399E-4</c:v>
                </c:pt>
                <c:pt idx="1">
                  <c:v>5.3159494148156299E-4</c:v>
                </c:pt>
                <c:pt idx="2">
                  <c:v>6.6685859104750802E-4</c:v>
                </c:pt>
                <c:pt idx="3">
                  <c:v>-3.6747431531728603E-5</c:v>
                </c:pt>
                <c:pt idx="4">
                  <c:v>1.4081085923992401E-4</c:v>
                </c:pt>
                <c:pt idx="5">
                  <c:v>-7.1698971818630794E-5</c:v>
                </c:pt>
                <c:pt idx="6">
                  <c:v>1.25777143521526E-4</c:v>
                </c:pt>
                <c:pt idx="7">
                  <c:v>-1.21516374912505E-3</c:v>
                </c:pt>
                <c:pt idx="8">
                  <c:v>8.4767499247279999E-4</c:v>
                </c:pt>
                <c:pt idx="9">
                  <c:v>-9.1399211999136502E-4</c:v>
                </c:pt>
              </c:numCache>
            </c:numRef>
          </c:val>
          <c:smooth val="0"/>
          <c:extLst>
            <c:ext xmlns:c16="http://schemas.microsoft.com/office/drawing/2014/chart" uri="{C3380CC4-5D6E-409C-BE32-E72D297353CC}">
              <c16:uniqueId val="{00000000-AB75-4AE7-9C68-B832A7B2175E}"/>
            </c:ext>
          </c:extLst>
        </c:ser>
        <c:dLbls>
          <c:showLegendKey val="0"/>
          <c:showVal val="0"/>
          <c:showCatName val="0"/>
          <c:showSerName val="0"/>
          <c:showPercent val="0"/>
          <c:showBubbleSize val="0"/>
        </c:dLbls>
        <c:marker val="1"/>
        <c:smooth val="0"/>
        <c:axId val="798062192"/>
        <c:axId val="798063824"/>
      </c:lineChart>
      <c:catAx>
        <c:axId val="79806219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063824"/>
        <c:crosses val="autoZero"/>
        <c:auto val="1"/>
        <c:lblAlgn val="ctr"/>
        <c:lblOffset val="100"/>
        <c:noMultiLvlLbl val="0"/>
      </c:catAx>
      <c:valAx>
        <c:axId val="798063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062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Emirates NBD PJSC 2013</a:t>
            </a:r>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Sheet14!$A$2:$A$72</c:f>
              <c:strCache>
                <c:ptCount val="71"/>
                <c:pt idx="0">
                  <c:v>-0.35%</c:v>
                </c:pt>
                <c:pt idx="1">
                  <c:v>-0.34%</c:v>
                </c:pt>
                <c:pt idx="2">
                  <c:v>-0.33%</c:v>
                </c:pt>
                <c:pt idx="3">
                  <c:v>-0.32%</c:v>
                </c:pt>
                <c:pt idx="4">
                  <c:v>-0.31%</c:v>
                </c:pt>
                <c:pt idx="5">
                  <c:v>-0.30%</c:v>
                </c:pt>
                <c:pt idx="6">
                  <c:v>-0.29%</c:v>
                </c:pt>
                <c:pt idx="7">
                  <c:v>-0.28%</c:v>
                </c:pt>
                <c:pt idx="8">
                  <c:v>-0.27%</c:v>
                </c:pt>
                <c:pt idx="9">
                  <c:v>-0.26%</c:v>
                </c:pt>
                <c:pt idx="10">
                  <c:v>-0.25%</c:v>
                </c:pt>
                <c:pt idx="11">
                  <c:v>-0.24%</c:v>
                </c:pt>
                <c:pt idx="12">
                  <c:v>-0.23%</c:v>
                </c:pt>
                <c:pt idx="13">
                  <c:v>-0.22%</c:v>
                </c:pt>
                <c:pt idx="14">
                  <c:v>-0.21%</c:v>
                </c:pt>
                <c:pt idx="15">
                  <c:v>-0.20%</c:v>
                </c:pt>
                <c:pt idx="16">
                  <c:v>-0.19%</c:v>
                </c:pt>
                <c:pt idx="17">
                  <c:v>-0.18%</c:v>
                </c:pt>
                <c:pt idx="18">
                  <c:v>-0.17%</c:v>
                </c:pt>
                <c:pt idx="19">
                  <c:v>-0.16%</c:v>
                </c:pt>
                <c:pt idx="20">
                  <c:v>-0.15%</c:v>
                </c:pt>
                <c:pt idx="21">
                  <c:v>-0.14%</c:v>
                </c:pt>
                <c:pt idx="22">
                  <c:v>-0.13%</c:v>
                </c:pt>
                <c:pt idx="23">
                  <c:v>-0.12%</c:v>
                </c:pt>
                <c:pt idx="24">
                  <c:v>-0.11%</c:v>
                </c:pt>
                <c:pt idx="25">
                  <c:v>-0.10%</c:v>
                </c:pt>
                <c:pt idx="26">
                  <c:v>-0.09%</c:v>
                </c:pt>
                <c:pt idx="27">
                  <c:v>-0.08%</c:v>
                </c:pt>
                <c:pt idx="28">
                  <c:v>-0.07%</c:v>
                </c:pt>
                <c:pt idx="29">
                  <c:v>-0.06%</c:v>
                </c:pt>
                <c:pt idx="30">
                  <c:v>-0.05%</c:v>
                </c:pt>
                <c:pt idx="31">
                  <c:v>-0.04%</c:v>
                </c:pt>
                <c:pt idx="32">
                  <c:v>-0.03%</c:v>
                </c:pt>
                <c:pt idx="33">
                  <c:v>-0.02%</c:v>
                </c:pt>
                <c:pt idx="34">
                  <c:v>-0.01%</c:v>
                </c:pt>
                <c:pt idx="35">
                  <c:v>0.00%</c:v>
                </c:pt>
                <c:pt idx="36">
                  <c:v>0.01%</c:v>
                </c:pt>
                <c:pt idx="37">
                  <c:v>0.02%</c:v>
                </c:pt>
                <c:pt idx="38">
                  <c:v>0.03%</c:v>
                </c:pt>
                <c:pt idx="39">
                  <c:v>0.04%</c:v>
                </c:pt>
                <c:pt idx="40">
                  <c:v>0.05%</c:v>
                </c:pt>
                <c:pt idx="41">
                  <c:v>0.06%</c:v>
                </c:pt>
                <c:pt idx="42">
                  <c:v>0.07%</c:v>
                </c:pt>
                <c:pt idx="43">
                  <c:v>0.08%</c:v>
                </c:pt>
                <c:pt idx="44">
                  <c:v>0.09%</c:v>
                </c:pt>
                <c:pt idx="45">
                  <c:v>0.10%</c:v>
                </c:pt>
                <c:pt idx="46">
                  <c:v>0.11%</c:v>
                </c:pt>
                <c:pt idx="47">
                  <c:v>0.12%</c:v>
                </c:pt>
                <c:pt idx="48">
                  <c:v>0.13%</c:v>
                </c:pt>
                <c:pt idx="49">
                  <c:v>0.14%</c:v>
                </c:pt>
                <c:pt idx="50">
                  <c:v>0.15%</c:v>
                </c:pt>
                <c:pt idx="51">
                  <c:v>0.16%</c:v>
                </c:pt>
                <c:pt idx="52">
                  <c:v>0.17%</c:v>
                </c:pt>
                <c:pt idx="53">
                  <c:v>0.18%</c:v>
                </c:pt>
                <c:pt idx="54">
                  <c:v>0.19%</c:v>
                </c:pt>
                <c:pt idx="55">
                  <c:v>0.20%</c:v>
                </c:pt>
                <c:pt idx="56">
                  <c:v>0.21%</c:v>
                </c:pt>
                <c:pt idx="57">
                  <c:v>0.22%</c:v>
                </c:pt>
                <c:pt idx="58">
                  <c:v>0.23%</c:v>
                </c:pt>
                <c:pt idx="59">
                  <c:v>0.24%</c:v>
                </c:pt>
                <c:pt idx="60">
                  <c:v>0.25%</c:v>
                </c:pt>
                <c:pt idx="61">
                  <c:v>0.26%</c:v>
                </c:pt>
                <c:pt idx="62">
                  <c:v>0.27%</c:v>
                </c:pt>
                <c:pt idx="63">
                  <c:v>0.28%</c:v>
                </c:pt>
                <c:pt idx="64">
                  <c:v>0.29%</c:v>
                </c:pt>
                <c:pt idx="65">
                  <c:v>0.30%</c:v>
                </c:pt>
                <c:pt idx="66">
                  <c:v>0.31%</c:v>
                </c:pt>
                <c:pt idx="67">
                  <c:v>0.32%</c:v>
                </c:pt>
                <c:pt idx="68">
                  <c:v>0.33%</c:v>
                </c:pt>
                <c:pt idx="69">
                  <c:v>0.34%</c:v>
                </c:pt>
                <c:pt idx="70">
                  <c:v>More</c:v>
                </c:pt>
              </c:strCache>
            </c:strRef>
          </c:cat>
          <c:val>
            <c:numRef>
              <c:f>Sheet14!$B$2:$B$72</c:f>
              <c:numCache>
                <c:formatCode>General</c:formatCode>
                <c:ptCount val="71"/>
                <c:pt idx="0">
                  <c:v>1</c:v>
                </c:pt>
                <c:pt idx="1">
                  <c:v>0</c:v>
                </c:pt>
                <c:pt idx="2">
                  <c:v>1</c:v>
                </c:pt>
                <c:pt idx="3">
                  <c:v>0</c:v>
                </c:pt>
                <c:pt idx="4">
                  <c:v>3</c:v>
                </c:pt>
                <c:pt idx="5">
                  <c:v>3</c:v>
                </c:pt>
                <c:pt idx="6">
                  <c:v>4</c:v>
                </c:pt>
                <c:pt idx="7">
                  <c:v>9</c:v>
                </c:pt>
                <c:pt idx="8">
                  <c:v>4</c:v>
                </c:pt>
                <c:pt idx="9">
                  <c:v>7</c:v>
                </c:pt>
                <c:pt idx="10">
                  <c:v>7</c:v>
                </c:pt>
                <c:pt idx="11">
                  <c:v>16</c:v>
                </c:pt>
                <c:pt idx="12">
                  <c:v>10</c:v>
                </c:pt>
                <c:pt idx="13">
                  <c:v>16</c:v>
                </c:pt>
                <c:pt idx="14">
                  <c:v>22</c:v>
                </c:pt>
                <c:pt idx="15">
                  <c:v>30</c:v>
                </c:pt>
                <c:pt idx="16">
                  <c:v>36</c:v>
                </c:pt>
                <c:pt idx="17">
                  <c:v>35</c:v>
                </c:pt>
                <c:pt idx="18">
                  <c:v>42</c:v>
                </c:pt>
                <c:pt idx="19">
                  <c:v>54</c:v>
                </c:pt>
                <c:pt idx="20">
                  <c:v>63</c:v>
                </c:pt>
                <c:pt idx="21">
                  <c:v>64</c:v>
                </c:pt>
                <c:pt idx="22">
                  <c:v>89</c:v>
                </c:pt>
                <c:pt idx="23">
                  <c:v>107</c:v>
                </c:pt>
                <c:pt idx="24">
                  <c:v>115</c:v>
                </c:pt>
                <c:pt idx="25">
                  <c:v>123</c:v>
                </c:pt>
                <c:pt idx="26">
                  <c:v>134</c:v>
                </c:pt>
                <c:pt idx="27">
                  <c:v>142</c:v>
                </c:pt>
                <c:pt idx="28">
                  <c:v>161</c:v>
                </c:pt>
                <c:pt idx="29">
                  <c:v>154</c:v>
                </c:pt>
                <c:pt idx="30">
                  <c:v>172</c:v>
                </c:pt>
                <c:pt idx="31">
                  <c:v>197</c:v>
                </c:pt>
                <c:pt idx="32">
                  <c:v>181</c:v>
                </c:pt>
                <c:pt idx="33">
                  <c:v>168</c:v>
                </c:pt>
                <c:pt idx="34">
                  <c:v>191</c:v>
                </c:pt>
                <c:pt idx="35">
                  <c:v>165</c:v>
                </c:pt>
                <c:pt idx="36">
                  <c:v>173</c:v>
                </c:pt>
                <c:pt idx="37">
                  <c:v>192</c:v>
                </c:pt>
                <c:pt idx="38">
                  <c:v>180</c:v>
                </c:pt>
                <c:pt idx="39">
                  <c:v>188</c:v>
                </c:pt>
                <c:pt idx="40">
                  <c:v>164</c:v>
                </c:pt>
                <c:pt idx="41">
                  <c:v>169</c:v>
                </c:pt>
                <c:pt idx="42">
                  <c:v>150</c:v>
                </c:pt>
                <c:pt idx="43">
                  <c:v>166</c:v>
                </c:pt>
                <c:pt idx="44">
                  <c:v>130</c:v>
                </c:pt>
                <c:pt idx="45">
                  <c:v>104</c:v>
                </c:pt>
                <c:pt idx="46">
                  <c:v>123</c:v>
                </c:pt>
                <c:pt idx="47">
                  <c:v>96</c:v>
                </c:pt>
                <c:pt idx="48">
                  <c:v>95</c:v>
                </c:pt>
                <c:pt idx="49">
                  <c:v>94</c:v>
                </c:pt>
                <c:pt idx="50">
                  <c:v>58</c:v>
                </c:pt>
                <c:pt idx="51">
                  <c:v>60</c:v>
                </c:pt>
                <c:pt idx="52">
                  <c:v>61</c:v>
                </c:pt>
                <c:pt idx="53">
                  <c:v>43</c:v>
                </c:pt>
                <c:pt idx="54">
                  <c:v>35</c:v>
                </c:pt>
                <c:pt idx="55">
                  <c:v>34</c:v>
                </c:pt>
                <c:pt idx="56">
                  <c:v>32</c:v>
                </c:pt>
                <c:pt idx="57">
                  <c:v>31</c:v>
                </c:pt>
                <c:pt idx="58">
                  <c:v>27</c:v>
                </c:pt>
                <c:pt idx="59">
                  <c:v>15</c:v>
                </c:pt>
                <c:pt idx="60">
                  <c:v>12</c:v>
                </c:pt>
                <c:pt idx="61">
                  <c:v>15</c:v>
                </c:pt>
                <c:pt idx="62">
                  <c:v>11</c:v>
                </c:pt>
                <c:pt idx="63">
                  <c:v>4</c:v>
                </c:pt>
                <c:pt idx="64">
                  <c:v>3</c:v>
                </c:pt>
                <c:pt idx="65">
                  <c:v>5</c:v>
                </c:pt>
                <c:pt idx="66">
                  <c:v>1</c:v>
                </c:pt>
                <c:pt idx="67">
                  <c:v>1</c:v>
                </c:pt>
                <c:pt idx="68">
                  <c:v>0</c:v>
                </c:pt>
                <c:pt idx="69">
                  <c:v>1</c:v>
                </c:pt>
                <c:pt idx="70">
                  <c:v>2</c:v>
                </c:pt>
              </c:numCache>
            </c:numRef>
          </c:val>
          <c:extLst>
            <c:ext xmlns:c16="http://schemas.microsoft.com/office/drawing/2014/chart" uri="{C3380CC4-5D6E-409C-BE32-E72D297353CC}">
              <c16:uniqueId val="{00000000-CE7E-440A-8AD0-0B74D8054B62}"/>
            </c:ext>
          </c:extLst>
        </c:ser>
        <c:dLbls>
          <c:showLegendKey val="0"/>
          <c:showVal val="0"/>
          <c:showCatName val="0"/>
          <c:showSerName val="0"/>
          <c:showPercent val="0"/>
          <c:showBubbleSize val="0"/>
        </c:dLbls>
        <c:gapWidth val="219"/>
        <c:overlap val="-27"/>
        <c:axId val="798030112"/>
        <c:axId val="798020512"/>
      </c:barChart>
      <c:catAx>
        <c:axId val="798030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Results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020512"/>
        <c:crosses val="autoZero"/>
        <c:auto val="1"/>
        <c:lblAlgn val="ctr"/>
        <c:lblOffset val="100"/>
        <c:noMultiLvlLbl val="0"/>
      </c:catAx>
      <c:valAx>
        <c:axId val="798020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030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ICD Funding Ltd</a:t>
            </a:r>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Sheet17!$A$2:$A$72</c:f>
              <c:strCache>
                <c:ptCount val="71"/>
                <c:pt idx="0">
                  <c:v>-0.35%</c:v>
                </c:pt>
                <c:pt idx="1">
                  <c:v>-0.34%</c:v>
                </c:pt>
                <c:pt idx="2">
                  <c:v>-0.33%</c:v>
                </c:pt>
                <c:pt idx="3">
                  <c:v>-0.32%</c:v>
                </c:pt>
                <c:pt idx="4">
                  <c:v>-0.31%</c:v>
                </c:pt>
                <c:pt idx="5">
                  <c:v>-0.30%</c:v>
                </c:pt>
                <c:pt idx="6">
                  <c:v>-0.29%</c:v>
                </c:pt>
                <c:pt idx="7">
                  <c:v>-0.28%</c:v>
                </c:pt>
                <c:pt idx="8">
                  <c:v>-0.27%</c:v>
                </c:pt>
                <c:pt idx="9">
                  <c:v>-0.26%</c:v>
                </c:pt>
                <c:pt idx="10">
                  <c:v>-0.25%</c:v>
                </c:pt>
                <c:pt idx="11">
                  <c:v>-0.24%</c:v>
                </c:pt>
                <c:pt idx="12">
                  <c:v>-0.23%</c:v>
                </c:pt>
                <c:pt idx="13">
                  <c:v>-0.22%</c:v>
                </c:pt>
                <c:pt idx="14">
                  <c:v>-0.21%</c:v>
                </c:pt>
                <c:pt idx="15">
                  <c:v>-0.20%</c:v>
                </c:pt>
                <c:pt idx="16">
                  <c:v>-0.19%</c:v>
                </c:pt>
                <c:pt idx="17">
                  <c:v>-0.18%</c:v>
                </c:pt>
                <c:pt idx="18">
                  <c:v>-0.17%</c:v>
                </c:pt>
                <c:pt idx="19">
                  <c:v>-0.16%</c:v>
                </c:pt>
                <c:pt idx="20">
                  <c:v>-0.15%</c:v>
                </c:pt>
                <c:pt idx="21">
                  <c:v>-0.14%</c:v>
                </c:pt>
                <c:pt idx="22">
                  <c:v>-0.13%</c:v>
                </c:pt>
                <c:pt idx="23">
                  <c:v>-0.12%</c:v>
                </c:pt>
                <c:pt idx="24">
                  <c:v>-0.11%</c:v>
                </c:pt>
                <c:pt idx="25">
                  <c:v>-0.10%</c:v>
                </c:pt>
                <c:pt idx="26">
                  <c:v>-0.09%</c:v>
                </c:pt>
                <c:pt idx="27">
                  <c:v>-0.08%</c:v>
                </c:pt>
                <c:pt idx="28">
                  <c:v>-0.07%</c:v>
                </c:pt>
                <c:pt idx="29">
                  <c:v>-0.06%</c:v>
                </c:pt>
                <c:pt idx="30">
                  <c:v>-0.05%</c:v>
                </c:pt>
                <c:pt idx="31">
                  <c:v>-0.04%</c:v>
                </c:pt>
                <c:pt idx="32">
                  <c:v>-0.03%</c:v>
                </c:pt>
                <c:pt idx="33">
                  <c:v>-0.02%</c:v>
                </c:pt>
                <c:pt idx="34">
                  <c:v>-0.01%</c:v>
                </c:pt>
                <c:pt idx="35">
                  <c:v>0.00%</c:v>
                </c:pt>
                <c:pt idx="36">
                  <c:v>0.01%</c:v>
                </c:pt>
                <c:pt idx="37">
                  <c:v>0.02%</c:v>
                </c:pt>
                <c:pt idx="38">
                  <c:v>0.03%</c:v>
                </c:pt>
                <c:pt idx="39">
                  <c:v>0.04%</c:v>
                </c:pt>
                <c:pt idx="40">
                  <c:v>0.05%</c:v>
                </c:pt>
                <c:pt idx="41">
                  <c:v>0.06%</c:v>
                </c:pt>
                <c:pt idx="42">
                  <c:v>0.07%</c:v>
                </c:pt>
                <c:pt idx="43">
                  <c:v>0.08%</c:v>
                </c:pt>
                <c:pt idx="44">
                  <c:v>0.09%</c:v>
                </c:pt>
                <c:pt idx="45">
                  <c:v>0.10%</c:v>
                </c:pt>
                <c:pt idx="46">
                  <c:v>0.11%</c:v>
                </c:pt>
                <c:pt idx="47">
                  <c:v>0.12%</c:v>
                </c:pt>
                <c:pt idx="48">
                  <c:v>0.13%</c:v>
                </c:pt>
                <c:pt idx="49">
                  <c:v>0.14%</c:v>
                </c:pt>
                <c:pt idx="50">
                  <c:v>0.15%</c:v>
                </c:pt>
                <c:pt idx="51">
                  <c:v>0.16%</c:v>
                </c:pt>
                <c:pt idx="52">
                  <c:v>0.17%</c:v>
                </c:pt>
                <c:pt idx="53">
                  <c:v>0.18%</c:v>
                </c:pt>
                <c:pt idx="54">
                  <c:v>0.19%</c:v>
                </c:pt>
                <c:pt idx="55">
                  <c:v>0.20%</c:v>
                </c:pt>
                <c:pt idx="56">
                  <c:v>0.21%</c:v>
                </c:pt>
                <c:pt idx="57">
                  <c:v>0.22%</c:v>
                </c:pt>
                <c:pt idx="58">
                  <c:v>0.23%</c:v>
                </c:pt>
                <c:pt idx="59">
                  <c:v>0.24%</c:v>
                </c:pt>
                <c:pt idx="60">
                  <c:v>0.25%</c:v>
                </c:pt>
                <c:pt idx="61">
                  <c:v>0.26%</c:v>
                </c:pt>
                <c:pt idx="62">
                  <c:v>0.27%</c:v>
                </c:pt>
                <c:pt idx="63">
                  <c:v>0.28%</c:v>
                </c:pt>
                <c:pt idx="64">
                  <c:v>0.29%</c:v>
                </c:pt>
                <c:pt idx="65">
                  <c:v>0.30%</c:v>
                </c:pt>
                <c:pt idx="66">
                  <c:v>0.31%</c:v>
                </c:pt>
                <c:pt idx="67">
                  <c:v>0.32%</c:v>
                </c:pt>
                <c:pt idx="68">
                  <c:v>0.33%</c:v>
                </c:pt>
                <c:pt idx="69">
                  <c:v>0.34%</c:v>
                </c:pt>
                <c:pt idx="70">
                  <c:v>More</c:v>
                </c:pt>
              </c:strCache>
            </c:strRef>
          </c:cat>
          <c:val>
            <c:numRef>
              <c:f>Sheet17!$B$2:$B$72</c:f>
              <c:numCache>
                <c:formatCode>General</c:formatCode>
                <c:ptCount val="71"/>
                <c:pt idx="0">
                  <c:v>1</c:v>
                </c:pt>
                <c:pt idx="1">
                  <c:v>0</c:v>
                </c:pt>
                <c:pt idx="2">
                  <c:v>1</c:v>
                </c:pt>
                <c:pt idx="3">
                  <c:v>0</c:v>
                </c:pt>
                <c:pt idx="4">
                  <c:v>3</c:v>
                </c:pt>
                <c:pt idx="5">
                  <c:v>3</c:v>
                </c:pt>
                <c:pt idx="6">
                  <c:v>4</c:v>
                </c:pt>
                <c:pt idx="7">
                  <c:v>9</c:v>
                </c:pt>
                <c:pt idx="8">
                  <c:v>4</c:v>
                </c:pt>
                <c:pt idx="9">
                  <c:v>7</c:v>
                </c:pt>
                <c:pt idx="10">
                  <c:v>7</c:v>
                </c:pt>
                <c:pt idx="11">
                  <c:v>16</c:v>
                </c:pt>
                <c:pt idx="12">
                  <c:v>10</c:v>
                </c:pt>
                <c:pt idx="13">
                  <c:v>16</c:v>
                </c:pt>
                <c:pt idx="14">
                  <c:v>22</c:v>
                </c:pt>
                <c:pt idx="15">
                  <c:v>30</c:v>
                </c:pt>
                <c:pt idx="16">
                  <c:v>36</c:v>
                </c:pt>
                <c:pt idx="17">
                  <c:v>35</c:v>
                </c:pt>
                <c:pt idx="18">
                  <c:v>42</c:v>
                </c:pt>
                <c:pt idx="19">
                  <c:v>54</c:v>
                </c:pt>
                <c:pt idx="20">
                  <c:v>63</c:v>
                </c:pt>
                <c:pt idx="21">
                  <c:v>64</c:v>
                </c:pt>
                <c:pt idx="22">
                  <c:v>89</c:v>
                </c:pt>
                <c:pt idx="23">
                  <c:v>107</c:v>
                </c:pt>
                <c:pt idx="24">
                  <c:v>115</c:v>
                </c:pt>
                <c:pt idx="25">
                  <c:v>123</c:v>
                </c:pt>
                <c:pt idx="26">
                  <c:v>134</c:v>
                </c:pt>
                <c:pt idx="27">
                  <c:v>142</c:v>
                </c:pt>
                <c:pt idx="28">
                  <c:v>161</c:v>
                </c:pt>
                <c:pt idx="29">
                  <c:v>154</c:v>
                </c:pt>
                <c:pt idx="30">
                  <c:v>172</c:v>
                </c:pt>
                <c:pt idx="31">
                  <c:v>197</c:v>
                </c:pt>
                <c:pt idx="32">
                  <c:v>181</c:v>
                </c:pt>
                <c:pt idx="33">
                  <c:v>168</c:v>
                </c:pt>
                <c:pt idx="34">
                  <c:v>191</c:v>
                </c:pt>
                <c:pt idx="35">
                  <c:v>165</c:v>
                </c:pt>
                <c:pt idx="36">
                  <c:v>173</c:v>
                </c:pt>
                <c:pt idx="37">
                  <c:v>192</c:v>
                </c:pt>
                <c:pt idx="38">
                  <c:v>180</c:v>
                </c:pt>
                <c:pt idx="39">
                  <c:v>188</c:v>
                </c:pt>
                <c:pt idx="40">
                  <c:v>164</c:v>
                </c:pt>
                <c:pt idx="41">
                  <c:v>169</c:v>
                </c:pt>
                <c:pt idx="42">
                  <c:v>150</c:v>
                </c:pt>
                <c:pt idx="43">
                  <c:v>166</c:v>
                </c:pt>
                <c:pt idx="44">
                  <c:v>130</c:v>
                </c:pt>
                <c:pt idx="45">
                  <c:v>104</c:v>
                </c:pt>
                <c:pt idx="46">
                  <c:v>123</c:v>
                </c:pt>
                <c:pt idx="47">
                  <c:v>96</c:v>
                </c:pt>
                <c:pt idx="48">
                  <c:v>95</c:v>
                </c:pt>
                <c:pt idx="49">
                  <c:v>94</c:v>
                </c:pt>
                <c:pt idx="50">
                  <c:v>58</c:v>
                </c:pt>
                <c:pt idx="51">
                  <c:v>60</c:v>
                </c:pt>
                <c:pt idx="52">
                  <c:v>61</c:v>
                </c:pt>
                <c:pt idx="53">
                  <c:v>43</c:v>
                </c:pt>
                <c:pt idx="54">
                  <c:v>35</c:v>
                </c:pt>
                <c:pt idx="55">
                  <c:v>34</c:v>
                </c:pt>
                <c:pt idx="56">
                  <c:v>32</c:v>
                </c:pt>
                <c:pt idx="57">
                  <c:v>31</c:v>
                </c:pt>
                <c:pt idx="58">
                  <c:v>27</c:v>
                </c:pt>
                <c:pt idx="59">
                  <c:v>15</c:v>
                </c:pt>
                <c:pt idx="60">
                  <c:v>12</c:v>
                </c:pt>
                <c:pt idx="61">
                  <c:v>15</c:v>
                </c:pt>
                <c:pt idx="62">
                  <c:v>11</c:v>
                </c:pt>
                <c:pt idx="63">
                  <c:v>4</c:v>
                </c:pt>
                <c:pt idx="64">
                  <c:v>3</c:v>
                </c:pt>
                <c:pt idx="65">
                  <c:v>5</c:v>
                </c:pt>
                <c:pt idx="66">
                  <c:v>1</c:v>
                </c:pt>
                <c:pt idx="67">
                  <c:v>1</c:v>
                </c:pt>
                <c:pt idx="68">
                  <c:v>0</c:v>
                </c:pt>
                <c:pt idx="69">
                  <c:v>1</c:v>
                </c:pt>
                <c:pt idx="70">
                  <c:v>2</c:v>
                </c:pt>
              </c:numCache>
            </c:numRef>
          </c:val>
          <c:extLst>
            <c:ext xmlns:c16="http://schemas.microsoft.com/office/drawing/2014/chart" uri="{C3380CC4-5D6E-409C-BE32-E72D297353CC}">
              <c16:uniqueId val="{00000000-0F15-4789-895C-A1C0A2FD7F16}"/>
            </c:ext>
          </c:extLst>
        </c:ser>
        <c:dLbls>
          <c:showLegendKey val="0"/>
          <c:showVal val="0"/>
          <c:showCatName val="0"/>
          <c:showSerName val="0"/>
          <c:showPercent val="0"/>
          <c:showBubbleSize val="0"/>
        </c:dLbls>
        <c:gapWidth val="219"/>
        <c:overlap val="-27"/>
        <c:axId val="797966912"/>
        <c:axId val="801114192"/>
      </c:barChart>
      <c:catAx>
        <c:axId val="797966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Results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114192"/>
        <c:crosses val="autoZero"/>
        <c:auto val="1"/>
        <c:lblAlgn val="ctr"/>
        <c:lblOffset val="100"/>
        <c:noMultiLvlLbl val="0"/>
      </c:catAx>
      <c:valAx>
        <c:axId val="801114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7966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ICD Funding Ltd</a:t>
            </a:r>
            <a:endParaRPr lang="en-GB" sz="1000" baseline="0"/>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Data!$AU$7:$AU$16</c:f>
              <c:numCache>
                <c:formatCode>0.000%</c:formatCode>
                <c:ptCount val="10"/>
                <c:pt idx="0">
                  <c:v>2.8659137278286401E-3</c:v>
                </c:pt>
                <c:pt idx="1">
                  <c:v>-2.5977334323541699E-3</c:v>
                </c:pt>
                <c:pt idx="2">
                  <c:v>-1.2308004997261399E-2</c:v>
                </c:pt>
                <c:pt idx="3">
                  <c:v>-1.4812847745014899E-2</c:v>
                </c:pt>
                <c:pt idx="4">
                  <c:v>1.2204133046454201E-2</c:v>
                </c:pt>
                <c:pt idx="5">
                  <c:v>-6.4510953426172701E-3</c:v>
                </c:pt>
                <c:pt idx="6">
                  <c:v>-1.5880390845755099E-2</c:v>
                </c:pt>
                <c:pt idx="7">
                  <c:v>1.2632073034662499E-2</c:v>
                </c:pt>
                <c:pt idx="8">
                  <c:v>4.2455433780532199E-3</c:v>
                </c:pt>
                <c:pt idx="9">
                  <c:v>5.3852853184653401E-3</c:v>
                </c:pt>
              </c:numCache>
            </c:numRef>
          </c:val>
          <c:smooth val="0"/>
          <c:extLst>
            <c:ext xmlns:c16="http://schemas.microsoft.com/office/drawing/2014/chart" uri="{C3380CC4-5D6E-409C-BE32-E72D297353CC}">
              <c16:uniqueId val="{00000000-57D4-45EC-8F08-B1C090E0500F}"/>
            </c:ext>
          </c:extLst>
        </c:ser>
        <c:dLbls>
          <c:showLegendKey val="0"/>
          <c:showVal val="0"/>
          <c:showCatName val="0"/>
          <c:showSerName val="0"/>
          <c:showPercent val="0"/>
          <c:showBubbleSize val="0"/>
        </c:dLbls>
        <c:marker val="1"/>
        <c:smooth val="0"/>
        <c:axId val="801137200"/>
        <c:axId val="801139680"/>
      </c:lineChart>
      <c:catAx>
        <c:axId val="80113720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139680"/>
        <c:crosses val="autoZero"/>
        <c:auto val="1"/>
        <c:lblAlgn val="ctr"/>
        <c:lblOffset val="100"/>
        <c:noMultiLvlLbl val="0"/>
      </c:catAx>
      <c:valAx>
        <c:axId val="801139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137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Ind &amp; Com.Bnk</a:t>
            </a:r>
            <a:r>
              <a:rPr lang="en-GB" sz="1000" baseline="0"/>
              <a:t> of China</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Data!$AY$7:$AY$16</c:f>
              <c:numCache>
                <c:formatCode>0.000%</c:formatCode>
                <c:ptCount val="10"/>
                <c:pt idx="0">
                  <c:v>-1.3128853113841699E-3</c:v>
                </c:pt>
                <c:pt idx="1">
                  <c:v>-1.1789118276659099E-3</c:v>
                </c:pt>
                <c:pt idx="2">
                  <c:v>5.6421025609638001E-3</c:v>
                </c:pt>
                <c:pt idx="3">
                  <c:v>3.7846968922868301E-3</c:v>
                </c:pt>
                <c:pt idx="4">
                  <c:v>6.8254479704240503E-3</c:v>
                </c:pt>
                <c:pt idx="5">
                  <c:v>-1.36544129517207E-3</c:v>
                </c:pt>
                <c:pt idx="6">
                  <c:v>-2.2774786197893898E-3</c:v>
                </c:pt>
                <c:pt idx="7">
                  <c:v>5.3019740319261302E-4</c:v>
                </c:pt>
                <c:pt idx="8">
                  <c:v>-4.1247656084227998E-3</c:v>
                </c:pt>
                <c:pt idx="9">
                  <c:v>-2.10436286799082E-4</c:v>
                </c:pt>
              </c:numCache>
            </c:numRef>
          </c:val>
          <c:smooth val="0"/>
          <c:extLst>
            <c:ext xmlns:c16="http://schemas.microsoft.com/office/drawing/2014/chart" uri="{C3380CC4-5D6E-409C-BE32-E72D297353CC}">
              <c16:uniqueId val="{00000000-D1FC-47A0-977A-DCED4E1C4E75}"/>
            </c:ext>
          </c:extLst>
        </c:ser>
        <c:dLbls>
          <c:showLegendKey val="0"/>
          <c:showVal val="0"/>
          <c:showCatName val="0"/>
          <c:showSerName val="0"/>
          <c:showPercent val="0"/>
          <c:showBubbleSize val="0"/>
        </c:dLbls>
        <c:marker val="1"/>
        <c:smooth val="0"/>
        <c:axId val="801162304"/>
        <c:axId val="801164784"/>
      </c:lineChart>
      <c:catAx>
        <c:axId val="80116230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164784"/>
        <c:crosses val="autoZero"/>
        <c:auto val="1"/>
        <c:lblAlgn val="ctr"/>
        <c:lblOffset val="100"/>
        <c:noMultiLvlLbl val="0"/>
      </c:catAx>
      <c:valAx>
        <c:axId val="801164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162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Ind &amp; Com. Bnk of China</a:t>
            </a:r>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Sheet18!$A$2:$A$72</c:f>
              <c:strCache>
                <c:ptCount val="71"/>
                <c:pt idx="0">
                  <c:v>-0.35%</c:v>
                </c:pt>
                <c:pt idx="1">
                  <c:v>-0.34%</c:v>
                </c:pt>
                <c:pt idx="2">
                  <c:v>-0.33%</c:v>
                </c:pt>
                <c:pt idx="3">
                  <c:v>-0.32%</c:v>
                </c:pt>
                <c:pt idx="4">
                  <c:v>-0.31%</c:v>
                </c:pt>
                <c:pt idx="5">
                  <c:v>-0.30%</c:v>
                </c:pt>
                <c:pt idx="6">
                  <c:v>-0.29%</c:v>
                </c:pt>
                <c:pt idx="7">
                  <c:v>-0.28%</c:v>
                </c:pt>
                <c:pt idx="8">
                  <c:v>-0.27%</c:v>
                </c:pt>
                <c:pt idx="9">
                  <c:v>-0.26%</c:v>
                </c:pt>
                <c:pt idx="10">
                  <c:v>-0.25%</c:v>
                </c:pt>
                <c:pt idx="11">
                  <c:v>-0.24%</c:v>
                </c:pt>
                <c:pt idx="12">
                  <c:v>-0.23%</c:v>
                </c:pt>
                <c:pt idx="13">
                  <c:v>-0.22%</c:v>
                </c:pt>
                <c:pt idx="14">
                  <c:v>-0.21%</c:v>
                </c:pt>
                <c:pt idx="15">
                  <c:v>-0.20%</c:v>
                </c:pt>
                <c:pt idx="16">
                  <c:v>-0.19%</c:v>
                </c:pt>
                <c:pt idx="17">
                  <c:v>-0.18%</c:v>
                </c:pt>
                <c:pt idx="18">
                  <c:v>-0.17%</c:v>
                </c:pt>
                <c:pt idx="19">
                  <c:v>-0.16%</c:v>
                </c:pt>
                <c:pt idx="20">
                  <c:v>-0.15%</c:v>
                </c:pt>
                <c:pt idx="21">
                  <c:v>-0.14%</c:v>
                </c:pt>
                <c:pt idx="22">
                  <c:v>-0.13%</c:v>
                </c:pt>
                <c:pt idx="23">
                  <c:v>-0.12%</c:v>
                </c:pt>
                <c:pt idx="24">
                  <c:v>-0.11%</c:v>
                </c:pt>
                <c:pt idx="25">
                  <c:v>-0.10%</c:v>
                </c:pt>
                <c:pt idx="26">
                  <c:v>-0.09%</c:v>
                </c:pt>
                <c:pt idx="27">
                  <c:v>-0.08%</c:v>
                </c:pt>
                <c:pt idx="28">
                  <c:v>-0.07%</c:v>
                </c:pt>
                <c:pt idx="29">
                  <c:v>-0.06%</c:v>
                </c:pt>
                <c:pt idx="30">
                  <c:v>-0.05%</c:v>
                </c:pt>
                <c:pt idx="31">
                  <c:v>-0.04%</c:v>
                </c:pt>
                <c:pt idx="32">
                  <c:v>-0.03%</c:v>
                </c:pt>
                <c:pt idx="33">
                  <c:v>-0.02%</c:v>
                </c:pt>
                <c:pt idx="34">
                  <c:v>-0.01%</c:v>
                </c:pt>
                <c:pt idx="35">
                  <c:v>0.00%</c:v>
                </c:pt>
                <c:pt idx="36">
                  <c:v>0.01%</c:v>
                </c:pt>
                <c:pt idx="37">
                  <c:v>0.02%</c:v>
                </c:pt>
                <c:pt idx="38">
                  <c:v>0.03%</c:v>
                </c:pt>
                <c:pt idx="39">
                  <c:v>0.04%</c:v>
                </c:pt>
                <c:pt idx="40">
                  <c:v>0.05%</c:v>
                </c:pt>
                <c:pt idx="41">
                  <c:v>0.06%</c:v>
                </c:pt>
                <c:pt idx="42">
                  <c:v>0.07%</c:v>
                </c:pt>
                <c:pt idx="43">
                  <c:v>0.08%</c:v>
                </c:pt>
                <c:pt idx="44">
                  <c:v>0.09%</c:v>
                </c:pt>
                <c:pt idx="45">
                  <c:v>0.10%</c:v>
                </c:pt>
                <c:pt idx="46">
                  <c:v>0.11%</c:v>
                </c:pt>
                <c:pt idx="47">
                  <c:v>0.12%</c:v>
                </c:pt>
                <c:pt idx="48">
                  <c:v>0.13%</c:v>
                </c:pt>
                <c:pt idx="49">
                  <c:v>0.14%</c:v>
                </c:pt>
                <c:pt idx="50">
                  <c:v>0.15%</c:v>
                </c:pt>
                <c:pt idx="51">
                  <c:v>0.16%</c:v>
                </c:pt>
                <c:pt idx="52">
                  <c:v>0.17%</c:v>
                </c:pt>
                <c:pt idx="53">
                  <c:v>0.18%</c:v>
                </c:pt>
                <c:pt idx="54">
                  <c:v>0.19%</c:v>
                </c:pt>
                <c:pt idx="55">
                  <c:v>0.20%</c:v>
                </c:pt>
                <c:pt idx="56">
                  <c:v>0.21%</c:v>
                </c:pt>
                <c:pt idx="57">
                  <c:v>0.22%</c:v>
                </c:pt>
                <c:pt idx="58">
                  <c:v>0.23%</c:v>
                </c:pt>
                <c:pt idx="59">
                  <c:v>0.24%</c:v>
                </c:pt>
                <c:pt idx="60">
                  <c:v>0.25%</c:v>
                </c:pt>
                <c:pt idx="61">
                  <c:v>0.26%</c:v>
                </c:pt>
                <c:pt idx="62">
                  <c:v>0.27%</c:v>
                </c:pt>
                <c:pt idx="63">
                  <c:v>0.28%</c:v>
                </c:pt>
                <c:pt idx="64">
                  <c:v>0.29%</c:v>
                </c:pt>
                <c:pt idx="65">
                  <c:v>0.30%</c:v>
                </c:pt>
                <c:pt idx="66">
                  <c:v>0.31%</c:v>
                </c:pt>
                <c:pt idx="67">
                  <c:v>0.32%</c:v>
                </c:pt>
                <c:pt idx="68">
                  <c:v>0.33%</c:v>
                </c:pt>
                <c:pt idx="69">
                  <c:v>0.34%</c:v>
                </c:pt>
                <c:pt idx="70">
                  <c:v>More</c:v>
                </c:pt>
              </c:strCache>
            </c:strRef>
          </c:cat>
          <c:val>
            <c:numRef>
              <c:f>Sheet18!$B$2:$B$72</c:f>
              <c:numCache>
                <c:formatCode>General</c:formatCode>
                <c:ptCount val="71"/>
                <c:pt idx="0">
                  <c:v>1</c:v>
                </c:pt>
                <c:pt idx="1">
                  <c:v>0</c:v>
                </c:pt>
                <c:pt idx="2">
                  <c:v>1</c:v>
                </c:pt>
                <c:pt idx="3">
                  <c:v>0</c:v>
                </c:pt>
                <c:pt idx="4">
                  <c:v>3</c:v>
                </c:pt>
                <c:pt idx="5">
                  <c:v>3</c:v>
                </c:pt>
                <c:pt idx="6">
                  <c:v>4</c:v>
                </c:pt>
                <c:pt idx="7">
                  <c:v>9</c:v>
                </c:pt>
                <c:pt idx="8">
                  <c:v>4</c:v>
                </c:pt>
                <c:pt idx="9">
                  <c:v>7</c:v>
                </c:pt>
                <c:pt idx="10">
                  <c:v>7</c:v>
                </c:pt>
                <c:pt idx="11">
                  <c:v>16</c:v>
                </c:pt>
                <c:pt idx="12">
                  <c:v>10</c:v>
                </c:pt>
                <c:pt idx="13">
                  <c:v>16</c:v>
                </c:pt>
                <c:pt idx="14">
                  <c:v>22</c:v>
                </c:pt>
                <c:pt idx="15">
                  <c:v>30</c:v>
                </c:pt>
                <c:pt idx="16">
                  <c:v>36</c:v>
                </c:pt>
                <c:pt idx="17">
                  <c:v>35</c:v>
                </c:pt>
                <c:pt idx="18">
                  <c:v>42</c:v>
                </c:pt>
                <c:pt idx="19">
                  <c:v>54</c:v>
                </c:pt>
                <c:pt idx="20">
                  <c:v>63</c:v>
                </c:pt>
                <c:pt idx="21">
                  <c:v>64</c:v>
                </c:pt>
                <c:pt idx="22">
                  <c:v>89</c:v>
                </c:pt>
                <c:pt idx="23">
                  <c:v>107</c:v>
                </c:pt>
                <c:pt idx="24">
                  <c:v>115</c:v>
                </c:pt>
                <c:pt idx="25">
                  <c:v>123</c:v>
                </c:pt>
                <c:pt idx="26">
                  <c:v>134</c:v>
                </c:pt>
                <c:pt idx="27">
                  <c:v>142</c:v>
                </c:pt>
                <c:pt idx="28">
                  <c:v>161</c:v>
                </c:pt>
                <c:pt idx="29">
                  <c:v>154</c:v>
                </c:pt>
                <c:pt idx="30">
                  <c:v>172</c:v>
                </c:pt>
                <c:pt idx="31">
                  <c:v>197</c:v>
                </c:pt>
                <c:pt idx="32">
                  <c:v>181</c:v>
                </c:pt>
                <c:pt idx="33">
                  <c:v>168</c:v>
                </c:pt>
                <c:pt idx="34">
                  <c:v>191</c:v>
                </c:pt>
                <c:pt idx="35">
                  <c:v>165</c:v>
                </c:pt>
                <c:pt idx="36">
                  <c:v>173</c:v>
                </c:pt>
                <c:pt idx="37">
                  <c:v>192</c:v>
                </c:pt>
                <c:pt idx="38">
                  <c:v>180</c:v>
                </c:pt>
                <c:pt idx="39">
                  <c:v>188</c:v>
                </c:pt>
                <c:pt idx="40">
                  <c:v>164</c:v>
                </c:pt>
                <c:pt idx="41">
                  <c:v>169</c:v>
                </c:pt>
                <c:pt idx="42">
                  <c:v>150</c:v>
                </c:pt>
                <c:pt idx="43">
                  <c:v>166</c:v>
                </c:pt>
                <c:pt idx="44">
                  <c:v>130</c:v>
                </c:pt>
                <c:pt idx="45">
                  <c:v>104</c:v>
                </c:pt>
                <c:pt idx="46">
                  <c:v>123</c:v>
                </c:pt>
                <c:pt idx="47">
                  <c:v>96</c:v>
                </c:pt>
                <c:pt idx="48">
                  <c:v>95</c:v>
                </c:pt>
                <c:pt idx="49">
                  <c:v>94</c:v>
                </c:pt>
                <c:pt idx="50">
                  <c:v>58</c:v>
                </c:pt>
                <c:pt idx="51">
                  <c:v>60</c:v>
                </c:pt>
                <c:pt idx="52">
                  <c:v>61</c:v>
                </c:pt>
                <c:pt idx="53">
                  <c:v>43</c:v>
                </c:pt>
                <c:pt idx="54">
                  <c:v>35</c:v>
                </c:pt>
                <c:pt idx="55">
                  <c:v>34</c:v>
                </c:pt>
                <c:pt idx="56">
                  <c:v>32</c:v>
                </c:pt>
                <c:pt idx="57">
                  <c:v>31</c:v>
                </c:pt>
                <c:pt idx="58">
                  <c:v>27</c:v>
                </c:pt>
                <c:pt idx="59">
                  <c:v>15</c:v>
                </c:pt>
                <c:pt idx="60">
                  <c:v>12</c:v>
                </c:pt>
                <c:pt idx="61">
                  <c:v>15</c:v>
                </c:pt>
                <c:pt idx="62">
                  <c:v>11</c:v>
                </c:pt>
                <c:pt idx="63">
                  <c:v>4</c:v>
                </c:pt>
                <c:pt idx="64">
                  <c:v>3</c:v>
                </c:pt>
                <c:pt idx="65">
                  <c:v>5</c:v>
                </c:pt>
                <c:pt idx="66">
                  <c:v>1</c:v>
                </c:pt>
                <c:pt idx="67">
                  <c:v>1</c:v>
                </c:pt>
                <c:pt idx="68">
                  <c:v>0</c:v>
                </c:pt>
                <c:pt idx="69">
                  <c:v>1</c:v>
                </c:pt>
                <c:pt idx="70">
                  <c:v>2</c:v>
                </c:pt>
              </c:numCache>
            </c:numRef>
          </c:val>
          <c:extLst>
            <c:ext xmlns:c16="http://schemas.microsoft.com/office/drawing/2014/chart" uri="{C3380CC4-5D6E-409C-BE32-E72D297353CC}">
              <c16:uniqueId val="{00000000-6B18-4BC0-A40C-FD57C4733962}"/>
            </c:ext>
          </c:extLst>
        </c:ser>
        <c:dLbls>
          <c:showLegendKey val="0"/>
          <c:showVal val="0"/>
          <c:showCatName val="0"/>
          <c:showSerName val="0"/>
          <c:showPercent val="0"/>
          <c:showBubbleSize val="0"/>
        </c:dLbls>
        <c:gapWidth val="219"/>
        <c:overlap val="-27"/>
        <c:axId val="801188720"/>
        <c:axId val="801193040"/>
      </c:barChart>
      <c:catAx>
        <c:axId val="801188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Results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193040"/>
        <c:crosses val="autoZero"/>
        <c:auto val="1"/>
        <c:lblAlgn val="ctr"/>
        <c:lblOffset val="100"/>
        <c:noMultiLvlLbl val="0"/>
      </c:catAx>
      <c:valAx>
        <c:axId val="801193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188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Agri Bank</a:t>
            </a:r>
            <a:r>
              <a:rPr lang="en-GB" sz="1000" baseline="0"/>
              <a:t> of China_5000 iterations</a:t>
            </a:r>
            <a:endParaRPr lang="en-GB" sz="1000"/>
          </a:p>
        </c:rich>
      </c:tx>
      <c:overlay val="0"/>
      <c:spPr>
        <a:noFill/>
        <a:ln>
          <a:noFill/>
        </a:ln>
        <a:effectLst/>
      </c:spPr>
    </c:title>
    <c:autoTitleDeleted val="0"/>
    <c:plotArea>
      <c:layout/>
      <c:barChart>
        <c:barDir val="col"/>
        <c:grouping val="stacked"/>
        <c:varyColors val="0"/>
        <c:ser>
          <c:idx val="0"/>
          <c:order val="0"/>
          <c:tx>
            <c:strRef>
              <c:f>Sheet6!$B$1</c:f>
              <c:strCache>
                <c:ptCount val="1"/>
                <c:pt idx="0">
                  <c:v>Frequency</c:v>
                </c:pt>
              </c:strCache>
            </c:strRef>
          </c:tx>
          <c:spPr>
            <a:solidFill>
              <a:schemeClr val="accent1"/>
            </a:solidFill>
            <a:ln>
              <a:noFill/>
            </a:ln>
            <a:effectLst/>
          </c:spPr>
          <c:invertIfNegative val="0"/>
          <c:cat>
            <c:strRef>
              <c:f>Sheet6!$A$2:$A$72</c:f>
              <c:strCache>
                <c:ptCount val="71"/>
                <c:pt idx="0">
                  <c:v>-0.35%</c:v>
                </c:pt>
                <c:pt idx="1">
                  <c:v>-0.34%</c:v>
                </c:pt>
                <c:pt idx="2">
                  <c:v>-0.33%</c:v>
                </c:pt>
                <c:pt idx="3">
                  <c:v>-0.32%</c:v>
                </c:pt>
                <c:pt idx="4">
                  <c:v>-0.31%</c:v>
                </c:pt>
                <c:pt idx="5">
                  <c:v>-0.30%</c:v>
                </c:pt>
                <c:pt idx="6">
                  <c:v>-0.29%</c:v>
                </c:pt>
                <c:pt idx="7">
                  <c:v>-0.28%</c:v>
                </c:pt>
                <c:pt idx="8">
                  <c:v>-0.27%</c:v>
                </c:pt>
                <c:pt idx="9">
                  <c:v>-0.26%</c:v>
                </c:pt>
                <c:pt idx="10">
                  <c:v>-0.25%</c:v>
                </c:pt>
                <c:pt idx="11">
                  <c:v>-0.24%</c:v>
                </c:pt>
                <c:pt idx="12">
                  <c:v>-0.23%</c:v>
                </c:pt>
                <c:pt idx="13">
                  <c:v>-0.22%</c:v>
                </c:pt>
                <c:pt idx="14">
                  <c:v>-0.21%</c:v>
                </c:pt>
                <c:pt idx="15">
                  <c:v>-0.20%</c:v>
                </c:pt>
                <c:pt idx="16">
                  <c:v>-0.19%</c:v>
                </c:pt>
                <c:pt idx="17">
                  <c:v>-0.18%</c:v>
                </c:pt>
                <c:pt idx="18">
                  <c:v>-0.17%</c:v>
                </c:pt>
                <c:pt idx="19">
                  <c:v>-0.16%</c:v>
                </c:pt>
                <c:pt idx="20">
                  <c:v>-0.15%</c:v>
                </c:pt>
                <c:pt idx="21">
                  <c:v>-0.14%</c:v>
                </c:pt>
                <c:pt idx="22">
                  <c:v>-0.13%</c:v>
                </c:pt>
                <c:pt idx="23">
                  <c:v>-0.12%</c:v>
                </c:pt>
                <c:pt idx="24">
                  <c:v>-0.11%</c:v>
                </c:pt>
                <c:pt idx="25">
                  <c:v>-0.10%</c:v>
                </c:pt>
                <c:pt idx="26">
                  <c:v>-0.09%</c:v>
                </c:pt>
                <c:pt idx="27">
                  <c:v>-0.08%</c:v>
                </c:pt>
                <c:pt idx="28">
                  <c:v>-0.07%</c:v>
                </c:pt>
                <c:pt idx="29">
                  <c:v>-0.06%</c:v>
                </c:pt>
                <c:pt idx="30">
                  <c:v>-0.05%</c:v>
                </c:pt>
                <c:pt idx="31">
                  <c:v>-0.04%</c:v>
                </c:pt>
                <c:pt idx="32">
                  <c:v>-0.03%</c:v>
                </c:pt>
                <c:pt idx="33">
                  <c:v>-0.02%</c:v>
                </c:pt>
                <c:pt idx="34">
                  <c:v>-0.01%</c:v>
                </c:pt>
                <c:pt idx="35">
                  <c:v>0.00%</c:v>
                </c:pt>
                <c:pt idx="36">
                  <c:v>0.01%</c:v>
                </c:pt>
                <c:pt idx="37">
                  <c:v>0.02%</c:v>
                </c:pt>
                <c:pt idx="38">
                  <c:v>0.03%</c:v>
                </c:pt>
                <c:pt idx="39">
                  <c:v>0.04%</c:v>
                </c:pt>
                <c:pt idx="40">
                  <c:v>0.05%</c:v>
                </c:pt>
                <c:pt idx="41">
                  <c:v>0.06%</c:v>
                </c:pt>
                <c:pt idx="42">
                  <c:v>0.07%</c:v>
                </c:pt>
                <c:pt idx="43">
                  <c:v>0.08%</c:v>
                </c:pt>
                <c:pt idx="44">
                  <c:v>0.09%</c:v>
                </c:pt>
                <c:pt idx="45">
                  <c:v>0.10%</c:v>
                </c:pt>
                <c:pt idx="46">
                  <c:v>0.11%</c:v>
                </c:pt>
                <c:pt idx="47">
                  <c:v>0.12%</c:v>
                </c:pt>
                <c:pt idx="48">
                  <c:v>0.13%</c:v>
                </c:pt>
                <c:pt idx="49">
                  <c:v>0.14%</c:v>
                </c:pt>
                <c:pt idx="50">
                  <c:v>0.15%</c:v>
                </c:pt>
                <c:pt idx="51">
                  <c:v>0.16%</c:v>
                </c:pt>
                <c:pt idx="52">
                  <c:v>0.17%</c:v>
                </c:pt>
                <c:pt idx="53">
                  <c:v>0.18%</c:v>
                </c:pt>
                <c:pt idx="54">
                  <c:v>0.19%</c:v>
                </c:pt>
                <c:pt idx="55">
                  <c:v>0.20%</c:v>
                </c:pt>
                <c:pt idx="56">
                  <c:v>0.21%</c:v>
                </c:pt>
                <c:pt idx="57">
                  <c:v>0.22%</c:v>
                </c:pt>
                <c:pt idx="58">
                  <c:v>0.23%</c:v>
                </c:pt>
                <c:pt idx="59">
                  <c:v>0.24%</c:v>
                </c:pt>
                <c:pt idx="60">
                  <c:v>0.25%</c:v>
                </c:pt>
                <c:pt idx="61">
                  <c:v>0.26%</c:v>
                </c:pt>
                <c:pt idx="62">
                  <c:v>0.27%</c:v>
                </c:pt>
                <c:pt idx="63">
                  <c:v>0.28%</c:v>
                </c:pt>
                <c:pt idx="64">
                  <c:v>0.29%</c:v>
                </c:pt>
                <c:pt idx="65">
                  <c:v>0.30%</c:v>
                </c:pt>
                <c:pt idx="66">
                  <c:v>0.31%</c:v>
                </c:pt>
                <c:pt idx="67">
                  <c:v>0.32%</c:v>
                </c:pt>
                <c:pt idx="68">
                  <c:v>0.33%</c:v>
                </c:pt>
                <c:pt idx="69">
                  <c:v>0.34%</c:v>
                </c:pt>
                <c:pt idx="70">
                  <c:v>More</c:v>
                </c:pt>
              </c:strCache>
            </c:strRef>
          </c:cat>
          <c:val>
            <c:numRef>
              <c:f>Sheet6!$B$2:$B$72</c:f>
              <c:numCache>
                <c:formatCode>General</c:formatCode>
                <c:ptCount val="71"/>
                <c:pt idx="0">
                  <c:v>1</c:v>
                </c:pt>
                <c:pt idx="1">
                  <c:v>0</c:v>
                </c:pt>
                <c:pt idx="2">
                  <c:v>1</c:v>
                </c:pt>
                <c:pt idx="3">
                  <c:v>0</c:v>
                </c:pt>
                <c:pt idx="4">
                  <c:v>3</c:v>
                </c:pt>
                <c:pt idx="5">
                  <c:v>3</c:v>
                </c:pt>
                <c:pt idx="6">
                  <c:v>4</c:v>
                </c:pt>
                <c:pt idx="7">
                  <c:v>9</c:v>
                </c:pt>
                <c:pt idx="8">
                  <c:v>4</c:v>
                </c:pt>
                <c:pt idx="9">
                  <c:v>7</c:v>
                </c:pt>
                <c:pt idx="10">
                  <c:v>7</c:v>
                </c:pt>
                <c:pt idx="11">
                  <c:v>16</c:v>
                </c:pt>
                <c:pt idx="12">
                  <c:v>10</c:v>
                </c:pt>
                <c:pt idx="13">
                  <c:v>16</c:v>
                </c:pt>
                <c:pt idx="14">
                  <c:v>22</c:v>
                </c:pt>
                <c:pt idx="15">
                  <c:v>30</c:v>
                </c:pt>
                <c:pt idx="16">
                  <c:v>36</c:v>
                </c:pt>
                <c:pt idx="17">
                  <c:v>35</c:v>
                </c:pt>
                <c:pt idx="18">
                  <c:v>42</c:v>
                </c:pt>
                <c:pt idx="19">
                  <c:v>54</c:v>
                </c:pt>
                <c:pt idx="20">
                  <c:v>63</c:v>
                </c:pt>
                <c:pt idx="21">
                  <c:v>64</c:v>
                </c:pt>
                <c:pt idx="22">
                  <c:v>89</c:v>
                </c:pt>
                <c:pt idx="23">
                  <c:v>107</c:v>
                </c:pt>
                <c:pt idx="24">
                  <c:v>115</c:v>
                </c:pt>
                <c:pt idx="25">
                  <c:v>123</c:v>
                </c:pt>
                <c:pt idx="26">
                  <c:v>134</c:v>
                </c:pt>
                <c:pt idx="27">
                  <c:v>142</c:v>
                </c:pt>
                <c:pt idx="28">
                  <c:v>161</c:v>
                </c:pt>
                <c:pt idx="29">
                  <c:v>154</c:v>
                </c:pt>
                <c:pt idx="30">
                  <c:v>172</c:v>
                </c:pt>
                <c:pt idx="31">
                  <c:v>197</c:v>
                </c:pt>
                <c:pt idx="32">
                  <c:v>181</c:v>
                </c:pt>
                <c:pt idx="33">
                  <c:v>168</c:v>
                </c:pt>
                <c:pt idx="34">
                  <c:v>191</c:v>
                </c:pt>
                <c:pt idx="35">
                  <c:v>165</c:v>
                </c:pt>
                <c:pt idx="36">
                  <c:v>173</c:v>
                </c:pt>
                <c:pt idx="37">
                  <c:v>192</c:v>
                </c:pt>
                <c:pt idx="38">
                  <c:v>180</c:v>
                </c:pt>
                <c:pt idx="39">
                  <c:v>188</c:v>
                </c:pt>
                <c:pt idx="40">
                  <c:v>164</c:v>
                </c:pt>
                <c:pt idx="41">
                  <c:v>169</c:v>
                </c:pt>
                <c:pt idx="42">
                  <c:v>150</c:v>
                </c:pt>
                <c:pt idx="43">
                  <c:v>166</c:v>
                </c:pt>
                <c:pt idx="44">
                  <c:v>130</c:v>
                </c:pt>
                <c:pt idx="45">
                  <c:v>104</c:v>
                </c:pt>
                <c:pt idx="46">
                  <c:v>123</c:v>
                </c:pt>
                <c:pt idx="47">
                  <c:v>96</c:v>
                </c:pt>
                <c:pt idx="48">
                  <c:v>95</c:v>
                </c:pt>
                <c:pt idx="49">
                  <c:v>94</c:v>
                </c:pt>
                <c:pt idx="50">
                  <c:v>58</c:v>
                </c:pt>
                <c:pt idx="51">
                  <c:v>60</c:v>
                </c:pt>
                <c:pt idx="52">
                  <c:v>61</c:v>
                </c:pt>
                <c:pt idx="53">
                  <c:v>43</c:v>
                </c:pt>
                <c:pt idx="54">
                  <c:v>35</c:v>
                </c:pt>
                <c:pt idx="55">
                  <c:v>34</c:v>
                </c:pt>
                <c:pt idx="56">
                  <c:v>32</c:v>
                </c:pt>
                <c:pt idx="57">
                  <c:v>31</c:v>
                </c:pt>
                <c:pt idx="58">
                  <c:v>27</c:v>
                </c:pt>
                <c:pt idx="59">
                  <c:v>15</c:v>
                </c:pt>
                <c:pt idx="60">
                  <c:v>12</c:v>
                </c:pt>
                <c:pt idx="61">
                  <c:v>15</c:v>
                </c:pt>
                <c:pt idx="62">
                  <c:v>11</c:v>
                </c:pt>
                <c:pt idx="63">
                  <c:v>4</c:v>
                </c:pt>
                <c:pt idx="64">
                  <c:v>3</c:v>
                </c:pt>
                <c:pt idx="65">
                  <c:v>5</c:v>
                </c:pt>
                <c:pt idx="66">
                  <c:v>1</c:v>
                </c:pt>
                <c:pt idx="67">
                  <c:v>1</c:v>
                </c:pt>
                <c:pt idx="68">
                  <c:v>0</c:v>
                </c:pt>
                <c:pt idx="69">
                  <c:v>1</c:v>
                </c:pt>
                <c:pt idx="70">
                  <c:v>2</c:v>
                </c:pt>
              </c:numCache>
            </c:numRef>
          </c:val>
          <c:extLst>
            <c:ext xmlns:c16="http://schemas.microsoft.com/office/drawing/2014/chart" uri="{C3380CC4-5D6E-409C-BE32-E72D297353CC}">
              <c16:uniqueId val="{00000000-C3DC-41D3-BFF7-1EB4E4470CC8}"/>
            </c:ext>
          </c:extLst>
        </c:ser>
        <c:dLbls>
          <c:showLegendKey val="0"/>
          <c:showVal val="0"/>
          <c:showCatName val="0"/>
          <c:showSerName val="0"/>
          <c:showPercent val="0"/>
          <c:showBubbleSize val="0"/>
        </c:dLbls>
        <c:gapWidth val="150"/>
        <c:overlap val="100"/>
        <c:axId val="801216976"/>
        <c:axId val="801220016"/>
      </c:barChart>
      <c:catAx>
        <c:axId val="80121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220016"/>
        <c:crosses val="autoZero"/>
        <c:auto val="1"/>
        <c:lblAlgn val="ctr"/>
        <c:lblOffset val="100"/>
        <c:noMultiLvlLbl val="0"/>
      </c:catAx>
      <c:valAx>
        <c:axId val="801220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216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Agri Bank</a:t>
            </a:r>
            <a:r>
              <a:rPr lang="en-GB" sz="1000" baseline="0"/>
              <a:t> of China - 10 Days MCS</a:t>
            </a:r>
            <a:endParaRPr lang="en-GB" sz="1000"/>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Data!$C$7:$C$16</c:f>
              <c:numCache>
                <c:formatCode>0.000%</c:formatCode>
                <c:ptCount val="10"/>
                <c:pt idx="0">
                  <c:v>-1.1884283395212499E-3</c:v>
                </c:pt>
                <c:pt idx="1">
                  <c:v>4.2124963890258698E-4</c:v>
                </c:pt>
                <c:pt idx="2">
                  <c:v>1.42853856739163E-3</c:v>
                </c:pt>
                <c:pt idx="3">
                  <c:v>2.2115681119906799E-3</c:v>
                </c:pt>
                <c:pt idx="4">
                  <c:v>-6.6836337220989197E-4</c:v>
                </c:pt>
                <c:pt idx="5">
                  <c:v>-6.0755805521775399E-4</c:v>
                </c:pt>
                <c:pt idx="6">
                  <c:v>-4.9241466168311802E-5</c:v>
                </c:pt>
                <c:pt idx="7">
                  <c:v>7.21102930054117E-4</c:v>
                </c:pt>
                <c:pt idx="8">
                  <c:v>-1.7574907231556801E-3</c:v>
                </c:pt>
                <c:pt idx="9">
                  <c:v>-1.3991026057648401E-4</c:v>
                </c:pt>
              </c:numCache>
            </c:numRef>
          </c:val>
          <c:smooth val="0"/>
          <c:extLst>
            <c:ext xmlns:c16="http://schemas.microsoft.com/office/drawing/2014/chart" uri="{C3380CC4-5D6E-409C-BE32-E72D297353CC}">
              <c16:uniqueId val="{00000000-1C0D-4169-BC66-59A98F494781}"/>
            </c:ext>
          </c:extLst>
        </c:ser>
        <c:dLbls>
          <c:showLegendKey val="0"/>
          <c:showVal val="0"/>
          <c:showCatName val="0"/>
          <c:showSerName val="0"/>
          <c:showPercent val="0"/>
          <c:showBubbleSize val="0"/>
        </c:dLbls>
        <c:marker val="1"/>
        <c:smooth val="0"/>
        <c:axId val="801241360"/>
        <c:axId val="801243840"/>
      </c:lineChart>
      <c:catAx>
        <c:axId val="8012413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243840"/>
        <c:crosses val="autoZero"/>
        <c:auto val="1"/>
        <c:lblAlgn val="ctr"/>
        <c:lblOffset val="100"/>
        <c:noMultiLvlLbl val="0"/>
      </c:catAx>
      <c:valAx>
        <c:axId val="801243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Results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241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Dar Al Arkan </a:t>
            </a:r>
            <a:r>
              <a:rPr lang="en-GB" sz="1000" b="0" i="0" u="none" strike="noStrike" kern="1200" spc="0" baseline="0">
                <a:solidFill>
                  <a:sysClr val="windowText" lastClr="000000">
                    <a:lumMod val="65000"/>
                    <a:lumOff val="35000"/>
                  </a:sysClr>
                </a:solidFill>
                <a:latin typeface="+mn-lt"/>
                <a:ea typeface="+mn-ea"/>
                <a:cs typeface="+mn-cs"/>
              </a:rPr>
              <a:t>Sukuk</a:t>
            </a:r>
            <a:r>
              <a:rPr lang="en-GB" sz="1000"/>
              <a:t> Co - 10</a:t>
            </a:r>
            <a:r>
              <a:rPr lang="en-GB" sz="1000" baseline="0"/>
              <a:t> Days MCS </a:t>
            </a:r>
            <a:endParaRPr lang="en-GB" sz="1000"/>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Data!$C$7:$C$16</c:f>
              <c:numCache>
                <c:formatCode>0.00%</c:formatCode>
                <c:ptCount val="10"/>
                <c:pt idx="0">
                  <c:v>5.4151593220007404E-3</c:v>
                </c:pt>
                <c:pt idx="1">
                  <c:v>-1.8246656556412299E-3</c:v>
                </c:pt>
                <c:pt idx="2">
                  <c:v>-4.40187209658679E-3</c:v>
                </c:pt>
                <c:pt idx="3">
                  <c:v>8.7692247702537106E-3</c:v>
                </c:pt>
                <c:pt idx="4">
                  <c:v>1.6569835891768799E-2</c:v>
                </c:pt>
                <c:pt idx="5">
                  <c:v>-4.8856459740777699E-3</c:v>
                </c:pt>
                <c:pt idx="6">
                  <c:v>-1.19222647758372E-2</c:v>
                </c:pt>
                <c:pt idx="7">
                  <c:v>8.4776357205019401E-3</c:v>
                </c:pt>
                <c:pt idx="8">
                  <c:v>1.13439165196203E-4</c:v>
                </c:pt>
                <c:pt idx="9">
                  <c:v>8.4455130858344992E-3</c:v>
                </c:pt>
              </c:numCache>
            </c:numRef>
          </c:val>
          <c:smooth val="0"/>
          <c:extLst>
            <c:ext xmlns:c16="http://schemas.microsoft.com/office/drawing/2014/chart" uri="{C3380CC4-5D6E-409C-BE32-E72D297353CC}">
              <c16:uniqueId val="{00000000-3D6E-42D7-9065-B11E773F0E84}"/>
            </c:ext>
          </c:extLst>
        </c:ser>
        <c:dLbls>
          <c:showLegendKey val="0"/>
          <c:showVal val="0"/>
          <c:showCatName val="0"/>
          <c:showSerName val="0"/>
          <c:showPercent val="0"/>
          <c:showBubbleSize val="0"/>
        </c:dLbls>
        <c:marker val="1"/>
        <c:smooth val="0"/>
        <c:axId val="1154422480"/>
        <c:axId val="1154424528"/>
      </c:lineChart>
      <c:catAx>
        <c:axId val="115442248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424528"/>
        <c:crosses val="autoZero"/>
        <c:auto val="1"/>
        <c:lblAlgn val="ctr"/>
        <c:lblOffset val="100"/>
        <c:noMultiLvlLbl val="0"/>
      </c:catAx>
      <c:valAx>
        <c:axId val="1154424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422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MAF Global Securities-14</a:t>
            </a:r>
            <a:endParaRPr lang="en-GB" sz="1000" baseline="0"/>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Data!$BC$7:$BC$16</c:f>
              <c:numCache>
                <c:formatCode>0.000%</c:formatCode>
                <c:ptCount val="10"/>
                <c:pt idx="0">
                  <c:v>-1.06450439907634E-2</c:v>
                </c:pt>
                <c:pt idx="1">
                  <c:v>-2.1168354594583499E-3</c:v>
                </c:pt>
                <c:pt idx="2">
                  <c:v>-1.0370455632087701E-2</c:v>
                </c:pt>
                <c:pt idx="3">
                  <c:v>-2.5271903874396402E-3</c:v>
                </c:pt>
                <c:pt idx="4">
                  <c:v>-1.2224909746112801E-4</c:v>
                </c:pt>
                <c:pt idx="5">
                  <c:v>5.5861550378246E-3</c:v>
                </c:pt>
                <c:pt idx="6">
                  <c:v>-4.77326193252631E-4</c:v>
                </c:pt>
                <c:pt idx="7">
                  <c:v>5.5535487307245496E-3</c:v>
                </c:pt>
                <c:pt idx="8">
                  <c:v>1.0503442011298399E-3</c:v>
                </c:pt>
                <c:pt idx="9">
                  <c:v>-6.8504940644189202E-3</c:v>
                </c:pt>
              </c:numCache>
            </c:numRef>
          </c:val>
          <c:smooth val="0"/>
          <c:extLst>
            <c:ext xmlns:c16="http://schemas.microsoft.com/office/drawing/2014/chart" uri="{C3380CC4-5D6E-409C-BE32-E72D297353CC}">
              <c16:uniqueId val="{00000000-EC1B-4905-BA6D-6F691702FD6E}"/>
            </c:ext>
          </c:extLst>
        </c:ser>
        <c:dLbls>
          <c:showLegendKey val="0"/>
          <c:showVal val="0"/>
          <c:showCatName val="0"/>
          <c:showSerName val="0"/>
          <c:showPercent val="0"/>
          <c:showBubbleSize val="0"/>
        </c:dLbls>
        <c:marker val="1"/>
        <c:smooth val="0"/>
        <c:axId val="801266464"/>
        <c:axId val="801268944"/>
      </c:lineChart>
      <c:catAx>
        <c:axId val="8012664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268944"/>
        <c:crosses val="autoZero"/>
        <c:auto val="1"/>
        <c:lblAlgn val="ctr"/>
        <c:lblOffset val="100"/>
        <c:noMultiLvlLbl val="0"/>
      </c:catAx>
      <c:valAx>
        <c:axId val="801268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266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MAF Global Securities 14</a:t>
            </a:r>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Sheet19!$A$2:$A$72</c:f>
              <c:strCache>
                <c:ptCount val="71"/>
                <c:pt idx="0">
                  <c:v>-0.35%</c:v>
                </c:pt>
                <c:pt idx="1">
                  <c:v>-0.34%</c:v>
                </c:pt>
                <c:pt idx="2">
                  <c:v>-0.33%</c:v>
                </c:pt>
                <c:pt idx="3">
                  <c:v>-0.32%</c:v>
                </c:pt>
                <c:pt idx="4">
                  <c:v>-0.31%</c:v>
                </c:pt>
                <c:pt idx="5">
                  <c:v>-0.30%</c:v>
                </c:pt>
                <c:pt idx="6">
                  <c:v>-0.29%</c:v>
                </c:pt>
                <c:pt idx="7">
                  <c:v>-0.28%</c:v>
                </c:pt>
                <c:pt idx="8">
                  <c:v>-0.27%</c:v>
                </c:pt>
                <c:pt idx="9">
                  <c:v>-0.26%</c:v>
                </c:pt>
                <c:pt idx="10">
                  <c:v>-0.25%</c:v>
                </c:pt>
                <c:pt idx="11">
                  <c:v>-0.24%</c:v>
                </c:pt>
                <c:pt idx="12">
                  <c:v>-0.23%</c:v>
                </c:pt>
                <c:pt idx="13">
                  <c:v>-0.22%</c:v>
                </c:pt>
                <c:pt idx="14">
                  <c:v>-0.21%</c:v>
                </c:pt>
                <c:pt idx="15">
                  <c:v>-0.20%</c:v>
                </c:pt>
                <c:pt idx="16">
                  <c:v>-0.19%</c:v>
                </c:pt>
                <c:pt idx="17">
                  <c:v>-0.18%</c:v>
                </c:pt>
                <c:pt idx="18">
                  <c:v>-0.17%</c:v>
                </c:pt>
                <c:pt idx="19">
                  <c:v>-0.16%</c:v>
                </c:pt>
                <c:pt idx="20">
                  <c:v>-0.15%</c:v>
                </c:pt>
                <c:pt idx="21">
                  <c:v>-0.14%</c:v>
                </c:pt>
                <c:pt idx="22">
                  <c:v>-0.13%</c:v>
                </c:pt>
                <c:pt idx="23">
                  <c:v>-0.12%</c:v>
                </c:pt>
                <c:pt idx="24">
                  <c:v>-0.11%</c:v>
                </c:pt>
                <c:pt idx="25">
                  <c:v>-0.10%</c:v>
                </c:pt>
                <c:pt idx="26">
                  <c:v>-0.09%</c:v>
                </c:pt>
                <c:pt idx="27">
                  <c:v>-0.08%</c:v>
                </c:pt>
                <c:pt idx="28">
                  <c:v>-0.07%</c:v>
                </c:pt>
                <c:pt idx="29">
                  <c:v>-0.06%</c:v>
                </c:pt>
                <c:pt idx="30">
                  <c:v>-0.05%</c:v>
                </c:pt>
                <c:pt idx="31">
                  <c:v>-0.04%</c:v>
                </c:pt>
                <c:pt idx="32">
                  <c:v>-0.03%</c:v>
                </c:pt>
                <c:pt idx="33">
                  <c:v>-0.02%</c:v>
                </c:pt>
                <c:pt idx="34">
                  <c:v>-0.01%</c:v>
                </c:pt>
                <c:pt idx="35">
                  <c:v>0.00%</c:v>
                </c:pt>
                <c:pt idx="36">
                  <c:v>0.01%</c:v>
                </c:pt>
                <c:pt idx="37">
                  <c:v>0.02%</c:v>
                </c:pt>
                <c:pt idx="38">
                  <c:v>0.03%</c:v>
                </c:pt>
                <c:pt idx="39">
                  <c:v>0.04%</c:v>
                </c:pt>
                <c:pt idx="40">
                  <c:v>0.05%</c:v>
                </c:pt>
                <c:pt idx="41">
                  <c:v>0.06%</c:v>
                </c:pt>
                <c:pt idx="42">
                  <c:v>0.07%</c:v>
                </c:pt>
                <c:pt idx="43">
                  <c:v>0.08%</c:v>
                </c:pt>
                <c:pt idx="44">
                  <c:v>0.09%</c:v>
                </c:pt>
                <c:pt idx="45">
                  <c:v>0.10%</c:v>
                </c:pt>
                <c:pt idx="46">
                  <c:v>0.11%</c:v>
                </c:pt>
                <c:pt idx="47">
                  <c:v>0.12%</c:v>
                </c:pt>
                <c:pt idx="48">
                  <c:v>0.13%</c:v>
                </c:pt>
                <c:pt idx="49">
                  <c:v>0.14%</c:v>
                </c:pt>
                <c:pt idx="50">
                  <c:v>0.15%</c:v>
                </c:pt>
                <c:pt idx="51">
                  <c:v>0.16%</c:v>
                </c:pt>
                <c:pt idx="52">
                  <c:v>0.17%</c:v>
                </c:pt>
                <c:pt idx="53">
                  <c:v>0.18%</c:v>
                </c:pt>
                <c:pt idx="54">
                  <c:v>0.19%</c:v>
                </c:pt>
                <c:pt idx="55">
                  <c:v>0.20%</c:v>
                </c:pt>
                <c:pt idx="56">
                  <c:v>0.21%</c:v>
                </c:pt>
                <c:pt idx="57">
                  <c:v>0.22%</c:v>
                </c:pt>
                <c:pt idx="58">
                  <c:v>0.23%</c:v>
                </c:pt>
                <c:pt idx="59">
                  <c:v>0.24%</c:v>
                </c:pt>
                <c:pt idx="60">
                  <c:v>0.25%</c:v>
                </c:pt>
                <c:pt idx="61">
                  <c:v>0.26%</c:v>
                </c:pt>
                <c:pt idx="62">
                  <c:v>0.27%</c:v>
                </c:pt>
                <c:pt idx="63">
                  <c:v>0.28%</c:v>
                </c:pt>
                <c:pt idx="64">
                  <c:v>0.29%</c:v>
                </c:pt>
                <c:pt idx="65">
                  <c:v>0.30%</c:v>
                </c:pt>
                <c:pt idx="66">
                  <c:v>0.31%</c:v>
                </c:pt>
                <c:pt idx="67">
                  <c:v>0.32%</c:v>
                </c:pt>
                <c:pt idx="68">
                  <c:v>0.33%</c:v>
                </c:pt>
                <c:pt idx="69">
                  <c:v>0.34%</c:v>
                </c:pt>
                <c:pt idx="70">
                  <c:v>More</c:v>
                </c:pt>
              </c:strCache>
            </c:strRef>
          </c:cat>
          <c:val>
            <c:numRef>
              <c:f>Sheet19!$B$2:$B$72</c:f>
              <c:numCache>
                <c:formatCode>General</c:formatCode>
                <c:ptCount val="71"/>
                <c:pt idx="0">
                  <c:v>1</c:v>
                </c:pt>
                <c:pt idx="1">
                  <c:v>0</c:v>
                </c:pt>
                <c:pt idx="2">
                  <c:v>1</c:v>
                </c:pt>
                <c:pt idx="3">
                  <c:v>0</c:v>
                </c:pt>
                <c:pt idx="4">
                  <c:v>3</c:v>
                </c:pt>
                <c:pt idx="5">
                  <c:v>3</c:v>
                </c:pt>
                <c:pt idx="6">
                  <c:v>4</c:v>
                </c:pt>
                <c:pt idx="7">
                  <c:v>9</c:v>
                </c:pt>
                <c:pt idx="8">
                  <c:v>4</c:v>
                </c:pt>
                <c:pt idx="9">
                  <c:v>7</c:v>
                </c:pt>
                <c:pt idx="10">
                  <c:v>7</c:v>
                </c:pt>
                <c:pt idx="11">
                  <c:v>16</c:v>
                </c:pt>
                <c:pt idx="12">
                  <c:v>10</c:v>
                </c:pt>
                <c:pt idx="13">
                  <c:v>16</c:v>
                </c:pt>
                <c:pt idx="14">
                  <c:v>22</c:v>
                </c:pt>
                <c:pt idx="15">
                  <c:v>30</c:v>
                </c:pt>
                <c:pt idx="16">
                  <c:v>36</c:v>
                </c:pt>
                <c:pt idx="17">
                  <c:v>35</c:v>
                </c:pt>
                <c:pt idx="18">
                  <c:v>42</c:v>
                </c:pt>
                <c:pt idx="19">
                  <c:v>54</c:v>
                </c:pt>
                <c:pt idx="20">
                  <c:v>63</c:v>
                </c:pt>
                <c:pt idx="21">
                  <c:v>64</c:v>
                </c:pt>
                <c:pt idx="22">
                  <c:v>89</c:v>
                </c:pt>
                <c:pt idx="23">
                  <c:v>107</c:v>
                </c:pt>
                <c:pt idx="24">
                  <c:v>115</c:v>
                </c:pt>
                <c:pt idx="25">
                  <c:v>123</c:v>
                </c:pt>
                <c:pt idx="26">
                  <c:v>134</c:v>
                </c:pt>
                <c:pt idx="27">
                  <c:v>142</c:v>
                </c:pt>
                <c:pt idx="28">
                  <c:v>161</c:v>
                </c:pt>
                <c:pt idx="29">
                  <c:v>154</c:v>
                </c:pt>
                <c:pt idx="30">
                  <c:v>172</c:v>
                </c:pt>
                <c:pt idx="31">
                  <c:v>197</c:v>
                </c:pt>
                <c:pt idx="32">
                  <c:v>181</c:v>
                </c:pt>
                <c:pt idx="33">
                  <c:v>168</c:v>
                </c:pt>
                <c:pt idx="34">
                  <c:v>191</c:v>
                </c:pt>
                <c:pt idx="35">
                  <c:v>165</c:v>
                </c:pt>
                <c:pt idx="36">
                  <c:v>173</c:v>
                </c:pt>
                <c:pt idx="37">
                  <c:v>192</c:v>
                </c:pt>
                <c:pt idx="38">
                  <c:v>180</c:v>
                </c:pt>
                <c:pt idx="39">
                  <c:v>188</c:v>
                </c:pt>
                <c:pt idx="40">
                  <c:v>164</c:v>
                </c:pt>
                <c:pt idx="41">
                  <c:v>169</c:v>
                </c:pt>
                <c:pt idx="42">
                  <c:v>150</c:v>
                </c:pt>
                <c:pt idx="43">
                  <c:v>166</c:v>
                </c:pt>
                <c:pt idx="44">
                  <c:v>130</c:v>
                </c:pt>
                <c:pt idx="45">
                  <c:v>104</c:v>
                </c:pt>
                <c:pt idx="46">
                  <c:v>123</c:v>
                </c:pt>
                <c:pt idx="47">
                  <c:v>96</c:v>
                </c:pt>
                <c:pt idx="48">
                  <c:v>95</c:v>
                </c:pt>
                <c:pt idx="49">
                  <c:v>94</c:v>
                </c:pt>
                <c:pt idx="50">
                  <c:v>58</c:v>
                </c:pt>
                <c:pt idx="51">
                  <c:v>60</c:v>
                </c:pt>
                <c:pt idx="52">
                  <c:v>61</c:v>
                </c:pt>
                <c:pt idx="53">
                  <c:v>43</c:v>
                </c:pt>
                <c:pt idx="54">
                  <c:v>35</c:v>
                </c:pt>
                <c:pt idx="55">
                  <c:v>34</c:v>
                </c:pt>
                <c:pt idx="56">
                  <c:v>32</c:v>
                </c:pt>
                <c:pt idx="57">
                  <c:v>31</c:v>
                </c:pt>
                <c:pt idx="58">
                  <c:v>27</c:v>
                </c:pt>
                <c:pt idx="59">
                  <c:v>15</c:v>
                </c:pt>
                <c:pt idx="60">
                  <c:v>12</c:v>
                </c:pt>
                <c:pt idx="61">
                  <c:v>15</c:v>
                </c:pt>
                <c:pt idx="62">
                  <c:v>11</c:v>
                </c:pt>
                <c:pt idx="63">
                  <c:v>4</c:v>
                </c:pt>
                <c:pt idx="64">
                  <c:v>3</c:v>
                </c:pt>
                <c:pt idx="65">
                  <c:v>5</c:v>
                </c:pt>
                <c:pt idx="66">
                  <c:v>1</c:v>
                </c:pt>
                <c:pt idx="67">
                  <c:v>1</c:v>
                </c:pt>
                <c:pt idx="68">
                  <c:v>0</c:v>
                </c:pt>
                <c:pt idx="69">
                  <c:v>1</c:v>
                </c:pt>
                <c:pt idx="70">
                  <c:v>2</c:v>
                </c:pt>
              </c:numCache>
            </c:numRef>
          </c:val>
          <c:extLst>
            <c:ext xmlns:c16="http://schemas.microsoft.com/office/drawing/2014/chart" uri="{C3380CC4-5D6E-409C-BE32-E72D297353CC}">
              <c16:uniqueId val="{00000000-D135-43D5-A580-F2CCCF53727F}"/>
            </c:ext>
          </c:extLst>
        </c:ser>
        <c:dLbls>
          <c:showLegendKey val="0"/>
          <c:showVal val="0"/>
          <c:showCatName val="0"/>
          <c:showSerName val="0"/>
          <c:showPercent val="0"/>
          <c:showBubbleSize val="0"/>
        </c:dLbls>
        <c:gapWidth val="219"/>
        <c:overlap val="-27"/>
        <c:axId val="801292880"/>
        <c:axId val="801297200"/>
      </c:barChart>
      <c:catAx>
        <c:axId val="801292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Results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297200"/>
        <c:crosses val="autoZero"/>
        <c:auto val="1"/>
        <c:lblAlgn val="ctr"/>
        <c:lblOffset val="100"/>
        <c:noMultiLvlLbl val="0"/>
      </c:catAx>
      <c:valAx>
        <c:axId val="801297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292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INDONESIA III -144A</a:t>
            </a:r>
            <a:endParaRPr lang="en-GB" sz="1000" baseline="0"/>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Data!$AU$7:$AU$16</c:f>
              <c:numCache>
                <c:formatCode>0.000%</c:formatCode>
                <c:ptCount val="10"/>
                <c:pt idx="0">
                  <c:v>-1.04308503532272E-3</c:v>
                </c:pt>
                <c:pt idx="1">
                  <c:v>2.51501556815356E-3</c:v>
                </c:pt>
                <c:pt idx="2">
                  <c:v>-4.0723582505241499E-3</c:v>
                </c:pt>
                <c:pt idx="3">
                  <c:v>4.7885798064851498E-3</c:v>
                </c:pt>
                <c:pt idx="4">
                  <c:v>-2.3519767169306802E-3</c:v>
                </c:pt>
                <c:pt idx="5">
                  <c:v>2.7737459854068999E-3</c:v>
                </c:pt>
                <c:pt idx="6">
                  <c:v>1.7867465106829999E-2</c:v>
                </c:pt>
                <c:pt idx="7">
                  <c:v>2.2072399668292201E-3</c:v>
                </c:pt>
                <c:pt idx="8">
                  <c:v>-1.9154866373273999E-3</c:v>
                </c:pt>
                <c:pt idx="9">
                  <c:v>3.6315254306895301E-3</c:v>
                </c:pt>
              </c:numCache>
            </c:numRef>
          </c:val>
          <c:smooth val="0"/>
          <c:extLst>
            <c:ext xmlns:c16="http://schemas.microsoft.com/office/drawing/2014/chart" uri="{C3380CC4-5D6E-409C-BE32-E72D297353CC}">
              <c16:uniqueId val="{00000000-0B4D-4CC6-94BB-55D6502C7241}"/>
            </c:ext>
          </c:extLst>
        </c:ser>
        <c:dLbls>
          <c:showLegendKey val="0"/>
          <c:showVal val="0"/>
          <c:showCatName val="0"/>
          <c:showSerName val="0"/>
          <c:showPercent val="0"/>
          <c:showBubbleSize val="0"/>
        </c:dLbls>
        <c:marker val="1"/>
        <c:smooth val="0"/>
        <c:axId val="1154449568"/>
        <c:axId val="1154451616"/>
      </c:lineChart>
      <c:catAx>
        <c:axId val="115444956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451616"/>
        <c:crosses val="autoZero"/>
        <c:auto val="1"/>
        <c:lblAlgn val="ctr"/>
        <c:lblOffset val="100"/>
        <c:noMultiLvlLbl val="0"/>
      </c:catAx>
      <c:valAx>
        <c:axId val="1154451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Returns</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449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Indonesia III - 144A</a:t>
            </a:r>
          </a:p>
        </c:rich>
      </c:tx>
      <c:overlay val="0"/>
      <c:spPr>
        <a:noFill/>
        <a:ln>
          <a:noFill/>
        </a:ln>
        <a:effectLst/>
      </c:spPr>
    </c:title>
    <c:autoTitleDeleted val="0"/>
    <c:plotArea>
      <c:layout/>
      <c:barChart>
        <c:barDir val="col"/>
        <c:grouping val="clustered"/>
        <c:varyColors val="0"/>
        <c:ser>
          <c:idx val="0"/>
          <c:order val="0"/>
          <c:tx>
            <c:v>Frequency</c:v>
          </c:tx>
          <c:spPr>
            <a:solidFill>
              <a:schemeClr val="accent1"/>
            </a:solidFill>
            <a:ln>
              <a:noFill/>
            </a:ln>
            <a:effectLst/>
          </c:spPr>
          <c:invertIfNegative val="0"/>
          <c:cat>
            <c:strRef>
              <c:f>Sheet26!$A$2:$A$72</c:f>
              <c:strCache>
                <c:ptCount val="71"/>
                <c:pt idx="0">
                  <c:v>-3.57%</c:v>
                </c:pt>
                <c:pt idx="1">
                  <c:v>-3.47%</c:v>
                </c:pt>
                <c:pt idx="2">
                  <c:v>-3.36%</c:v>
                </c:pt>
                <c:pt idx="3">
                  <c:v>-3.26%</c:v>
                </c:pt>
                <c:pt idx="4">
                  <c:v>-3.15%</c:v>
                </c:pt>
                <c:pt idx="5">
                  <c:v>-3.05%</c:v>
                </c:pt>
                <c:pt idx="6">
                  <c:v>-2.94%</c:v>
                </c:pt>
                <c:pt idx="7">
                  <c:v>-2.84%</c:v>
                </c:pt>
                <c:pt idx="8">
                  <c:v>-2.74%</c:v>
                </c:pt>
                <c:pt idx="9">
                  <c:v>-2.63%</c:v>
                </c:pt>
                <c:pt idx="10">
                  <c:v>-2.53%</c:v>
                </c:pt>
                <c:pt idx="11">
                  <c:v>-2.42%</c:v>
                </c:pt>
                <c:pt idx="12">
                  <c:v>-2.32%</c:v>
                </c:pt>
                <c:pt idx="13">
                  <c:v>-2.22%</c:v>
                </c:pt>
                <c:pt idx="14">
                  <c:v>-2.11%</c:v>
                </c:pt>
                <c:pt idx="15">
                  <c:v>-2.01%</c:v>
                </c:pt>
                <c:pt idx="16">
                  <c:v>-1.90%</c:v>
                </c:pt>
                <c:pt idx="17">
                  <c:v>-1.80%</c:v>
                </c:pt>
                <c:pt idx="18">
                  <c:v>-1.69%</c:v>
                </c:pt>
                <c:pt idx="19">
                  <c:v>-1.59%</c:v>
                </c:pt>
                <c:pt idx="20">
                  <c:v>-1.49%</c:v>
                </c:pt>
                <c:pt idx="21">
                  <c:v>-1.38%</c:v>
                </c:pt>
                <c:pt idx="22">
                  <c:v>-1.28%</c:v>
                </c:pt>
                <c:pt idx="23">
                  <c:v>-1.17%</c:v>
                </c:pt>
                <c:pt idx="24">
                  <c:v>-1.07%</c:v>
                </c:pt>
                <c:pt idx="25">
                  <c:v>-0.97%</c:v>
                </c:pt>
                <c:pt idx="26">
                  <c:v>-0.86%</c:v>
                </c:pt>
                <c:pt idx="27">
                  <c:v>-0.76%</c:v>
                </c:pt>
                <c:pt idx="28">
                  <c:v>-0.65%</c:v>
                </c:pt>
                <c:pt idx="29">
                  <c:v>-0.55%</c:v>
                </c:pt>
                <c:pt idx="30">
                  <c:v>-0.44%</c:v>
                </c:pt>
                <c:pt idx="31">
                  <c:v>-0.34%</c:v>
                </c:pt>
                <c:pt idx="32">
                  <c:v>-0.24%</c:v>
                </c:pt>
                <c:pt idx="33">
                  <c:v>-0.13%</c:v>
                </c:pt>
                <c:pt idx="34">
                  <c:v>-0.03%</c:v>
                </c:pt>
                <c:pt idx="35">
                  <c:v>0.08%</c:v>
                </c:pt>
                <c:pt idx="36">
                  <c:v>0.18%</c:v>
                </c:pt>
                <c:pt idx="37">
                  <c:v>0.28%</c:v>
                </c:pt>
                <c:pt idx="38">
                  <c:v>0.39%</c:v>
                </c:pt>
                <c:pt idx="39">
                  <c:v>0.49%</c:v>
                </c:pt>
                <c:pt idx="40">
                  <c:v>0.60%</c:v>
                </c:pt>
                <c:pt idx="41">
                  <c:v>0.70%</c:v>
                </c:pt>
                <c:pt idx="42">
                  <c:v>0.80%</c:v>
                </c:pt>
                <c:pt idx="43">
                  <c:v>0.91%</c:v>
                </c:pt>
                <c:pt idx="44">
                  <c:v>1.01%</c:v>
                </c:pt>
                <c:pt idx="45">
                  <c:v>1.12%</c:v>
                </c:pt>
                <c:pt idx="46">
                  <c:v>1.22%</c:v>
                </c:pt>
                <c:pt idx="47">
                  <c:v>1.33%</c:v>
                </c:pt>
                <c:pt idx="48">
                  <c:v>1.43%</c:v>
                </c:pt>
                <c:pt idx="49">
                  <c:v>1.53%</c:v>
                </c:pt>
                <c:pt idx="50">
                  <c:v>1.64%</c:v>
                </c:pt>
                <c:pt idx="51">
                  <c:v>1.74%</c:v>
                </c:pt>
                <c:pt idx="52">
                  <c:v>1.85%</c:v>
                </c:pt>
                <c:pt idx="53">
                  <c:v>1.95%</c:v>
                </c:pt>
                <c:pt idx="54">
                  <c:v>2.05%</c:v>
                </c:pt>
                <c:pt idx="55">
                  <c:v>2.16%</c:v>
                </c:pt>
                <c:pt idx="56">
                  <c:v>2.26%</c:v>
                </c:pt>
                <c:pt idx="57">
                  <c:v>2.37%</c:v>
                </c:pt>
                <c:pt idx="58">
                  <c:v>2.47%</c:v>
                </c:pt>
                <c:pt idx="59">
                  <c:v>2.58%</c:v>
                </c:pt>
                <c:pt idx="60">
                  <c:v>2.68%</c:v>
                </c:pt>
                <c:pt idx="61">
                  <c:v>2.78%</c:v>
                </c:pt>
                <c:pt idx="62">
                  <c:v>2.89%</c:v>
                </c:pt>
                <c:pt idx="63">
                  <c:v>2.99%</c:v>
                </c:pt>
                <c:pt idx="64">
                  <c:v>3.10%</c:v>
                </c:pt>
                <c:pt idx="65">
                  <c:v>3.20%</c:v>
                </c:pt>
                <c:pt idx="66">
                  <c:v>3.30%</c:v>
                </c:pt>
                <c:pt idx="67">
                  <c:v>3.41%</c:v>
                </c:pt>
                <c:pt idx="68">
                  <c:v>3.51%</c:v>
                </c:pt>
                <c:pt idx="69">
                  <c:v>3.62%</c:v>
                </c:pt>
                <c:pt idx="70">
                  <c:v>More</c:v>
                </c:pt>
              </c:strCache>
            </c:strRef>
          </c:cat>
          <c:val>
            <c:numRef>
              <c:f>Sheet26!$B$2:$B$72</c:f>
              <c:numCache>
                <c:formatCode>General</c:formatCode>
                <c:ptCount val="71"/>
                <c:pt idx="0">
                  <c:v>1</c:v>
                </c:pt>
                <c:pt idx="1">
                  <c:v>0</c:v>
                </c:pt>
                <c:pt idx="2">
                  <c:v>0</c:v>
                </c:pt>
                <c:pt idx="3">
                  <c:v>2</c:v>
                </c:pt>
                <c:pt idx="4">
                  <c:v>0</c:v>
                </c:pt>
                <c:pt idx="5">
                  <c:v>1</c:v>
                </c:pt>
                <c:pt idx="6">
                  <c:v>0</c:v>
                </c:pt>
                <c:pt idx="7">
                  <c:v>1</c:v>
                </c:pt>
                <c:pt idx="8">
                  <c:v>2</c:v>
                </c:pt>
                <c:pt idx="9">
                  <c:v>4</c:v>
                </c:pt>
                <c:pt idx="10">
                  <c:v>5</c:v>
                </c:pt>
                <c:pt idx="11">
                  <c:v>7</c:v>
                </c:pt>
                <c:pt idx="12">
                  <c:v>6</c:v>
                </c:pt>
                <c:pt idx="13">
                  <c:v>13</c:v>
                </c:pt>
                <c:pt idx="14">
                  <c:v>13</c:v>
                </c:pt>
                <c:pt idx="15">
                  <c:v>11</c:v>
                </c:pt>
                <c:pt idx="16">
                  <c:v>24</c:v>
                </c:pt>
                <c:pt idx="17">
                  <c:v>36</c:v>
                </c:pt>
                <c:pt idx="18">
                  <c:v>25</c:v>
                </c:pt>
                <c:pt idx="19">
                  <c:v>41</c:v>
                </c:pt>
                <c:pt idx="20">
                  <c:v>52</c:v>
                </c:pt>
                <c:pt idx="21">
                  <c:v>56</c:v>
                </c:pt>
                <c:pt idx="22">
                  <c:v>67</c:v>
                </c:pt>
                <c:pt idx="23">
                  <c:v>90</c:v>
                </c:pt>
                <c:pt idx="24">
                  <c:v>91</c:v>
                </c:pt>
                <c:pt idx="25">
                  <c:v>113</c:v>
                </c:pt>
                <c:pt idx="26">
                  <c:v>138</c:v>
                </c:pt>
                <c:pt idx="27">
                  <c:v>141</c:v>
                </c:pt>
                <c:pt idx="28">
                  <c:v>178</c:v>
                </c:pt>
                <c:pt idx="29">
                  <c:v>187</c:v>
                </c:pt>
                <c:pt idx="30">
                  <c:v>182</c:v>
                </c:pt>
                <c:pt idx="31">
                  <c:v>195</c:v>
                </c:pt>
                <c:pt idx="32">
                  <c:v>193</c:v>
                </c:pt>
                <c:pt idx="33">
                  <c:v>232</c:v>
                </c:pt>
                <c:pt idx="34">
                  <c:v>230</c:v>
                </c:pt>
                <c:pt idx="35">
                  <c:v>247</c:v>
                </c:pt>
                <c:pt idx="36">
                  <c:v>244</c:v>
                </c:pt>
                <c:pt idx="37">
                  <c:v>217</c:v>
                </c:pt>
                <c:pt idx="38">
                  <c:v>209</c:v>
                </c:pt>
                <c:pt idx="39">
                  <c:v>218</c:v>
                </c:pt>
                <c:pt idx="40">
                  <c:v>209</c:v>
                </c:pt>
                <c:pt idx="41">
                  <c:v>197</c:v>
                </c:pt>
                <c:pt idx="42">
                  <c:v>158</c:v>
                </c:pt>
                <c:pt idx="43">
                  <c:v>147</c:v>
                </c:pt>
                <c:pt idx="44">
                  <c:v>118</c:v>
                </c:pt>
                <c:pt idx="45">
                  <c:v>128</c:v>
                </c:pt>
                <c:pt idx="46">
                  <c:v>97</c:v>
                </c:pt>
                <c:pt idx="47">
                  <c:v>86</c:v>
                </c:pt>
                <c:pt idx="48">
                  <c:v>79</c:v>
                </c:pt>
                <c:pt idx="49">
                  <c:v>73</c:v>
                </c:pt>
                <c:pt idx="50">
                  <c:v>46</c:v>
                </c:pt>
                <c:pt idx="51">
                  <c:v>42</c:v>
                </c:pt>
                <c:pt idx="52">
                  <c:v>31</c:v>
                </c:pt>
                <c:pt idx="53">
                  <c:v>29</c:v>
                </c:pt>
                <c:pt idx="54">
                  <c:v>16</c:v>
                </c:pt>
                <c:pt idx="55">
                  <c:v>21</c:v>
                </c:pt>
                <c:pt idx="56">
                  <c:v>16</c:v>
                </c:pt>
                <c:pt idx="57">
                  <c:v>9</c:v>
                </c:pt>
                <c:pt idx="58">
                  <c:v>3</c:v>
                </c:pt>
                <c:pt idx="59">
                  <c:v>5</c:v>
                </c:pt>
                <c:pt idx="60">
                  <c:v>1</c:v>
                </c:pt>
                <c:pt idx="61">
                  <c:v>4</c:v>
                </c:pt>
                <c:pt idx="62">
                  <c:v>5</c:v>
                </c:pt>
                <c:pt idx="63">
                  <c:v>2</c:v>
                </c:pt>
                <c:pt idx="64">
                  <c:v>2</c:v>
                </c:pt>
                <c:pt idx="65">
                  <c:v>2</c:v>
                </c:pt>
                <c:pt idx="66">
                  <c:v>0</c:v>
                </c:pt>
                <c:pt idx="67">
                  <c:v>0</c:v>
                </c:pt>
                <c:pt idx="68">
                  <c:v>1</c:v>
                </c:pt>
                <c:pt idx="69">
                  <c:v>0</c:v>
                </c:pt>
                <c:pt idx="70">
                  <c:v>1</c:v>
                </c:pt>
              </c:numCache>
            </c:numRef>
          </c:val>
          <c:extLst>
            <c:ext xmlns:c16="http://schemas.microsoft.com/office/drawing/2014/chart" uri="{C3380CC4-5D6E-409C-BE32-E72D297353CC}">
              <c16:uniqueId val="{00000000-5425-4AFA-AFE7-AFEA86B55BD4}"/>
            </c:ext>
          </c:extLst>
        </c:ser>
        <c:dLbls>
          <c:showLegendKey val="0"/>
          <c:showVal val="0"/>
          <c:showCatName val="0"/>
          <c:showSerName val="0"/>
          <c:showPercent val="0"/>
          <c:showBubbleSize val="0"/>
        </c:dLbls>
        <c:gapWidth val="219"/>
        <c:overlap val="-27"/>
        <c:axId val="1154190112"/>
        <c:axId val="1154194080"/>
      </c:barChart>
      <c:catAx>
        <c:axId val="1154190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0"/>
                  <a:t>Returns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194080"/>
        <c:crosses val="autoZero"/>
        <c:auto val="1"/>
        <c:lblAlgn val="ctr"/>
        <c:lblOffset val="100"/>
        <c:noMultiLvlLbl val="0"/>
      </c:catAx>
      <c:valAx>
        <c:axId val="1154194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190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37</Pages>
  <Words>8582</Words>
  <Characters>48918</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Edinburgh Napier University</Company>
  <LinksUpToDate>false</LinksUpToDate>
  <CharactersWithSpaces>57386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Khaleel, Fawad</dc:creator>
  <cp:keywords/>
  <dc:description/>
  <cp:lastModifiedBy>Khaleel, Fawad</cp:lastModifiedBy>
  <cp:revision>2</cp:revision>
  <dcterms:created xsi:type="dcterms:W3CDTF">2019-07-02T19:33:00Z</dcterms:created>
  <dcterms:modified xsi:type="dcterms:W3CDTF">2019-07-02T19:33:00Z</dcterms:modified>
</cp:coreProperties>
</file>