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04EA" w14:textId="265EBD9B" w:rsidR="004B3A6E" w:rsidRDefault="004E7651" w:rsidP="005930F2">
      <w:pPr>
        <w:jc w:val="center"/>
        <w:rPr>
          <w:b/>
          <w:bCs/>
        </w:rPr>
      </w:pPr>
      <w:r>
        <w:rPr>
          <w:b/>
          <w:bCs/>
        </w:rPr>
        <w:t>Legal Practice in Modern History</w:t>
      </w:r>
    </w:p>
    <w:p w14:paraId="1B9C9BE2" w14:textId="0C6F120E" w:rsidR="00607D4B" w:rsidRDefault="00607D4B" w:rsidP="005930F2">
      <w:pPr>
        <w:jc w:val="center"/>
        <w:rPr>
          <w:b/>
          <w:bCs/>
        </w:rPr>
      </w:pPr>
      <w:r>
        <w:rPr>
          <w:b/>
          <w:bCs/>
        </w:rPr>
        <w:t>Leslie Dodd, Edinburgh Napier University</w:t>
      </w:r>
    </w:p>
    <w:p w14:paraId="1C144B66" w14:textId="582DD649" w:rsidR="00607D4B" w:rsidRDefault="00607D4B" w:rsidP="005930F2">
      <w:pPr>
        <w:jc w:val="center"/>
      </w:pPr>
      <w:r>
        <w:rPr>
          <w:b/>
          <w:bCs/>
        </w:rPr>
        <w:t>May 22</w:t>
      </w:r>
      <w:r w:rsidRPr="00607D4B">
        <w:rPr>
          <w:b/>
          <w:bCs/>
          <w:vertAlign w:val="superscript"/>
        </w:rPr>
        <w:t>nd</w:t>
      </w:r>
      <w:r>
        <w:rPr>
          <w:b/>
          <w:bCs/>
        </w:rPr>
        <w:t xml:space="preserve"> 2021</w:t>
      </w:r>
    </w:p>
    <w:p w14:paraId="52FF3310" w14:textId="431291A1" w:rsidR="00CC049B" w:rsidRDefault="005F78DD" w:rsidP="00E34837">
      <w:pPr>
        <w:jc w:val="both"/>
      </w:pPr>
      <w:r>
        <w:t xml:space="preserve">The title of this paper is simply the title of the conference with the order of the adjectives switched. </w:t>
      </w:r>
      <w:r w:rsidR="005B7811">
        <w:t xml:space="preserve">Instead of talking about legal history in modern practice, I will talk about how the academic </w:t>
      </w:r>
      <w:r w:rsidR="0039642F">
        <w:t>discipline of history, as we know it today, owes its origins to the legal profession and to the needs of early modern legal practice</w:t>
      </w:r>
      <w:r w:rsidR="00CC049B">
        <w:t xml:space="preserve">. </w:t>
      </w:r>
    </w:p>
    <w:p w14:paraId="4209DAE8" w14:textId="40718007" w:rsidR="00BB5153" w:rsidRDefault="004F46F6" w:rsidP="00E34837">
      <w:pPr>
        <w:jc w:val="both"/>
      </w:pPr>
      <w:r>
        <w:t xml:space="preserve">A great deal </w:t>
      </w:r>
      <w:r w:rsidR="00F625A1">
        <w:t xml:space="preserve">of work has been done on the ways in which the </w:t>
      </w:r>
      <w:r>
        <w:t xml:space="preserve">study </w:t>
      </w:r>
      <w:r w:rsidR="00B84E28">
        <w:t xml:space="preserve">and writing </w:t>
      </w:r>
      <w:r>
        <w:t xml:space="preserve">of history changed </w:t>
      </w:r>
      <w:r w:rsidR="00B84E28">
        <w:t xml:space="preserve">in Europe </w:t>
      </w:r>
      <w:r>
        <w:t>during the 16</w:t>
      </w:r>
      <w:r w:rsidRPr="004F46F6">
        <w:rPr>
          <w:vertAlign w:val="superscript"/>
        </w:rPr>
        <w:t>th</w:t>
      </w:r>
      <w:r>
        <w:t xml:space="preserve"> and 17</w:t>
      </w:r>
      <w:r w:rsidRPr="004F46F6">
        <w:rPr>
          <w:vertAlign w:val="superscript"/>
        </w:rPr>
        <w:t>th</w:t>
      </w:r>
      <w:r>
        <w:t xml:space="preserve"> centuries</w:t>
      </w:r>
      <w:r w:rsidR="00B07997">
        <w:t>.</w:t>
      </w:r>
      <w:r w:rsidR="002D469F">
        <w:rPr>
          <w:rStyle w:val="FootnoteReference"/>
        </w:rPr>
        <w:footnoteReference w:id="1"/>
      </w:r>
      <w:r w:rsidR="00B84E28">
        <w:t xml:space="preserve">  </w:t>
      </w:r>
      <w:r w:rsidR="008173DB">
        <w:t xml:space="preserve">Much has been written, too, about the emergence of legal history as a </w:t>
      </w:r>
      <w:r w:rsidR="005B61F1">
        <w:t xml:space="preserve">separate </w:t>
      </w:r>
      <w:r w:rsidR="00A26C78">
        <w:t>branch of intellectual inquiry.</w:t>
      </w:r>
      <w:r w:rsidR="00807C20">
        <w:rPr>
          <w:rStyle w:val="FootnoteReference"/>
        </w:rPr>
        <w:footnoteReference w:id="2"/>
      </w:r>
      <w:r w:rsidR="0074322B">
        <w:t xml:space="preserve"> </w:t>
      </w:r>
      <w:r w:rsidR="00F625A1">
        <w:t xml:space="preserve">Less attention has been given to the </w:t>
      </w:r>
      <w:r w:rsidR="0074322B">
        <w:t xml:space="preserve">specific relationship between </w:t>
      </w:r>
      <w:r w:rsidR="00294DB9">
        <w:t>histor</w:t>
      </w:r>
      <w:r w:rsidR="001E0015">
        <w:t xml:space="preserve">y </w:t>
      </w:r>
      <w:r w:rsidR="00294DB9">
        <w:t xml:space="preserve">and </w:t>
      </w:r>
      <w:r w:rsidR="00BB5153">
        <w:t xml:space="preserve">the profession of law </w:t>
      </w:r>
      <w:r w:rsidR="00294DB9">
        <w:t>in this period.</w:t>
      </w:r>
      <w:r w:rsidR="001E0015">
        <w:t xml:space="preserve"> </w:t>
      </w:r>
    </w:p>
    <w:p w14:paraId="33BE6CEC" w14:textId="028BD735" w:rsidR="001E0015" w:rsidRDefault="00C6772D" w:rsidP="00E34837">
      <w:pPr>
        <w:jc w:val="both"/>
      </w:pPr>
      <w:r w:rsidRPr="00C6772D">
        <w:t xml:space="preserve">This paper is </w:t>
      </w:r>
      <w:r w:rsidR="00A178FC">
        <w:t xml:space="preserve">essentially </w:t>
      </w:r>
      <w:r w:rsidRPr="00C6772D">
        <w:t>about the reinvent</w:t>
      </w:r>
      <w:r w:rsidR="0016550E">
        <w:t>ion</w:t>
      </w:r>
      <w:r w:rsidRPr="00C6772D">
        <w:t xml:space="preserve"> </w:t>
      </w:r>
      <w:r w:rsidR="0016550E">
        <w:t xml:space="preserve">of </w:t>
      </w:r>
      <w:r w:rsidR="00271418">
        <w:t xml:space="preserve">the study, writing and methodologies of historical inquiry </w:t>
      </w:r>
      <w:r w:rsidR="004072D0">
        <w:t>carried out in the 16</w:t>
      </w:r>
      <w:r w:rsidR="004072D0" w:rsidRPr="004072D0">
        <w:rPr>
          <w:vertAlign w:val="superscript"/>
        </w:rPr>
        <w:t>th</w:t>
      </w:r>
      <w:r w:rsidR="004072D0">
        <w:t xml:space="preserve"> century by </w:t>
      </w:r>
      <w:r w:rsidR="00CB176E">
        <w:t xml:space="preserve">lawyers who were </w:t>
      </w:r>
      <w:r w:rsidR="00F6746A">
        <w:t xml:space="preserve">trying to </w:t>
      </w:r>
      <w:r w:rsidR="00271418">
        <w:t>create a</w:t>
      </w:r>
      <w:r w:rsidR="00F6746A">
        <w:t xml:space="preserve">n expression </w:t>
      </w:r>
      <w:r w:rsidR="00271418">
        <w:t>o</w:t>
      </w:r>
      <w:r w:rsidR="00F6746A">
        <w:t>f</w:t>
      </w:r>
      <w:r w:rsidR="00271418">
        <w:t xml:space="preserve"> history that met the needs of </w:t>
      </w:r>
      <w:r w:rsidR="0058595E">
        <w:t xml:space="preserve">the </w:t>
      </w:r>
      <w:r w:rsidR="00271418">
        <w:t xml:space="preserve">legal </w:t>
      </w:r>
      <w:r w:rsidR="004120A6">
        <w:t>pr</w:t>
      </w:r>
      <w:r w:rsidR="0058595E">
        <w:t>ofession</w:t>
      </w:r>
      <w:r w:rsidR="00271418">
        <w:t>.</w:t>
      </w:r>
      <w:r w:rsidR="0016550E">
        <w:t xml:space="preserve"> In </w:t>
      </w:r>
      <w:r w:rsidR="00B77401">
        <w:t>doing so, they</w:t>
      </w:r>
      <w:r w:rsidRPr="00C6772D">
        <w:t xml:space="preserve"> created what </w:t>
      </w:r>
      <w:r w:rsidR="002115CD">
        <w:t xml:space="preserve">we </w:t>
      </w:r>
      <w:r w:rsidRPr="00C6772D">
        <w:t xml:space="preserve">would now </w:t>
      </w:r>
      <w:r w:rsidR="002115CD">
        <w:t xml:space="preserve">call the discipline of </w:t>
      </w:r>
      <w:r w:rsidRPr="00C6772D">
        <w:t>modern history.</w:t>
      </w:r>
    </w:p>
    <w:p w14:paraId="60D3788A" w14:textId="092EC1EC" w:rsidR="00B84E28" w:rsidRDefault="00B84E28" w:rsidP="00E34837">
      <w:pPr>
        <w:jc w:val="both"/>
      </w:pPr>
    </w:p>
    <w:p w14:paraId="61D2388C" w14:textId="37E9E8D7" w:rsidR="00AC26B0" w:rsidRPr="00AC26B0" w:rsidRDefault="00AC26B0" w:rsidP="00E34837">
      <w:pPr>
        <w:jc w:val="both"/>
        <w:rPr>
          <w:b/>
          <w:bCs/>
        </w:rPr>
      </w:pPr>
      <w:r>
        <w:rPr>
          <w:b/>
          <w:bCs/>
        </w:rPr>
        <w:t xml:space="preserve">The </w:t>
      </w:r>
      <w:r w:rsidR="004620D1">
        <w:rPr>
          <w:b/>
          <w:bCs/>
        </w:rPr>
        <w:t>beginnings</w:t>
      </w:r>
      <w:r>
        <w:rPr>
          <w:b/>
          <w:bCs/>
        </w:rPr>
        <w:t xml:space="preserve"> of Western historiography</w:t>
      </w:r>
    </w:p>
    <w:p w14:paraId="75C4D5D7" w14:textId="6D811E1F" w:rsidR="001134F8" w:rsidRDefault="00F219A0" w:rsidP="00E34837">
      <w:pPr>
        <w:jc w:val="both"/>
      </w:pPr>
      <w:r>
        <w:t xml:space="preserve">The </w:t>
      </w:r>
      <w:r w:rsidR="003A523E">
        <w:t>Western</w:t>
      </w:r>
      <w:r>
        <w:t xml:space="preserve"> tradition of </w:t>
      </w:r>
      <w:r w:rsidR="00282375">
        <w:t>written history</w:t>
      </w:r>
      <w:r w:rsidR="003A523E">
        <w:t xml:space="preserve"> </w:t>
      </w:r>
      <w:r>
        <w:t xml:space="preserve">begins </w:t>
      </w:r>
      <w:r w:rsidR="005460DE">
        <w:t>in Greece</w:t>
      </w:r>
      <w:r w:rsidR="008F0857">
        <w:t xml:space="preserve">, but the </w:t>
      </w:r>
      <w:r w:rsidR="005460DE">
        <w:t>influence of Greek historiography</w:t>
      </w:r>
      <w:r w:rsidR="005B48B1">
        <w:t xml:space="preserve"> </w:t>
      </w:r>
      <w:r w:rsidR="00393B57">
        <w:t xml:space="preserve">on European thought </w:t>
      </w:r>
      <w:r w:rsidR="005B48B1">
        <w:t>was</w:t>
      </w:r>
      <w:r w:rsidR="008F0857">
        <w:t xml:space="preserve">, </w:t>
      </w:r>
      <w:r>
        <w:t xml:space="preserve">for linguistic reasons, quite limited until </w:t>
      </w:r>
      <w:r w:rsidR="008F0857">
        <w:t>at least the 18</w:t>
      </w:r>
      <w:r w:rsidR="008F0857" w:rsidRPr="008F0857">
        <w:rPr>
          <w:vertAlign w:val="superscript"/>
        </w:rPr>
        <w:t>th</w:t>
      </w:r>
      <w:r w:rsidR="008F0857">
        <w:t xml:space="preserve"> century</w:t>
      </w:r>
      <w:r>
        <w:t xml:space="preserve">. </w:t>
      </w:r>
      <w:r w:rsidR="0078585E">
        <w:t>It</w:t>
      </w:r>
      <w:r>
        <w:t xml:space="preserve"> was </w:t>
      </w:r>
      <w:r w:rsidR="0078585E">
        <w:t xml:space="preserve">instead </w:t>
      </w:r>
      <w:r w:rsidR="008F0857">
        <w:t>Rom</w:t>
      </w:r>
      <w:r>
        <w:t>e</w:t>
      </w:r>
      <w:r w:rsidR="008F0857">
        <w:t xml:space="preserve"> that </w:t>
      </w:r>
      <w:r w:rsidR="00BA1260">
        <w:t xml:space="preserve">provided </w:t>
      </w:r>
      <w:r w:rsidR="00DC2688">
        <w:t xml:space="preserve">the </w:t>
      </w:r>
      <w:r w:rsidR="008F0857">
        <w:t>intellectual inheritance</w:t>
      </w:r>
      <w:r w:rsidR="00DC2688">
        <w:t xml:space="preserve"> of </w:t>
      </w:r>
      <w:r w:rsidR="005B2BE4">
        <w:t xml:space="preserve">European </w:t>
      </w:r>
      <w:r w:rsidR="00DC2688">
        <w:t>historiography</w:t>
      </w:r>
      <w:r w:rsidR="008F0857">
        <w:t xml:space="preserve">. </w:t>
      </w:r>
    </w:p>
    <w:p w14:paraId="66D9DFFC" w14:textId="0BAE9DC2" w:rsidR="007730AD" w:rsidRDefault="00BE73CA" w:rsidP="0074580B">
      <w:pPr>
        <w:jc w:val="both"/>
      </w:pPr>
      <w:r>
        <w:t xml:space="preserve">For the Romans, history was </w:t>
      </w:r>
      <w:r w:rsidR="006C00D2">
        <w:t xml:space="preserve">didactic. It existed to teach lessons. Indeed, Cicero describes history as the </w:t>
      </w:r>
      <w:r w:rsidR="006C00D2">
        <w:rPr>
          <w:i/>
          <w:iCs/>
        </w:rPr>
        <w:t>magistra vitae</w:t>
      </w:r>
      <w:r w:rsidR="006C00D2">
        <w:t xml:space="preserve"> – the teacher of life.</w:t>
      </w:r>
      <w:r w:rsidR="006C00D2">
        <w:rPr>
          <w:rStyle w:val="FootnoteReference"/>
        </w:rPr>
        <w:footnoteReference w:id="3"/>
      </w:r>
      <w:r w:rsidR="006C00D2">
        <w:t xml:space="preserve"> Th</w:t>
      </w:r>
      <w:r w:rsidR="00EA7EE5">
        <w:t>at</w:t>
      </w:r>
      <w:r w:rsidR="006C00D2">
        <w:t xml:space="preserve"> phrase encapsulates the </w:t>
      </w:r>
      <w:r w:rsidR="00FC7EC7">
        <w:t xml:space="preserve">conventional </w:t>
      </w:r>
      <w:r w:rsidR="006C00D2">
        <w:t>Roman perspective</w:t>
      </w:r>
      <w:r w:rsidR="003F2735">
        <w:t>. The purpose of</w:t>
      </w:r>
      <w:r w:rsidR="006C00D2">
        <w:t xml:space="preserve"> history</w:t>
      </w:r>
      <w:r w:rsidR="003F2735">
        <w:t xml:space="preserve"> </w:t>
      </w:r>
      <w:r w:rsidR="00284EE7">
        <w:t xml:space="preserve">was </w:t>
      </w:r>
      <w:r w:rsidR="006C00D2">
        <w:t>to impart lessons</w:t>
      </w:r>
      <w:r w:rsidR="00F93E8C">
        <w:t xml:space="preserve"> to the reader. </w:t>
      </w:r>
      <w:r w:rsidR="007D4C0A">
        <w:t>Overwhelmingly, these lessons were moral in nature.</w:t>
      </w:r>
      <w:r w:rsidR="00044CB0">
        <w:t xml:space="preserve"> As early as the second century BC, Cato the Elder, the first historian to write in Latin</w:t>
      </w:r>
      <w:r w:rsidR="00E844BA">
        <w:t xml:space="preserve"> prose</w:t>
      </w:r>
      <w:r w:rsidR="00044CB0">
        <w:t xml:space="preserve">, was using his </w:t>
      </w:r>
      <w:r w:rsidR="00737720">
        <w:t>account</w:t>
      </w:r>
      <w:r w:rsidR="00376482">
        <w:t xml:space="preserve"> of Roman history</w:t>
      </w:r>
      <w:r w:rsidR="009A5438">
        <w:t xml:space="preserve"> to rail against the degeneracy and immorality caused by the </w:t>
      </w:r>
      <w:r w:rsidR="00D61D29">
        <w:t>influence</w:t>
      </w:r>
      <w:r w:rsidR="009A5438">
        <w:t xml:space="preserve"> </w:t>
      </w:r>
      <w:r w:rsidR="00D13DCD">
        <w:t xml:space="preserve">on Rome </w:t>
      </w:r>
      <w:r w:rsidR="009A5438">
        <w:t>of Hellenistic cultur</w:t>
      </w:r>
      <w:r w:rsidR="00D13DCD">
        <w:t>e</w:t>
      </w:r>
      <w:r w:rsidR="009A5438">
        <w:t xml:space="preserve">. </w:t>
      </w:r>
      <w:r w:rsidR="00034F69">
        <w:t xml:space="preserve">Cato was followed by a great many historical writers, of whom four stand out </w:t>
      </w:r>
      <w:r w:rsidR="00A318C3">
        <w:t xml:space="preserve">as the key </w:t>
      </w:r>
      <w:r w:rsidR="008359FC">
        <w:t xml:space="preserve">Roman </w:t>
      </w:r>
      <w:r w:rsidR="00A318C3">
        <w:t>histori</w:t>
      </w:r>
      <w:r w:rsidR="004C0836">
        <w:t>ans of antiquity</w:t>
      </w:r>
      <w:r w:rsidR="00A318C3">
        <w:t>. The</w:t>
      </w:r>
      <w:r w:rsidR="001352C4">
        <w:t xml:space="preserve">se four </w:t>
      </w:r>
      <w:r w:rsidR="00A318C3">
        <w:t xml:space="preserve">become the great models for </w:t>
      </w:r>
      <w:r w:rsidR="00C95BFD">
        <w:t xml:space="preserve">later </w:t>
      </w:r>
      <w:r w:rsidR="00A318C3">
        <w:t>literary emulation. They are</w:t>
      </w:r>
      <w:r w:rsidR="003737E4">
        <w:t xml:space="preserve"> Sallust,</w:t>
      </w:r>
      <w:r w:rsidR="00A318C3">
        <w:t xml:space="preserve"> </w:t>
      </w:r>
      <w:r w:rsidR="00034F69">
        <w:t xml:space="preserve">Livy, Tacitus, and Ammianus. </w:t>
      </w:r>
      <w:r w:rsidR="00A318C3">
        <w:t>Livy</w:t>
      </w:r>
      <w:r w:rsidR="005F5940">
        <w:t xml:space="preserve"> gives us a summary of the purpose of history</w:t>
      </w:r>
      <w:r w:rsidR="00502CC2">
        <w:t xml:space="preserve"> as he understood it</w:t>
      </w:r>
      <w:r w:rsidR="005F5940">
        <w:t xml:space="preserve">: </w:t>
      </w:r>
      <w:r w:rsidR="00A318C3">
        <w:t xml:space="preserve">“What chiefly makes the study of history wholesome and </w:t>
      </w:r>
      <w:r w:rsidR="00A24876">
        <w:t>valuable</w:t>
      </w:r>
      <w:r w:rsidR="00A318C3">
        <w:t xml:space="preserve"> is this, that you behold </w:t>
      </w:r>
      <w:r w:rsidR="00823418">
        <w:t>lessons</w:t>
      </w:r>
      <w:r w:rsidR="00A318C3">
        <w:t xml:space="preserve"> of every kind of experience set forth as </w:t>
      </w:r>
      <w:r w:rsidR="00823418">
        <w:t xml:space="preserve">if </w:t>
      </w:r>
      <w:r w:rsidR="00A318C3">
        <w:t xml:space="preserve">a conspicuous monument; from these you may choose </w:t>
      </w:r>
      <w:r w:rsidR="007730AD">
        <w:t xml:space="preserve">what to imitate, both </w:t>
      </w:r>
      <w:r w:rsidR="00A318C3">
        <w:t>for yourself and for your</w:t>
      </w:r>
      <w:r w:rsidR="006B326A">
        <w:t xml:space="preserve"> </w:t>
      </w:r>
      <w:r w:rsidR="00E00F9F">
        <w:t>state</w:t>
      </w:r>
      <w:r w:rsidR="007730AD">
        <w:t>, and what you should shun as shameful in design and shameful in outcome.”</w:t>
      </w:r>
      <w:r w:rsidR="005F5940" w:rsidRPr="005F5940">
        <w:rPr>
          <w:rStyle w:val="FootnoteReference"/>
        </w:rPr>
        <w:t xml:space="preserve"> </w:t>
      </w:r>
      <w:r w:rsidR="005F5940">
        <w:rPr>
          <w:rStyle w:val="FootnoteReference"/>
        </w:rPr>
        <w:footnoteReference w:id="4"/>
      </w:r>
      <w:r w:rsidR="00B13A45">
        <w:t xml:space="preserve"> </w:t>
      </w:r>
    </w:p>
    <w:p w14:paraId="4479B4AC" w14:textId="276BF53A" w:rsidR="004619B6" w:rsidRDefault="004619B6" w:rsidP="0074580B">
      <w:pPr>
        <w:jc w:val="both"/>
      </w:pPr>
      <w:r>
        <w:lastRenderedPageBreak/>
        <w:t xml:space="preserve">Similar things can be said about the others. Sallust </w:t>
      </w:r>
      <w:r w:rsidR="00CB0A09">
        <w:t>described</w:t>
      </w:r>
      <w:r>
        <w:t xml:space="preserve"> Rome</w:t>
      </w:r>
      <w:r w:rsidR="0074580B">
        <w:t xml:space="preserve">, following the destruction of Carthage, </w:t>
      </w:r>
      <w:r>
        <w:t xml:space="preserve">as </w:t>
      </w:r>
      <w:r w:rsidR="0074580B">
        <w:t xml:space="preserve">a culture </w:t>
      </w:r>
      <w:r>
        <w:t>in moral decline as ambition and greed corrupt</w:t>
      </w:r>
      <w:r w:rsidR="00481F4F">
        <w:t>ed</w:t>
      </w:r>
      <w:r>
        <w:t xml:space="preserve"> </w:t>
      </w:r>
      <w:r w:rsidR="0074580B">
        <w:t xml:space="preserve">Roman society and political life. </w:t>
      </w:r>
      <w:r w:rsidR="00DE3F49">
        <w:t>Tacitus</w:t>
      </w:r>
      <w:r w:rsidR="007846F6">
        <w:t xml:space="preserve">, </w:t>
      </w:r>
      <w:r w:rsidR="00DE3F49">
        <w:t>too</w:t>
      </w:r>
      <w:r w:rsidR="007846F6">
        <w:t xml:space="preserve">, cared less about the facts of history than about the “deeper moral meaning” behind events and used his works to </w:t>
      </w:r>
      <w:r w:rsidR="00DE3F49">
        <w:t>critique the politics and perceived corruption of Rome</w:t>
      </w:r>
      <w:r w:rsidR="007846F6">
        <w:t>.</w:t>
      </w:r>
      <w:r w:rsidR="00AC5028">
        <w:rPr>
          <w:rStyle w:val="FootnoteReference"/>
        </w:rPr>
        <w:footnoteReference w:id="5"/>
      </w:r>
      <w:r w:rsidR="005D73A6">
        <w:t xml:space="preserve"> </w:t>
      </w:r>
      <w:r w:rsidR="005D73A6" w:rsidRPr="005D73A6">
        <w:t>Ammianus, a Syrian Greek</w:t>
      </w:r>
      <w:r w:rsidR="0066770D">
        <w:t xml:space="preserve"> pagan</w:t>
      </w:r>
      <w:r w:rsidR="005D73A6">
        <w:t xml:space="preserve"> in the later empire</w:t>
      </w:r>
      <w:r w:rsidR="005D73A6" w:rsidRPr="005D73A6">
        <w:t xml:space="preserve">, was the last great Roman historian. He continued Tacitus’ moralising historiography with a bleak view of </w:t>
      </w:r>
      <w:r w:rsidR="00C93742">
        <w:t xml:space="preserve">the downward </w:t>
      </w:r>
      <w:r w:rsidR="005D73A6" w:rsidRPr="005D73A6">
        <w:t xml:space="preserve">moral </w:t>
      </w:r>
      <w:r w:rsidR="00C93742">
        <w:t xml:space="preserve">spiral </w:t>
      </w:r>
      <w:r w:rsidR="005D73A6" w:rsidRPr="005D73A6">
        <w:t>caused by Rome’s ever-increasing distance from</w:t>
      </w:r>
      <w:r w:rsidR="00446FEA">
        <w:t xml:space="preserve"> </w:t>
      </w:r>
      <w:r w:rsidR="00254EB4">
        <w:t xml:space="preserve">her </w:t>
      </w:r>
      <w:r w:rsidR="005D73A6" w:rsidRPr="005D73A6">
        <w:t xml:space="preserve">ancestral customs. </w:t>
      </w:r>
    </w:p>
    <w:p w14:paraId="556114F1" w14:textId="13C8EBEA" w:rsidR="00375D5A" w:rsidRDefault="00EC2D90" w:rsidP="0074580B">
      <w:pPr>
        <w:jc w:val="both"/>
      </w:pPr>
      <w:r>
        <w:t>Roman historiography was usable precisely because it was avowedly moral</w:t>
      </w:r>
      <w:r w:rsidR="00E73F3E">
        <w:t xml:space="preserve">; </w:t>
      </w:r>
      <w:r w:rsidR="00852011">
        <w:t>but</w:t>
      </w:r>
      <w:r w:rsidR="00151E22">
        <w:t>,</w:t>
      </w:r>
      <w:r w:rsidR="00E73F3E">
        <w:t xml:space="preserve"> since it was moral, it was also inherently personal. Roman historiography recounted the</w:t>
      </w:r>
      <w:r w:rsidR="00E73F3E" w:rsidRPr="008F2C85">
        <w:t xml:space="preserve"> moral conduct of</w:t>
      </w:r>
      <w:r w:rsidR="00E73F3E">
        <w:t xml:space="preserve"> individuals, which was </w:t>
      </w:r>
      <w:r>
        <w:t xml:space="preserve">construed </w:t>
      </w:r>
      <w:r w:rsidR="00E73F3E">
        <w:t xml:space="preserve">as </w:t>
      </w:r>
      <w:r>
        <w:t xml:space="preserve">the driving force </w:t>
      </w:r>
      <w:r w:rsidR="00BB34C4">
        <w:t xml:space="preserve">behind all </w:t>
      </w:r>
      <w:r>
        <w:t>historical and political developments</w:t>
      </w:r>
      <w:r w:rsidR="00E73F3E">
        <w:t>.</w:t>
      </w:r>
      <w:r w:rsidR="00E73F3E">
        <w:rPr>
          <w:rStyle w:val="FootnoteReference"/>
        </w:rPr>
        <w:footnoteReference w:id="6"/>
      </w:r>
      <w:r w:rsidR="00E73F3E">
        <w:t xml:space="preserve"> </w:t>
      </w:r>
      <w:r>
        <w:t>History was a creation or function of human morality</w:t>
      </w:r>
      <w:r w:rsidR="00BD2CD8">
        <w:t xml:space="preserve">; so, historiography </w:t>
      </w:r>
      <w:r w:rsidR="00267F15">
        <w:t xml:space="preserve">had to be </w:t>
      </w:r>
      <w:r w:rsidR="00BD2CD8">
        <w:t>a moral narrative</w:t>
      </w:r>
      <w:r>
        <w:t xml:space="preserve">. By illustrating the character of historical figures and the consequences of their </w:t>
      </w:r>
      <w:r w:rsidR="002F22EB">
        <w:t>personal conduct and moral standing</w:t>
      </w:r>
      <w:r>
        <w:t xml:space="preserve">, Roman historians provided </w:t>
      </w:r>
      <w:r w:rsidR="00553912">
        <w:t>heroes to emulate</w:t>
      </w:r>
      <w:r>
        <w:t xml:space="preserve"> and </w:t>
      </w:r>
      <w:r w:rsidR="00553912">
        <w:t>villains to blame</w:t>
      </w:r>
      <w:r>
        <w:t xml:space="preserve">. </w:t>
      </w:r>
      <w:r w:rsidR="009377BF">
        <w:t xml:space="preserve">The </w:t>
      </w:r>
      <w:r w:rsidR="00BB34C4">
        <w:t xml:space="preserve">Roman </w:t>
      </w:r>
      <w:r w:rsidR="006E34BC">
        <w:t>historiograph</w:t>
      </w:r>
      <w:r w:rsidR="00BB34C4">
        <w:t xml:space="preserve">er never attempted </w:t>
      </w:r>
      <w:r w:rsidR="00250D7A">
        <w:t xml:space="preserve">to explain </w:t>
      </w:r>
      <w:r w:rsidR="00BB34C4">
        <w:t xml:space="preserve">events </w:t>
      </w:r>
      <w:r w:rsidR="001B1DE2">
        <w:t xml:space="preserve">in a disinterested way, as the Greeks </w:t>
      </w:r>
      <w:r w:rsidR="00BB34C4">
        <w:t xml:space="preserve">historians did, </w:t>
      </w:r>
      <w:r w:rsidR="001B1DE2">
        <w:t xml:space="preserve">nor to </w:t>
      </w:r>
      <w:r w:rsidR="00250D7A">
        <w:t>analyse particular events in a scientific manner</w:t>
      </w:r>
      <w:r w:rsidR="001B1DE2">
        <w:t>, as a modern historian would</w:t>
      </w:r>
      <w:r w:rsidR="00C52CC3">
        <w:t xml:space="preserve">; he aimed, instead, at </w:t>
      </w:r>
      <w:r w:rsidR="00250D7A">
        <w:t>the reader</w:t>
      </w:r>
      <w:r w:rsidR="001B1DE2">
        <w:t>’s moral instruction</w:t>
      </w:r>
      <w:r w:rsidR="00AA1735">
        <w:t>.</w:t>
      </w:r>
    </w:p>
    <w:p w14:paraId="11FF7EF0" w14:textId="0B603FAF" w:rsidR="00161070" w:rsidRDefault="00161070" w:rsidP="00E34837">
      <w:pPr>
        <w:jc w:val="both"/>
      </w:pPr>
      <w:r>
        <w:t xml:space="preserve">Roman historiography can be read </w:t>
      </w:r>
      <w:r w:rsidR="00D11C24">
        <w:t xml:space="preserve">holistically </w:t>
      </w:r>
      <w:r>
        <w:t xml:space="preserve">as </w:t>
      </w:r>
      <w:r w:rsidR="00D11C24">
        <w:t xml:space="preserve">a </w:t>
      </w:r>
      <w:r w:rsidR="000B3804">
        <w:t xml:space="preserve">long </w:t>
      </w:r>
      <w:r w:rsidR="00D945F8">
        <w:t>jeremiad</w:t>
      </w:r>
      <w:r w:rsidR="000B3804">
        <w:t xml:space="preserve"> of </w:t>
      </w:r>
      <w:r>
        <w:t>moral</w:t>
      </w:r>
      <w:r w:rsidR="000B3804">
        <w:t xml:space="preserve"> decline</w:t>
      </w:r>
      <w:r>
        <w:t xml:space="preserve"> and its effects. This moral </w:t>
      </w:r>
      <w:r w:rsidR="00B8690F">
        <w:t>narrative</w:t>
      </w:r>
      <w:r>
        <w:t xml:space="preserve"> was inherently political because it </w:t>
      </w:r>
      <w:r w:rsidR="00BD4512">
        <w:t xml:space="preserve">analysed and judged </w:t>
      </w:r>
      <w:r>
        <w:t xml:space="preserve">the character of the men (and </w:t>
      </w:r>
      <w:r w:rsidR="0014437D">
        <w:t>sometimes</w:t>
      </w:r>
      <w:r>
        <w:t xml:space="preserve"> women) who worked the levers of political power at Rome. Everyone one of the classical Latin historians was ultimately writing about how Roman society ha</w:t>
      </w:r>
      <w:r w:rsidR="005A676F">
        <w:t>d</w:t>
      </w:r>
      <w:r>
        <w:t xml:space="preserve"> been damaged by declining moral standards, particularly </w:t>
      </w:r>
      <w:r w:rsidR="001A6E81">
        <w:t xml:space="preserve">among </w:t>
      </w:r>
      <w:r>
        <w:t xml:space="preserve">its leaders but also </w:t>
      </w:r>
      <w:r w:rsidR="00C44495">
        <w:t xml:space="preserve">among </w:t>
      </w:r>
      <w:r>
        <w:t>the Roman people in general. This dimension of moral judgment</w:t>
      </w:r>
      <w:r w:rsidR="008317B1">
        <w:t xml:space="preserve"> </w:t>
      </w:r>
      <w:r>
        <w:t xml:space="preserve">makes these sources more difficult for a modern readership to engage with, </w:t>
      </w:r>
      <w:r w:rsidR="008317B1">
        <w:t xml:space="preserve">but this </w:t>
      </w:r>
      <w:r>
        <w:t xml:space="preserve">was precisely the thing that made </w:t>
      </w:r>
      <w:r w:rsidR="008317B1">
        <w:t xml:space="preserve">history </w:t>
      </w:r>
      <w:r>
        <w:t xml:space="preserve">usable to a Roman. </w:t>
      </w:r>
    </w:p>
    <w:p w14:paraId="21F91CA5" w14:textId="49639021" w:rsidR="0008667D" w:rsidRDefault="00C5324B" w:rsidP="00185922">
      <w:pPr>
        <w:jc w:val="both"/>
      </w:pPr>
      <w:r>
        <w:t>Th</w:t>
      </w:r>
      <w:r w:rsidR="000C0B7E">
        <w:t xml:space="preserve">e </w:t>
      </w:r>
      <w:r w:rsidR="00CA21A1">
        <w:t xml:space="preserve">tradition of moralising history </w:t>
      </w:r>
      <w:r w:rsidR="000C0B7E">
        <w:t>did not end with the Roman Empire. The Roman approach</w:t>
      </w:r>
      <w:r w:rsidR="00B16F41">
        <w:t xml:space="preserve"> </w:t>
      </w:r>
      <w:r w:rsidR="00CA21A1">
        <w:t>dovetailed very neatly with the emergent Christian theology of</w:t>
      </w:r>
      <w:r w:rsidR="00BA339B">
        <w:t xml:space="preserve"> the early middle ages</w:t>
      </w:r>
      <w:r w:rsidR="00CA21A1">
        <w:t>.</w:t>
      </w:r>
      <w:r w:rsidR="00A05F57">
        <w:rPr>
          <w:rStyle w:val="FootnoteReference"/>
        </w:rPr>
        <w:footnoteReference w:id="7"/>
      </w:r>
      <w:r w:rsidR="00CA21A1">
        <w:t xml:space="preserve"> </w:t>
      </w:r>
      <w:r w:rsidR="004A6285" w:rsidRPr="004A6285">
        <w:t xml:space="preserve">Christianity </w:t>
      </w:r>
      <w:r w:rsidR="00514921">
        <w:t xml:space="preserve">has </w:t>
      </w:r>
      <w:r w:rsidR="004A6285" w:rsidRPr="004A6285">
        <w:t xml:space="preserve">its own particular moral </w:t>
      </w:r>
      <w:r w:rsidR="006F1CE5">
        <w:t xml:space="preserve">history </w:t>
      </w:r>
      <w:r w:rsidR="004A6285" w:rsidRPr="004A6285">
        <w:t xml:space="preserve">to </w:t>
      </w:r>
      <w:r w:rsidR="00975784">
        <w:t xml:space="preserve">recount </w:t>
      </w:r>
      <w:r w:rsidR="004A6285" w:rsidRPr="004A6285">
        <w:t xml:space="preserve">and part of that </w:t>
      </w:r>
      <w:r w:rsidR="002B463A">
        <w:t xml:space="preserve">is the </w:t>
      </w:r>
      <w:r w:rsidR="004A6285" w:rsidRPr="004A6285">
        <w:t xml:space="preserve">tale </w:t>
      </w:r>
      <w:r w:rsidR="002B463A">
        <w:t xml:space="preserve">of humanity’s long </w:t>
      </w:r>
      <w:r w:rsidR="004A6285" w:rsidRPr="004A6285">
        <w:t>moral decline beginning in the Garden of Eden and ending with the destruction of the material world at the Apocalypse.</w:t>
      </w:r>
      <w:r w:rsidR="00837483">
        <w:t xml:space="preserve"> </w:t>
      </w:r>
      <w:r w:rsidR="00B2196E">
        <w:t xml:space="preserve">History </w:t>
      </w:r>
      <w:r w:rsidR="00CF76FD">
        <w:t xml:space="preserve">could be seen </w:t>
      </w:r>
      <w:r w:rsidR="00B2196E">
        <w:t xml:space="preserve">as </w:t>
      </w:r>
      <w:r w:rsidR="00B2196E" w:rsidRPr="009F53E9">
        <w:t>“a unified Christian drama extending from the Creation to the Last Judgement”.</w:t>
      </w:r>
      <w:r w:rsidR="00B2196E">
        <w:rPr>
          <w:rStyle w:val="FootnoteReference"/>
        </w:rPr>
        <w:footnoteReference w:id="8"/>
      </w:r>
      <w:r w:rsidR="00B2196E">
        <w:t xml:space="preserve"> </w:t>
      </w:r>
      <w:r w:rsidR="00532877">
        <w:t>As St Augustine saw it, history was “a theatre of God’s hidden purposes”</w:t>
      </w:r>
      <w:r w:rsidR="00B2196E">
        <w:t>.</w:t>
      </w:r>
      <w:r w:rsidR="00C06B5C">
        <w:rPr>
          <w:rStyle w:val="FootnoteReference"/>
        </w:rPr>
        <w:footnoteReference w:id="9"/>
      </w:r>
      <w:r w:rsidR="00D833B8">
        <w:t xml:space="preserve"> </w:t>
      </w:r>
      <w:r w:rsidR="00B2196E">
        <w:t>S</w:t>
      </w:r>
      <w:r w:rsidR="00EA0C75">
        <w:t xml:space="preserve">o, if </w:t>
      </w:r>
      <w:r w:rsidR="00CA21A1">
        <w:t>Christian historiography serve</w:t>
      </w:r>
      <w:r w:rsidR="00A47C1D">
        <w:t>d</w:t>
      </w:r>
      <w:r w:rsidR="00CA21A1">
        <w:t xml:space="preserve"> any function,</w:t>
      </w:r>
      <w:r w:rsidR="006679D7">
        <w:t xml:space="preserve"> </w:t>
      </w:r>
      <w:r w:rsidR="00CA21A1">
        <w:t xml:space="preserve">it </w:t>
      </w:r>
      <w:r w:rsidR="00A47C1D">
        <w:t>wa</w:t>
      </w:r>
      <w:r w:rsidR="00CA21A1">
        <w:t xml:space="preserve">s </w:t>
      </w:r>
      <w:r w:rsidR="00CA21A1">
        <w:rPr>
          <w:i/>
          <w:iCs/>
        </w:rPr>
        <w:t xml:space="preserve">as </w:t>
      </w:r>
      <w:r w:rsidR="00CA21A1">
        <w:t>a moral didactic.</w:t>
      </w:r>
    </w:p>
    <w:p w14:paraId="039AD1BB" w14:textId="172F0D88" w:rsidR="00923173" w:rsidRDefault="00903BF2" w:rsidP="00185922">
      <w:pPr>
        <w:jc w:val="both"/>
      </w:pPr>
      <w:r>
        <w:t>T</w:t>
      </w:r>
      <w:r w:rsidR="009D0586">
        <w:t xml:space="preserve">here were </w:t>
      </w:r>
      <w:r w:rsidR="00B321AB">
        <w:t xml:space="preserve">some real </w:t>
      </w:r>
      <w:r w:rsidR="009D0586">
        <w:t>differences between the mediaeval and the classical</w:t>
      </w:r>
      <w:r>
        <w:t xml:space="preserve"> approaches to writing history</w:t>
      </w:r>
      <w:r w:rsidR="00B321AB">
        <w:t>,</w:t>
      </w:r>
      <w:r w:rsidR="004F4A16">
        <w:t xml:space="preserve"> however</w:t>
      </w:r>
      <w:r>
        <w:t xml:space="preserve">. The mediaeval works were less complex, more parochial, lacked an understanding of period and </w:t>
      </w:r>
      <w:r w:rsidR="0044453B">
        <w:t>commonly incorporated fantastic elements</w:t>
      </w:r>
      <w:r w:rsidR="00437D07">
        <w:t>. Nevertheless, the Romans historians served as literary models for medieval writers of history;</w:t>
      </w:r>
      <w:r w:rsidR="00437D07">
        <w:rPr>
          <w:rStyle w:val="FootnoteReference"/>
        </w:rPr>
        <w:footnoteReference w:id="10"/>
      </w:r>
      <w:r w:rsidR="00437D07">
        <w:t xml:space="preserve"> and </w:t>
      </w:r>
      <w:r w:rsidR="00682DA7">
        <w:t xml:space="preserve">we see </w:t>
      </w:r>
      <w:r w:rsidR="0070397B">
        <w:t xml:space="preserve">definite </w:t>
      </w:r>
      <w:r w:rsidR="00682DA7">
        <w:t>continuity</w:t>
      </w:r>
      <w:r w:rsidR="002652CB">
        <w:t xml:space="preserve"> </w:t>
      </w:r>
      <w:r w:rsidR="00D10283">
        <w:t>i</w:t>
      </w:r>
      <w:r w:rsidR="009B0671">
        <w:t xml:space="preserve">n terms of </w:t>
      </w:r>
      <w:r w:rsidR="00195CE2">
        <w:t xml:space="preserve">history’s </w:t>
      </w:r>
      <w:r w:rsidR="009B0671">
        <w:t>moralising function.</w:t>
      </w:r>
      <w:r w:rsidR="00127B97">
        <w:t xml:space="preserve"> </w:t>
      </w:r>
      <w:r w:rsidR="003E2EDA">
        <w:t>I</w:t>
      </w:r>
      <w:r w:rsidR="00F05D7E">
        <w:t xml:space="preserve">n </w:t>
      </w:r>
      <w:r w:rsidR="003E2EDA">
        <w:t xml:space="preserve">almost any medieval historiographical text, </w:t>
      </w:r>
      <w:r w:rsidR="00F05D7E">
        <w:t xml:space="preserve">there is an introduction </w:t>
      </w:r>
      <w:r w:rsidR="00340587">
        <w:t xml:space="preserve">in which </w:t>
      </w:r>
      <w:r w:rsidR="00494CDA">
        <w:lastRenderedPageBreak/>
        <w:t xml:space="preserve">the </w:t>
      </w:r>
      <w:r w:rsidR="00E25AFC">
        <w:t xml:space="preserve">writing of </w:t>
      </w:r>
      <w:r w:rsidR="00494CDA">
        <w:t xml:space="preserve">history is </w:t>
      </w:r>
      <w:r w:rsidR="00E25AFC">
        <w:t>justified by the moral lessons it provides</w:t>
      </w:r>
      <w:r w:rsidR="00494CDA">
        <w:t>.</w:t>
      </w:r>
      <w:r w:rsidR="00B41CA0">
        <w:rPr>
          <w:rStyle w:val="FootnoteReference"/>
        </w:rPr>
        <w:footnoteReference w:id="11"/>
      </w:r>
      <w:r w:rsidR="00D03AC3">
        <w:t xml:space="preserve"> </w:t>
      </w:r>
      <w:r w:rsidR="00923D70">
        <w:t>Just a</w:t>
      </w:r>
      <w:r w:rsidR="00E47F28">
        <w:t>s in classical Rome, h</w:t>
      </w:r>
      <w:r w:rsidR="00D03AC3">
        <w:t xml:space="preserve">istory mattered </w:t>
      </w:r>
      <w:r w:rsidR="00923D70">
        <w:t xml:space="preserve">in the middle ages </w:t>
      </w:r>
      <w:r w:rsidR="00D03AC3">
        <w:t>because it was morally usable.</w:t>
      </w:r>
    </w:p>
    <w:p w14:paraId="5AF68A94" w14:textId="1E0F38EA" w:rsidR="00C5324B" w:rsidRDefault="009B1EE4" w:rsidP="00185922">
      <w:pPr>
        <w:jc w:val="both"/>
      </w:pPr>
      <w:r>
        <w:t xml:space="preserve">This is </w:t>
      </w:r>
      <w:r w:rsidR="00F7315D">
        <w:t xml:space="preserve">well </w:t>
      </w:r>
      <w:r>
        <w:t>illustrated i</w:t>
      </w:r>
      <w:r w:rsidR="00185922">
        <w:t xml:space="preserve">f we look at the preface to Bede’s </w:t>
      </w:r>
      <w:r w:rsidR="00185922">
        <w:rPr>
          <w:i/>
          <w:iCs/>
        </w:rPr>
        <w:t>Ecclesiastical History of the English People</w:t>
      </w:r>
      <w:r w:rsidR="00185922">
        <w:t xml:space="preserve">: </w:t>
      </w:r>
      <w:r w:rsidR="00F9375C">
        <w:t>“For if history relates good things about good men, the attentive listener is excited to imitate the good; or if it mentions evil things about wicked men, the faithful and pious listener or reader, by shunning that which is sinful and perverse, is nevertheless more zealously excited to perform those things which he knows to be good and worthy of God.”</w:t>
      </w:r>
      <w:r w:rsidR="00B968FA">
        <w:rPr>
          <w:rStyle w:val="FootnoteReference"/>
        </w:rPr>
        <w:footnoteReference w:id="12"/>
      </w:r>
      <w:r w:rsidR="00014BED">
        <w:t xml:space="preserve"> Bede</w:t>
      </w:r>
      <w:r w:rsidR="006514DB">
        <w:t xml:space="preserve">’s </w:t>
      </w:r>
      <w:r w:rsidR="00886C31">
        <w:t>attitude to the function of history is typical of medieval Christianity</w:t>
      </w:r>
      <w:r w:rsidR="008849D2">
        <w:t>:</w:t>
      </w:r>
      <w:r w:rsidR="00E602CB">
        <w:t xml:space="preserve"> </w:t>
      </w:r>
      <w:r w:rsidR="00956BC7">
        <w:t>history</w:t>
      </w:r>
      <w:r w:rsidR="00FB54F7">
        <w:t xml:space="preserve"> </w:t>
      </w:r>
      <w:r w:rsidR="00956BC7">
        <w:t>is</w:t>
      </w:r>
      <w:r w:rsidR="00E602CB">
        <w:t xml:space="preserve"> </w:t>
      </w:r>
      <w:r w:rsidR="00A01902">
        <w:t xml:space="preserve">a </w:t>
      </w:r>
      <w:r w:rsidR="00956BC7">
        <w:t>moral</w:t>
      </w:r>
      <w:r w:rsidR="009C77F0">
        <w:t xml:space="preserve"> </w:t>
      </w:r>
      <w:r w:rsidR="00A01902">
        <w:t>narrative</w:t>
      </w:r>
      <w:r w:rsidR="00E169B1">
        <w:t xml:space="preserve"> meant to instruct the reader</w:t>
      </w:r>
      <w:r w:rsidR="00956BC7">
        <w:t>.</w:t>
      </w:r>
      <w:r w:rsidR="00844514">
        <w:t xml:space="preserve"> </w:t>
      </w:r>
      <w:r w:rsidR="006628F7">
        <w:t>T</w:t>
      </w:r>
      <w:r w:rsidR="00243EAD">
        <w:t>hat makes sense from a Christian perspective, because the entirety of human existence is a grand moral test</w:t>
      </w:r>
      <w:r w:rsidR="008D08B4">
        <w:t xml:space="preserve"> that decides whether you spend eternity in heaven or in hell</w:t>
      </w:r>
      <w:r w:rsidR="00151AFA">
        <w:t>.</w:t>
      </w:r>
      <w:r w:rsidR="006C3ADB">
        <w:rPr>
          <w:rStyle w:val="FootnoteReference"/>
        </w:rPr>
        <w:footnoteReference w:id="13"/>
      </w:r>
    </w:p>
    <w:p w14:paraId="14CDB110" w14:textId="116FA636" w:rsidR="00920B6A" w:rsidRDefault="00920B6A" w:rsidP="00920B6A">
      <w:pPr>
        <w:jc w:val="both"/>
      </w:pPr>
      <w:r>
        <w:t xml:space="preserve">This is, of course, a </w:t>
      </w:r>
      <w:r w:rsidR="00D441D7">
        <w:t>risibly</w:t>
      </w:r>
      <w:r>
        <w:t xml:space="preserve"> shallow account</w:t>
      </w:r>
      <w:r w:rsidR="00DC031F">
        <w:t xml:space="preserve"> </w:t>
      </w:r>
      <w:r w:rsidR="00570B63">
        <w:t xml:space="preserve">of the millennium and a half between the first Latin historical writing and the start of the Renaissance. </w:t>
      </w:r>
      <w:r w:rsidR="00B1489E">
        <w:t xml:space="preserve">Nevertheless, for </w:t>
      </w:r>
      <w:r w:rsidR="00412764">
        <w:t xml:space="preserve">the </w:t>
      </w:r>
      <w:r w:rsidR="00B1489E">
        <w:t>purposes</w:t>
      </w:r>
      <w:r w:rsidR="00412764">
        <w:t xml:space="preserve"> of analysing the role of law in creating modern historiography</w:t>
      </w:r>
      <w:r w:rsidR="00B1489E">
        <w:t xml:space="preserve">, the single broad fact that matters is that </w:t>
      </w:r>
      <w:r w:rsidR="006566E7">
        <w:t xml:space="preserve">the function of </w:t>
      </w:r>
      <w:r w:rsidR="00B1489E">
        <w:t xml:space="preserve">written history </w:t>
      </w:r>
      <w:r w:rsidR="009F43C7">
        <w:t xml:space="preserve">was markedly </w:t>
      </w:r>
      <w:r w:rsidR="006566E7">
        <w:t>different from those with which we are familiar today.</w:t>
      </w:r>
    </w:p>
    <w:p w14:paraId="4803DF0B" w14:textId="77777777" w:rsidR="00481172" w:rsidRDefault="00481172" w:rsidP="00185922">
      <w:pPr>
        <w:jc w:val="both"/>
        <w:rPr>
          <w:b/>
          <w:bCs/>
        </w:rPr>
      </w:pPr>
    </w:p>
    <w:p w14:paraId="667427E2" w14:textId="62C6A047" w:rsidR="008849D2" w:rsidRPr="00481172" w:rsidRDefault="00481172" w:rsidP="00185922">
      <w:pPr>
        <w:jc w:val="both"/>
        <w:rPr>
          <w:b/>
          <w:bCs/>
        </w:rPr>
      </w:pPr>
      <w:r>
        <w:rPr>
          <w:b/>
          <w:bCs/>
        </w:rPr>
        <w:t>Renaissance Historiography</w:t>
      </w:r>
    </w:p>
    <w:p w14:paraId="6B25E097" w14:textId="3AFA1B9A" w:rsidR="0055746E" w:rsidRDefault="00175FF9" w:rsidP="007A092C">
      <w:pPr>
        <w:jc w:val="both"/>
      </w:pPr>
      <w:r>
        <w:t>Suddenly it’s the Renaissance</w:t>
      </w:r>
      <w:r w:rsidR="00C745FF">
        <w:t>!</w:t>
      </w:r>
      <w:r w:rsidR="00F57318">
        <w:t xml:space="preserve"> </w:t>
      </w:r>
      <w:r w:rsidR="00715ED3">
        <w:t xml:space="preserve">Central to the very concept of the Renaissance is the idea that it is fundamentally different </w:t>
      </w:r>
      <w:r w:rsidR="00783F7A">
        <w:t xml:space="preserve">from </w:t>
      </w:r>
      <w:r w:rsidR="00715ED3">
        <w:t xml:space="preserve">what went before. </w:t>
      </w:r>
      <w:r w:rsidR="0002306A">
        <w:t>It is a new period of history, distinct from the middle ages and defined by the rediscovery (or rebirth) of classical culture.</w:t>
      </w:r>
      <w:r w:rsidR="002047DF">
        <w:rPr>
          <w:rStyle w:val="FootnoteReference"/>
        </w:rPr>
        <w:footnoteReference w:id="14"/>
      </w:r>
      <w:r w:rsidR="0002306A">
        <w:t xml:space="preserve"> </w:t>
      </w:r>
      <w:r w:rsidR="00D94DF7">
        <w:t xml:space="preserve">As with </w:t>
      </w:r>
      <w:r w:rsidR="001568D3">
        <w:t xml:space="preserve">all </w:t>
      </w:r>
      <w:r w:rsidR="00D94DF7">
        <w:t xml:space="preserve">forms of </w:t>
      </w:r>
      <w:r w:rsidR="001568D3">
        <w:t>historical</w:t>
      </w:r>
      <w:r w:rsidR="00D94DF7">
        <w:t xml:space="preserve"> periodisation</w:t>
      </w:r>
      <w:r w:rsidR="001568D3">
        <w:t xml:space="preserve">, </w:t>
      </w:r>
      <w:r w:rsidR="00D94DF7">
        <w:t xml:space="preserve">one could debate its </w:t>
      </w:r>
      <w:r w:rsidR="00B85A9E">
        <w:t>value</w:t>
      </w:r>
      <w:r w:rsidR="00D94DF7">
        <w:t>, but</w:t>
      </w:r>
      <w:r w:rsidR="001568D3">
        <w:t xml:space="preserve"> </w:t>
      </w:r>
      <w:r w:rsidR="00D94DF7">
        <w:t>the broad issues are relatively</w:t>
      </w:r>
      <w:r w:rsidR="00970347">
        <w:t xml:space="preserve"> </w:t>
      </w:r>
      <w:r w:rsidR="001568D3">
        <w:t>uncontroversial.</w:t>
      </w:r>
    </w:p>
    <w:p w14:paraId="471C1D6E" w14:textId="59A9CC23" w:rsidR="001568D3" w:rsidRDefault="000C69D7" w:rsidP="009823E6">
      <w:pPr>
        <w:jc w:val="both"/>
      </w:pPr>
      <w:r>
        <w:t>I</w:t>
      </w:r>
      <w:r w:rsidR="001568D3">
        <w:t xml:space="preserve">n the period which we now call the Renaissance, </w:t>
      </w:r>
      <w:r w:rsidR="00316E22">
        <w:t xml:space="preserve">beginning in the </w:t>
      </w:r>
      <w:r w:rsidR="00F57318">
        <w:t>mid</w:t>
      </w:r>
      <w:r w:rsidR="00846C45">
        <w:t>-</w:t>
      </w:r>
      <w:r w:rsidR="00F57318">
        <w:t>14</w:t>
      </w:r>
      <w:r w:rsidR="00F57318" w:rsidRPr="00F57318">
        <w:rPr>
          <w:vertAlign w:val="superscript"/>
        </w:rPr>
        <w:t>th</w:t>
      </w:r>
      <w:r w:rsidR="00F57318">
        <w:t xml:space="preserve"> century </w:t>
      </w:r>
      <w:r w:rsidR="00316E22">
        <w:t>and ending in the 17</w:t>
      </w:r>
      <w:r w:rsidR="00316E22" w:rsidRPr="00316E22">
        <w:rPr>
          <w:vertAlign w:val="superscript"/>
        </w:rPr>
        <w:t>th</w:t>
      </w:r>
      <w:r w:rsidR="00316E22">
        <w:t xml:space="preserve"> century, </w:t>
      </w:r>
      <w:r w:rsidR="001568D3">
        <w:t xml:space="preserve">there developed a growing </w:t>
      </w:r>
      <w:r w:rsidR="008F6F59">
        <w:t xml:space="preserve">awareness of and </w:t>
      </w:r>
      <w:r w:rsidR="001568D3">
        <w:t>interest in the classical world.</w:t>
      </w:r>
      <w:r w:rsidR="00385679">
        <w:t xml:space="preserve"> </w:t>
      </w:r>
      <w:r w:rsidR="008F6F59">
        <w:t>This is eventually leads to the</w:t>
      </w:r>
      <w:r w:rsidR="00385679">
        <w:t xml:space="preserve"> </w:t>
      </w:r>
      <w:r w:rsidR="001568D3">
        <w:t xml:space="preserve">self-conscious emulation of classical Rome and the concomitant rejection of </w:t>
      </w:r>
      <w:r w:rsidR="00213164">
        <w:t xml:space="preserve">the values and culture that define </w:t>
      </w:r>
      <w:r w:rsidR="001568D3">
        <w:t xml:space="preserve">medieval </w:t>
      </w:r>
      <w:r w:rsidR="00EC58F3">
        <w:t>society</w:t>
      </w:r>
      <w:r w:rsidR="001568D3">
        <w:t>.</w:t>
      </w:r>
      <w:r w:rsidR="0046442F">
        <w:rPr>
          <w:rStyle w:val="FootnoteReference"/>
        </w:rPr>
        <w:footnoteReference w:id="15"/>
      </w:r>
      <w:r w:rsidR="001568D3">
        <w:t xml:space="preserve"> These emulators of Rome </w:t>
      </w:r>
      <w:r w:rsidR="00C620D7">
        <w:t xml:space="preserve">described themselves as </w:t>
      </w:r>
      <w:r w:rsidR="001568D3">
        <w:t>humanists</w:t>
      </w:r>
      <w:r w:rsidR="00412CD3">
        <w:t xml:space="preserve"> or </w:t>
      </w:r>
      <w:r w:rsidR="00412CD3">
        <w:rPr>
          <w:i/>
          <w:iCs/>
        </w:rPr>
        <w:t>humanistae</w:t>
      </w:r>
      <w:r w:rsidR="001568D3">
        <w:t xml:space="preserve">, a word </w:t>
      </w:r>
      <w:r w:rsidR="00385679">
        <w:t>describing their dedication to</w:t>
      </w:r>
      <w:r w:rsidR="001568D3">
        <w:t xml:space="preserve"> the literary </w:t>
      </w:r>
      <w:r w:rsidR="00385679">
        <w:t xml:space="preserve">and cultural </w:t>
      </w:r>
      <w:r w:rsidR="001568D3">
        <w:t xml:space="preserve">product – or </w:t>
      </w:r>
      <w:r w:rsidR="001568D3">
        <w:rPr>
          <w:i/>
          <w:iCs/>
        </w:rPr>
        <w:t>humanitas</w:t>
      </w:r>
      <w:r w:rsidR="001568D3">
        <w:t xml:space="preserve"> – of ancient Rome.  </w:t>
      </w:r>
    </w:p>
    <w:p w14:paraId="4A13AF0C" w14:textId="2B3708FB" w:rsidR="00E060EA" w:rsidRDefault="004E6033" w:rsidP="009823E6">
      <w:pPr>
        <w:jc w:val="both"/>
      </w:pPr>
      <w:r>
        <w:t xml:space="preserve">The humanists </w:t>
      </w:r>
      <w:r w:rsidR="00835474">
        <w:t xml:space="preserve">were critical of the medieval </w:t>
      </w:r>
      <w:r w:rsidR="0048215F">
        <w:t xml:space="preserve">tendency to see </w:t>
      </w:r>
      <w:r w:rsidR="00835474">
        <w:t>histor</w:t>
      </w:r>
      <w:r w:rsidR="0048215F">
        <w:t xml:space="preserve">y as no more than </w:t>
      </w:r>
      <w:r w:rsidR="00CD7180">
        <w:t xml:space="preserve">a </w:t>
      </w:r>
      <w:r w:rsidR="0048215F">
        <w:t>“</w:t>
      </w:r>
      <w:r w:rsidR="00CD7180">
        <w:t>repository of examples and precedents”</w:t>
      </w:r>
      <w:r w:rsidR="00835474">
        <w:t>.</w:t>
      </w:r>
      <w:r w:rsidR="00741063">
        <w:rPr>
          <w:rStyle w:val="FootnoteReference"/>
        </w:rPr>
        <w:footnoteReference w:id="16"/>
      </w:r>
      <w:r w:rsidR="00835474">
        <w:t xml:space="preserve"> </w:t>
      </w:r>
      <w:r w:rsidR="002047DF">
        <w:t xml:space="preserve">They were </w:t>
      </w:r>
      <w:r w:rsidR="00B97C0A">
        <w:t xml:space="preserve">keenly </w:t>
      </w:r>
      <w:r w:rsidR="002047DF">
        <w:t>aware</w:t>
      </w:r>
      <w:r w:rsidR="00B97C0A">
        <w:t xml:space="preserve"> of periodisation</w:t>
      </w:r>
      <w:r w:rsidR="00407BBD">
        <w:t>. T</w:t>
      </w:r>
      <w:r w:rsidR="00D270A1">
        <w:t xml:space="preserve">hey understood that history, as the story of human civilisation, consisted of discrete cultures in </w:t>
      </w:r>
      <w:r w:rsidR="00351535">
        <w:t xml:space="preserve">discrete </w:t>
      </w:r>
      <w:r w:rsidR="00D270A1">
        <w:t>historical periods</w:t>
      </w:r>
      <w:r w:rsidR="00627E9B">
        <w:t xml:space="preserve"> and that</w:t>
      </w:r>
      <w:r w:rsidR="003E2795">
        <w:t xml:space="preserve"> historical sources</w:t>
      </w:r>
      <w:r w:rsidR="00627E9B">
        <w:t xml:space="preserve">, therefore, had to be contextualised if they were to be understood, if they were to </w:t>
      </w:r>
      <w:r w:rsidR="00627E9B">
        <w:lastRenderedPageBreak/>
        <w:t>be made usable.</w:t>
      </w:r>
      <w:r w:rsidR="007B0701">
        <w:t xml:space="preserve"> This leads to a new sense of history</w:t>
      </w:r>
      <w:r w:rsidR="005A26BF">
        <w:t xml:space="preserve"> or, more accurately, to a new</w:t>
      </w:r>
      <w:r w:rsidR="007B0701">
        <w:t xml:space="preserve"> </w:t>
      </w:r>
      <w:r w:rsidR="005A26BF">
        <w:t>philosophy of history</w:t>
      </w:r>
      <w:r w:rsidR="00B520B6">
        <w:t>, that is focused on</w:t>
      </w:r>
      <w:r w:rsidR="00FE01E6">
        <w:t xml:space="preserve"> authenticity and </w:t>
      </w:r>
      <w:r w:rsidR="00EA6199">
        <w:t xml:space="preserve">on </w:t>
      </w:r>
      <w:r w:rsidR="00FE01E6">
        <w:t>the analysis of sources</w:t>
      </w:r>
      <w:r w:rsidR="00FC580E">
        <w:t xml:space="preserve"> through philological exegesis.</w:t>
      </w:r>
      <w:r w:rsidR="00265C6D">
        <w:rPr>
          <w:rStyle w:val="FootnoteReference"/>
        </w:rPr>
        <w:footnoteReference w:id="17"/>
      </w:r>
    </w:p>
    <w:p w14:paraId="43B59B57" w14:textId="0EAF9DAD" w:rsidR="005719B4" w:rsidRDefault="00A62408" w:rsidP="009823E6">
      <w:pPr>
        <w:jc w:val="both"/>
      </w:pPr>
      <w:r>
        <w:t xml:space="preserve">However, at its core, Renaissance </w:t>
      </w:r>
      <w:r w:rsidR="00972DD7">
        <w:t>historiography was not starkly different from that of the middle ages</w:t>
      </w:r>
      <w:r w:rsidR="00603FBD">
        <w:t xml:space="preserve">. </w:t>
      </w:r>
      <w:r w:rsidR="0092082D">
        <w:t xml:space="preserve">The humanist </w:t>
      </w:r>
      <w:r w:rsidR="002E7124">
        <w:t xml:space="preserve">desire to </w:t>
      </w:r>
      <w:r w:rsidR="00DB1DFB">
        <w:t>imitat</w:t>
      </w:r>
      <w:r w:rsidR="002E7124">
        <w:t>e</w:t>
      </w:r>
      <w:r w:rsidR="00DB1DFB">
        <w:t xml:space="preserve"> </w:t>
      </w:r>
      <w:r w:rsidR="009675EC">
        <w:t xml:space="preserve">and, indeed, resurrect the culture of classical Rome led </w:t>
      </w:r>
      <w:r w:rsidR="0092082D">
        <w:t xml:space="preserve">to refinement rather than revolution in </w:t>
      </w:r>
      <w:r w:rsidR="00BD6B3C">
        <w:t xml:space="preserve">the field of </w:t>
      </w:r>
      <w:r w:rsidR="0092082D">
        <w:t>historiography.</w:t>
      </w:r>
      <w:r w:rsidR="0095461A">
        <w:rPr>
          <w:rStyle w:val="FootnoteReference"/>
        </w:rPr>
        <w:footnoteReference w:id="18"/>
      </w:r>
      <w:r w:rsidR="0092082D">
        <w:t xml:space="preserve"> </w:t>
      </w:r>
      <w:r w:rsidR="00FB56CB">
        <w:t xml:space="preserve">While the humanists were content to throw out </w:t>
      </w:r>
      <w:r w:rsidR="00B51921">
        <w:t>much</w:t>
      </w:r>
      <w:r w:rsidR="00496BCA">
        <w:t xml:space="preserve"> of </w:t>
      </w:r>
      <w:r w:rsidR="00FB56CB">
        <w:t xml:space="preserve">their medieval inheritance, </w:t>
      </w:r>
      <w:r w:rsidR="00E4764A">
        <w:t xml:space="preserve">they </w:t>
      </w:r>
      <w:r w:rsidR="001043F9">
        <w:t xml:space="preserve">retained </w:t>
      </w:r>
      <w:r w:rsidR="00E4764A">
        <w:t xml:space="preserve">the </w:t>
      </w:r>
      <w:r w:rsidR="00BB62C9">
        <w:t>core tendency</w:t>
      </w:r>
      <w:r w:rsidR="00E4764A">
        <w:t>, inherited from Rom</w:t>
      </w:r>
      <w:r w:rsidR="0056768E">
        <w:t>e</w:t>
      </w:r>
      <w:r w:rsidR="00E4764A">
        <w:t>,</w:t>
      </w:r>
      <w:r w:rsidR="00BB62C9">
        <w:t xml:space="preserve"> </w:t>
      </w:r>
      <w:r w:rsidR="005E0E1B">
        <w:t xml:space="preserve">to treat </w:t>
      </w:r>
      <w:r w:rsidR="005E453D">
        <w:t xml:space="preserve">history </w:t>
      </w:r>
      <w:r w:rsidR="005E0E1B">
        <w:t>as a</w:t>
      </w:r>
      <w:r w:rsidR="00E4764A">
        <w:t>n exercise in</w:t>
      </w:r>
      <w:r w:rsidR="005E0E1B">
        <w:t xml:space="preserve"> </w:t>
      </w:r>
      <w:r w:rsidR="00A44F50">
        <w:t>moral</w:t>
      </w:r>
      <w:r w:rsidR="005E0E1B">
        <w:t xml:space="preserve"> didacti</w:t>
      </w:r>
      <w:r w:rsidR="00E4764A">
        <w:t>c.</w:t>
      </w:r>
      <w:r w:rsidR="00DB538F">
        <w:rPr>
          <w:rStyle w:val="FootnoteReference"/>
        </w:rPr>
        <w:footnoteReference w:id="19"/>
      </w:r>
      <w:r w:rsidR="00E4764A">
        <w:t xml:space="preserve"> </w:t>
      </w:r>
      <w:r w:rsidR="00C60687">
        <w:t xml:space="preserve">So, </w:t>
      </w:r>
      <w:r w:rsidR="00816081">
        <w:t xml:space="preserve">history in 1500 and history in 1300 are not </w:t>
      </w:r>
      <w:r w:rsidR="00C60687">
        <w:t xml:space="preserve">radically </w:t>
      </w:r>
      <w:r w:rsidR="00816081">
        <w:t>different</w:t>
      </w:r>
      <w:r w:rsidR="00C60687">
        <w:t xml:space="preserve"> </w:t>
      </w:r>
      <w:r w:rsidR="005514ED">
        <w:t>intellectual exercises</w:t>
      </w:r>
      <w:r w:rsidR="00816081">
        <w:t xml:space="preserve">. The Renaissance historian </w:t>
      </w:r>
      <w:r w:rsidR="00AA2423">
        <w:t xml:space="preserve">writes better </w:t>
      </w:r>
      <w:r w:rsidR="00816081">
        <w:t>Latin</w:t>
      </w:r>
      <w:r w:rsidR="00AA6445">
        <w:t xml:space="preserve"> </w:t>
      </w:r>
      <w:r w:rsidR="00AA2423">
        <w:t>and utilises critical and philological methodologies which make his work more accurat</w:t>
      </w:r>
      <w:r w:rsidR="00061B6F">
        <w:t>e, less anachronistic</w:t>
      </w:r>
      <w:r w:rsidR="00775369">
        <w:t>, less fantastic</w:t>
      </w:r>
      <w:r w:rsidR="00061B6F">
        <w:t>.</w:t>
      </w:r>
      <w:r w:rsidR="00A05D51">
        <w:t xml:space="preserve"> But the core </w:t>
      </w:r>
      <w:r w:rsidR="009871E5">
        <w:t xml:space="preserve">moral </w:t>
      </w:r>
      <w:r w:rsidR="00A05D51">
        <w:t>function of history is largely unchanged.</w:t>
      </w:r>
    </w:p>
    <w:p w14:paraId="7B3D117D" w14:textId="359A0404" w:rsidR="00154EA4" w:rsidRDefault="00154EA4" w:rsidP="009823E6">
      <w:pPr>
        <w:jc w:val="both"/>
      </w:pPr>
    </w:p>
    <w:p w14:paraId="7098DCE0" w14:textId="5C583F40" w:rsidR="000A5024" w:rsidRPr="0033236F" w:rsidRDefault="0033236F" w:rsidP="009823E6">
      <w:pPr>
        <w:jc w:val="both"/>
        <w:rPr>
          <w:b/>
          <w:bCs/>
        </w:rPr>
      </w:pPr>
      <w:r>
        <w:rPr>
          <w:b/>
          <w:bCs/>
        </w:rPr>
        <w:t>The Legal Humanists</w:t>
      </w:r>
    </w:p>
    <w:p w14:paraId="705DDBF4" w14:textId="388902CC" w:rsidR="00DC02E3" w:rsidRDefault="00DC02E3" w:rsidP="009823E6">
      <w:pPr>
        <w:jc w:val="both"/>
      </w:pPr>
      <w:r>
        <w:t>Then the lawyers show up.</w:t>
      </w:r>
    </w:p>
    <w:p w14:paraId="49C186E1" w14:textId="39303C56" w:rsidR="00C73BF8" w:rsidRDefault="00626003" w:rsidP="00626003">
      <w:pPr>
        <w:jc w:val="both"/>
      </w:pPr>
      <w:r>
        <w:t xml:space="preserve">Lawyers come to the </w:t>
      </w:r>
      <w:r w:rsidR="00017485">
        <w:t>R</w:t>
      </w:r>
      <w:r>
        <w:t>enaissance late. The greatest medieval lawyers –</w:t>
      </w:r>
      <w:r w:rsidR="00D35173">
        <w:t xml:space="preserve"> </w:t>
      </w:r>
      <w:r>
        <w:t xml:space="preserve">Bartolus </w:t>
      </w:r>
      <w:r w:rsidR="0043412F">
        <w:t xml:space="preserve">and Baldus </w:t>
      </w:r>
      <w:r>
        <w:t xml:space="preserve">– emerge </w:t>
      </w:r>
      <w:r w:rsidR="003F196C">
        <w:t>in the 14</w:t>
      </w:r>
      <w:r w:rsidR="003F196C" w:rsidRPr="003F196C">
        <w:rPr>
          <w:vertAlign w:val="superscript"/>
        </w:rPr>
        <w:t>th</w:t>
      </w:r>
      <w:r w:rsidR="003F196C">
        <w:t xml:space="preserve"> century </w:t>
      </w:r>
      <w:r>
        <w:t xml:space="preserve">just as the </w:t>
      </w:r>
      <w:r w:rsidR="003F196C">
        <w:t>R</w:t>
      </w:r>
      <w:r>
        <w:t>enaissance is beginning. Law is a conservative discipline at this</w:t>
      </w:r>
      <w:r w:rsidR="005A46DC">
        <w:t xml:space="preserve"> point</w:t>
      </w:r>
      <w:r>
        <w:t xml:space="preserve">, </w:t>
      </w:r>
      <w:r w:rsidR="00EA389F">
        <w:t xml:space="preserve">always </w:t>
      </w:r>
      <w:r>
        <w:t>looking back</w:t>
      </w:r>
      <w:r w:rsidR="00EA389F">
        <w:t xml:space="preserve"> to established authorities</w:t>
      </w:r>
      <w:r>
        <w:t>.</w:t>
      </w:r>
      <w:r w:rsidR="00C73BF8">
        <w:t xml:space="preserve"> </w:t>
      </w:r>
      <w:r w:rsidR="002304F5">
        <w:t>As the Renaissance begins, lawyers are perfecting, not rejecting, the medieval approach.</w:t>
      </w:r>
      <w:r w:rsidR="00EE0FA7">
        <w:t xml:space="preserve"> </w:t>
      </w:r>
      <w:r w:rsidR="00C73BF8">
        <w:t xml:space="preserve">The first humanists </w:t>
      </w:r>
      <w:r w:rsidR="00031F99">
        <w:t>were</w:t>
      </w:r>
      <w:r w:rsidR="00C73BF8">
        <w:t xml:space="preserve"> not lawyers</w:t>
      </w:r>
      <w:r w:rsidR="00DC3825">
        <w:t xml:space="preserve"> at all</w:t>
      </w:r>
      <w:r w:rsidR="00C73BF8">
        <w:t>, so they look</w:t>
      </w:r>
      <w:r w:rsidR="005A522A">
        <w:t>ed</w:t>
      </w:r>
      <w:r w:rsidR="00C73BF8">
        <w:t xml:space="preserve"> at the </w:t>
      </w:r>
      <w:r w:rsidR="00345013">
        <w:t xml:space="preserve">legal profession </w:t>
      </w:r>
      <w:r w:rsidR="00C73BF8">
        <w:t>from the outside and they criticise</w:t>
      </w:r>
      <w:r w:rsidR="005A522A">
        <w:t>d</w:t>
      </w:r>
      <w:r w:rsidR="00C73BF8">
        <w:t xml:space="preserve"> it</w:t>
      </w:r>
      <w:r w:rsidR="00345013">
        <w:t xml:space="preserve"> for its conservatism, its failure to embrace </w:t>
      </w:r>
      <w:r w:rsidR="004102FD">
        <w:t>new critical methodologies</w:t>
      </w:r>
      <w:r w:rsidR="00345013">
        <w:t>, its reliance on medieval sources</w:t>
      </w:r>
      <w:r w:rsidR="00830EA9">
        <w:t xml:space="preserve"> and above all </w:t>
      </w:r>
      <w:r w:rsidR="00345013">
        <w:t xml:space="preserve">its </w:t>
      </w:r>
      <w:r w:rsidR="00195F3E">
        <w:t xml:space="preserve">failure to </w:t>
      </w:r>
      <w:r w:rsidR="00C448C6">
        <w:t xml:space="preserve">interpret </w:t>
      </w:r>
      <w:r w:rsidR="00195F3E">
        <w:t xml:space="preserve">Roman law </w:t>
      </w:r>
      <w:r w:rsidR="00C448C6">
        <w:t xml:space="preserve">contextually </w:t>
      </w:r>
      <w:r w:rsidR="00195F3E">
        <w:t xml:space="preserve">rather than as a </w:t>
      </w:r>
      <w:r w:rsidR="00E857CF">
        <w:t xml:space="preserve">mere </w:t>
      </w:r>
      <w:r w:rsidR="00195F3E">
        <w:t xml:space="preserve">repository of legal </w:t>
      </w:r>
      <w:r w:rsidR="00702EB8">
        <w:t xml:space="preserve">principles. </w:t>
      </w:r>
      <w:r w:rsidR="00E22A28">
        <w:t>But, at the same time, the</w:t>
      </w:r>
      <w:r w:rsidR="00131428">
        <w:t>se non-lawyers</w:t>
      </w:r>
      <w:r w:rsidR="00E22A28">
        <w:t xml:space="preserve"> failed to understand both the problems and the achievements of the legal profession</w:t>
      </w:r>
      <w:r w:rsidR="00C73BF8">
        <w:t>.</w:t>
      </w:r>
      <w:r w:rsidR="003B7A31">
        <w:rPr>
          <w:rStyle w:val="FootnoteReference"/>
        </w:rPr>
        <w:footnoteReference w:id="20"/>
      </w:r>
    </w:p>
    <w:p w14:paraId="46D5521D" w14:textId="7F7D462F" w:rsidR="00DC0780" w:rsidRDefault="006F2446" w:rsidP="00626003">
      <w:pPr>
        <w:jc w:val="both"/>
      </w:pPr>
      <w:r>
        <w:t>The conservatism of lawyers was</w:t>
      </w:r>
      <w:r w:rsidR="00DA6578">
        <w:t xml:space="preserve"> a simple consequence of their profession, which </w:t>
      </w:r>
      <w:r w:rsidR="00D35173">
        <w:t xml:space="preserve">required them to demonstrate </w:t>
      </w:r>
      <w:r w:rsidR="008E5778">
        <w:t xml:space="preserve">the validity, authority and applicability of the </w:t>
      </w:r>
      <w:r w:rsidR="00D35173">
        <w:t>source</w:t>
      </w:r>
      <w:r w:rsidR="008E5778">
        <w:t>s</w:t>
      </w:r>
      <w:r w:rsidR="00D35173">
        <w:t xml:space="preserve"> of law </w:t>
      </w:r>
      <w:r w:rsidR="008E5778">
        <w:t xml:space="preserve">at a time when written </w:t>
      </w:r>
      <w:r w:rsidR="0007715E">
        <w:t xml:space="preserve">legal </w:t>
      </w:r>
      <w:r w:rsidR="002A4D9C">
        <w:t>institutes</w:t>
      </w:r>
      <w:r w:rsidR="008E5778">
        <w:t xml:space="preserve"> were rare and </w:t>
      </w:r>
      <w:r w:rsidR="004A507D">
        <w:t xml:space="preserve">when lawyers across Europe were drinking collectively from the intellectual </w:t>
      </w:r>
      <w:r w:rsidR="00332BEF">
        <w:t>well</w:t>
      </w:r>
      <w:r w:rsidR="004A507D">
        <w:t xml:space="preserve"> of the </w:t>
      </w:r>
      <w:r w:rsidR="004A507D">
        <w:rPr>
          <w:i/>
          <w:iCs/>
        </w:rPr>
        <w:t>ius commune</w:t>
      </w:r>
      <w:r w:rsidR="004A507D">
        <w:t>.</w:t>
      </w:r>
      <w:r w:rsidR="00773E96">
        <w:t xml:space="preserve"> </w:t>
      </w:r>
      <w:r w:rsidR="00DE64D3">
        <w:t xml:space="preserve">Lawyers </w:t>
      </w:r>
      <w:r w:rsidR="001D4008">
        <w:t>were often dealing with customary law which existed not on paper or parchment but in the memory</w:t>
      </w:r>
      <w:r w:rsidR="00C05821">
        <w:t>.</w:t>
      </w:r>
      <w:r w:rsidR="00F5412F">
        <w:rPr>
          <w:rStyle w:val="FootnoteReference"/>
        </w:rPr>
        <w:footnoteReference w:id="21"/>
      </w:r>
      <w:r w:rsidR="00C37FE5">
        <w:t xml:space="preserve"> </w:t>
      </w:r>
      <w:r w:rsidR="00C05821">
        <w:t>T</w:t>
      </w:r>
      <w:r w:rsidR="00C37FE5">
        <w:t xml:space="preserve">hey </w:t>
      </w:r>
      <w:r w:rsidR="00DE64D3">
        <w:t xml:space="preserve">did not have the luxury </w:t>
      </w:r>
      <w:r w:rsidR="004D3F53">
        <w:t xml:space="preserve">available to the humanists </w:t>
      </w:r>
      <w:r w:rsidR="00DE64D3">
        <w:t xml:space="preserve">of simply throwing out the medieval </w:t>
      </w:r>
      <w:r w:rsidR="00A3793D">
        <w:t>inheritance</w:t>
      </w:r>
      <w:r w:rsidR="00DE64D3">
        <w:t>.</w:t>
      </w:r>
      <w:r w:rsidR="00A46ECD">
        <w:rPr>
          <w:rStyle w:val="FootnoteReference"/>
        </w:rPr>
        <w:footnoteReference w:id="22"/>
      </w:r>
      <w:r w:rsidR="00D32532">
        <w:t xml:space="preserve"> </w:t>
      </w:r>
      <w:r w:rsidR="00E34487">
        <w:t>But, i</w:t>
      </w:r>
      <w:r w:rsidR="00434995">
        <w:t xml:space="preserve">n their conservatism, lawyers </w:t>
      </w:r>
      <w:r w:rsidR="0027058E">
        <w:t xml:space="preserve">were able to </w:t>
      </w:r>
      <w:r w:rsidR="00C235F0">
        <w:t xml:space="preserve">utilise the </w:t>
      </w:r>
      <w:r w:rsidR="003A6073">
        <w:t xml:space="preserve">literary and philological </w:t>
      </w:r>
      <w:r w:rsidR="00C235F0">
        <w:t>techniques of humanism</w:t>
      </w:r>
      <w:r w:rsidR="00E45BFE">
        <w:t xml:space="preserve"> in ways that were useful to </w:t>
      </w:r>
      <w:r w:rsidR="00083489">
        <w:t>the</w:t>
      </w:r>
      <w:r w:rsidR="00E45BFE">
        <w:t xml:space="preserve"> profession</w:t>
      </w:r>
      <w:r w:rsidR="00083489">
        <w:t xml:space="preserve"> of law</w:t>
      </w:r>
      <w:r w:rsidR="00E45BFE">
        <w:t>.</w:t>
      </w:r>
      <w:r w:rsidR="00C235F0">
        <w:t xml:space="preserve"> </w:t>
      </w:r>
      <w:r w:rsidR="001C3D34">
        <w:t xml:space="preserve">We see this for the first time in the </w:t>
      </w:r>
      <w:r w:rsidR="00D26EBD">
        <w:t>15</w:t>
      </w:r>
      <w:r w:rsidR="00D26EBD" w:rsidRPr="00D26EBD">
        <w:rPr>
          <w:vertAlign w:val="superscript"/>
        </w:rPr>
        <w:t>th</w:t>
      </w:r>
      <w:r w:rsidR="00D26EBD">
        <w:t xml:space="preserve"> century</w:t>
      </w:r>
      <w:r w:rsidR="001C3D34">
        <w:t xml:space="preserve"> when the Italian lawyer </w:t>
      </w:r>
      <w:r w:rsidR="00D26EBD">
        <w:t>Lorenzo Valla</w:t>
      </w:r>
      <w:r w:rsidR="001C3D34">
        <w:t xml:space="preserve"> </w:t>
      </w:r>
      <w:r w:rsidR="00DC0780">
        <w:t xml:space="preserve">applied </w:t>
      </w:r>
      <w:r w:rsidR="00D26EBD">
        <w:t xml:space="preserve">humanist </w:t>
      </w:r>
      <w:r w:rsidR="00626003">
        <w:t xml:space="preserve">literary </w:t>
      </w:r>
      <w:r w:rsidR="00DC0780">
        <w:t xml:space="preserve">techniques to the Donation of Constantine and proved, through </w:t>
      </w:r>
      <w:r w:rsidR="000F50E1">
        <w:t xml:space="preserve">linguistic </w:t>
      </w:r>
      <w:r w:rsidR="00DC0780">
        <w:t>analysis, that it was a forgery.</w:t>
      </w:r>
      <w:r w:rsidR="00536325">
        <w:t xml:space="preserve"> The Donation was </w:t>
      </w:r>
      <w:r w:rsidR="00604C58">
        <w:t xml:space="preserve">ostensibly </w:t>
      </w:r>
      <w:r w:rsidR="006A6E13">
        <w:t xml:space="preserve">an </w:t>
      </w:r>
      <w:r w:rsidR="00536325">
        <w:t>imperial decree</w:t>
      </w:r>
      <w:r w:rsidR="00604C58">
        <w:t xml:space="preserve"> of </w:t>
      </w:r>
      <w:r w:rsidR="00536325">
        <w:t xml:space="preserve">the emperor Constantine giving the Pope full political authority over the Western half of the Roman Empire. </w:t>
      </w:r>
      <w:r w:rsidR="00231002">
        <w:t>Valla demonstrated that it could not have been composed during the reign of Constantine and that it was probably written in the 8</w:t>
      </w:r>
      <w:r w:rsidR="00231002" w:rsidRPr="00231002">
        <w:rPr>
          <w:vertAlign w:val="superscript"/>
        </w:rPr>
        <w:t>th</w:t>
      </w:r>
      <w:r w:rsidR="00231002">
        <w:t xml:space="preserve"> century.</w:t>
      </w:r>
      <w:r w:rsidR="00FC3905">
        <w:t xml:space="preserve"> </w:t>
      </w:r>
      <w:r w:rsidR="00741C4D">
        <w:t>Thus</w:t>
      </w:r>
      <w:r w:rsidR="00FC3905">
        <w:t xml:space="preserve">, he </w:t>
      </w:r>
      <w:r w:rsidR="00F24434">
        <w:t xml:space="preserve">utilised humanist methodologies to expose and remove </w:t>
      </w:r>
      <w:r w:rsidR="00FC3905">
        <w:t>inauthentic</w:t>
      </w:r>
      <w:r w:rsidR="00F24434">
        <w:t xml:space="preserve"> sources of law</w:t>
      </w:r>
      <w:r w:rsidR="00FC3905">
        <w:t>.</w:t>
      </w:r>
    </w:p>
    <w:p w14:paraId="4E75AA7D" w14:textId="25EE81F3" w:rsidR="00626003" w:rsidRDefault="00CE640D" w:rsidP="00A07EAD">
      <w:pPr>
        <w:jc w:val="both"/>
      </w:pPr>
      <w:r>
        <w:t xml:space="preserve">In the years that follow, we see the proto-historians of law excavating </w:t>
      </w:r>
      <w:r w:rsidR="00A30452">
        <w:t xml:space="preserve">the </w:t>
      </w:r>
      <w:r>
        <w:t xml:space="preserve">origins </w:t>
      </w:r>
      <w:r w:rsidR="00A30452">
        <w:t>of legal principles and institutions</w:t>
      </w:r>
      <w:r w:rsidR="006A2B69">
        <w:t xml:space="preserve"> and tracing lines of continuity </w:t>
      </w:r>
      <w:r w:rsidR="00C228ED">
        <w:t xml:space="preserve">across the centuries of legal practice. </w:t>
      </w:r>
      <w:r w:rsidR="00DB3E32">
        <w:t xml:space="preserve">But </w:t>
      </w:r>
      <w:r w:rsidR="009E27F4">
        <w:t xml:space="preserve">lawyers really come into their own </w:t>
      </w:r>
      <w:r w:rsidR="00D20551">
        <w:t xml:space="preserve">in France </w:t>
      </w:r>
      <w:r w:rsidR="009E27F4">
        <w:t xml:space="preserve">during </w:t>
      </w:r>
      <w:r w:rsidR="00DB3E32">
        <w:t xml:space="preserve">the </w:t>
      </w:r>
      <w:r w:rsidR="009E27F4">
        <w:t>16</w:t>
      </w:r>
      <w:r w:rsidR="009E27F4" w:rsidRPr="009E27F4">
        <w:rPr>
          <w:vertAlign w:val="superscript"/>
        </w:rPr>
        <w:t>th</w:t>
      </w:r>
      <w:r w:rsidR="009E27F4">
        <w:t xml:space="preserve"> century.</w:t>
      </w:r>
      <w:r w:rsidR="00A90005" w:rsidRPr="00A90005">
        <w:rPr>
          <w:b/>
          <w:bCs/>
        </w:rPr>
        <w:t xml:space="preserve"> </w:t>
      </w:r>
      <w:r w:rsidR="00092167">
        <w:t>This is a period when t</w:t>
      </w:r>
      <w:r w:rsidR="00D20551">
        <w:t xml:space="preserve">he </w:t>
      </w:r>
      <w:r w:rsidR="00143C8A">
        <w:t>Reformation</w:t>
      </w:r>
      <w:r w:rsidR="00D20551">
        <w:t xml:space="preserve"> </w:t>
      </w:r>
      <w:r w:rsidR="00D2421D">
        <w:t xml:space="preserve">had given </w:t>
      </w:r>
      <w:r w:rsidR="00D20551">
        <w:lastRenderedPageBreak/>
        <w:t xml:space="preserve">rise to the </w:t>
      </w:r>
      <w:r w:rsidR="00FC5F86">
        <w:t xml:space="preserve">French </w:t>
      </w:r>
      <w:r w:rsidR="00143C8A">
        <w:t>Wars of Religion</w:t>
      </w:r>
      <w:r w:rsidR="00FC5F86">
        <w:t xml:space="preserve">; </w:t>
      </w:r>
      <w:r w:rsidR="00092167">
        <w:t xml:space="preserve">when </w:t>
      </w:r>
      <w:r w:rsidR="002246BA">
        <w:t xml:space="preserve">tensions were </w:t>
      </w:r>
      <w:r w:rsidR="00143C8A">
        <w:t xml:space="preserve">growing between the </w:t>
      </w:r>
      <w:r w:rsidR="00092167">
        <w:t xml:space="preserve">educated </w:t>
      </w:r>
      <w:r w:rsidR="00143C8A">
        <w:t xml:space="preserve">urban middle classes and the traditional military </w:t>
      </w:r>
      <w:r w:rsidR="00092167">
        <w:t xml:space="preserve">aristocracy; and when the tottering House of Valois </w:t>
      </w:r>
      <w:r w:rsidR="005C372C">
        <w:t>wa</w:t>
      </w:r>
      <w:r w:rsidR="00092167">
        <w:t>s about to be replaced by the Bourbons</w:t>
      </w:r>
      <w:r w:rsidR="00615343">
        <w:t xml:space="preserve"> in the guise of the Protestant Henry IV</w:t>
      </w:r>
      <w:r w:rsidR="00092167">
        <w:t>.</w:t>
      </w:r>
      <w:r w:rsidR="001A76D3">
        <w:t xml:space="preserve"> </w:t>
      </w:r>
      <w:r w:rsidR="001F498A">
        <w:t xml:space="preserve">This period of French history is </w:t>
      </w:r>
      <w:r w:rsidR="008E182A">
        <w:t xml:space="preserve">defined </w:t>
      </w:r>
      <w:r w:rsidR="001F498A">
        <w:t xml:space="preserve">by </w:t>
      </w:r>
      <w:r w:rsidR="005D7991">
        <w:t>constitutional, social, political and religious</w:t>
      </w:r>
      <w:r w:rsidR="00D8251B">
        <w:t xml:space="preserve"> tumult</w:t>
      </w:r>
      <w:r w:rsidR="005D7991">
        <w:t>.</w:t>
      </w:r>
      <w:r w:rsidR="0056053B">
        <w:t xml:space="preserve"> </w:t>
      </w:r>
      <w:r w:rsidR="005F20D8">
        <w:t>The French jurists sought s</w:t>
      </w:r>
      <w:r w:rsidR="0056053B">
        <w:t xml:space="preserve">olutions </w:t>
      </w:r>
      <w:r w:rsidR="00EC560B">
        <w:t xml:space="preserve">to </w:t>
      </w:r>
      <w:r w:rsidR="0012309C">
        <w:t xml:space="preserve">these issues </w:t>
      </w:r>
      <w:r w:rsidR="005F20D8">
        <w:t xml:space="preserve">through </w:t>
      </w:r>
      <w:r w:rsidR="0056053B">
        <w:t xml:space="preserve">a search for original authoritative legal </w:t>
      </w:r>
      <w:r w:rsidR="009A53D5">
        <w:t xml:space="preserve">and historical </w:t>
      </w:r>
      <w:r w:rsidR="008804DB">
        <w:t>truths</w:t>
      </w:r>
      <w:r w:rsidR="0058521A">
        <w:t xml:space="preserve"> amidst the quagmire of French customary law</w:t>
      </w:r>
      <w:r w:rsidR="008804DB">
        <w:t>.</w:t>
      </w:r>
      <w:r w:rsidR="009E27F4">
        <w:rPr>
          <w:rStyle w:val="FootnoteReference"/>
        </w:rPr>
        <w:footnoteReference w:id="23"/>
      </w:r>
      <w:r w:rsidR="00204099">
        <w:t xml:space="preserve"> This is the context in which we see the emergence of the earliest forms of legal history.</w:t>
      </w:r>
      <w:r w:rsidR="00C04C44">
        <w:rPr>
          <w:rStyle w:val="FootnoteReference"/>
        </w:rPr>
        <w:footnoteReference w:id="24"/>
      </w:r>
      <w:r w:rsidR="00EC079E">
        <w:t xml:space="preserve"> </w:t>
      </w:r>
    </w:p>
    <w:p w14:paraId="2C4A7E3A" w14:textId="74CD33C7" w:rsidR="000922A0" w:rsidRDefault="0042439F" w:rsidP="00A07EAD">
      <w:pPr>
        <w:jc w:val="both"/>
      </w:pPr>
      <w:r>
        <w:t>In the mid-18</w:t>
      </w:r>
      <w:r w:rsidRPr="0042439F">
        <w:rPr>
          <w:vertAlign w:val="superscript"/>
        </w:rPr>
        <w:t>th</w:t>
      </w:r>
      <w:r>
        <w:t xml:space="preserve"> century, the Scottish judge and philosopher Lord Kames wrote that law only becomes “a rational study, when it is traced historically”.</w:t>
      </w:r>
      <w:r>
        <w:rPr>
          <w:rStyle w:val="FootnoteReference"/>
        </w:rPr>
        <w:footnoteReference w:id="25"/>
      </w:r>
      <w:r w:rsidR="00402920">
        <w:t xml:space="preserve"> Such a perspective is owed directly to the thinking of the legal humanists</w:t>
      </w:r>
      <w:r w:rsidR="00B57829">
        <w:t xml:space="preserve"> who excavated the history of law in order to make </w:t>
      </w:r>
      <w:r w:rsidR="004E63D8">
        <w:t xml:space="preserve">the practice of law </w:t>
      </w:r>
      <w:r w:rsidR="00B57829">
        <w:t xml:space="preserve">rational </w:t>
      </w:r>
      <w:r w:rsidR="0007458B">
        <w:t>and intellectually coherent</w:t>
      </w:r>
      <w:r w:rsidR="00402920">
        <w:t xml:space="preserve">. However, the first </w:t>
      </w:r>
      <w:r w:rsidR="00641E18">
        <w:t xml:space="preserve">flowering of legal historiography </w:t>
      </w:r>
      <w:r w:rsidR="000922A0">
        <w:t>is not without its problem</w:t>
      </w:r>
      <w:r w:rsidR="004E4A7D">
        <w:t xml:space="preserve">s. </w:t>
      </w:r>
      <w:r w:rsidR="004002E6">
        <w:t>When lawyers approached the past as a source of law, their instinct was sometimes to fix the law (in both sense</w:t>
      </w:r>
      <w:r w:rsidR="006829CB">
        <w:t>s</w:t>
      </w:r>
      <w:r w:rsidR="004002E6">
        <w:t xml:space="preserve"> of the</w:t>
      </w:r>
      <w:r w:rsidR="00075751">
        <w:t xml:space="preserve"> verb</w:t>
      </w:r>
      <w:r w:rsidR="004002E6">
        <w:t xml:space="preserve">) by adapting what they found, to make it of greater utility in the present. </w:t>
      </w:r>
      <w:r w:rsidR="004E4A7D">
        <w:t xml:space="preserve">We can see this in, for example, the growing efforts </w:t>
      </w:r>
      <w:r w:rsidR="00BF3ADB">
        <w:t xml:space="preserve">across Europe </w:t>
      </w:r>
      <w:r w:rsidR="004E4A7D">
        <w:t>to</w:t>
      </w:r>
      <w:r w:rsidR="000922A0">
        <w:t xml:space="preserve"> Romanis</w:t>
      </w:r>
      <w:r w:rsidR="004E4A7D">
        <w:t xml:space="preserve">e customary </w:t>
      </w:r>
      <w:r w:rsidR="000922A0">
        <w:t>law</w:t>
      </w:r>
      <w:r w:rsidR="00BF3ADB">
        <w:t xml:space="preserve"> by creating written institutions which are made authoritative through copious references to the </w:t>
      </w:r>
      <w:r w:rsidR="00917C19">
        <w:t>Roman civil law</w:t>
      </w:r>
      <w:r w:rsidR="00BF3ADB">
        <w:t>.</w:t>
      </w:r>
      <w:r w:rsidR="004002E6">
        <w:t xml:space="preserve"> Nevertheless, we are seeing, for the first time, a determined and comprehensive effort </w:t>
      </w:r>
      <w:r w:rsidR="003353D6">
        <w:t xml:space="preserve">to articulate </w:t>
      </w:r>
      <w:r w:rsidR="00077119">
        <w:t>an authentic histor</w:t>
      </w:r>
      <w:r w:rsidR="00AD499A">
        <w:t>ical analysis</w:t>
      </w:r>
      <w:r w:rsidR="00077119">
        <w:t xml:space="preserve"> of the structures of law.</w:t>
      </w:r>
    </w:p>
    <w:p w14:paraId="38706AE6" w14:textId="3A94BE89" w:rsidR="00E83763" w:rsidRDefault="00FA6B1F" w:rsidP="00A07EAD">
      <w:pPr>
        <w:jc w:val="both"/>
      </w:pPr>
      <w:r>
        <w:t xml:space="preserve">Although this phenomenon finds its </w:t>
      </w:r>
      <w:r w:rsidR="003A619E">
        <w:t xml:space="preserve">first and fullest expression </w:t>
      </w:r>
      <w:r>
        <w:t xml:space="preserve">in France, </w:t>
      </w:r>
      <w:r w:rsidR="003266E2">
        <w:t xml:space="preserve">it was Andrea Alciato, an Italian professor of law at Bourges, </w:t>
      </w:r>
      <w:r>
        <w:t xml:space="preserve">who first </w:t>
      </w:r>
      <w:r w:rsidR="003266E2">
        <w:t xml:space="preserve">taught that </w:t>
      </w:r>
      <w:r>
        <w:t xml:space="preserve">humanist critical methodologies </w:t>
      </w:r>
      <w:r w:rsidR="003266E2">
        <w:t xml:space="preserve">could be applied </w:t>
      </w:r>
      <w:r>
        <w:t xml:space="preserve">to the study of </w:t>
      </w:r>
      <w:r w:rsidR="003E0769">
        <w:t xml:space="preserve">Roman </w:t>
      </w:r>
      <w:r>
        <w:t>law</w:t>
      </w:r>
      <w:r w:rsidR="003A619E">
        <w:t>. Th</w:t>
      </w:r>
      <w:r w:rsidR="003E0769">
        <w:t xml:space="preserve">e </w:t>
      </w:r>
      <w:r w:rsidR="003A619E">
        <w:t xml:space="preserve">idea </w:t>
      </w:r>
      <w:r w:rsidR="003E0769">
        <w:t xml:space="preserve">that law could be analysed critically in the humanist fashion </w:t>
      </w:r>
      <w:r w:rsidR="003A619E">
        <w:t xml:space="preserve">was taken up with alacrity </w:t>
      </w:r>
      <w:r w:rsidR="003E0769">
        <w:t xml:space="preserve">by </w:t>
      </w:r>
      <w:r w:rsidR="00265C6D">
        <w:t xml:space="preserve">French </w:t>
      </w:r>
      <w:r w:rsidR="00E614B9">
        <w:t xml:space="preserve">Protestant </w:t>
      </w:r>
      <w:r w:rsidR="00265C6D">
        <w:t>lawyers</w:t>
      </w:r>
      <w:r w:rsidR="003A619E">
        <w:t xml:space="preserve">, </w:t>
      </w:r>
      <w:r w:rsidR="00DF65AD">
        <w:t>starting with Charles Dumoulin</w:t>
      </w:r>
      <w:r w:rsidR="008B6028">
        <w:t>. What they produce is</w:t>
      </w:r>
      <w:r w:rsidR="003A619E">
        <w:t xml:space="preserve"> </w:t>
      </w:r>
      <w:r w:rsidR="00FB7AAF">
        <w:t xml:space="preserve">a </w:t>
      </w:r>
      <w:r w:rsidR="00084186">
        <w:t>rationalis</w:t>
      </w:r>
      <w:r w:rsidR="00EF5757">
        <w:t>ing</w:t>
      </w:r>
      <w:r w:rsidR="00084186">
        <w:t xml:space="preserve"> </w:t>
      </w:r>
      <w:r w:rsidR="003A619E">
        <w:t>history</w:t>
      </w:r>
      <w:r w:rsidR="00D02E02">
        <w:t xml:space="preserve"> </w:t>
      </w:r>
      <w:r w:rsidR="00DF65AD">
        <w:t>stripped of moral or theological components</w:t>
      </w:r>
      <w:r w:rsidR="002C3502">
        <w:t xml:space="preserve">, a </w:t>
      </w:r>
      <w:r w:rsidR="006F3AA5">
        <w:t xml:space="preserve">history </w:t>
      </w:r>
      <w:r w:rsidR="001B39FF">
        <w:t xml:space="preserve">both </w:t>
      </w:r>
      <w:r w:rsidR="00EF6059">
        <w:t>of structures</w:t>
      </w:r>
      <w:r w:rsidR="00D37D7A">
        <w:rPr>
          <w:rStyle w:val="FootnoteReference"/>
        </w:rPr>
        <w:footnoteReference w:id="26"/>
      </w:r>
      <w:r w:rsidR="00C66632">
        <w:t xml:space="preserve"> </w:t>
      </w:r>
      <w:r w:rsidR="001B39FF">
        <w:t xml:space="preserve">and </w:t>
      </w:r>
      <w:r w:rsidR="00CA4777">
        <w:t xml:space="preserve">of </w:t>
      </w:r>
      <w:r w:rsidR="001B39FF">
        <w:t xml:space="preserve">the </w:t>
      </w:r>
      <w:r w:rsidR="00CA4777">
        <w:t>societ</w:t>
      </w:r>
      <w:r w:rsidR="001B39FF">
        <w:t>ies</w:t>
      </w:r>
      <w:r w:rsidR="00CA4777">
        <w:t xml:space="preserve"> governed </w:t>
      </w:r>
      <w:r w:rsidR="00E91ACC">
        <w:t xml:space="preserve">and shaped </w:t>
      </w:r>
      <w:r w:rsidR="00CA4777">
        <w:t xml:space="preserve">by those structures. </w:t>
      </w:r>
      <w:r w:rsidR="00B9490D">
        <w:t xml:space="preserve">After Dumoulin, </w:t>
      </w:r>
      <w:r w:rsidR="00E614B9">
        <w:t>figures</w:t>
      </w:r>
      <w:r w:rsidR="00B9490D">
        <w:t xml:space="preserve"> like </w:t>
      </w:r>
      <w:r w:rsidR="008B7048">
        <w:t>Jean Bodin</w:t>
      </w:r>
      <w:r w:rsidR="00A076C2">
        <w:t xml:space="preserve">, </w:t>
      </w:r>
      <w:r w:rsidR="008B7048">
        <w:t xml:space="preserve">François Hotman </w:t>
      </w:r>
      <w:r w:rsidR="00A076C2">
        <w:t>and Jacque</w:t>
      </w:r>
      <w:r w:rsidR="00832CC9">
        <w:t>s</w:t>
      </w:r>
      <w:r w:rsidR="00A076C2">
        <w:t xml:space="preserve"> Cujas </w:t>
      </w:r>
      <w:r w:rsidR="008B7048">
        <w:t xml:space="preserve">join the process of </w:t>
      </w:r>
      <w:r w:rsidR="004A4DE1">
        <w:t xml:space="preserve">developing and improving the </w:t>
      </w:r>
      <w:r w:rsidR="008B7048">
        <w:t>hermeneutic</w:t>
      </w:r>
      <w:r w:rsidR="004A4DE1">
        <w:t xml:space="preserve">s of legal historiography. </w:t>
      </w:r>
      <w:r w:rsidR="00E83763">
        <w:t xml:space="preserve">Indeed, Bodin, in his </w:t>
      </w:r>
      <w:r w:rsidR="00E83763" w:rsidRPr="00E83763">
        <w:rPr>
          <w:i/>
          <w:iCs/>
        </w:rPr>
        <w:t>Methodus ad facilem historiarum</w:t>
      </w:r>
      <w:r w:rsidR="00E83763" w:rsidRPr="00E83763">
        <w:t xml:space="preserve"> </w:t>
      </w:r>
      <w:r w:rsidR="00E83763" w:rsidRPr="00FD636F">
        <w:rPr>
          <w:i/>
          <w:iCs/>
        </w:rPr>
        <w:t>cognitionem</w:t>
      </w:r>
      <w:r w:rsidR="00E83763">
        <w:t xml:space="preserve">, </w:t>
      </w:r>
      <w:r w:rsidR="00E83763" w:rsidRPr="00E83763">
        <w:t>lays out a developed theory and philosophy of historiography</w:t>
      </w:r>
      <w:r w:rsidR="00E83763">
        <w:t xml:space="preserve">, essentially a guide for how to conduct </w:t>
      </w:r>
      <w:r w:rsidR="00D917BC">
        <w:t xml:space="preserve">historical </w:t>
      </w:r>
      <w:r w:rsidR="00E83763">
        <w:t>research</w:t>
      </w:r>
      <w:r w:rsidR="00D70AA7">
        <w:t xml:space="preserve"> in law</w:t>
      </w:r>
      <w:r w:rsidR="0069531F">
        <w:t>,</w:t>
      </w:r>
      <w:r w:rsidR="00E83763">
        <w:t xml:space="preserve"> in which he emphasises the value of public records </w:t>
      </w:r>
      <w:r w:rsidR="0035066E">
        <w:t xml:space="preserve">and legal sources </w:t>
      </w:r>
      <w:r w:rsidR="00E83763">
        <w:t xml:space="preserve">rather than </w:t>
      </w:r>
      <w:r w:rsidR="001B0C8C">
        <w:t xml:space="preserve">private </w:t>
      </w:r>
      <w:r w:rsidR="0035066E">
        <w:t xml:space="preserve">documents </w:t>
      </w:r>
      <w:r w:rsidR="001B0C8C">
        <w:t xml:space="preserve">or rhetorical accounts. </w:t>
      </w:r>
    </w:p>
    <w:p w14:paraId="4100E693" w14:textId="21FCECDA" w:rsidR="00DF65AD" w:rsidRDefault="00C66632" w:rsidP="00A07EAD">
      <w:pPr>
        <w:jc w:val="both"/>
      </w:pPr>
      <w:r>
        <w:t xml:space="preserve">These lawyers were no longer speaking about </w:t>
      </w:r>
      <w:r w:rsidR="004F796B">
        <w:t>the</w:t>
      </w:r>
      <w:r>
        <w:t xml:space="preserve"> institutions </w:t>
      </w:r>
      <w:r w:rsidR="004F796B">
        <w:t xml:space="preserve">of law </w:t>
      </w:r>
      <w:r>
        <w:t xml:space="preserve">simply as timeless </w:t>
      </w:r>
      <w:r w:rsidR="004F796B">
        <w:t xml:space="preserve">or </w:t>
      </w:r>
      <w:r w:rsidR="00C5213A">
        <w:t xml:space="preserve">inherently </w:t>
      </w:r>
      <w:r w:rsidR="004F796B">
        <w:t xml:space="preserve">authoritative </w:t>
      </w:r>
      <w:r>
        <w:t xml:space="preserve">but, rather, as products of </w:t>
      </w:r>
      <w:r w:rsidR="009C0F77">
        <w:t xml:space="preserve">a long cycle of </w:t>
      </w:r>
      <w:r>
        <w:t xml:space="preserve">historical development. </w:t>
      </w:r>
      <w:r w:rsidR="00322A46">
        <w:t>Alciato appli</w:t>
      </w:r>
      <w:r w:rsidR="005104B4">
        <w:t>ed</w:t>
      </w:r>
      <w:r w:rsidR="00322A46">
        <w:t xml:space="preserve"> </w:t>
      </w:r>
      <w:r w:rsidR="005104B4">
        <w:t xml:space="preserve">humanist </w:t>
      </w:r>
      <w:r w:rsidR="00322A46">
        <w:t xml:space="preserve">critical techniques to the study of Roman law, but his pupils took it further and usefully applied </w:t>
      </w:r>
      <w:r w:rsidR="004B24F0">
        <w:t xml:space="preserve">them </w:t>
      </w:r>
      <w:r w:rsidR="00322A46">
        <w:t>to the study of French law, both municipal and customary</w:t>
      </w:r>
      <w:r w:rsidR="00BC44F8">
        <w:t>, and then to the social structures which law had created</w:t>
      </w:r>
      <w:r w:rsidR="00322A46">
        <w:t xml:space="preserve">. </w:t>
      </w:r>
      <w:r w:rsidR="004B24F0">
        <w:t xml:space="preserve">In the process, they </w:t>
      </w:r>
      <w:r w:rsidR="00300F11">
        <w:t xml:space="preserve">created </w:t>
      </w:r>
      <w:r w:rsidR="004B24F0">
        <w:t xml:space="preserve">new techniques of their own, including </w:t>
      </w:r>
      <w:r w:rsidR="00300F11">
        <w:t xml:space="preserve">the fundaments that would eventually become </w:t>
      </w:r>
      <w:r w:rsidR="004B24F0">
        <w:t>comparative legal method.</w:t>
      </w:r>
    </w:p>
    <w:p w14:paraId="10182D03" w14:textId="4B466204" w:rsidR="00FC0E50" w:rsidRDefault="00E614B9" w:rsidP="009A1F29">
      <w:pPr>
        <w:jc w:val="both"/>
      </w:pPr>
      <w:r>
        <w:t xml:space="preserve">In </w:t>
      </w:r>
      <w:r w:rsidR="0051047A">
        <w:t>16</w:t>
      </w:r>
      <w:r w:rsidR="0051047A" w:rsidRPr="0051047A">
        <w:rPr>
          <w:vertAlign w:val="superscript"/>
        </w:rPr>
        <w:t>th</w:t>
      </w:r>
      <w:r w:rsidR="0051047A">
        <w:t xml:space="preserve"> century </w:t>
      </w:r>
      <w:r>
        <w:t>France, lawyers</w:t>
      </w:r>
      <w:r w:rsidR="0051047A">
        <w:t xml:space="preserve"> </w:t>
      </w:r>
      <w:r w:rsidR="00B73166">
        <w:t>were attempting to solve problems by excavating usable truths from the historical record.</w:t>
      </w:r>
      <w:r w:rsidR="00D65ABA">
        <w:t xml:space="preserve"> </w:t>
      </w:r>
      <w:r w:rsidR="00B73166">
        <w:t>M</w:t>
      </w:r>
      <w:r w:rsidR="00751AEC">
        <w:t xml:space="preserve">oral </w:t>
      </w:r>
      <w:r w:rsidR="00B73166">
        <w:t xml:space="preserve">and personal history </w:t>
      </w:r>
      <w:r w:rsidR="00751AEC">
        <w:t>ha</w:t>
      </w:r>
      <w:r w:rsidR="00A442F7">
        <w:t>d</w:t>
      </w:r>
      <w:r w:rsidR="00751AEC">
        <w:t xml:space="preserve"> no relevance to the </w:t>
      </w:r>
      <w:r w:rsidR="00D65ABA">
        <w:t>legal</w:t>
      </w:r>
      <w:r w:rsidR="00751AEC">
        <w:t xml:space="preserve"> </w:t>
      </w:r>
      <w:r w:rsidR="00D65ABA">
        <w:t xml:space="preserve">and political </w:t>
      </w:r>
      <w:r w:rsidR="00751AEC">
        <w:t>issues they face</w:t>
      </w:r>
      <w:r w:rsidR="00C3028A">
        <w:t>d</w:t>
      </w:r>
      <w:r w:rsidR="00751AEC">
        <w:t>.</w:t>
      </w:r>
      <w:r w:rsidR="007A67B5">
        <w:t xml:space="preserve"> </w:t>
      </w:r>
      <w:r w:rsidR="006B3415">
        <w:t xml:space="preserve">They rejected the idea that history was defined solely by the character and actions of individuals and </w:t>
      </w:r>
      <w:r w:rsidR="00171062">
        <w:t>constructed a new form of history</w:t>
      </w:r>
      <w:r w:rsidR="00342CFC">
        <w:t xml:space="preserve"> </w:t>
      </w:r>
      <w:r w:rsidR="007D02BB">
        <w:t xml:space="preserve">based </w:t>
      </w:r>
      <w:r w:rsidR="0091631A">
        <w:t xml:space="preserve">upon </w:t>
      </w:r>
      <w:r w:rsidR="00191072">
        <w:t xml:space="preserve">critical </w:t>
      </w:r>
      <w:r w:rsidR="00342CFC">
        <w:t>analys</w:t>
      </w:r>
      <w:r w:rsidR="0091631A">
        <w:t xml:space="preserve">is of </w:t>
      </w:r>
      <w:r w:rsidR="00342CFC">
        <w:t>events</w:t>
      </w:r>
      <w:r w:rsidR="000F1A3C">
        <w:t xml:space="preserve"> and </w:t>
      </w:r>
      <w:r w:rsidR="002A0B5A">
        <w:t>structures</w:t>
      </w:r>
      <w:r w:rsidR="000E7AE2">
        <w:t xml:space="preserve"> within periodised </w:t>
      </w:r>
      <w:r w:rsidR="00E76879">
        <w:t>cultural and political contexts</w:t>
      </w:r>
      <w:r w:rsidR="00710D3B">
        <w:t xml:space="preserve">. Their new history recognised </w:t>
      </w:r>
      <w:r w:rsidR="00697799">
        <w:t xml:space="preserve">that cultural and political contexts changed over time and that therefore structures too </w:t>
      </w:r>
      <w:r w:rsidR="004D664B">
        <w:t xml:space="preserve">had </w:t>
      </w:r>
      <w:r w:rsidR="00697799">
        <w:t xml:space="preserve">to </w:t>
      </w:r>
      <w:r w:rsidR="00D26B7F">
        <w:t xml:space="preserve">change and </w:t>
      </w:r>
      <w:r w:rsidR="00697799">
        <w:t>develop</w:t>
      </w:r>
      <w:r w:rsidR="00D26B7F">
        <w:t xml:space="preserve"> </w:t>
      </w:r>
      <w:r w:rsidR="00697799">
        <w:t>over time.</w:t>
      </w:r>
      <w:r w:rsidR="00D404E3">
        <w:t xml:space="preserve"> </w:t>
      </w:r>
      <w:r w:rsidR="00EC3F8F">
        <w:t xml:space="preserve">For </w:t>
      </w:r>
      <w:r w:rsidR="00475D17">
        <w:t>the first time</w:t>
      </w:r>
      <w:r w:rsidR="00EC3F8F">
        <w:t xml:space="preserve">, </w:t>
      </w:r>
      <w:r w:rsidR="00F14404">
        <w:t>lawyers</w:t>
      </w:r>
      <w:r w:rsidR="00EC3F8F">
        <w:t xml:space="preserve"> </w:t>
      </w:r>
      <w:r w:rsidR="006A0049">
        <w:t>advanc</w:t>
      </w:r>
      <w:r w:rsidR="00A5724A">
        <w:t>ed</w:t>
      </w:r>
      <w:r w:rsidR="006A0049">
        <w:t xml:space="preserve"> </w:t>
      </w:r>
      <w:r w:rsidR="00EC3F8F">
        <w:t>a comprehensive set of methodologies to facilitate</w:t>
      </w:r>
      <w:r w:rsidR="00EE3C89">
        <w:t xml:space="preserve"> </w:t>
      </w:r>
      <w:r w:rsidR="00AC016F">
        <w:t xml:space="preserve">the </w:t>
      </w:r>
      <w:r w:rsidR="00EE3C89">
        <w:lastRenderedPageBreak/>
        <w:t xml:space="preserve">understanding </w:t>
      </w:r>
      <w:r w:rsidR="00825749">
        <w:t xml:space="preserve">of </w:t>
      </w:r>
      <w:r w:rsidR="00EE3C89">
        <w:t xml:space="preserve">not just the inception of law but its subsequent </w:t>
      </w:r>
      <w:r w:rsidR="00723D8A">
        <w:t>evolution</w:t>
      </w:r>
      <w:r w:rsidR="00342CFC">
        <w:t xml:space="preserve"> and</w:t>
      </w:r>
      <w:r w:rsidR="00CC3DDA">
        <w:t xml:space="preserve">, indeed, its </w:t>
      </w:r>
      <w:r w:rsidR="002640FF">
        <w:t xml:space="preserve">historical </w:t>
      </w:r>
      <w:r w:rsidR="00342CFC">
        <w:t>reception</w:t>
      </w:r>
      <w:r w:rsidR="00EE3C89">
        <w:t>.</w:t>
      </w:r>
      <w:r w:rsidR="003E7E08">
        <w:t xml:space="preserve"> They were</w:t>
      </w:r>
      <w:r w:rsidR="00360A24">
        <w:t xml:space="preserve"> creating legal history but</w:t>
      </w:r>
      <w:r w:rsidR="003E7E08">
        <w:t>, in the process, they were laying the methodological and conceptual foundations for what we would now</w:t>
      </w:r>
      <w:r w:rsidR="00360A24">
        <w:t xml:space="preserve"> call the </w:t>
      </w:r>
      <w:r w:rsidR="000E15A1">
        <w:t xml:space="preserve">modern </w:t>
      </w:r>
      <w:r w:rsidR="003E7E08">
        <w:t xml:space="preserve">academic discipline of </w:t>
      </w:r>
      <w:r w:rsidR="00360A24">
        <w:t xml:space="preserve">history. From the historical inquiry of the legal humanists, all later </w:t>
      </w:r>
      <w:r w:rsidR="00256030">
        <w:t>manifestations</w:t>
      </w:r>
      <w:r w:rsidR="00360A24">
        <w:t xml:space="preserve"> of historiography have sprun</w:t>
      </w:r>
      <w:r w:rsidR="008459B4">
        <w:t>g</w:t>
      </w:r>
      <w:r w:rsidR="00E2380C">
        <w:t>.</w:t>
      </w:r>
      <w:r w:rsidR="00360A24">
        <w:t xml:space="preserve"> </w:t>
      </w:r>
    </w:p>
    <w:p w14:paraId="3CA58C17" w14:textId="3D079E63" w:rsidR="00E4284E" w:rsidRDefault="00D61393" w:rsidP="009A1F29">
      <w:pPr>
        <w:jc w:val="both"/>
      </w:pPr>
      <w:r>
        <w:t>The primary question facing all historians in all eras of human existence has been: how does the past relate to the present?</w:t>
      </w:r>
      <w:r w:rsidR="00E4284E">
        <w:t xml:space="preserve"> Within the Roman, medieval and classicising Renaissance traditions</w:t>
      </w:r>
      <w:r w:rsidR="00307BDE">
        <w:t xml:space="preserve">, the </w:t>
      </w:r>
      <w:r w:rsidR="006D3D9B">
        <w:t>answer to that question was simple: the past provide</w:t>
      </w:r>
      <w:r w:rsidR="00E07C77">
        <w:t xml:space="preserve">d </w:t>
      </w:r>
      <w:r w:rsidR="006D3D9B">
        <w:t>examples</w:t>
      </w:r>
      <w:r w:rsidR="00E07C77">
        <w:t xml:space="preserve"> and warnings</w:t>
      </w:r>
      <w:r w:rsidR="006D3D9B">
        <w:t xml:space="preserve">. For the legal humanists, </w:t>
      </w:r>
      <w:r w:rsidR="00F516E6">
        <w:t>the answer was much more complex.</w:t>
      </w:r>
    </w:p>
    <w:p w14:paraId="685405FE" w14:textId="77777777" w:rsidR="00CE2100" w:rsidRDefault="00CE2100" w:rsidP="009A1F29">
      <w:pPr>
        <w:jc w:val="both"/>
      </w:pPr>
    </w:p>
    <w:p w14:paraId="069DC853" w14:textId="29BAF100" w:rsidR="004B5919" w:rsidRDefault="00CE2100" w:rsidP="00185922">
      <w:pPr>
        <w:jc w:val="both"/>
      </w:pPr>
      <w:r w:rsidRPr="00CE2100">
        <w:rPr>
          <w:b/>
          <w:bCs/>
        </w:rPr>
        <w:t>Scotland</w:t>
      </w:r>
    </w:p>
    <w:p w14:paraId="15BB2B08" w14:textId="14B9B3AF" w:rsidR="00DA3EDD" w:rsidRDefault="009754BF" w:rsidP="00185922">
      <w:pPr>
        <w:jc w:val="both"/>
      </w:pPr>
      <w:r>
        <w:t>N</w:t>
      </w:r>
      <w:r w:rsidR="002C1334">
        <w:t xml:space="preserve">otwithstanding its geographical distance </w:t>
      </w:r>
      <w:r w:rsidR="00B3018F">
        <w:t xml:space="preserve">from the </w:t>
      </w:r>
      <w:r>
        <w:t xml:space="preserve">Continental </w:t>
      </w:r>
      <w:r w:rsidR="00B3018F">
        <w:t xml:space="preserve">centre, </w:t>
      </w:r>
      <w:r>
        <w:t>Scottish culture, education and law were inextricably linked to the conventions of Renaissance Europe</w:t>
      </w:r>
      <w:r w:rsidR="009D62BD">
        <w:t xml:space="preserve">. Humanism </w:t>
      </w:r>
      <w:r w:rsidR="00266BC5">
        <w:t xml:space="preserve">helped </w:t>
      </w:r>
      <w:r>
        <w:t xml:space="preserve">define Scotland’s intellectual </w:t>
      </w:r>
      <w:r w:rsidR="0024318D">
        <w:t>worldview</w:t>
      </w:r>
      <w:r w:rsidR="009D62BD">
        <w:t xml:space="preserve"> during the 16</w:t>
      </w:r>
      <w:r w:rsidR="009D62BD" w:rsidRPr="009D62BD">
        <w:rPr>
          <w:vertAlign w:val="superscript"/>
        </w:rPr>
        <w:t>th</w:t>
      </w:r>
      <w:r w:rsidR="009D62BD">
        <w:t xml:space="preserve"> century</w:t>
      </w:r>
      <w:r>
        <w:t xml:space="preserve">. </w:t>
      </w:r>
      <w:r w:rsidR="00DA3EDD">
        <w:t xml:space="preserve">Lawyers in Scotland were not only reading </w:t>
      </w:r>
      <w:r w:rsidR="00BA106E">
        <w:t xml:space="preserve">legal humanist </w:t>
      </w:r>
      <w:r w:rsidR="00F4159F">
        <w:t xml:space="preserve">works, </w:t>
      </w:r>
      <w:r w:rsidR="00E33768">
        <w:t xml:space="preserve">but </w:t>
      </w:r>
      <w:r w:rsidR="00F4159F">
        <w:t xml:space="preserve">were </w:t>
      </w:r>
      <w:r w:rsidR="00E33768">
        <w:t xml:space="preserve">often </w:t>
      </w:r>
      <w:r w:rsidR="00F4159F">
        <w:t xml:space="preserve">actually educated in </w:t>
      </w:r>
      <w:r w:rsidR="00A976FA">
        <w:t>Franc</w:t>
      </w:r>
      <w:r w:rsidR="00F4159F">
        <w:t>e</w:t>
      </w:r>
      <w:r w:rsidR="000F4AF6">
        <w:t xml:space="preserve"> by </w:t>
      </w:r>
      <w:r w:rsidR="00F4159F">
        <w:t>the</w:t>
      </w:r>
      <w:r w:rsidR="009120DC">
        <w:t xml:space="preserve"> very </w:t>
      </w:r>
      <w:r w:rsidR="00F4159F">
        <w:t xml:space="preserve">same </w:t>
      </w:r>
      <w:r w:rsidR="000F4AF6">
        <w:t>professors</w:t>
      </w:r>
      <w:r w:rsidR="009120DC">
        <w:t xml:space="preserve"> who wrote the books, such as Bodin</w:t>
      </w:r>
      <w:r w:rsidR="00D90052">
        <w:t xml:space="preserve">, </w:t>
      </w:r>
      <w:r w:rsidR="009120DC">
        <w:t>Hotman</w:t>
      </w:r>
      <w:r w:rsidR="00D90052">
        <w:t xml:space="preserve"> and Cujas</w:t>
      </w:r>
      <w:r w:rsidR="00044D79">
        <w:t>.</w:t>
      </w:r>
      <w:r w:rsidR="00A84F97">
        <w:rPr>
          <w:rStyle w:val="FootnoteReference"/>
        </w:rPr>
        <w:footnoteReference w:id="27"/>
      </w:r>
      <w:r w:rsidR="00044D79">
        <w:t xml:space="preserve"> Thus, legal practitioners </w:t>
      </w:r>
      <w:r w:rsidR="000F4AF6">
        <w:t>became the conduit that introduced the</w:t>
      </w:r>
      <w:r w:rsidR="00044D79">
        <w:t xml:space="preserve"> </w:t>
      </w:r>
      <w:r w:rsidR="000F4AF6">
        <w:t xml:space="preserve">new modes of </w:t>
      </w:r>
      <w:r w:rsidR="00B2289A">
        <w:t>historic</w:t>
      </w:r>
      <w:r w:rsidR="001168C4">
        <w:t>o-legal</w:t>
      </w:r>
      <w:r w:rsidR="00B2289A">
        <w:t xml:space="preserve"> thought and critical meth</w:t>
      </w:r>
      <w:r w:rsidR="00A80782">
        <w:t>od</w:t>
      </w:r>
      <w:r w:rsidR="000F4AF6">
        <w:t xml:space="preserve"> to Scotland. </w:t>
      </w:r>
    </w:p>
    <w:p w14:paraId="5D979E9C" w14:textId="3AAAA451" w:rsidR="00986790" w:rsidRDefault="00056476" w:rsidP="00185922">
      <w:pPr>
        <w:jc w:val="both"/>
      </w:pPr>
      <w:r>
        <w:t xml:space="preserve">Thomas </w:t>
      </w:r>
      <w:r w:rsidR="007B73EE">
        <w:t xml:space="preserve">Craig is a seminal figure </w:t>
      </w:r>
      <w:r w:rsidR="002F4C00">
        <w:t xml:space="preserve">in Scots history </w:t>
      </w:r>
      <w:r w:rsidR="009F31CF">
        <w:t xml:space="preserve">because he </w:t>
      </w:r>
      <w:r w:rsidR="006B3B8C">
        <w:t xml:space="preserve">wrote the </w:t>
      </w:r>
      <w:r w:rsidR="002F4C00">
        <w:t xml:space="preserve">country’s </w:t>
      </w:r>
      <w:r w:rsidR="009F31CF">
        <w:t xml:space="preserve">first comprehensive </w:t>
      </w:r>
      <w:r w:rsidR="002F4C00">
        <w:t xml:space="preserve">legal </w:t>
      </w:r>
      <w:r w:rsidR="009F31CF">
        <w:t xml:space="preserve">treatise. However, </w:t>
      </w:r>
      <w:r w:rsidR="007B73EE">
        <w:t xml:space="preserve">he ought to be a seminal figure </w:t>
      </w:r>
      <w:r w:rsidR="00A6064A">
        <w:t xml:space="preserve">in British history </w:t>
      </w:r>
      <w:r w:rsidR="007B73EE">
        <w:t xml:space="preserve">because he </w:t>
      </w:r>
      <w:r w:rsidR="009352BA">
        <w:t xml:space="preserve">wrote </w:t>
      </w:r>
      <w:r w:rsidR="00877E9F">
        <w:t xml:space="preserve">what we would now consider </w:t>
      </w:r>
      <w:r w:rsidR="009352BA">
        <w:t xml:space="preserve">the first </w:t>
      </w:r>
      <w:r w:rsidR="00877E9F">
        <w:t xml:space="preserve">authentic </w:t>
      </w:r>
      <w:r w:rsidR="00907D1E">
        <w:t xml:space="preserve">historical </w:t>
      </w:r>
      <w:r w:rsidR="00877E9F">
        <w:t xml:space="preserve">analysis of </w:t>
      </w:r>
      <w:r w:rsidR="00C85A60">
        <w:t>legal</w:t>
      </w:r>
      <w:r w:rsidR="00877E9F">
        <w:t xml:space="preserve"> </w:t>
      </w:r>
      <w:r w:rsidR="00957892">
        <w:t>structur</w:t>
      </w:r>
      <w:r w:rsidR="00877E9F">
        <w:t>es</w:t>
      </w:r>
      <w:r w:rsidR="00480F81">
        <w:t xml:space="preserve">. </w:t>
      </w:r>
      <w:r w:rsidR="00C2187D">
        <w:t xml:space="preserve">He was, in a sense, </w:t>
      </w:r>
      <w:r w:rsidR="004222D3">
        <w:t xml:space="preserve">Britain’s </w:t>
      </w:r>
      <w:r w:rsidR="00C2187D">
        <w:t>first modern historian</w:t>
      </w:r>
      <w:r w:rsidR="0006167B">
        <w:t xml:space="preserve"> anticipating the likes of the English feudal historian Spelman.</w:t>
      </w:r>
      <w:r w:rsidR="00986790">
        <w:t xml:space="preserve"> Both </w:t>
      </w:r>
      <w:r w:rsidR="0006167B">
        <w:t xml:space="preserve">Craig’s </w:t>
      </w:r>
      <w:r w:rsidR="00986790">
        <w:t>legal treatise and his historiographical approach are owed to his exposure to French legal humanism.</w:t>
      </w:r>
    </w:p>
    <w:p w14:paraId="097D228C" w14:textId="3A7ADCA9" w:rsidR="00193751" w:rsidRDefault="00480F81" w:rsidP="00185922">
      <w:pPr>
        <w:jc w:val="both"/>
      </w:pPr>
      <w:r>
        <w:t>Craig, of course, had narrower interests than the French legal humanists. He was a legal practitioner in the truest sense of the</w:t>
      </w:r>
      <w:r w:rsidR="00E53330">
        <w:t xml:space="preserve"> term</w:t>
      </w:r>
      <w:r>
        <w:t>.</w:t>
      </w:r>
      <w:r w:rsidR="00BB3A12">
        <w:rPr>
          <w:rStyle w:val="FootnoteReference"/>
        </w:rPr>
        <w:footnoteReference w:id="28"/>
      </w:r>
      <w:r w:rsidR="00D93D2A">
        <w:t xml:space="preserve"> While Bodin and Hotman were trying to solve</w:t>
      </w:r>
      <w:r w:rsidR="001C26E4">
        <w:t xml:space="preserve">, </w:t>
      </w:r>
      <w:r w:rsidR="00D93D2A">
        <w:t xml:space="preserve">through the application of law and history, </w:t>
      </w:r>
      <w:r w:rsidR="001C26E4">
        <w:t xml:space="preserve">the existential crises afflicting the French state, </w:t>
      </w:r>
      <w:r w:rsidR="00D93D2A">
        <w:t>Craig was merely trying to explicate Scottish feudal legal practice</w:t>
      </w:r>
      <w:r w:rsidR="00CC362A">
        <w:t>,</w:t>
      </w:r>
      <w:r w:rsidR="00A25C5B">
        <w:rPr>
          <w:rStyle w:val="FootnoteReference"/>
        </w:rPr>
        <w:footnoteReference w:id="29"/>
      </w:r>
      <w:r w:rsidR="00C56A52">
        <w:t xml:space="preserve"> </w:t>
      </w:r>
      <w:r w:rsidR="00CC362A">
        <w:t xml:space="preserve">albeit with an eye to the Stuart succession to the English throne. </w:t>
      </w:r>
      <w:r w:rsidR="00C93273">
        <w:t>The writings of the French legal humanists, though legal or historico-legal in nature, had much wider applicability</w:t>
      </w:r>
      <w:r w:rsidR="00943044">
        <w:t xml:space="preserve"> than Craig’s. H</w:t>
      </w:r>
      <w:r w:rsidR="00C93273">
        <w:t xml:space="preserve">owever, </w:t>
      </w:r>
      <w:r w:rsidR="00943044">
        <w:t xml:space="preserve">Craig </w:t>
      </w:r>
      <w:r w:rsidR="00C93273">
        <w:t xml:space="preserve">was utilising innovative historical techniques to explicate </w:t>
      </w:r>
      <w:r w:rsidR="00133495">
        <w:t xml:space="preserve">the </w:t>
      </w:r>
      <w:r w:rsidR="005D318A">
        <w:t xml:space="preserve">principles and structures of </w:t>
      </w:r>
      <w:r w:rsidR="00133495">
        <w:t xml:space="preserve">living </w:t>
      </w:r>
      <w:r w:rsidR="005D318A">
        <w:t xml:space="preserve">Scots land </w:t>
      </w:r>
      <w:r w:rsidR="00133495">
        <w:t>law</w:t>
      </w:r>
      <w:r w:rsidR="005D318A">
        <w:t>.</w:t>
      </w:r>
      <w:r w:rsidR="00193751">
        <w:t xml:space="preserve"> </w:t>
      </w:r>
    </w:p>
    <w:p w14:paraId="5D1131F3" w14:textId="2F479897" w:rsidR="007B73EE" w:rsidRDefault="005E0A62" w:rsidP="00185922">
      <w:pPr>
        <w:jc w:val="both"/>
      </w:pPr>
      <w:r>
        <w:t xml:space="preserve">One natural consequence of </w:t>
      </w:r>
      <w:r w:rsidR="000C178D">
        <w:t xml:space="preserve">Craig’s narrower focus is that he </w:t>
      </w:r>
      <w:r>
        <w:t xml:space="preserve">was always going to have a narrower readership. Only those who actually wanted to know about Scottish feudal practice would ever pick up his book. </w:t>
      </w:r>
      <w:r w:rsidR="007B50D5">
        <w:t>As a result, his historical contribution has tended to be downplayed</w:t>
      </w:r>
      <w:r w:rsidR="00EB0248">
        <w:t xml:space="preserve"> and, conversely, </w:t>
      </w:r>
      <w:r w:rsidR="00EB0248">
        <w:lastRenderedPageBreak/>
        <w:t>whenever his historical contribution is under discussion, the legal elemen</w:t>
      </w:r>
      <w:r w:rsidR="000E3B12">
        <w:t>t</w:t>
      </w:r>
      <w:r w:rsidR="00EB0248">
        <w:t xml:space="preserve"> of his writings tend</w:t>
      </w:r>
      <w:r w:rsidR="000E3B12">
        <w:t>s</w:t>
      </w:r>
      <w:r w:rsidR="00EB0248">
        <w:t xml:space="preserve"> to be </w:t>
      </w:r>
      <w:r w:rsidR="00494282">
        <w:t>ignored</w:t>
      </w:r>
      <w:r w:rsidR="00EB0248">
        <w:t xml:space="preserve">. </w:t>
      </w:r>
      <w:r w:rsidR="00C56A52">
        <w:t xml:space="preserve">Nevertheless, </w:t>
      </w:r>
      <w:r w:rsidR="001D54C1">
        <w:t xml:space="preserve">none of this </w:t>
      </w:r>
      <w:r w:rsidR="00C56A52">
        <w:t xml:space="preserve">should diminish the scale of </w:t>
      </w:r>
      <w:r w:rsidR="001D54C1">
        <w:t xml:space="preserve">Craig’s historiographical </w:t>
      </w:r>
      <w:r w:rsidR="00C56A52">
        <w:t>achievement</w:t>
      </w:r>
      <w:r w:rsidR="00D7049A">
        <w:t xml:space="preserve">. </w:t>
      </w:r>
      <w:r w:rsidR="007E5845">
        <w:t>W</w:t>
      </w:r>
      <w:r w:rsidR="00C56A52">
        <w:t xml:space="preserve">e can </w:t>
      </w:r>
      <w:r w:rsidR="00836579">
        <w:t>get some impression of that achievement if we compare his work to other historical work being written in Scotland at this point.</w:t>
      </w:r>
    </w:p>
    <w:p w14:paraId="060A07CD" w14:textId="043EBF1F" w:rsidR="00C93273" w:rsidRPr="003E4C3D" w:rsidRDefault="00B0021C" w:rsidP="00C93273">
      <w:pPr>
        <w:jc w:val="both"/>
      </w:pPr>
      <w:r>
        <w:t xml:space="preserve">Scotland produced a </w:t>
      </w:r>
      <w:r w:rsidR="00E1156F">
        <w:t xml:space="preserve">surprising </w:t>
      </w:r>
      <w:r>
        <w:t xml:space="preserve">number of significant humanist </w:t>
      </w:r>
      <w:r w:rsidR="00E1156F">
        <w:t>authors</w:t>
      </w:r>
      <w:r w:rsidR="001E25ED">
        <w:t xml:space="preserve"> who wrote</w:t>
      </w:r>
      <w:r w:rsidR="009B0053">
        <w:t xml:space="preserve"> accounts of Scottish history</w:t>
      </w:r>
      <w:r w:rsidR="001E25ED">
        <w:t xml:space="preserve">. </w:t>
      </w:r>
      <w:r w:rsidR="00B2331E">
        <w:t>At a future date, I hope to engage in the kind of detailed and comprehensive comparative work that cannot be done in a conference paper. But, for the time being</w:t>
      </w:r>
      <w:r w:rsidR="001E25ED">
        <w:t>, we will discuss only one – George Buchanan.</w:t>
      </w:r>
      <w:r w:rsidR="00E1156F">
        <w:t xml:space="preserve"> </w:t>
      </w:r>
      <w:r w:rsidR="003E4C3D">
        <w:t xml:space="preserve">Buchanan was </w:t>
      </w:r>
      <w:r w:rsidR="001E25ED">
        <w:t xml:space="preserve">unarguably </w:t>
      </w:r>
      <w:r w:rsidR="003E4C3D">
        <w:t xml:space="preserve">the greatest humanist writer and poet in Europe </w:t>
      </w:r>
      <w:r w:rsidR="001E25ED">
        <w:t xml:space="preserve">during his lifetime and he wrote </w:t>
      </w:r>
      <w:r w:rsidR="003E4C3D">
        <w:t xml:space="preserve">a history of Scotland, the </w:t>
      </w:r>
      <w:r w:rsidR="003E4C3D">
        <w:rPr>
          <w:i/>
          <w:iCs/>
        </w:rPr>
        <w:t>Rerum Scoticarum</w:t>
      </w:r>
      <w:r w:rsidR="003E4C3D">
        <w:t xml:space="preserve"> </w:t>
      </w:r>
      <w:r w:rsidR="00B35F37">
        <w:rPr>
          <w:i/>
          <w:iCs/>
        </w:rPr>
        <w:t xml:space="preserve">Historia </w:t>
      </w:r>
      <w:r w:rsidR="003E4C3D">
        <w:t xml:space="preserve">or History of Scottish </w:t>
      </w:r>
      <w:r w:rsidR="00D7129E">
        <w:t>Affairs</w:t>
      </w:r>
      <w:r w:rsidR="003E4C3D">
        <w:t>.</w:t>
      </w:r>
      <w:r w:rsidR="008A1D77">
        <w:rPr>
          <w:rStyle w:val="FootnoteReference"/>
        </w:rPr>
        <w:footnoteReference w:id="30"/>
      </w:r>
    </w:p>
    <w:p w14:paraId="6E8E1F78" w14:textId="78F9C2D2" w:rsidR="00BE0F54" w:rsidRDefault="00D438E3" w:rsidP="00E34837">
      <w:pPr>
        <w:jc w:val="both"/>
      </w:pPr>
      <w:r>
        <w:t xml:space="preserve">In </w:t>
      </w:r>
      <w:r w:rsidR="00EC2E7A">
        <w:t xml:space="preserve">a letter to Thomas Randolph, the English postmaster, </w:t>
      </w:r>
      <w:r>
        <w:t>Buchanan described himself as “occupied in the writing of our history, being certain on that basis to please few and displease many”.</w:t>
      </w:r>
      <w:r w:rsidR="00793598">
        <w:rPr>
          <w:rStyle w:val="FootnoteReference"/>
        </w:rPr>
        <w:footnoteReference w:id="31"/>
      </w:r>
      <w:r w:rsidR="00C56DE1">
        <w:t xml:space="preserve"> He was writing history, he explained, to purge it of “Inglis lyis and Scottis vanite”.</w:t>
      </w:r>
      <w:r w:rsidR="00DF141B">
        <w:t xml:space="preserve"> </w:t>
      </w:r>
      <w:r w:rsidR="00125183">
        <w:t xml:space="preserve">In practice, </w:t>
      </w:r>
      <w:r w:rsidR="004657D6">
        <w:t xml:space="preserve">what </w:t>
      </w:r>
      <w:r w:rsidR="00AB2CC8">
        <w:t>Buchanan</w:t>
      </w:r>
      <w:r w:rsidR="004657D6">
        <w:t xml:space="preserve"> produced was </w:t>
      </w:r>
      <w:r w:rsidR="006F2BD8">
        <w:t>a conventional moral history written in very elegant Latin.</w:t>
      </w:r>
      <w:r w:rsidR="004657D6">
        <w:t xml:space="preserve"> </w:t>
      </w:r>
      <w:r w:rsidR="000A7C06">
        <w:t xml:space="preserve">His </w:t>
      </w:r>
      <w:r w:rsidR="006F2BD8">
        <w:t xml:space="preserve">gives us </w:t>
      </w:r>
      <w:r w:rsidR="000A7C06">
        <w:t>a “narrative of the lives of the successive Scottish monarchs, of their wars, their battles, their quarrels with their subjects, their understandings and misunderstandings with foreign powers”.</w:t>
      </w:r>
      <w:r w:rsidR="00A873C0">
        <w:rPr>
          <w:rStyle w:val="FootnoteReference"/>
        </w:rPr>
        <w:footnoteReference w:id="32"/>
      </w:r>
      <w:r w:rsidR="000A7C06">
        <w:t xml:space="preserve"> </w:t>
      </w:r>
      <w:r w:rsidR="0003481F">
        <w:t>The m</w:t>
      </w:r>
      <w:r w:rsidR="00315F4F">
        <w:t xml:space="preserve">oral </w:t>
      </w:r>
      <w:r w:rsidR="0003481F">
        <w:t xml:space="preserve">component is </w:t>
      </w:r>
      <w:r w:rsidR="00315F4F">
        <w:t xml:space="preserve">central </w:t>
      </w:r>
      <w:r w:rsidR="0003481F">
        <w:t>to the</w:t>
      </w:r>
      <w:r w:rsidR="00EC5FD1">
        <w:t>ir</w:t>
      </w:r>
      <w:r w:rsidR="0003481F">
        <w:t xml:space="preserve"> successes and failures</w:t>
      </w:r>
      <w:r w:rsidR="00D35F46">
        <w:t xml:space="preserve">. </w:t>
      </w:r>
      <w:r w:rsidR="000364D9">
        <w:t>For Buchanan, t</w:t>
      </w:r>
      <w:r w:rsidR="00D35F46">
        <w:t>he Scottish state does not exist other than in the physical guise of a monarch</w:t>
      </w:r>
      <w:r w:rsidR="002C2CA2">
        <w:t>.</w:t>
      </w:r>
      <w:r w:rsidR="00D059D3">
        <w:t xml:space="preserve"> </w:t>
      </w:r>
      <w:r w:rsidR="00E44C8C">
        <w:t xml:space="preserve">Buchanan’s entire understanding of history is, therefore, that of a classicising humanist self-consciously trying to emulate the moral historiography of Rome. </w:t>
      </w:r>
      <w:r w:rsidR="0003740D">
        <w:t xml:space="preserve">Buchanan’s Victorian biographer, Hume Brown, </w:t>
      </w:r>
      <w:r w:rsidR="00094A40">
        <w:t>observed that the great man showed “no real insight into the draft and scope of the great movements that passed under his eyes”.</w:t>
      </w:r>
      <w:r w:rsidR="00C21640">
        <w:rPr>
          <w:rStyle w:val="FootnoteReference"/>
        </w:rPr>
        <w:footnoteReference w:id="33"/>
      </w:r>
      <w:r w:rsidR="00913CEB">
        <w:t xml:space="preserve"> He was surprised that Buchanan, the greatest humanist author of the 16</w:t>
      </w:r>
      <w:r w:rsidR="00913CEB" w:rsidRPr="00913CEB">
        <w:rPr>
          <w:vertAlign w:val="superscript"/>
        </w:rPr>
        <w:t>th</w:t>
      </w:r>
      <w:r w:rsidR="00913CEB">
        <w:t xml:space="preserve"> century and who was at the centre of Scottish politic</w:t>
      </w:r>
      <w:r w:rsidR="00561D46">
        <w:t xml:space="preserve">s </w:t>
      </w:r>
      <w:r w:rsidR="00913CEB">
        <w:t xml:space="preserve">during the country’s most turbulent </w:t>
      </w:r>
      <w:r w:rsidR="00E77D27">
        <w:t>years</w:t>
      </w:r>
      <w:r w:rsidR="00913CEB">
        <w:t xml:space="preserve">, </w:t>
      </w:r>
      <w:r w:rsidR="00350172">
        <w:t xml:space="preserve">lacked both the kind of historical insight we find in Bodin and the practicality we find in Machiavelli. </w:t>
      </w:r>
      <w:r w:rsidR="00BE0F54">
        <w:t xml:space="preserve">He justifies these shortcomings by says that the writing of history in Buchanan’s day </w:t>
      </w:r>
      <w:r w:rsidR="002D209B">
        <w:t>made less demands</w:t>
      </w:r>
      <w:r w:rsidR="00BE0F54">
        <w:t xml:space="preserve"> </w:t>
      </w:r>
      <w:r w:rsidR="002D209B">
        <w:t xml:space="preserve">than the </w:t>
      </w:r>
      <w:r w:rsidR="00BE0F54">
        <w:t xml:space="preserve">writing </w:t>
      </w:r>
      <w:r w:rsidR="002D209B">
        <w:t xml:space="preserve">of </w:t>
      </w:r>
      <w:r w:rsidR="00BE0F54">
        <w:t>history in later days.</w:t>
      </w:r>
      <w:r w:rsidR="00AA5064">
        <w:rPr>
          <w:rStyle w:val="FootnoteReference"/>
        </w:rPr>
        <w:footnoteReference w:id="34"/>
      </w:r>
      <w:r w:rsidR="00710E6F">
        <w:t xml:space="preserve"> The fundamental problem</w:t>
      </w:r>
      <w:r w:rsidR="004440BA">
        <w:t xml:space="preserve">, however, </w:t>
      </w:r>
      <w:r w:rsidR="00710E6F">
        <w:t>is that Buchanan was not writing history as Hume Brown would have understood it because, whether he knew it or not, the conceptualisation of history with which Hume Brown was familiar was</w:t>
      </w:r>
      <w:r w:rsidR="0087293A">
        <w:t xml:space="preserve"> one that arose from law and was alien to the </w:t>
      </w:r>
      <w:r w:rsidR="00947A42">
        <w:t>classic</w:t>
      </w:r>
      <w:r w:rsidR="00DA4106">
        <w:t>al tradition</w:t>
      </w:r>
      <w:r w:rsidR="00E63C41">
        <w:t xml:space="preserve"> </w:t>
      </w:r>
      <w:r w:rsidR="00947A42">
        <w:t xml:space="preserve">which was Buchanan’s </w:t>
      </w:r>
      <w:r w:rsidR="004C191E">
        <w:t xml:space="preserve">literary </w:t>
      </w:r>
      <w:r w:rsidR="002657CB">
        <w:t>model.</w:t>
      </w:r>
      <w:r w:rsidR="00EF310C">
        <w:t xml:space="preserve"> In effect, Hume Brown was </w:t>
      </w:r>
      <w:r w:rsidR="002C6291">
        <w:t>bem</w:t>
      </w:r>
      <w:r w:rsidR="00EF310C">
        <w:t>used that Buchanan wasn’t more like Thomas Craig.</w:t>
      </w:r>
    </w:p>
    <w:p w14:paraId="0EB1871D" w14:textId="3C43A4DA" w:rsidR="0003740D" w:rsidRDefault="00473FD6" w:rsidP="00E34837">
      <w:pPr>
        <w:jc w:val="both"/>
      </w:pPr>
      <w:r>
        <w:t xml:space="preserve">At its simplest, Buchanan wrote a moral narrative of Scottish history because </w:t>
      </w:r>
      <w:r w:rsidR="00B80F2D">
        <w:t>Roman historians wrote a moral narrative</w:t>
      </w:r>
      <w:r w:rsidR="00F325F6">
        <w:t xml:space="preserve"> of Rome</w:t>
      </w:r>
      <w:r w:rsidR="0085562B">
        <w:t xml:space="preserve">. </w:t>
      </w:r>
      <w:r w:rsidR="007052AA">
        <w:t xml:space="preserve">For the conventional humanist historiographer, there was no reasonable </w:t>
      </w:r>
      <w:r>
        <w:t xml:space="preserve">alternative </w:t>
      </w:r>
      <w:r w:rsidR="007052AA">
        <w:t>to this</w:t>
      </w:r>
      <w:r w:rsidR="00417E43">
        <w:t xml:space="preserve">. Emulation of the classical was at the core of their literary activity and deviation from that ideal was </w:t>
      </w:r>
      <w:r w:rsidR="00C6319E">
        <w:t xml:space="preserve">literary </w:t>
      </w:r>
      <w:r w:rsidR="00417E43">
        <w:t>barbarism</w:t>
      </w:r>
      <w:r w:rsidR="007052AA">
        <w:t xml:space="preserve">. It was left to the lawyers to </w:t>
      </w:r>
      <w:r w:rsidR="0085562B">
        <w:t>challeng</w:t>
      </w:r>
      <w:r w:rsidR="007052AA">
        <w:t>e the classicising model.</w:t>
      </w:r>
      <w:r w:rsidR="007F0E1F">
        <w:t xml:space="preserve"> It took them some time, but lawyers eventually seized on the critical methodologies of humanism and used them not to imitate Rome but to construct an entirely new </w:t>
      </w:r>
      <w:r w:rsidR="00F81CB8">
        <w:t xml:space="preserve">articulation of history, a form of </w:t>
      </w:r>
      <w:r w:rsidR="00F81CB8">
        <w:lastRenderedPageBreak/>
        <w:t xml:space="preserve">history that looked </w:t>
      </w:r>
      <w:r w:rsidR="00302038">
        <w:t>beyond the personal to t</w:t>
      </w:r>
      <w:r w:rsidR="006A7685">
        <w:t xml:space="preserve">he interaction of </w:t>
      </w:r>
      <w:r w:rsidR="00F81CB8">
        <w:t>culture</w:t>
      </w:r>
      <w:r w:rsidR="006A7685">
        <w:t>, politics and law</w:t>
      </w:r>
      <w:r w:rsidR="00302038">
        <w:t xml:space="preserve">, a form of history that endeavoured to create not models for emulation but </w:t>
      </w:r>
      <w:r w:rsidR="00173A94">
        <w:t>a</w:t>
      </w:r>
      <w:r w:rsidR="00166C44">
        <w:t xml:space="preserve"> rational </w:t>
      </w:r>
      <w:r w:rsidR="00302038">
        <w:t>understanding of</w:t>
      </w:r>
      <w:r w:rsidR="00861297">
        <w:t xml:space="preserve"> events</w:t>
      </w:r>
      <w:r w:rsidR="00B02CA4">
        <w:t>.</w:t>
      </w:r>
      <w:r w:rsidR="004C3F2C">
        <w:t xml:space="preserve"> </w:t>
      </w:r>
    </w:p>
    <w:p w14:paraId="1E7CCDA8" w14:textId="6A673B80" w:rsidR="00F85978" w:rsidRDefault="004A3093" w:rsidP="00F85978">
      <w:pPr>
        <w:jc w:val="both"/>
      </w:pPr>
      <w:r>
        <w:t>I will conclude by observing that, t</w:t>
      </w:r>
      <w:r w:rsidR="004C3F2C">
        <w:t xml:space="preserve">o the extent that the </w:t>
      </w:r>
      <w:r w:rsidR="00D227E0">
        <w:t xml:space="preserve">contribution </w:t>
      </w:r>
      <w:r w:rsidR="004C3F2C">
        <w:t>of these lawyers</w:t>
      </w:r>
      <w:r>
        <w:t xml:space="preserve"> is recognised, the </w:t>
      </w:r>
      <w:r w:rsidR="00D227E0">
        <w:t xml:space="preserve">influence and </w:t>
      </w:r>
      <w:r>
        <w:t>function of law in driving their new method of historical inquiry is largely ignored.</w:t>
      </w:r>
      <w:r w:rsidR="00D227E0">
        <w:t xml:space="preserve"> </w:t>
      </w:r>
      <w:r w:rsidR="00631B82">
        <w:t>Seminal figures in the creation of modern historical inquiry</w:t>
      </w:r>
      <w:r w:rsidR="00961E30">
        <w:t xml:space="preserve"> –</w:t>
      </w:r>
      <w:r w:rsidR="00B639AD">
        <w:t xml:space="preserve"> </w:t>
      </w:r>
      <w:r w:rsidR="00B85E65">
        <w:t xml:space="preserve">such </w:t>
      </w:r>
      <w:r w:rsidR="008D7886">
        <w:t>Bodin</w:t>
      </w:r>
      <w:r w:rsidR="003B3E04">
        <w:t xml:space="preserve">, </w:t>
      </w:r>
      <w:r w:rsidR="008D7886">
        <w:t>Hotman</w:t>
      </w:r>
      <w:r w:rsidR="002F60C5">
        <w:t xml:space="preserve">, </w:t>
      </w:r>
      <w:r w:rsidR="008D7886">
        <w:t xml:space="preserve">Dumoulin </w:t>
      </w:r>
      <w:r w:rsidR="001267FF">
        <w:t xml:space="preserve">and Cujac </w:t>
      </w:r>
      <w:r w:rsidR="008D7886">
        <w:t>who pioneer</w:t>
      </w:r>
      <w:r w:rsidR="00961E30">
        <w:t>ed</w:t>
      </w:r>
      <w:r w:rsidR="008D7886">
        <w:t xml:space="preserve"> the</w:t>
      </w:r>
      <w:r w:rsidR="00961E30">
        <w:t xml:space="preserve"> </w:t>
      </w:r>
      <w:r w:rsidR="0040131C">
        <w:t xml:space="preserve">new </w:t>
      </w:r>
      <w:r w:rsidR="00961E30">
        <w:t>expression</w:t>
      </w:r>
      <w:r w:rsidR="0040131C">
        <w:t>s</w:t>
      </w:r>
      <w:r w:rsidR="00961E30">
        <w:t xml:space="preserve"> of </w:t>
      </w:r>
      <w:r w:rsidR="008D7886">
        <w:t>structural and political histor</w:t>
      </w:r>
      <w:r w:rsidR="0040131C">
        <w:t>iography</w:t>
      </w:r>
      <w:r w:rsidR="003F2E3D">
        <w:t xml:space="preserve"> </w:t>
      </w:r>
      <w:r w:rsidR="00B85E65">
        <w:t xml:space="preserve">– are, more often than not, </w:t>
      </w:r>
      <w:r w:rsidR="008D7886">
        <w:t xml:space="preserve">presented as political </w:t>
      </w:r>
      <w:r w:rsidR="00B85E65">
        <w:t xml:space="preserve">or at least philosophical </w:t>
      </w:r>
      <w:r w:rsidR="003F2E3D">
        <w:t>actor</w:t>
      </w:r>
      <w:r w:rsidR="001C40E1">
        <w:t>s</w:t>
      </w:r>
      <w:r w:rsidR="003F2E3D">
        <w:t xml:space="preserve"> </w:t>
      </w:r>
      <w:r w:rsidR="008D7886">
        <w:t xml:space="preserve">rather than </w:t>
      </w:r>
      <w:r w:rsidR="003F2E3D">
        <w:t>as lawyers</w:t>
      </w:r>
      <w:r w:rsidR="008D7886">
        <w:t>.</w:t>
      </w:r>
      <w:r w:rsidR="0048289F">
        <w:t xml:space="preserve"> </w:t>
      </w:r>
      <w:r w:rsidR="00685BF6">
        <w:t xml:space="preserve">To the extent that their legal profession is acknowledged, it is usually as a footnote when, in fact, their profession defined their writings and their methodologies. </w:t>
      </w:r>
      <w:r w:rsidR="009D04C3">
        <w:t>E</w:t>
      </w:r>
      <w:r w:rsidR="00F85978">
        <w:t xml:space="preserve">ven Craig’s position as a lawyer is very often overlooked or minimised by modern scholars </w:t>
      </w:r>
      <w:r w:rsidR="00BC4DCB">
        <w:t>outside the field of legal history</w:t>
      </w:r>
      <w:r w:rsidR="00F85978">
        <w:t>.</w:t>
      </w:r>
      <w:r w:rsidR="00CF5496">
        <w:rPr>
          <w:rStyle w:val="FootnoteReference"/>
        </w:rPr>
        <w:footnoteReference w:id="35"/>
      </w:r>
      <w:r w:rsidR="0059028C">
        <w:t xml:space="preserve"> This has had unfortunate consequences, particularly </w:t>
      </w:r>
      <w:r w:rsidR="00BC3FFB">
        <w:t xml:space="preserve">among </w:t>
      </w:r>
      <w:r w:rsidR="0059028C">
        <w:t xml:space="preserve">medieval historians </w:t>
      </w:r>
      <w:r w:rsidR="009E0E71">
        <w:t xml:space="preserve">from the 1970s onwards, </w:t>
      </w:r>
      <w:r w:rsidR="00BC3FFB">
        <w:t xml:space="preserve">who have </w:t>
      </w:r>
      <w:r w:rsidR="00C06E03">
        <w:t xml:space="preserve">on </w:t>
      </w:r>
      <w:r w:rsidR="00D63BD3">
        <w:t xml:space="preserve">more than one </w:t>
      </w:r>
      <w:r w:rsidR="00C06E03">
        <w:t xml:space="preserve">occasion </w:t>
      </w:r>
      <w:r w:rsidR="00CE2809">
        <w:t xml:space="preserve">failed to apprehend that </w:t>
      </w:r>
      <w:r w:rsidR="00234DA1">
        <w:t xml:space="preserve">the </w:t>
      </w:r>
      <w:r w:rsidR="00CE2809">
        <w:t xml:space="preserve">practical </w:t>
      </w:r>
      <w:r w:rsidR="00234DA1">
        <w:t xml:space="preserve">and the historical are </w:t>
      </w:r>
      <w:r w:rsidR="00CE2809">
        <w:t xml:space="preserve">inseparable </w:t>
      </w:r>
      <w:r w:rsidR="00937FAD">
        <w:t xml:space="preserve">in </w:t>
      </w:r>
      <w:r w:rsidR="00937FAD">
        <w:rPr>
          <w:i/>
          <w:iCs/>
        </w:rPr>
        <w:t xml:space="preserve">Jus feudale </w:t>
      </w:r>
      <w:r w:rsidR="00234DA1">
        <w:t xml:space="preserve">and, in consequence, </w:t>
      </w:r>
      <w:r w:rsidR="0006167B">
        <w:t xml:space="preserve">have </w:t>
      </w:r>
      <w:r w:rsidR="00A60BD6">
        <w:t xml:space="preserve">badly </w:t>
      </w:r>
      <w:r w:rsidR="00937FAD">
        <w:t xml:space="preserve">misunderstood </w:t>
      </w:r>
      <w:r w:rsidR="00BD76C3">
        <w:t xml:space="preserve">not only </w:t>
      </w:r>
      <w:r w:rsidR="00937FAD">
        <w:t>what Craig was trying to achieve</w:t>
      </w:r>
      <w:r w:rsidR="00BD76C3">
        <w:t xml:space="preserve"> but the practical legal realities </w:t>
      </w:r>
      <w:r w:rsidR="006E4BDE">
        <w:t>to which he and his work were subject.</w:t>
      </w:r>
    </w:p>
    <w:p w14:paraId="3E0659E7" w14:textId="6A59C97D" w:rsidR="000C3468" w:rsidRDefault="009D04C3" w:rsidP="00A852E9">
      <w:pPr>
        <w:jc w:val="both"/>
      </w:pPr>
      <w:r>
        <w:t>Yet, if we acknowledge that the legal humanists created a n</w:t>
      </w:r>
      <w:r w:rsidR="005A1375">
        <w:t>ew form of structural and political historiography during the 16</w:t>
      </w:r>
      <w:r w:rsidR="005A1375" w:rsidRPr="005A1375">
        <w:rPr>
          <w:vertAlign w:val="superscript"/>
        </w:rPr>
        <w:t>th</w:t>
      </w:r>
      <w:r w:rsidR="005A1375">
        <w:t xml:space="preserve"> century, we are remiss not to acknowledge that it was the needs and norms of the </w:t>
      </w:r>
      <w:r w:rsidR="00F85978">
        <w:t xml:space="preserve">legal profession </w:t>
      </w:r>
      <w:r w:rsidR="005A1375">
        <w:t xml:space="preserve">which </w:t>
      </w:r>
      <w:r w:rsidR="00D00BD1">
        <w:t>drove the creation of th</w:t>
      </w:r>
      <w:r w:rsidR="00C81A3D">
        <w:t>is</w:t>
      </w:r>
      <w:r w:rsidR="00D00BD1">
        <w:t xml:space="preserve"> new history. </w:t>
      </w:r>
      <w:r w:rsidR="009D0AA0">
        <w:t>Modern history emerged as historico-legal techniques of the 16</w:t>
      </w:r>
      <w:r w:rsidR="009D0AA0" w:rsidRPr="009D0AA0">
        <w:rPr>
          <w:vertAlign w:val="superscript"/>
        </w:rPr>
        <w:t>th</w:t>
      </w:r>
      <w:r w:rsidR="009D0AA0">
        <w:t xml:space="preserve"> century were applied gradually to other areas of inquiry. </w:t>
      </w:r>
      <w:r w:rsidR="005A32B3">
        <w:t xml:space="preserve">Legal practice, in a very real sense, created what would become </w:t>
      </w:r>
      <w:r w:rsidR="00F84F08">
        <w:t>the</w:t>
      </w:r>
      <w:r w:rsidR="00F85978">
        <w:t xml:space="preserve"> dominant expression of history-writing</w:t>
      </w:r>
      <w:r w:rsidR="001914FA">
        <w:t>.</w:t>
      </w:r>
      <w:r w:rsidR="00F85978">
        <w:t xml:space="preserve"> </w:t>
      </w:r>
    </w:p>
    <w:sectPr w:rsidR="000C34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E678" w14:textId="77777777" w:rsidR="00D601FC" w:rsidRDefault="00D601FC" w:rsidP="00702AA3">
      <w:pPr>
        <w:spacing w:after="0" w:line="240" w:lineRule="auto"/>
      </w:pPr>
      <w:r>
        <w:separator/>
      </w:r>
    </w:p>
  </w:endnote>
  <w:endnote w:type="continuationSeparator" w:id="0">
    <w:p w14:paraId="79C066CC" w14:textId="77777777" w:rsidR="00D601FC" w:rsidRDefault="00D601FC" w:rsidP="0070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415D" w14:textId="77777777" w:rsidR="00D601FC" w:rsidRDefault="00D601FC" w:rsidP="00702AA3">
      <w:pPr>
        <w:spacing w:after="0" w:line="240" w:lineRule="auto"/>
      </w:pPr>
      <w:r>
        <w:separator/>
      </w:r>
    </w:p>
  </w:footnote>
  <w:footnote w:type="continuationSeparator" w:id="0">
    <w:p w14:paraId="56125121" w14:textId="77777777" w:rsidR="00D601FC" w:rsidRDefault="00D601FC" w:rsidP="00702AA3">
      <w:pPr>
        <w:spacing w:after="0" w:line="240" w:lineRule="auto"/>
      </w:pPr>
      <w:r>
        <w:continuationSeparator/>
      </w:r>
    </w:p>
  </w:footnote>
  <w:footnote w:id="1">
    <w:p w14:paraId="275E5464" w14:textId="5B570D97" w:rsidR="002D469F" w:rsidRPr="002D469F" w:rsidRDefault="002D469F">
      <w:pPr>
        <w:pStyle w:val="FootnoteText"/>
      </w:pPr>
      <w:r>
        <w:rPr>
          <w:rStyle w:val="FootnoteReference"/>
        </w:rPr>
        <w:footnoteRef/>
      </w:r>
      <w:r>
        <w:t xml:space="preserve"> E.g., W K Ferguson, </w:t>
      </w:r>
      <w:r>
        <w:rPr>
          <w:i/>
          <w:iCs/>
        </w:rPr>
        <w:t xml:space="preserve">The Renaissance in Historical Thought: Five Centuries of Interpretation </w:t>
      </w:r>
      <w:r>
        <w:t>(Cambridge, MA; 1948)</w:t>
      </w:r>
      <w:r w:rsidR="00B84E28">
        <w:t>.</w:t>
      </w:r>
    </w:p>
  </w:footnote>
  <w:footnote w:id="2">
    <w:p w14:paraId="74699BEF" w14:textId="66539B5D" w:rsidR="00807C20" w:rsidRDefault="00807C20" w:rsidP="00807C20">
      <w:pPr>
        <w:pStyle w:val="FootnoteText"/>
      </w:pPr>
      <w:r>
        <w:rPr>
          <w:rStyle w:val="FootnoteReference"/>
        </w:rPr>
        <w:footnoteRef/>
      </w:r>
      <w:r>
        <w:t xml:space="preserve"> E.g., </w:t>
      </w:r>
      <w:r w:rsidR="000611DD" w:rsidRPr="000611DD">
        <w:t>D</w:t>
      </w:r>
      <w:r w:rsidR="00D3556F">
        <w:t xml:space="preserve"> </w:t>
      </w:r>
      <w:r w:rsidR="000611DD" w:rsidRPr="000611DD">
        <w:t>R Kelley, “‘Fides Historiae</w:t>
      </w:r>
      <w:r w:rsidR="004115F3">
        <w:t>’</w:t>
      </w:r>
      <w:r w:rsidR="000611DD" w:rsidRPr="000611DD">
        <w:t xml:space="preserve">: Charles Dumoulin and the Gallican View of History”, </w:t>
      </w:r>
      <w:r w:rsidR="000611DD" w:rsidRPr="000611DD">
        <w:rPr>
          <w:i/>
          <w:iCs/>
        </w:rPr>
        <w:t>Traditio</w:t>
      </w:r>
      <w:r w:rsidR="000611DD">
        <w:rPr>
          <w:i/>
          <w:iCs/>
        </w:rPr>
        <w:t xml:space="preserve"> </w:t>
      </w:r>
      <w:r w:rsidR="000611DD" w:rsidRPr="000611DD">
        <w:t>22 (1966) 347-402</w:t>
      </w:r>
      <w:r w:rsidR="000611DD">
        <w:t xml:space="preserve">; </w:t>
      </w:r>
      <w:r w:rsidR="00D3556F">
        <w:t xml:space="preserve">D R Kelley, “The Rise of Legal History in the Renaissance”, </w:t>
      </w:r>
      <w:r w:rsidR="00D3556F">
        <w:rPr>
          <w:i/>
          <w:iCs/>
        </w:rPr>
        <w:t xml:space="preserve">History and Theory </w:t>
      </w:r>
      <w:r w:rsidR="00D3556F">
        <w:t xml:space="preserve">9:2 (1970), 174-194; </w:t>
      </w:r>
      <w:r>
        <w:t xml:space="preserve">M Stuckey, “Early Modern English Humanism and Antiquarianism: the Prosopographical Method and Reflections on Historico-Legal Tradition”, </w:t>
      </w:r>
      <w:r>
        <w:rPr>
          <w:i/>
          <w:iCs/>
        </w:rPr>
        <w:t xml:space="preserve">Journal of Legal History </w:t>
      </w:r>
      <w:r>
        <w:t xml:space="preserve">(2012) 33:1, 31-64 </w:t>
      </w:r>
    </w:p>
  </w:footnote>
  <w:footnote w:id="3">
    <w:p w14:paraId="677DA929" w14:textId="0999CCB6" w:rsidR="006C00D2" w:rsidRPr="006C00D2" w:rsidRDefault="006C00D2">
      <w:pPr>
        <w:pStyle w:val="FootnoteText"/>
      </w:pPr>
      <w:r>
        <w:rPr>
          <w:rStyle w:val="FootnoteReference"/>
        </w:rPr>
        <w:footnoteRef/>
      </w:r>
      <w:r>
        <w:t xml:space="preserve"> Cicero, </w:t>
      </w:r>
      <w:r>
        <w:rPr>
          <w:i/>
          <w:iCs/>
        </w:rPr>
        <w:t>De Oratore</w:t>
      </w:r>
      <w:r>
        <w:t xml:space="preserve"> 2.36</w:t>
      </w:r>
    </w:p>
  </w:footnote>
  <w:footnote w:id="4">
    <w:p w14:paraId="2BC81DC7" w14:textId="670F798A" w:rsidR="005F5940" w:rsidRPr="00A318C3" w:rsidRDefault="005F5940" w:rsidP="005F5940">
      <w:pPr>
        <w:pStyle w:val="FootnoteText"/>
      </w:pPr>
      <w:r>
        <w:rPr>
          <w:rStyle w:val="FootnoteReference"/>
        </w:rPr>
        <w:footnoteRef/>
      </w:r>
      <w:r>
        <w:t xml:space="preserve"> Livy, </w:t>
      </w:r>
      <w:r>
        <w:rPr>
          <w:i/>
          <w:iCs/>
        </w:rPr>
        <w:t>praefatio</w:t>
      </w:r>
      <w:r>
        <w:t xml:space="preserve"> 10: </w:t>
      </w:r>
      <w:r w:rsidRPr="00A318C3">
        <w:rPr>
          <w:i/>
          <w:iCs/>
        </w:rPr>
        <w:t>Hoc illud est praecipue in cognitione rerum salubre ac frugiferum, omnis te exempli documenta in inlustri posita monumento intueri; inde tibi tuaeque rei publicae quod imitere capias inde foedum inceptu foedum exitu quod vites</w:t>
      </w:r>
      <w:r>
        <w:t xml:space="preserve">. </w:t>
      </w:r>
    </w:p>
  </w:footnote>
  <w:footnote w:id="5">
    <w:p w14:paraId="71184E2E" w14:textId="22EFF075" w:rsidR="00AC5028" w:rsidRPr="00AC5028" w:rsidRDefault="00AC5028">
      <w:pPr>
        <w:pStyle w:val="FootnoteText"/>
      </w:pPr>
      <w:r>
        <w:rPr>
          <w:rStyle w:val="FootnoteReference"/>
        </w:rPr>
        <w:footnoteRef/>
      </w:r>
      <w:r>
        <w:t xml:space="preserve"> R Mellor, </w:t>
      </w:r>
      <w:r>
        <w:rPr>
          <w:i/>
          <w:iCs/>
        </w:rPr>
        <w:t>Tacitus</w:t>
      </w:r>
      <w:r>
        <w:t xml:space="preserve"> (London, 1993) 45</w:t>
      </w:r>
    </w:p>
  </w:footnote>
  <w:footnote w:id="6">
    <w:p w14:paraId="566E783A" w14:textId="77777777" w:rsidR="00E73F3E" w:rsidRPr="009A6C34" w:rsidRDefault="00E73F3E" w:rsidP="00E73F3E">
      <w:pPr>
        <w:pStyle w:val="FootnoteText"/>
      </w:pPr>
      <w:r>
        <w:rPr>
          <w:rStyle w:val="FootnoteReference"/>
        </w:rPr>
        <w:footnoteRef/>
      </w:r>
      <w:r>
        <w:t xml:space="preserve"> Ibid., 47</w:t>
      </w:r>
    </w:p>
  </w:footnote>
  <w:footnote w:id="7">
    <w:p w14:paraId="4E815378" w14:textId="70C9E7F5" w:rsidR="00A05F57" w:rsidRDefault="00A05F57">
      <w:pPr>
        <w:pStyle w:val="FootnoteText"/>
      </w:pPr>
      <w:r>
        <w:rPr>
          <w:rStyle w:val="FootnoteReference"/>
        </w:rPr>
        <w:footnoteRef/>
      </w:r>
      <w:r>
        <w:t xml:space="preserve"> </w:t>
      </w:r>
      <w:r w:rsidRPr="00A05F57">
        <w:t xml:space="preserve">P Brown, </w:t>
      </w:r>
      <w:r w:rsidRPr="00A05F57">
        <w:rPr>
          <w:i/>
          <w:iCs/>
        </w:rPr>
        <w:t>Augustine of Hippo</w:t>
      </w:r>
      <w:r w:rsidRPr="00A05F57">
        <w:t xml:space="preserve">, </w:t>
      </w:r>
      <w:r>
        <w:t>(</w:t>
      </w:r>
      <w:r w:rsidRPr="00A05F57">
        <w:t>London, 1967</w:t>
      </w:r>
      <w:r>
        <w:t>)</w:t>
      </w:r>
      <w:r w:rsidRPr="00A05F57">
        <w:t xml:space="preserve"> 388.</w:t>
      </w:r>
    </w:p>
  </w:footnote>
  <w:footnote w:id="8">
    <w:p w14:paraId="6A998361" w14:textId="687CA418" w:rsidR="00B2196E" w:rsidRDefault="00B2196E" w:rsidP="00B2196E">
      <w:pPr>
        <w:pStyle w:val="FootnoteText"/>
      </w:pPr>
      <w:r>
        <w:rPr>
          <w:rStyle w:val="FootnoteReference"/>
        </w:rPr>
        <w:footnoteRef/>
      </w:r>
      <w:r>
        <w:t xml:space="preserve"> </w:t>
      </w:r>
      <w:r w:rsidRPr="00741063">
        <w:t>C</w:t>
      </w:r>
      <w:r>
        <w:t xml:space="preserve"> </w:t>
      </w:r>
      <w:r w:rsidRPr="00741063">
        <w:t>P</w:t>
      </w:r>
      <w:r>
        <w:t xml:space="preserve"> </w:t>
      </w:r>
      <w:r w:rsidRPr="00741063">
        <w:t xml:space="preserve">Rodgers, </w:t>
      </w:r>
      <w:r>
        <w:t>“</w:t>
      </w:r>
      <w:r w:rsidRPr="00741063">
        <w:t>Humanism, History and the Common Law</w:t>
      </w:r>
      <w:r>
        <w:t>”</w:t>
      </w:r>
      <w:r w:rsidRPr="00741063">
        <w:t xml:space="preserve">, </w:t>
      </w:r>
      <w:r w:rsidRPr="00E468C4">
        <w:rPr>
          <w:i/>
          <w:iCs/>
        </w:rPr>
        <w:t>Journal of Legal History</w:t>
      </w:r>
      <w:r w:rsidRPr="00741063">
        <w:t xml:space="preserve"> </w:t>
      </w:r>
      <w:r>
        <w:t xml:space="preserve">6 </w:t>
      </w:r>
      <w:r w:rsidRPr="00741063">
        <w:t>(1985), 129–156</w:t>
      </w:r>
      <w:r>
        <w:t>, 130</w:t>
      </w:r>
    </w:p>
  </w:footnote>
  <w:footnote w:id="9">
    <w:p w14:paraId="66D6C58D" w14:textId="2F6CE57F" w:rsidR="00C06B5C" w:rsidRDefault="00C06B5C">
      <w:pPr>
        <w:pStyle w:val="FootnoteText"/>
      </w:pPr>
      <w:r>
        <w:rPr>
          <w:rStyle w:val="FootnoteReference"/>
        </w:rPr>
        <w:footnoteRef/>
      </w:r>
      <w:r>
        <w:t xml:space="preserve"> </w:t>
      </w:r>
      <w:r w:rsidRPr="00C06B5C">
        <w:t xml:space="preserve">R Markus, “Chronicle and Theology: Prosper of Aquitaine”, in C Holdsworth &amp; T P Wiseman (eds.), </w:t>
      </w:r>
      <w:r w:rsidRPr="00C06B5C">
        <w:rPr>
          <w:i/>
          <w:iCs/>
        </w:rPr>
        <w:t>The Inheritance of Historiography 350-900</w:t>
      </w:r>
      <w:r w:rsidRPr="00C06B5C">
        <w:t xml:space="preserve"> (Exeter, 1986) 31-43</w:t>
      </w:r>
      <w:r w:rsidR="001A376C">
        <w:t>, 40</w:t>
      </w:r>
    </w:p>
  </w:footnote>
  <w:footnote w:id="10">
    <w:p w14:paraId="105702BD" w14:textId="513DD6AB" w:rsidR="00437D07" w:rsidRDefault="00437D07" w:rsidP="00437D07">
      <w:pPr>
        <w:pStyle w:val="FootnoteText"/>
      </w:pPr>
      <w:r>
        <w:rPr>
          <w:rStyle w:val="FootnoteReference"/>
        </w:rPr>
        <w:footnoteRef/>
      </w:r>
      <w:r>
        <w:t xml:space="preserve"> Cf. R R Bolgar, </w:t>
      </w:r>
      <w:r w:rsidRPr="000913F2">
        <w:rPr>
          <w:i/>
          <w:iCs/>
        </w:rPr>
        <w:t>The Classical Heritage and its Beneficiaries</w:t>
      </w:r>
      <w:r>
        <w:t xml:space="preserve"> (Cambridge, 1958) 193; but note that Roman historical events had no real influence and were displaced by the Old Testament: see </w:t>
      </w:r>
      <w:r w:rsidRPr="00AC79D7">
        <w:t xml:space="preserve">A Murray, </w:t>
      </w:r>
      <w:r w:rsidRPr="00AC79D7">
        <w:rPr>
          <w:i/>
          <w:iCs/>
        </w:rPr>
        <w:t>Reason and Society in the Middle Ages</w:t>
      </w:r>
      <w:r w:rsidRPr="00AC79D7">
        <w:t xml:space="preserve"> (Oxford, 1978)</w:t>
      </w:r>
      <w:r>
        <w:t xml:space="preserve"> 117-118</w:t>
      </w:r>
    </w:p>
  </w:footnote>
  <w:footnote w:id="11">
    <w:p w14:paraId="0861F2C1" w14:textId="50222AFC" w:rsidR="00B41CA0" w:rsidRPr="00B41CA0" w:rsidRDefault="00B41CA0">
      <w:pPr>
        <w:pStyle w:val="FootnoteText"/>
      </w:pPr>
      <w:r>
        <w:rPr>
          <w:rStyle w:val="FootnoteReference"/>
        </w:rPr>
        <w:footnoteRef/>
      </w:r>
      <w:r>
        <w:t xml:space="preserve"> Murray, </w:t>
      </w:r>
      <w:r>
        <w:rPr>
          <w:i/>
          <w:iCs/>
        </w:rPr>
        <w:t>Reason and Society</w:t>
      </w:r>
      <w:r>
        <w:t>, 131</w:t>
      </w:r>
    </w:p>
  </w:footnote>
  <w:footnote w:id="12">
    <w:p w14:paraId="6A275451" w14:textId="3A2AFB41" w:rsidR="00B968FA" w:rsidRPr="00B968FA" w:rsidRDefault="00B968FA">
      <w:pPr>
        <w:pStyle w:val="FootnoteText"/>
      </w:pPr>
      <w:r>
        <w:rPr>
          <w:rStyle w:val="FootnoteReference"/>
        </w:rPr>
        <w:footnoteRef/>
      </w:r>
      <w:r>
        <w:t xml:space="preserve"> Bede, </w:t>
      </w:r>
      <w:r w:rsidRPr="00B968FA">
        <w:rPr>
          <w:i/>
          <w:iCs/>
        </w:rPr>
        <w:t>Historia ecclesiastica gentis Anglorum</w:t>
      </w:r>
      <w:r>
        <w:t xml:space="preserve">, </w:t>
      </w:r>
      <w:r>
        <w:rPr>
          <w:i/>
          <w:iCs/>
        </w:rPr>
        <w:t>praefatio</w:t>
      </w:r>
      <w:r>
        <w:t xml:space="preserve">: </w:t>
      </w:r>
      <w:r w:rsidRPr="00677F02">
        <w:rPr>
          <w:i/>
          <w:iCs/>
        </w:rPr>
        <w:t>Sive enim historia de bonis bona referat, ad imitandum bonum auditor sollicitus instigatur; seu mala commemoret de pravis, nihilominus religiosus ac pius auditor sive lector devitando quod noxium est ac perversum, ipse sollertius ad exsequenda ea, quae bona ac Deo digna esse cognoverit, accenditur</w:t>
      </w:r>
      <w:r w:rsidRPr="00B968FA">
        <w:t>.</w:t>
      </w:r>
    </w:p>
  </w:footnote>
  <w:footnote w:id="13">
    <w:p w14:paraId="576D9470" w14:textId="1AA65C4F" w:rsidR="006C3ADB" w:rsidRPr="006C3ADB" w:rsidRDefault="006C3ADB">
      <w:pPr>
        <w:pStyle w:val="FootnoteText"/>
      </w:pPr>
      <w:r>
        <w:rPr>
          <w:rStyle w:val="FootnoteReference"/>
        </w:rPr>
        <w:footnoteRef/>
      </w:r>
      <w:r>
        <w:t xml:space="preserve"> Even fantastic histories, like Gregory of Monmouth’s </w:t>
      </w:r>
      <w:r>
        <w:rPr>
          <w:i/>
          <w:iCs/>
        </w:rPr>
        <w:t>Historia regum Britanniae</w:t>
      </w:r>
      <w:r>
        <w:t xml:space="preserve">, were not immune to the moral impetus; cf. E Auerbach (tr. R Manheim), </w:t>
      </w:r>
      <w:r>
        <w:rPr>
          <w:i/>
          <w:iCs/>
        </w:rPr>
        <w:t xml:space="preserve">Literary Language and its Public in Late Latin Antiquity and in the Middle Ages </w:t>
      </w:r>
      <w:r>
        <w:t>(London, 1965) 206</w:t>
      </w:r>
    </w:p>
  </w:footnote>
  <w:footnote w:id="14">
    <w:p w14:paraId="33B771B8" w14:textId="49DE288E" w:rsidR="002047DF" w:rsidRDefault="002047DF">
      <w:pPr>
        <w:pStyle w:val="FootnoteText"/>
      </w:pPr>
      <w:r>
        <w:rPr>
          <w:rStyle w:val="FootnoteReference"/>
        </w:rPr>
        <w:footnoteRef/>
      </w:r>
      <w:r>
        <w:t xml:space="preserve"> </w:t>
      </w:r>
      <w:r w:rsidRPr="002047DF">
        <w:t xml:space="preserve">C G Nauert, </w:t>
      </w:r>
      <w:r w:rsidRPr="002047DF">
        <w:rPr>
          <w:i/>
          <w:iCs/>
        </w:rPr>
        <w:t>Humanism and the culture of Renaissance Europe</w:t>
      </w:r>
      <w:r w:rsidRPr="002047DF">
        <w:t xml:space="preserve"> (Cambridge, 1995)</w:t>
      </w:r>
      <w:r>
        <w:t xml:space="preserve"> 19-20</w:t>
      </w:r>
    </w:p>
  </w:footnote>
  <w:footnote w:id="15">
    <w:p w14:paraId="0D5BE8DF" w14:textId="6D6981AF" w:rsidR="0046442F" w:rsidRPr="0046442F" w:rsidRDefault="0046442F">
      <w:pPr>
        <w:pStyle w:val="FootnoteText"/>
      </w:pPr>
      <w:r>
        <w:rPr>
          <w:rStyle w:val="FootnoteReference"/>
        </w:rPr>
        <w:footnoteRef/>
      </w:r>
      <w:r>
        <w:t xml:space="preserve"> Cf. </w:t>
      </w:r>
      <w:r w:rsidR="000B49D4">
        <w:t>Ibid.,</w:t>
      </w:r>
      <w:r>
        <w:t xml:space="preserve"> 31-32</w:t>
      </w:r>
    </w:p>
  </w:footnote>
  <w:footnote w:id="16">
    <w:p w14:paraId="07CDC948" w14:textId="37CD8060" w:rsidR="00741063" w:rsidRDefault="00741063">
      <w:pPr>
        <w:pStyle w:val="FootnoteText"/>
      </w:pPr>
      <w:r>
        <w:rPr>
          <w:rStyle w:val="FootnoteReference"/>
        </w:rPr>
        <w:footnoteRef/>
      </w:r>
      <w:r>
        <w:t xml:space="preserve"> </w:t>
      </w:r>
      <w:r w:rsidRPr="00741063">
        <w:t xml:space="preserve">Rodgers, </w:t>
      </w:r>
      <w:r>
        <w:t>“</w:t>
      </w:r>
      <w:r w:rsidRPr="00741063">
        <w:t>Humanism, History and the Common Law</w:t>
      </w:r>
      <w:r>
        <w:t>”</w:t>
      </w:r>
      <w:r w:rsidRPr="00741063">
        <w:t>,</w:t>
      </w:r>
      <w:r>
        <w:t xml:space="preserve"> 130</w:t>
      </w:r>
    </w:p>
  </w:footnote>
  <w:footnote w:id="17">
    <w:p w14:paraId="06894C5B" w14:textId="57324179" w:rsidR="00265C6D" w:rsidRDefault="00265C6D">
      <w:pPr>
        <w:pStyle w:val="FootnoteText"/>
      </w:pPr>
      <w:r>
        <w:rPr>
          <w:rStyle w:val="FootnoteReference"/>
        </w:rPr>
        <w:footnoteRef/>
      </w:r>
      <w:r>
        <w:t xml:space="preserve"> Cf. </w:t>
      </w:r>
      <w:r w:rsidRPr="00265C6D">
        <w:t>D R Kelley, “‘Fides Historiae</w:t>
      </w:r>
      <w:r>
        <w:t>’</w:t>
      </w:r>
      <w:r w:rsidRPr="00265C6D">
        <w:t xml:space="preserve">: Charles Dumoulin and the Gallican View of History”, </w:t>
      </w:r>
      <w:r w:rsidRPr="00265C6D">
        <w:rPr>
          <w:i/>
          <w:iCs/>
        </w:rPr>
        <w:t>Traditio</w:t>
      </w:r>
      <w:r>
        <w:rPr>
          <w:i/>
          <w:iCs/>
        </w:rPr>
        <w:t xml:space="preserve"> </w:t>
      </w:r>
      <w:r w:rsidRPr="00265C6D">
        <w:t>22 (1966) 347-402</w:t>
      </w:r>
      <w:r w:rsidR="005E05EB">
        <w:t>, 347</w:t>
      </w:r>
    </w:p>
  </w:footnote>
  <w:footnote w:id="18">
    <w:p w14:paraId="74F16FC9" w14:textId="358026DC" w:rsidR="0095461A" w:rsidRDefault="0095461A" w:rsidP="0095461A">
      <w:pPr>
        <w:pStyle w:val="FootnoteText"/>
      </w:pPr>
      <w:r>
        <w:rPr>
          <w:rStyle w:val="FootnoteReference"/>
        </w:rPr>
        <w:footnoteRef/>
      </w:r>
      <w:r>
        <w:t xml:space="preserve"> </w:t>
      </w:r>
      <w:r w:rsidR="00973B27">
        <w:t>Ibid.,</w:t>
      </w:r>
      <w:r>
        <w:t xml:space="preserve"> 348</w:t>
      </w:r>
    </w:p>
  </w:footnote>
  <w:footnote w:id="19">
    <w:p w14:paraId="27C4C642" w14:textId="52BDD71C" w:rsidR="00DB538F" w:rsidRDefault="00DB538F">
      <w:pPr>
        <w:pStyle w:val="FootnoteText"/>
      </w:pPr>
      <w:r>
        <w:rPr>
          <w:rStyle w:val="FootnoteReference"/>
        </w:rPr>
        <w:footnoteRef/>
      </w:r>
      <w:r>
        <w:t xml:space="preserve"> Cf. </w:t>
      </w:r>
      <w:r w:rsidRPr="00DB538F">
        <w:t xml:space="preserve">P Hume Brown, </w:t>
      </w:r>
      <w:r w:rsidRPr="00DB538F">
        <w:rPr>
          <w:i/>
          <w:iCs/>
        </w:rPr>
        <w:t>George Buchanan, Humanist and Reformer</w:t>
      </w:r>
      <w:r w:rsidRPr="00DB538F">
        <w:t xml:space="preserve"> (Edinburgh, 1890)</w:t>
      </w:r>
      <w:r>
        <w:t xml:space="preserve"> 299</w:t>
      </w:r>
    </w:p>
  </w:footnote>
  <w:footnote w:id="20">
    <w:p w14:paraId="6947B6AF" w14:textId="66E325AB" w:rsidR="003B7A31" w:rsidRPr="003B7A31" w:rsidRDefault="003B7A31">
      <w:pPr>
        <w:pStyle w:val="FootnoteText"/>
      </w:pPr>
      <w:r>
        <w:rPr>
          <w:rStyle w:val="FootnoteReference"/>
        </w:rPr>
        <w:footnoteRef/>
      </w:r>
      <w:r>
        <w:t xml:space="preserve"> Bolgar, </w:t>
      </w:r>
      <w:r>
        <w:rPr>
          <w:i/>
          <w:iCs/>
        </w:rPr>
        <w:t>Classical Heritage</w:t>
      </w:r>
      <w:r>
        <w:t>, 291</w:t>
      </w:r>
    </w:p>
  </w:footnote>
  <w:footnote w:id="21">
    <w:p w14:paraId="6068A9A4" w14:textId="4CF2E81D" w:rsidR="00F5412F" w:rsidRPr="00F5412F" w:rsidRDefault="00F5412F">
      <w:pPr>
        <w:pStyle w:val="FootnoteText"/>
      </w:pPr>
      <w:r>
        <w:rPr>
          <w:rStyle w:val="FootnoteReference"/>
        </w:rPr>
        <w:footnoteRef/>
      </w:r>
      <w:r>
        <w:t xml:space="preserve"> J D Ford, </w:t>
      </w:r>
      <w:r>
        <w:rPr>
          <w:i/>
          <w:iCs/>
        </w:rPr>
        <w:t>Law and Opinion in Scotland during the Sixteenth Century</w:t>
      </w:r>
      <w:r>
        <w:t xml:space="preserve"> (Oxford, 2007) 32</w:t>
      </w:r>
    </w:p>
  </w:footnote>
  <w:footnote w:id="22">
    <w:p w14:paraId="178AC198" w14:textId="44697D1B" w:rsidR="00A46ECD" w:rsidRPr="00A46ECD" w:rsidRDefault="00A46ECD">
      <w:pPr>
        <w:pStyle w:val="FootnoteText"/>
      </w:pPr>
      <w:r>
        <w:rPr>
          <w:rStyle w:val="FootnoteReference"/>
        </w:rPr>
        <w:footnoteRef/>
      </w:r>
      <w:r>
        <w:t xml:space="preserve"> Bolgar, </w:t>
      </w:r>
      <w:r>
        <w:rPr>
          <w:i/>
          <w:iCs/>
        </w:rPr>
        <w:t>Classical Heritage</w:t>
      </w:r>
      <w:r>
        <w:t>, 293</w:t>
      </w:r>
    </w:p>
  </w:footnote>
  <w:footnote w:id="23">
    <w:p w14:paraId="53C1FE4B" w14:textId="773A01C8" w:rsidR="009E27F4" w:rsidRDefault="009E27F4">
      <w:pPr>
        <w:pStyle w:val="FootnoteText"/>
      </w:pPr>
      <w:r>
        <w:rPr>
          <w:rStyle w:val="FootnoteReference"/>
        </w:rPr>
        <w:footnoteRef/>
      </w:r>
      <w:r>
        <w:t xml:space="preserve"> </w:t>
      </w:r>
      <w:r w:rsidR="008804DB">
        <w:t xml:space="preserve">Cf. </w:t>
      </w:r>
      <w:r w:rsidRPr="009E27F4">
        <w:t xml:space="preserve">V Ortenberg, </w:t>
      </w:r>
      <w:r w:rsidRPr="009E27F4">
        <w:rPr>
          <w:i/>
          <w:iCs/>
        </w:rPr>
        <w:t>In Search of the Holy Grail: the Quest for the Middle Ages</w:t>
      </w:r>
      <w:r w:rsidRPr="009E27F4">
        <w:t xml:space="preserve"> (London, 2006)</w:t>
      </w:r>
      <w:r>
        <w:t xml:space="preserve"> 17</w:t>
      </w:r>
    </w:p>
  </w:footnote>
  <w:footnote w:id="24">
    <w:p w14:paraId="29768962" w14:textId="6EE9F218" w:rsidR="00C04C44" w:rsidRPr="00C04C44" w:rsidRDefault="00C04C44">
      <w:pPr>
        <w:pStyle w:val="FootnoteText"/>
      </w:pPr>
      <w:r>
        <w:rPr>
          <w:rStyle w:val="FootnoteReference"/>
        </w:rPr>
        <w:footnoteRef/>
      </w:r>
      <w:r>
        <w:t xml:space="preserve"> Cf. J G A Pocock, </w:t>
      </w:r>
      <w:r>
        <w:rPr>
          <w:i/>
          <w:iCs/>
        </w:rPr>
        <w:t>The Ancient Constitution and the Feudal Law</w:t>
      </w:r>
      <w:r>
        <w:t xml:space="preserve"> (Cambridge, 1957) 1-29</w:t>
      </w:r>
    </w:p>
  </w:footnote>
  <w:footnote w:id="25">
    <w:p w14:paraId="1F88A342" w14:textId="77777777" w:rsidR="0042439F" w:rsidRDefault="0042439F" w:rsidP="0042439F">
      <w:pPr>
        <w:pStyle w:val="FootnoteText"/>
      </w:pPr>
      <w:r>
        <w:rPr>
          <w:rStyle w:val="FootnoteReference"/>
        </w:rPr>
        <w:footnoteRef/>
      </w:r>
      <w:r>
        <w:t xml:space="preserve"> Henry Home, Lord Kames, </w:t>
      </w:r>
      <w:r>
        <w:rPr>
          <w:i/>
          <w:iCs/>
        </w:rPr>
        <w:t>Historical Law Tracts</w:t>
      </w:r>
      <w:r>
        <w:t xml:space="preserve"> (Edinburgh, 1761) v</w:t>
      </w:r>
    </w:p>
  </w:footnote>
  <w:footnote w:id="26">
    <w:p w14:paraId="53C164D0" w14:textId="5A42126C" w:rsidR="00D37D7A" w:rsidRDefault="00D37D7A">
      <w:pPr>
        <w:pStyle w:val="FootnoteText"/>
      </w:pPr>
      <w:r>
        <w:rPr>
          <w:rStyle w:val="FootnoteReference"/>
        </w:rPr>
        <w:footnoteRef/>
      </w:r>
      <w:r>
        <w:t xml:space="preserve"> Kelley, “Fides Historiae”, 348</w:t>
      </w:r>
    </w:p>
  </w:footnote>
  <w:footnote w:id="27">
    <w:p w14:paraId="4512DEAA" w14:textId="795FB7C6" w:rsidR="00A84F97" w:rsidRDefault="00A84F97">
      <w:pPr>
        <w:pStyle w:val="FootnoteText"/>
      </w:pPr>
      <w:r>
        <w:rPr>
          <w:rStyle w:val="FootnoteReference"/>
        </w:rPr>
        <w:footnoteRef/>
      </w:r>
      <w:r>
        <w:t xml:space="preserve"> </w:t>
      </w:r>
      <w:r w:rsidR="00451447">
        <w:t xml:space="preserve">This fact allowed later authors to go wild in their imaginings. Thus, Patrick </w:t>
      </w:r>
      <w:r w:rsidR="00451447" w:rsidRPr="00451447">
        <w:t xml:space="preserve">Tytler, </w:t>
      </w:r>
      <w:r w:rsidR="00451447" w:rsidRPr="00451447">
        <w:rPr>
          <w:i/>
          <w:iCs/>
        </w:rPr>
        <w:t>The Life of Sir Thomas Craig of Riccarton</w:t>
      </w:r>
      <w:r w:rsidR="00451447" w:rsidRPr="00451447">
        <w:t xml:space="preserve"> (</w:t>
      </w:r>
      <w:r w:rsidR="00451447">
        <w:t xml:space="preserve">Edinburgh, </w:t>
      </w:r>
      <w:r w:rsidR="00451447" w:rsidRPr="00451447">
        <w:t>1823),</w:t>
      </w:r>
      <w:r w:rsidR="00451447">
        <w:t xml:space="preserve"> has Craig being taught by Rebuffi and Baudouin (</w:t>
      </w:r>
      <w:r w:rsidR="00451447" w:rsidRPr="00451447">
        <w:t>16–17</w:t>
      </w:r>
      <w:r w:rsidR="00451447">
        <w:t xml:space="preserve">). This was followed by A </w:t>
      </w:r>
      <w:r w:rsidR="00BA0174" w:rsidRPr="00BA0174">
        <w:t xml:space="preserve">J G MacKay, “Thomas Craig”, </w:t>
      </w:r>
      <w:r w:rsidR="00BA0174" w:rsidRPr="00BA0174">
        <w:rPr>
          <w:i/>
          <w:iCs/>
        </w:rPr>
        <w:t>Dictionary of National Biography</w:t>
      </w:r>
      <w:r w:rsidR="00BA0174" w:rsidRPr="00BA0174">
        <w:t xml:space="preserve"> (1885–1900) vol. 1</w:t>
      </w:r>
      <w:r w:rsidR="00BA0174">
        <w:t>2</w:t>
      </w:r>
      <w:r w:rsidR="00451447">
        <w:t xml:space="preserve"> and, surprisingly, by Pocock, </w:t>
      </w:r>
      <w:r w:rsidR="00451447">
        <w:rPr>
          <w:i/>
          <w:iCs/>
        </w:rPr>
        <w:t>The Ancient Constitution</w:t>
      </w:r>
      <w:r w:rsidR="00451447">
        <w:t>, 79</w:t>
      </w:r>
      <w:r w:rsidR="00BB49F0">
        <w:t>.</w:t>
      </w:r>
      <w:r w:rsidR="00636B8D">
        <w:t xml:space="preserve"> But cf. D Baird Smith, “Sir Thomas Craig, Feudist”, </w:t>
      </w:r>
      <w:r w:rsidR="00636B8D">
        <w:rPr>
          <w:i/>
          <w:iCs/>
        </w:rPr>
        <w:t>Scottish Historical Review</w:t>
      </w:r>
      <w:r w:rsidR="00636B8D">
        <w:t xml:space="preserve"> 12:47 (1915) 271-302, 278 for tacit recognition that, however influential his French educators may have been, we have no idea of their actual identities.</w:t>
      </w:r>
    </w:p>
  </w:footnote>
  <w:footnote w:id="28">
    <w:p w14:paraId="2C00A4B2" w14:textId="7A9BE14D" w:rsidR="00BB3A12" w:rsidRPr="00713E9C" w:rsidRDefault="00BB3A12">
      <w:pPr>
        <w:pStyle w:val="FootnoteText"/>
      </w:pPr>
      <w:r>
        <w:rPr>
          <w:rStyle w:val="FootnoteReference"/>
        </w:rPr>
        <w:footnoteRef/>
      </w:r>
      <w:r>
        <w:t xml:space="preserve"> </w:t>
      </w:r>
      <w:r w:rsidR="008821FA">
        <w:t xml:space="preserve">On Craig’s career, see J </w:t>
      </w:r>
      <w:r w:rsidR="008821FA" w:rsidRPr="008821FA">
        <w:t>Finlay,</w:t>
      </w:r>
      <w:r w:rsidR="008821FA">
        <w:t xml:space="preserve"> </w:t>
      </w:r>
      <w:r w:rsidR="008821FA" w:rsidRPr="008821FA">
        <w:t xml:space="preserve">“The Early Career of Thomas Craig, Advocate”, </w:t>
      </w:r>
      <w:r w:rsidR="008821FA" w:rsidRPr="008821FA">
        <w:rPr>
          <w:i/>
          <w:iCs/>
        </w:rPr>
        <w:t>EdinLR</w:t>
      </w:r>
      <w:r w:rsidR="008821FA" w:rsidRPr="008821FA">
        <w:t xml:space="preserve"> </w:t>
      </w:r>
      <w:r w:rsidR="008821FA">
        <w:t xml:space="preserve">8 (2004) </w:t>
      </w:r>
      <w:r w:rsidR="008821FA" w:rsidRPr="008821FA">
        <w:t>298–328</w:t>
      </w:r>
      <w:r w:rsidR="008821FA">
        <w:t xml:space="preserve">; </w:t>
      </w:r>
      <w:r w:rsidR="00140322">
        <w:t xml:space="preserve">see also L Dodd, “Historical Introduction”, </w:t>
      </w:r>
      <w:r w:rsidR="007D7181">
        <w:t xml:space="preserve">in T Craig (ed. L Dodd) </w:t>
      </w:r>
      <w:r w:rsidR="007D7181">
        <w:rPr>
          <w:i/>
          <w:iCs/>
        </w:rPr>
        <w:t xml:space="preserve">Jus </w:t>
      </w:r>
      <w:r w:rsidR="0064577C">
        <w:rPr>
          <w:i/>
          <w:iCs/>
        </w:rPr>
        <w:t>f</w:t>
      </w:r>
      <w:r w:rsidR="007D7181">
        <w:rPr>
          <w:i/>
          <w:iCs/>
        </w:rPr>
        <w:t xml:space="preserve">eudale </w:t>
      </w:r>
      <w:r w:rsidR="0064577C">
        <w:rPr>
          <w:i/>
          <w:iCs/>
        </w:rPr>
        <w:t>t</w:t>
      </w:r>
      <w:r w:rsidR="007D7181">
        <w:rPr>
          <w:i/>
          <w:iCs/>
        </w:rPr>
        <w:t xml:space="preserve">ribus </w:t>
      </w:r>
      <w:r w:rsidR="0064577C">
        <w:rPr>
          <w:i/>
          <w:iCs/>
        </w:rPr>
        <w:t>l</w:t>
      </w:r>
      <w:r w:rsidR="007D7181">
        <w:rPr>
          <w:i/>
          <w:iCs/>
        </w:rPr>
        <w:t xml:space="preserve">ibris </w:t>
      </w:r>
      <w:r w:rsidR="0064577C">
        <w:rPr>
          <w:i/>
          <w:iCs/>
        </w:rPr>
        <w:t>c</w:t>
      </w:r>
      <w:r w:rsidR="007D7181">
        <w:rPr>
          <w:i/>
          <w:iCs/>
        </w:rPr>
        <w:t>omprehensum</w:t>
      </w:r>
      <w:r w:rsidR="007D7181">
        <w:t xml:space="preserve"> Book 1 (Edinburgh, 2017)</w:t>
      </w:r>
      <w:r w:rsidR="00B64AE4">
        <w:t xml:space="preserve"> xiii-lxvi</w:t>
      </w:r>
      <w:r w:rsidR="00952095">
        <w:t xml:space="preserve">, </w:t>
      </w:r>
      <w:r w:rsidR="007D7181">
        <w:t>xvi-xvii</w:t>
      </w:r>
      <w:r w:rsidR="00713E9C">
        <w:t xml:space="preserve">. </w:t>
      </w:r>
    </w:p>
  </w:footnote>
  <w:footnote w:id="29">
    <w:p w14:paraId="7D477E35" w14:textId="2004FE48" w:rsidR="00A25C5B" w:rsidRDefault="00A25C5B">
      <w:pPr>
        <w:pStyle w:val="FootnoteText"/>
      </w:pPr>
      <w:r>
        <w:rPr>
          <w:rStyle w:val="FootnoteReference"/>
        </w:rPr>
        <w:footnoteRef/>
      </w:r>
      <w:r>
        <w:t xml:space="preserve"> Baird Smith, “Sir Thomas Craig”, 286, insists that, although clearly influenced by Bodin’s thinking, Craig’s “exclusively legal mind” could not grasp the “trend of [Bodin’s] views”. Baird Smith’s remark is far too broad, but there may be a germ of truth at the heart of it.</w:t>
      </w:r>
    </w:p>
  </w:footnote>
  <w:footnote w:id="30">
    <w:p w14:paraId="61F5E9E1" w14:textId="75042C56" w:rsidR="008A1D77" w:rsidRPr="008A1D77" w:rsidRDefault="008A1D77">
      <w:pPr>
        <w:pStyle w:val="FootnoteText"/>
      </w:pPr>
      <w:r>
        <w:rPr>
          <w:rStyle w:val="FootnoteReference"/>
        </w:rPr>
        <w:footnoteRef/>
      </w:r>
      <w:r>
        <w:t xml:space="preserve"> Buchanan’s </w:t>
      </w:r>
      <w:r>
        <w:rPr>
          <w:i/>
          <w:iCs/>
        </w:rPr>
        <w:t>De iure regni apud Scotos</w:t>
      </w:r>
      <w:r>
        <w:t xml:space="preserve"> (1579) is sometimes erroneously described as an historical work. It was not</w:t>
      </w:r>
      <w:r w:rsidR="00480317">
        <w:t xml:space="preserve"> and should never be treated as such.</w:t>
      </w:r>
    </w:p>
  </w:footnote>
  <w:footnote w:id="31">
    <w:p w14:paraId="0F86205C" w14:textId="30693E60" w:rsidR="00F318F4" w:rsidRPr="00955073" w:rsidRDefault="00793598">
      <w:pPr>
        <w:pStyle w:val="FootnoteText"/>
      </w:pPr>
      <w:r>
        <w:rPr>
          <w:rStyle w:val="FootnoteReference"/>
        </w:rPr>
        <w:footnoteRef/>
      </w:r>
      <w:r>
        <w:t xml:space="preserve"> “I am occupiit in writyng of our historie, being assurit to content few, and to displease m</w:t>
      </w:r>
      <w:r w:rsidR="00230114">
        <w:t>o</w:t>
      </w:r>
      <w:r>
        <w:t>ny tharthrow”</w:t>
      </w:r>
      <w:r w:rsidR="00F318F4">
        <w:t xml:space="preserve"> </w:t>
      </w:r>
      <w:r w:rsidR="00955073">
        <w:t>[</w:t>
      </w:r>
      <w:r w:rsidR="00F318F4">
        <w:t xml:space="preserve">= </w:t>
      </w:r>
      <w:r w:rsidR="00F318F4">
        <w:rPr>
          <w:i/>
          <w:iCs/>
        </w:rPr>
        <w:t>Ep.</w:t>
      </w:r>
      <w:r w:rsidR="00F318F4">
        <w:t xml:space="preserve"> 14, f.2, in the 1775 Leiden </w:t>
      </w:r>
      <w:r w:rsidR="00F318F4">
        <w:rPr>
          <w:i/>
          <w:iCs/>
        </w:rPr>
        <w:t>Georgii Buchanani opera omnia</w:t>
      </w:r>
      <w:r w:rsidR="00C2084D">
        <w:t xml:space="preserve">; but </w:t>
      </w:r>
      <w:r w:rsidR="00955073">
        <w:t xml:space="preserve">p.58 in P Hume Brown (ed.) </w:t>
      </w:r>
      <w:r w:rsidR="00955073">
        <w:rPr>
          <w:i/>
          <w:iCs/>
        </w:rPr>
        <w:t>Vernacular Writings of George Buchanan</w:t>
      </w:r>
      <w:r w:rsidR="00955073">
        <w:t xml:space="preserve"> (Edinburgh, 1892)].</w:t>
      </w:r>
    </w:p>
  </w:footnote>
  <w:footnote w:id="32">
    <w:p w14:paraId="79FEB41A" w14:textId="0B3782D0" w:rsidR="00A873C0" w:rsidRPr="00A873C0" w:rsidRDefault="00A873C0">
      <w:pPr>
        <w:pStyle w:val="FootnoteText"/>
      </w:pPr>
      <w:r>
        <w:rPr>
          <w:rStyle w:val="FootnoteReference"/>
        </w:rPr>
        <w:footnoteRef/>
      </w:r>
      <w:r>
        <w:t xml:space="preserve"> Hume Brown, </w:t>
      </w:r>
      <w:r>
        <w:rPr>
          <w:i/>
          <w:iCs/>
        </w:rPr>
        <w:t>George Buchanan</w:t>
      </w:r>
      <w:r>
        <w:t>, 299</w:t>
      </w:r>
    </w:p>
  </w:footnote>
  <w:footnote w:id="33">
    <w:p w14:paraId="32958737" w14:textId="0E7CB998" w:rsidR="00C21640" w:rsidRPr="00C21640" w:rsidRDefault="00C21640">
      <w:pPr>
        <w:pStyle w:val="FootnoteText"/>
      </w:pPr>
      <w:r>
        <w:rPr>
          <w:rStyle w:val="FootnoteReference"/>
        </w:rPr>
        <w:footnoteRef/>
      </w:r>
      <w:r>
        <w:t xml:space="preserve"> Hume Brown, </w:t>
      </w:r>
      <w:r>
        <w:rPr>
          <w:i/>
          <w:iCs/>
        </w:rPr>
        <w:t>George Buchanan</w:t>
      </w:r>
      <w:r>
        <w:t>, 298-299</w:t>
      </w:r>
    </w:p>
  </w:footnote>
  <w:footnote w:id="34">
    <w:p w14:paraId="5E0FA84E" w14:textId="7D7356BC" w:rsidR="00AA5064" w:rsidRPr="00AA5064" w:rsidRDefault="00AA5064">
      <w:pPr>
        <w:pStyle w:val="FootnoteText"/>
      </w:pPr>
      <w:r>
        <w:rPr>
          <w:rStyle w:val="FootnoteReference"/>
        </w:rPr>
        <w:footnoteRef/>
      </w:r>
      <w:r>
        <w:t xml:space="preserve"> Hume Brown, </w:t>
      </w:r>
      <w:r>
        <w:rPr>
          <w:i/>
          <w:iCs/>
        </w:rPr>
        <w:t>George Buchanan</w:t>
      </w:r>
      <w:r>
        <w:t>, 293, “</w:t>
      </w:r>
      <w:r w:rsidR="00B523D2">
        <w:t>T</w:t>
      </w:r>
      <w:r w:rsidR="00B523D2" w:rsidRPr="00B523D2">
        <w:t>o write history in Buchanan’s day was something very different from writing it in ours. The limited number of authorities he had to consult, the easy standard of accuracy he had to satisfy, made his task a far lighter one than a similar undertaking would be at the present day.”</w:t>
      </w:r>
    </w:p>
  </w:footnote>
  <w:footnote w:id="35">
    <w:p w14:paraId="4FC60DD9" w14:textId="67C1EEAE" w:rsidR="00CF5496" w:rsidRDefault="00CF5496" w:rsidP="00CF5496">
      <w:pPr>
        <w:pStyle w:val="FootnoteText"/>
      </w:pPr>
      <w:r>
        <w:rPr>
          <w:rStyle w:val="FootnoteReference"/>
        </w:rPr>
        <w:footnoteRef/>
      </w:r>
      <w:r>
        <w:t xml:space="preserve"> E.g., J E Berg, “Gorboduc as a tragic discovery of ‘feudalism'”, </w:t>
      </w:r>
      <w:r w:rsidRPr="004C6B27">
        <w:rPr>
          <w:i/>
          <w:iCs/>
        </w:rPr>
        <w:t>Studies in English Literature 1500</w:t>
      </w:r>
      <w:r>
        <w:rPr>
          <w:i/>
          <w:iCs/>
        </w:rPr>
        <w:t>-</w:t>
      </w:r>
      <w:r w:rsidRPr="004C6B27">
        <w:rPr>
          <w:i/>
          <w:iCs/>
        </w:rPr>
        <w:t>1900</w:t>
      </w:r>
      <w:r>
        <w:t xml:space="preserve"> 40 (2000), 199-226, 201-2 where Craig is a “S</w:t>
      </w:r>
      <w:r w:rsidR="00A65505">
        <w:t xml:space="preserve">cottish </w:t>
      </w:r>
      <w:r>
        <w:t>antiquary”</w:t>
      </w:r>
      <w:r w:rsidR="00A65505">
        <w:t xml:space="preserve"> at the Stuart court</w:t>
      </w:r>
      <w:r>
        <w:t xml:space="preserve">; or S Reynolds, “Fiefs and vassals in Scotland: a view from outside”, </w:t>
      </w:r>
      <w:r w:rsidRPr="004C6B27">
        <w:rPr>
          <w:i/>
          <w:iCs/>
        </w:rPr>
        <w:t>Scottish Historical Review</w:t>
      </w:r>
      <w:r>
        <w:t xml:space="preserve"> 82 (2003) 176-193, 177 where Craig’s work is academic.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16"/>
    <w:rsid w:val="000032B4"/>
    <w:rsid w:val="00004437"/>
    <w:rsid w:val="0000629F"/>
    <w:rsid w:val="00014BED"/>
    <w:rsid w:val="00016DAC"/>
    <w:rsid w:val="000171D4"/>
    <w:rsid w:val="00017485"/>
    <w:rsid w:val="000174C8"/>
    <w:rsid w:val="00020436"/>
    <w:rsid w:val="00020966"/>
    <w:rsid w:val="0002297A"/>
    <w:rsid w:val="0002306A"/>
    <w:rsid w:val="0002460A"/>
    <w:rsid w:val="0002556E"/>
    <w:rsid w:val="000257F9"/>
    <w:rsid w:val="00025917"/>
    <w:rsid w:val="00030D49"/>
    <w:rsid w:val="00031F99"/>
    <w:rsid w:val="00033CAC"/>
    <w:rsid w:val="0003481F"/>
    <w:rsid w:val="00034F69"/>
    <w:rsid w:val="00035B76"/>
    <w:rsid w:val="000364D9"/>
    <w:rsid w:val="0003740D"/>
    <w:rsid w:val="000413AB"/>
    <w:rsid w:val="0004255D"/>
    <w:rsid w:val="00044CB0"/>
    <w:rsid w:val="00044D79"/>
    <w:rsid w:val="00055599"/>
    <w:rsid w:val="00055A09"/>
    <w:rsid w:val="00056476"/>
    <w:rsid w:val="000611DD"/>
    <w:rsid w:val="0006167B"/>
    <w:rsid w:val="00061B6F"/>
    <w:rsid w:val="0006510A"/>
    <w:rsid w:val="0006783B"/>
    <w:rsid w:val="00073BF4"/>
    <w:rsid w:val="0007458B"/>
    <w:rsid w:val="00075091"/>
    <w:rsid w:val="00075751"/>
    <w:rsid w:val="00077119"/>
    <w:rsid w:val="0007715E"/>
    <w:rsid w:val="00083489"/>
    <w:rsid w:val="00084186"/>
    <w:rsid w:val="00085D21"/>
    <w:rsid w:val="0008667D"/>
    <w:rsid w:val="000913F2"/>
    <w:rsid w:val="00092167"/>
    <w:rsid w:val="000922A0"/>
    <w:rsid w:val="00094A40"/>
    <w:rsid w:val="000A081A"/>
    <w:rsid w:val="000A5024"/>
    <w:rsid w:val="000A7C06"/>
    <w:rsid w:val="000B3804"/>
    <w:rsid w:val="000B49D4"/>
    <w:rsid w:val="000C0B7E"/>
    <w:rsid w:val="000C178D"/>
    <w:rsid w:val="000C20AF"/>
    <w:rsid w:val="000C3468"/>
    <w:rsid w:val="000C69D7"/>
    <w:rsid w:val="000D0BEF"/>
    <w:rsid w:val="000D463B"/>
    <w:rsid w:val="000D5FCF"/>
    <w:rsid w:val="000E12CF"/>
    <w:rsid w:val="000E15A1"/>
    <w:rsid w:val="000E3B12"/>
    <w:rsid w:val="000E541F"/>
    <w:rsid w:val="000E7AE2"/>
    <w:rsid w:val="000F0D38"/>
    <w:rsid w:val="000F1A3C"/>
    <w:rsid w:val="000F3C5A"/>
    <w:rsid w:val="000F4AF6"/>
    <w:rsid w:val="000F50E1"/>
    <w:rsid w:val="001043F9"/>
    <w:rsid w:val="00111803"/>
    <w:rsid w:val="00112439"/>
    <w:rsid w:val="001134F8"/>
    <w:rsid w:val="001168C4"/>
    <w:rsid w:val="0012175C"/>
    <w:rsid w:val="0012302B"/>
    <w:rsid w:val="0012309C"/>
    <w:rsid w:val="00124AA5"/>
    <w:rsid w:val="00125183"/>
    <w:rsid w:val="00126460"/>
    <w:rsid w:val="001267FF"/>
    <w:rsid w:val="00127B97"/>
    <w:rsid w:val="001305E2"/>
    <w:rsid w:val="00131428"/>
    <w:rsid w:val="00131549"/>
    <w:rsid w:val="00131A33"/>
    <w:rsid w:val="00133495"/>
    <w:rsid w:val="001352C4"/>
    <w:rsid w:val="00135EF0"/>
    <w:rsid w:val="001378BF"/>
    <w:rsid w:val="00140322"/>
    <w:rsid w:val="00142BD3"/>
    <w:rsid w:val="00142CA3"/>
    <w:rsid w:val="001433FD"/>
    <w:rsid w:val="00143C8A"/>
    <w:rsid w:val="0014437D"/>
    <w:rsid w:val="001455C0"/>
    <w:rsid w:val="00146153"/>
    <w:rsid w:val="00150FC3"/>
    <w:rsid w:val="001513BB"/>
    <w:rsid w:val="0015177F"/>
    <w:rsid w:val="00151AFA"/>
    <w:rsid w:val="00151E22"/>
    <w:rsid w:val="001529D1"/>
    <w:rsid w:val="00154EA4"/>
    <w:rsid w:val="001558F0"/>
    <w:rsid w:val="001568D3"/>
    <w:rsid w:val="00161070"/>
    <w:rsid w:val="00162B0D"/>
    <w:rsid w:val="001638D6"/>
    <w:rsid w:val="0016550E"/>
    <w:rsid w:val="00166C44"/>
    <w:rsid w:val="00171062"/>
    <w:rsid w:val="00173A94"/>
    <w:rsid w:val="00175FF9"/>
    <w:rsid w:val="001817D0"/>
    <w:rsid w:val="00182921"/>
    <w:rsid w:val="00182CFE"/>
    <w:rsid w:val="001835DF"/>
    <w:rsid w:val="00183CCB"/>
    <w:rsid w:val="00184B42"/>
    <w:rsid w:val="00185922"/>
    <w:rsid w:val="00186A6C"/>
    <w:rsid w:val="00191072"/>
    <w:rsid w:val="001914FA"/>
    <w:rsid w:val="00193751"/>
    <w:rsid w:val="0019449B"/>
    <w:rsid w:val="00195CE2"/>
    <w:rsid w:val="00195F3E"/>
    <w:rsid w:val="001A376C"/>
    <w:rsid w:val="001A392C"/>
    <w:rsid w:val="001A6AF1"/>
    <w:rsid w:val="001A6E81"/>
    <w:rsid w:val="001A76D3"/>
    <w:rsid w:val="001B0663"/>
    <w:rsid w:val="001B0C8C"/>
    <w:rsid w:val="001B16B9"/>
    <w:rsid w:val="001B1809"/>
    <w:rsid w:val="001B1DE2"/>
    <w:rsid w:val="001B39FF"/>
    <w:rsid w:val="001C26E4"/>
    <w:rsid w:val="001C3D34"/>
    <w:rsid w:val="001C40E1"/>
    <w:rsid w:val="001C7778"/>
    <w:rsid w:val="001D070C"/>
    <w:rsid w:val="001D1DC0"/>
    <w:rsid w:val="001D1E73"/>
    <w:rsid w:val="001D4008"/>
    <w:rsid w:val="001D54C1"/>
    <w:rsid w:val="001E0015"/>
    <w:rsid w:val="001E25ED"/>
    <w:rsid w:val="001E4B60"/>
    <w:rsid w:val="001E66D3"/>
    <w:rsid w:val="001F0031"/>
    <w:rsid w:val="001F02BD"/>
    <w:rsid w:val="001F0D27"/>
    <w:rsid w:val="001F498A"/>
    <w:rsid w:val="001F5812"/>
    <w:rsid w:val="001F7F4B"/>
    <w:rsid w:val="00204099"/>
    <w:rsid w:val="002047DF"/>
    <w:rsid w:val="002115CD"/>
    <w:rsid w:val="0021236A"/>
    <w:rsid w:val="00213164"/>
    <w:rsid w:val="00216FC9"/>
    <w:rsid w:val="00220FC7"/>
    <w:rsid w:val="00223C1A"/>
    <w:rsid w:val="002246BA"/>
    <w:rsid w:val="00226030"/>
    <w:rsid w:val="00230114"/>
    <w:rsid w:val="002304F5"/>
    <w:rsid w:val="00231002"/>
    <w:rsid w:val="00234DA1"/>
    <w:rsid w:val="0023690B"/>
    <w:rsid w:val="0024318D"/>
    <w:rsid w:val="00243C6F"/>
    <w:rsid w:val="00243EAD"/>
    <w:rsid w:val="00246909"/>
    <w:rsid w:val="00247EF0"/>
    <w:rsid w:val="00250D7A"/>
    <w:rsid w:val="00254EB4"/>
    <w:rsid w:val="00256030"/>
    <w:rsid w:val="002640FF"/>
    <w:rsid w:val="002652CB"/>
    <w:rsid w:val="002657CB"/>
    <w:rsid w:val="00265879"/>
    <w:rsid w:val="00265C6D"/>
    <w:rsid w:val="002663F1"/>
    <w:rsid w:val="00266BC5"/>
    <w:rsid w:val="00267F15"/>
    <w:rsid w:val="0027058E"/>
    <w:rsid w:val="00271418"/>
    <w:rsid w:val="00271CCE"/>
    <w:rsid w:val="00277E51"/>
    <w:rsid w:val="002821A1"/>
    <w:rsid w:val="00282375"/>
    <w:rsid w:val="00284EE7"/>
    <w:rsid w:val="00294DB9"/>
    <w:rsid w:val="00297270"/>
    <w:rsid w:val="00297AF4"/>
    <w:rsid w:val="002A0B5A"/>
    <w:rsid w:val="002A39A0"/>
    <w:rsid w:val="002A4D9C"/>
    <w:rsid w:val="002A7F55"/>
    <w:rsid w:val="002B0C52"/>
    <w:rsid w:val="002B33C0"/>
    <w:rsid w:val="002B463A"/>
    <w:rsid w:val="002C1334"/>
    <w:rsid w:val="002C23D1"/>
    <w:rsid w:val="002C2CA2"/>
    <w:rsid w:val="002C3502"/>
    <w:rsid w:val="002C6291"/>
    <w:rsid w:val="002D06B7"/>
    <w:rsid w:val="002D209B"/>
    <w:rsid w:val="002D3994"/>
    <w:rsid w:val="002D469F"/>
    <w:rsid w:val="002D634A"/>
    <w:rsid w:val="002E1C2C"/>
    <w:rsid w:val="002E622B"/>
    <w:rsid w:val="002E7124"/>
    <w:rsid w:val="002F22EB"/>
    <w:rsid w:val="002F3C15"/>
    <w:rsid w:val="002F4C00"/>
    <w:rsid w:val="002F60C5"/>
    <w:rsid w:val="002F63E3"/>
    <w:rsid w:val="00300F11"/>
    <w:rsid w:val="00302038"/>
    <w:rsid w:val="00305E57"/>
    <w:rsid w:val="00306486"/>
    <w:rsid w:val="00307BDE"/>
    <w:rsid w:val="00311AEA"/>
    <w:rsid w:val="00315F4F"/>
    <w:rsid w:val="00316E22"/>
    <w:rsid w:val="00322A46"/>
    <w:rsid w:val="00322C30"/>
    <w:rsid w:val="00322E87"/>
    <w:rsid w:val="003266E2"/>
    <w:rsid w:val="00327233"/>
    <w:rsid w:val="0033000D"/>
    <w:rsid w:val="00331A74"/>
    <w:rsid w:val="0033236F"/>
    <w:rsid w:val="00332BEF"/>
    <w:rsid w:val="00333929"/>
    <w:rsid w:val="003353D6"/>
    <w:rsid w:val="00335D8B"/>
    <w:rsid w:val="00340587"/>
    <w:rsid w:val="00342CFC"/>
    <w:rsid w:val="00344DD7"/>
    <w:rsid w:val="00345013"/>
    <w:rsid w:val="00345C7B"/>
    <w:rsid w:val="00350172"/>
    <w:rsid w:val="0035066E"/>
    <w:rsid w:val="003506B1"/>
    <w:rsid w:val="00351535"/>
    <w:rsid w:val="00353F22"/>
    <w:rsid w:val="0035454F"/>
    <w:rsid w:val="00354877"/>
    <w:rsid w:val="00356C4B"/>
    <w:rsid w:val="0036069A"/>
    <w:rsid w:val="00360A24"/>
    <w:rsid w:val="0036330B"/>
    <w:rsid w:val="0036346F"/>
    <w:rsid w:val="00366239"/>
    <w:rsid w:val="003737E4"/>
    <w:rsid w:val="00374683"/>
    <w:rsid w:val="00375D5A"/>
    <w:rsid w:val="00376482"/>
    <w:rsid w:val="00376F76"/>
    <w:rsid w:val="0037746C"/>
    <w:rsid w:val="00381340"/>
    <w:rsid w:val="003824D8"/>
    <w:rsid w:val="00385679"/>
    <w:rsid w:val="00393B57"/>
    <w:rsid w:val="003949C4"/>
    <w:rsid w:val="0039642F"/>
    <w:rsid w:val="003A07FC"/>
    <w:rsid w:val="003A4D5E"/>
    <w:rsid w:val="003A523E"/>
    <w:rsid w:val="003A6073"/>
    <w:rsid w:val="003A619E"/>
    <w:rsid w:val="003B054C"/>
    <w:rsid w:val="003B1D53"/>
    <w:rsid w:val="003B3E04"/>
    <w:rsid w:val="003B7A31"/>
    <w:rsid w:val="003C0216"/>
    <w:rsid w:val="003D0C2A"/>
    <w:rsid w:val="003D2522"/>
    <w:rsid w:val="003E0769"/>
    <w:rsid w:val="003E2795"/>
    <w:rsid w:val="003E2EDA"/>
    <w:rsid w:val="003E4C3D"/>
    <w:rsid w:val="003E6F9F"/>
    <w:rsid w:val="003E7E08"/>
    <w:rsid w:val="003F0243"/>
    <w:rsid w:val="003F196C"/>
    <w:rsid w:val="003F2735"/>
    <w:rsid w:val="003F2E3D"/>
    <w:rsid w:val="004002E6"/>
    <w:rsid w:val="0040131C"/>
    <w:rsid w:val="00402920"/>
    <w:rsid w:val="0040704C"/>
    <w:rsid w:val="004072D0"/>
    <w:rsid w:val="00407BBD"/>
    <w:rsid w:val="004102FD"/>
    <w:rsid w:val="004115F3"/>
    <w:rsid w:val="004120A6"/>
    <w:rsid w:val="00412764"/>
    <w:rsid w:val="00412CD3"/>
    <w:rsid w:val="00415BAF"/>
    <w:rsid w:val="00416355"/>
    <w:rsid w:val="00417402"/>
    <w:rsid w:val="00417E43"/>
    <w:rsid w:val="004215EE"/>
    <w:rsid w:val="004222D3"/>
    <w:rsid w:val="00423047"/>
    <w:rsid w:val="0042439F"/>
    <w:rsid w:val="00430BEF"/>
    <w:rsid w:val="0043412F"/>
    <w:rsid w:val="004348EA"/>
    <w:rsid w:val="00434995"/>
    <w:rsid w:val="00437D07"/>
    <w:rsid w:val="004440BA"/>
    <w:rsid w:val="0044453B"/>
    <w:rsid w:val="00445547"/>
    <w:rsid w:val="00445BE0"/>
    <w:rsid w:val="00445F40"/>
    <w:rsid w:val="00446FEA"/>
    <w:rsid w:val="00447E7B"/>
    <w:rsid w:val="00451447"/>
    <w:rsid w:val="004547F9"/>
    <w:rsid w:val="00455733"/>
    <w:rsid w:val="0045608F"/>
    <w:rsid w:val="004572C2"/>
    <w:rsid w:val="0046050F"/>
    <w:rsid w:val="004616BD"/>
    <w:rsid w:val="004619B6"/>
    <w:rsid w:val="004620D1"/>
    <w:rsid w:val="00462F6B"/>
    <w:rsid w:val="0046442F"/>
    <w:rsid w:val="004648D1"/>
    <w:rsid w:val="004657D6"/>
    <w:rsid w:val="00473FD6"/>
    <w:rsid w:val="00475D17"/>
    <w:rsid w:val="00476522"/>
    <w:rsid w:val="00480317"/>
    <w:rsid w:val="00480F81"/>
    <w:rsid w:val="00481172"/>
    <w:rsid w:val="00481F4F"/>
    <w:rsid w:val="004820A6"/>
    <w:rsid w:val="0048215F"/>
    <w:rsid w:val="0048289F"/>
    <w:rsid w:val="004901FB"/>
    <w:rsid w:val="00494282"/>
    <w:rsid w:val="00494CDA"/>
    <w:rsid w:val="00496BCA"/>
    <w:rsid w:val="004A0B61"/>
    <w:rsid w:val="004A3093"/>
    <w:rsid w:val="004A4DE1"/>
    <w:rsid w:val="004A507D"/>
    <w:rsid w:val="004A6285"/>
    <w:rsid w:val="004A7123"/>
    <w:rsid w:val="004B24F0"/>
    <w:rsid w:val="004B3A6E"/>
    <w:rsid w:val="004B5919"/>
    <w:rsid w:val="004B619E"/>
    <w:rsid w:val="004B7432"/>
    <w:rsid w:val="004C0836"/>
    <w:rsid w:val="004C0CEA"/>
    <w:rsid w:val="004C191E"/>
    <w:rsid w:val="004C28FD"/>
    <w:rsid w:val="004C3F2C"/>
    <w:rsid w:val="004C647A"/>
    <w:rsid w:val="004C6B27"/>
    <w:rsid w:val="004D3F53"/>
    <w:rsid w:val="004D664B"/>
    <w:rsid w:val="004E13F2"/>
    <w:rsid w:val="004E3DDA"/>
    <w:rsid w:val="004E4A7D"/>
    <w:rsid w:val="004E5DE4"/>
    <w:rsid w:val="004E6033"/>
    <w:rsid w:val="004E63D8"/>
    <w:rsid w:val="004E6FEE"/>
    <w:rsid w:val="004E7651"/>
    <w:rsid w:val="004F46F6"/>
    <w:rsid w:val="004F4A16"/>
    <w:rsid w:val="004F76B2"/>
    <w:rsid w:val="004F796B"/>
    <w:rsid w:val="0050140B"/>
    <w:rsid w:val="00502CC2"/>
    <w:rsid w:val="0051047A"/>
    <w:rsid w:val="005104B4"/>
    <w:rsid w:val="00514127"/>
    <w:rsid w:val="00514921"/>
    <w:rsid w:val="00521F36"/>
    <w:rsid w:val="00526529"/>
    <w:rsid w:val="00532877"/>
    <w:rsid w:val="00533941"/>
    <w:rsid w:val="005349E4"/>
    <w:rsid w:val="00536325"/>
    <w:rsid w:val="005418A0"/>
    <w:rsid w:val="00542173"/>
    <w:rsid w:val="005453B7"/>
    <w:rsid w:val="005460DE"/>
    <w:rsid w:val="005514ED"/>
    <w:rsid w:val="00553912"/>
    <w:rsid w:val="005556D4"/>
    <w:rsid w:val="0055746E"/>
    <w:rsid w:val="0056053B"/>
    <w:rsid w:val="00561D46"/>
    <w:rsid w:val="00562129"/>
    <w:rsid w:val="005621FF"/>
    <w:rsid w:val="0056768E"/>
    <w:rsid w:val="00570B63"/>
    <w:rsid w:val="00570E26"/>
    <w:rsid w:val="005719B4"/>
    <w:rsid w:val="00582859"/>
    <w:rsid w:val="00583373"/>
    <w:rsid w:val="005842BA"/>
    <w:rsid w:val="0058521A"/>
    <w:rsid w:val="0058595E"/>
    <w:rsid w:val="0059028C"/>
    <w:rsid w:val="005930F2"/>
    <w:rsid w:val="00593BF7"/>
    <w:rsid w:val="00596EED"/>
    <w:rsid w:val="005A003A"/>
    <w:rsid w:val="005A1375"/>
    <w:rsid w:val="005A2546"/>
    <w:rsid w:val="005A26BF"/>
    <w:rsid w:val="005A32B3"/>
    <w:rsid w:val="005A46DC"/>
    <w:rsid w:val="005A522A"/>
    <w:rsid w:val="005A676F"/>
    <w:rsid w:val="005B2BE4"/>
    <w:rsid w:val="005B48B1"/>
    <w:rsid w:val="005B61F1"/>
    <w:rsid w:val="005B7811"/>
    <w:rsid w:val="005C2500"/>
    <w:rsid w:val="005C372C"/>
    <w:rsid w:val="005C414F"/>
    <w:rsid w:val="005D0F51"/>
    <w:rsid w:val="005D298F"/>
    <w:rsid w:val="005D318A"/>
    <w:rsid w:val="005D67E9"/>
    <w:rsid w:val="005D73A6"/>
    <w:rsid w:val="005D7991"/>
    <w:rsid w:val="005D7A7C"/>
    <w:rsid w:val="005E05EB"/>
    <w:rsid w:val="005E0A62"/>
    <w:rsid w:val="005E0E1B"/>
    <w:rsid w:val="005E453D"/>
    <w:rsid w:val="005E5395"/>
    <w:rsid w:val="005F20D8"/>
    <w:rsid w:val="005F2DC6"/>
    <w:rsid w:val="005F5940"/>
    <w:rsid w:val="005F78DD"/>
    <w:rsid w:val="00603FBD"/>
    <w:rsid w:val="00604127"/>
    <w:rsid w:val="00604C58"/>
    <w:rsid w:val="00606A92"/>
    <w:rsid w:val="0060756C"/>
    <w:rsid w:val="00607D4B"/>
    <w:rsid w:val="0061136A"/>
    <w:rsid w:val="00615343"/>
    <w:rsid w:val="00616DC7"/>
    <w:rsid w:val="00616F9B"/>
    <w:rsid w:val="006237BE"/>
    <w:rsid w:val="0062425B"/>
    <w:rsid w:val="0062544E"/>
    <w:rsid w:val="0062589F"/>
    <w:rsid w:val="00626003"/>
    <w:rsid w:val="00627E9B"/>
    <w:rsid w:val="00631B82"/>
    <w:rsid w:val="00631C51"/>
    <w:rsid w:val="0063420A"/>
    <w:rsid w:val="00636216"/>
    <w:rsid w:val="00636B8D"/>
    <w:rsid w:val="006405B7"/>
    <w:rsid w:val="00641E18"/>
    <w:rsid w:val="0064577C"/>
    <w:rsid w:val="006514DB"/>
    <w:rsid w:val="00654FEA"/>
    <w:rsid w:val="006566E7"/>
    <w:rsid w:val="006628F7"/>
    <w:rsid w:val="0066442E"/>
    <w:rsid w:val="006648DB"/>
    <w:rsid w:val="00665444"/>
    <w:rsid w:val="0066770D"/>
    <w:rsid w:val="006679D7"/>
    <w:rsid w:val="00677F02"/>
    <w:rsid w:val="006811A3"/>
    <w:rsid w:val="006829CB"/>
    <w:rsid w:val="00682DA7"/>
    <w:rsid w:val="00685BF6"/>
    <w:rsid w:val="0069531F"/>
    <w:rsid w:val="00695812"/>
    <w:rsid w:val="00697799"/>
    <w:rsid w:val="0069779A"/>
    <w:rsid w:val="006A0049"/>
    <w:rsid w:val="006A2B69"/>
    <w:rsid w:val="006A52D1"/>
    <w:rsid w:val="006A5AF1"/>
    <w:rsid w:val="006A5E05"/>
    <w:rsid w:val="006A6E13"/>
    <w:rsid w:val="006A70FB"/>
    <w:rsid w:val="006A7685"/>
    <w:rsid w:val="006B326A"/>
    <w:rsid w:val="006B3415"/>
    <w:rsid w:val="006B3B8C"/>
    <w:rsid w:val="006B5A62"/>
    <w:rsid w:val="006B5DB9"/>
    <w:rsid w:val="006C00D2"/>
    <w:rsid w:val="006C0A8E"/>
    <w:rsid w:val="006C3ADB"/>
    <w:rsid w:val="006C3AE7"/>
    <w:rsid w:val="006C663F"/>
    <w:rsid w:val="006D3D9B"/>
    <w:rsid w:val="006D3E6C"/>
    <w:rsid w:val="006D480D"/>
    <w:rsid w:val="006D5FAF"/>
    <w:rsid w:val="006E16E1"/>
    <w:rsid w:val="006E34BC"/>
    <w:rsid w:val="006E3BE0"/>
    <w:rsid w:val="006E4BDE"/>
    <w:rsid w:val="006E5930"/>
    <w:rsid w:val="006E6291"/>
    <w:rsid w:val="006E64D9"/>
    <w:rsid w:val="006E6802"/>
    <w:rsid w:val="006E76C9"/>
    <w:rsid w:val="006F1CE5"/>
    <w:rsid w:val="006F2446"/>
    <w:rsid w:val="006F2BD8"/>
    <w:rsid w:val="006F3AA5"/>
    <w:rsid w:val="006F6BB3"/>
    <w:rsid w:val="00702AA3"/>
    <w:rsid w:val="00702EB8"/>
    <w:rsid w:val="0070397B"/>
    <w:rsid w:val="007052AA"/>
    <w:rsid w:val="00705616"/>
    <w:rsid w:val="007064E8"/>
    <w:rsid w:val="00707094"/>
    <w:rsid w:val="00710D3B"/>
    <w:rsid w:val="00710E6F"/>
    <w:rsid w:val="00713E9C"/>
    <w:rsid w:val="00714019"/>
    <w:rsid w:val="00714C66"/>
    <w:rsid w:val="00715957"/>
    <w:rsid w:val="00715ED3"/>
    <w:rsid w:val="00717DC9"/>
    <w:rsid w:val="00722A17"/>
    <w:rsid w:val="007231CA"/>
    <w:rsid w:val="00723D8A"/>
    <w:rsid w:val="00732FF6"/>
    <w:rsid w:val="007348FF"/>
    <w:rsid w:val="00737720"/>
    <w:rsid w:val="00740485"/>
    <w:rsid w:val="00741063"/>
    <w:rsid w:val="00741C4D"/>
    <w:rsid w:val="0074322B"/>
    <w:rsid w:val="00743EF1"/>
    <w:rsid w:val="0074520F"/>
    <w:rsid w:val="0074580B"/>
    <w:rsid w:val="00746530"/>
    <w:rsid w:val="00751AA7"/>
    <w:rsid w:val="00751AEC"/>
    <w:rsid w:val="00752718"/>
    <w:rsid w:val="007565A0"/>
    <w:rsid w:val="00756F88"/>
    <w:rsid w:val="007639C3"/>
    <w:rsid w:val="00767668"/>
    <w:rsid w:val="00767875"/>
    <w:rsid w:val="007723E5"/>
    <w:rsid w:val="007730AD"/>
    <w:rsid w:val="00773E96"/>
    <w:rsid w:val="00775369"/>
    <w:rsid w:val="00780D19"/>
    <w:rsid w:val="00782675"/>
    <w:rsid w:val="00783F7A"/>
    <w:rsid w:val="007846F6"/>
    <w:rsid w:val="0078585E"/>
    <w:rsid w:val="00786A07"/>
    <w:rsid w:val="00791BBD"/>
    <w:rsid w:val="00793598"/>
    <w:rsid w:val="00794DE9"/>
    <w:rsid w:val="007A092C"/>
    <w:rsid w:val="007A395D"/>
    <w:rsid w:val="007A67B5"/>
    <w:rsid w:val="007B0701"/>
    <w:rsid w:val="007B073E"/>
    <w:rsid w:val="007B220A"/>
    <w:rsid w:val="007B50D5"/>
    <w:rsid w:val="007B73EE"/>
    <w:rsid w:val="007C0E8C"/>
    <w:rsid w:val="007C39ED"/>
    <w:rsid w:val="007D02BB"/>
    <w:rsid w:val="007D238D"/>
    <w:rsid w:val="007D284F"/>
    <w:rsid w:val="007D4A4D"/>
    <w:rsid w:val="007D4C0A"/>
    <w:rsid w:val="007D7181"/>
    <w:rsid w:val="007E14CF"/>
    <w:rsid w:val="007E2F64"/>
    <w:rsid w:val="007E5845"/>
    <w:rsid w:val="007F0E1F"/>
    <w:rsid w:val="008022A2"/>
    <w:rsid w:val="00802462"/>
    <w:rsid w:val="0080328E"/>
    <w:rsid w:val="008039C9"/>
    <w:rsid w:val="00807454"/>
    <w:rsid w:val="00807C20"/>
    <w:rsid w:val="0081187C"/>
    <w:rsid w:val="008127EA"/>
    <w:rsid w:val="00816081"/>
    <w:rsid w:val="008169CB"/>
    <w:rsid w:val="008173DB"/>
    <w:rsid w:val="00823418"/>
    <w:rsid w:val="008240E2"/>
    <w:rsid w:val="00825749"/>
    <w:rsid w:val="008260E3"/>
    <w:rsid w:val="008274D8"/>
    <w:rsid w:val="00830EA9"/>
    <w:rsid w:val="008317B1"/>
    <w:rsid w:val="00832CC9"/>
    <w:rsid w:val="00835474"/>
    <w:rsid w:val="008359FC"/>
    <w:rsid w:val="00835DD9"/>
    <w:rsid w:val="00836186"/>
    <w:rsid w:val="00836579"/>
    <w:rsid w:val="00837483"/>
    <w:rsid w:val="00842B9E"/>
    <w:rsid w:val="00843279"/>
    <w:rsid w:val="00844514"/>
    <w:rsid w:val="00844696"/>
    <w:rsid w:val="008454CA"/>
    <w:rsid w:val="008459B4"/>
    <w:rsid w:val="00846C45"/>
    <w:rsid w:val="00847F2F"/>
    <w:rsid w:val="00852011"/>
    <w:rsid w:val="00852E72"/>
    <w:rsid w:val="0085562B"/>
    <w:rsid w:val="0085611E"/>
    <w:rsid w:val="00860127"/>
    <w:rsid w:val="00861297"/>
    <w:rsid w:val="00863CB8"/>
    <w:rsid w:val="008650D0"/>
    <w:rsid w:val="0087293A"/>
    <w:rsid w:val="00876E96"/>
    <w:rsid w:val="00877E9F"/>
    <w:rsid w:val="008804DB"/>
    <w:rsid w:val="008821FA"/>
    <w:rsid w:val="008849D2"/>
    <w:rsid w:val="00886C31"/>
    <w:rsid w:val="00887010"/>
    <w:rsid w:val="00890805"/>
    <w:rsid w:val="00890AD2"/>
    <w:rsid w:val="008A1D77"/>
    <w:rsid w:val="008A3FCB"/>
    <w:rsid w:val="008B022E"/>
    <w:rsid w:val="008B6028"/>
    <w:rsid w:val="008B7048"/>
    <w:rsid w:val="008C6D5E"/>
    <w:rsid w:val="008C6FE1"/>
    <w:rsid w:val="008D0804"/>
    <w:rsid w:val="008D08B4"/>
    <w:rsid w:val="008D1089"/>
    <w:rsid w:val="008D1217"/>
    <w:rsid w:val="008D399C"/>
    <w:rsid w:val="008D4FF3"/>
    <w:rsid w:val="008D7886"/>
    <w:rsid w:val="008E0F72"/>
    <w:rsid w:val="008E182A"/>
    <w:rsid w:val="008E1EBC"/>
    <w:rsid w:val="008E5778"/>
    <w:rsid w:val="008E5AF0"/>
    <w:rsid w:val="008F0857"/>
    <w:rsid w:val="008F5A0E"/>
    <w:rsid w:val="008F6F59"/>
    <w:rsid w:val="00900BE7"/>
    <w:rsid w:val="00903BF2"/>
    <w:rsid w:val="00904F41"/>
    <w:rsid w:val="00904F84"/>
    <w:rsid w:val="00905B72"/>
    <w:rsid w:val="00907D1E"/>
    <w:rsid w:val="009109EF"/>
    <w:rsid w:val="009120DC"/>
    <w:rsid w:val="00913CEB"/>
    <w:rsid w:val="00914D2B"/>
    <w:rsid w:val="0091631A"/>
    <w:rsid w:val="00917C19"/>
    <w:rsid w:val="009203DC"/>
    <w:rsid w:val="0092082D"/>
    <w:rsid w:val="00920B6A"/>
    <w:rsid w:val="00923173"/>
    <w:rsid w:val="00923D70"/>
    <w:rsid w:val="009248AF"/>
    <w:rsid w:val="00924D2A"/>
    <w:rsid w:val="009352BA"/>
    <w:rsid w:val="009377BF"/>
    <w:rsid w:val="00937FAD"/>
    <w:rsid w:val="00943044"/>
    <w:rsid w:val="009458A3"/>
    <w:rsid w:val="00947A42"/>
    <w:rsid w:val="00952095"/>
    <w:rsid w:val="0095461A"/>
    <w:rsid w:val="00955073"/>
    <w:rsid w:val="00956BC7"/>
    <w:rsid w:val="00957892"/>
    <w:rsid w:val="00961E30"/>
    <w:rsid w:val="00962A37"/>
    <w:rsid w:val="009675EC"/>
    <w:rsid w:val="00970347"/>
    <w:rsid w:val="00971535"/>
    <w:rsid w:val="00972DD7"/>
    <w:rsid w:val="00973B27"/>
    <w:rsid w:val="009754BF"/>
    <w:rsid w:val="00975784"/>
    <w:rsid w:val="009817EF"/>
    <w:rsid w:val="009823E6"/>
    <w:rsid w:val="009851D8"/>
    <w:rsid w:val="00986790"/>
    <w:rsid w:val="009871E5"/>
    <w:rsid w:val="009A13AC"/>
    <w:rsid w:val="009A1F29"/>
    <w:rsid w:val="009A2E28"/>
    <w:rsid w:val="009A3548"/>
    <w:rsid w:val="009A4FBF"/>
    <w:rsid w:val="009A53D5"/>
    <w:rsid w:val="009A5438"/>
    <w:rsid w:val="009A6C34"/>
    <w:rsid w:val="009B0053"/>
    <w:rsid w:val="009B0671"/>
    <w:rsid w:val="009B07EF"/>
    <w:rsid w:val="009B0FCF"/>
    <w:rsid w:val="009B1EE4"/>
    <w:rsid w:val="009B54A9"/>
    <w:rsid w:val="009B5F5B"/>
    <w:rsid w:val="009C0F77"/>
    <w:rsid w:val="009C2BC8"/>
    <w:rsid w:val="009C4009"/>
    <w:rsid w:val="009C6DA4"/>
    <w:rsid w:val="009C77F0"/>
    <w:rsid w:val="009D04C3"/>
    <w:rsid w:val="009D0586"/>
    <w:rsid w:val="009D0AA0"/>
    <w:rsid w:val="009D2DBF"/>
    <w:rsid w:val="009D62BD"/>
    <w:rsid w:val="009E0E71"/>
    <w:rsid w:val="009E27F4"/>
    <w:rsid w:val="009E3658"/>
    <w:rsid w:val="009E572C"/>
    <w:rsid w:val="009E580D"/>
    <w:rsid w:val="009F077A"/>
    <w:rsid w:val="009F155C"/>
    <w:rsid w:val="009F31CF"/>
    <w:rsid w:val="009F42F1"/>
    <w:rsid w:val="009F43C7"/>
    <w:rsid w:val="009F53E9"/>
    <w:rsid w:val="00A01587"/>
    <w:rsid w:val="00A01813"/>
    <w:rsid w:val="00A01902"/>
    <w:rsid w:val="00A05D51"/>
    <w:rsid w:val="00A05F57"/>
    <w:rsid w:val="00A06314"/>
    <w:rsid w:val="00A076C2"/>
    <w:rsid w:val="00A07EAD"/>
    <w:rsid w:val="00A16B7C"/>
    <w:rsid w:val="00A16E75"/>
    <w:rsid w:val="00A178FC"/>
    <w:rsid w:val="00A17F0B"/>
    <w:rsid w:val="00A221DF"/>
    <w:rsid w:val="00A2329E"/>
    <w:rsid w:val="00A24876"/>
    <w:rsid w:val="00A25C5B"/>
    <w:rsid w:val="00A26BA0"/>
    <w:rsid w:val="00A26C78"/>
    <w:rsid w:val="00A27941"/>
    <w:rsid w:val="00A27D13"/>
    <w:rsid w:val="00A30251"/>
    <w:rsid w:val="00A30452"/>
    <w:rsid w:val="00A3151B"/>
    <w:rsid w:val="00A318C3"/>
    <w:rsid w:val="00A34FC8"/>
    <w:rsid w:val="00A3675A"/>
    <w:rsid w:val="00A3793D"/>
    <w:rsid w:val="00A442F7"/>
    <w:rsid w:val="00A44F50"/>
    <w:rsid w:val="00A46ECD"/>
    <w:rsid w:val="00A47C1D"/>
    <w:rsid w:val="00A53E14"/>
    <w:rsid w:val="00A54B90"/>
    <w:rsid w:val="00A56600"/>
    <w:rsid w:val="00A5724A"/>
    <w:rsid w:val="00A6064A"/>
    <w:rsid w:val="00A60BD6"/>
    <w:rsid w:val="00A62408"/>
    <w:rsid w:val="00A65505"/>
    <w:rsid w:val="00A67B3C"/>
    <w:rsid w:val="00A71111"/>
    <w:rsid w:val="00A80782"/>
    <w:rsid w:val="00A8121A"/>
    <w:rsid w:val="00A830D7"/>
    <w:rsid w:val="00A84878"/>
    <w:rsid w:val="00A84F97"/>
    <w:rsid w:val="00A852E9"/>
    <w:rsid w:val="00A8674C"/>
    <w:rsid w:val="00A873C0"/>
    <w:rsid w:val="00A90005"/>
    <w:rsid w:val="00A9675B"/>
    <w:rsid w:val="00A97260"/>
    <w:rsid w:val="00A976FA"/>
    <w:rsid w:val="00AA086C"/>
    <w:rsid w:val="00AA1735"/>
    <w:rsid w:val="00AA1B58"/>
    <w:rsid w:val="00AA2423"/>
    <w:rsid w:val="00AA5064"/>
    <w:rsid w:val="00AA6445"/>
    <w:rsid w:val="00AA7993"/>
    <w:rsid w:val="00AB2CC8"/>
    <w:rsid w:val="00AC016F"/>
    <w:rsid w:val="00AC26B0"/>
    <w:rsid w:val="00AC4214"/>
    <w:rsid w:val="00AC5028"/>
    <w:rsid w:val="00AC655E"/>
    <w:rsid w:val="00AC7498"/>
    <w:rsid w:val="00AC79D7"/>
    <w:rsid w:val="00AD2266"/>
    <w:rsid w:val="00AD31A2"/>
    <w:rsid w:val="00AD499A"/>
    <w:rsid w:val="00AE0039"/>
    <w:rsid w:val="00AF1BBB"/>
    <w:rsid w:val="00AF2FF3"/>
    <w:rsid w:val="00AF686A"/>
    <w:rsid w:val="00AF70D8"/>
    <w:rsid w:val="00B0021C"/>
    <w:rsid w:val="00B02CA4"/>
    <w:rsid w:val="00B07997"/>
    <w:rsid w:val="00B13672"/>
    <w:rsid w:val="00B13A45"/>
    <w:rsid w:val="00B1489E"/>
    <w:rsid w:val="00B16F41"/>
    <w:rsid w:val="00B2196E"/>
    <w:rsid w:val="00B2289A"/>
    <w:rsid w:val="00B2331E"/>
    <w:rsid w:val="00B25ABF"/>
    <w:rsid w:val="00B3018F"/>
    <w:rsid w:val="00B306B8"/>
    <w:rsid w:val="00B31697"/>
    <w:rsid w:val="00B321AB"/>
    <w:rsid w:val="00B34EFA"/>
    <w:rsid w:val="00B35F37"/>
    <w:rsid w:val="00B419CA"/>
    <w:rsid w:val="00B41CA0"/>
    <w:rsid w:val="00B44D97"/>
    <w:rsid w:val="00B47255"/>
    <w:rsid w:val="00B47952"/>
    <w:rsid w:val="00B51921"/>
    <w:rsid w:val="00B520B6"/>
    <w:rsid w:val="00B523D2"/>
    <w:rsid w:val="00B564D2"/>
    <w:rsid w:val="00B57829"/>
    <w:rsid w:val="00B639AD"/>
    <w:rsid w:val="00B64AE4"/>
    <w:rsid w:val="00B73166"/>
    <w:rsid w:val="00B7657F"/>
    <w:rsid w:val="00B77218"/>
    <w:rsid w:val="00B77401"/>
    <w:rsid w:val="00B80F2D"/>
    <w:rsid w:val="00B84E28"/>
    <w:rsid w:val="00B85A9E"/>
    <w:rsid w:val="00B85E65"/>
    <w:rsid w:val="00B8627A"/>
    <w:rsid w:val="00B8690F"/>
    <w:rsid w:val="00B9490D"/>
    <w:rsid w:val="00B96860"/>
    <w:rsid w:val="00B968FA"/>
    <w:rsid w:val="00B97C0A"/>
    <w:rsid w:val="00BA0174"/>
    <w:rsid w:val="00BA106E"/>
    <w:rsid w:val="00BA1260"/>
    <w:rsid w:val="00BA1443"/>
    <w:rsid w:val="00BA339B"/>
    <w:rsid w:val="00BA4C1E"/>
    <w:rsid w:val="00BB12A3"/>
    <w:rsid w:val="00BB2A13"/>
    <w:rsid w:val="00BB34C4"/>
    <w:rsid w:val="00BB3A12"/>
    <w:rsid w:val="00BB4676"/>
    <w:rsid w:val="00BB49F0"/>
    <w:rsid w:val="00BB5153"/>
    <w:rsid w:val="00BB62C9"/>
    <w:rsid w:val="00BC0392"/>
    <w:rsid w:val="00BC1F2B"/>
    <w:rsid w:val="00BC2E03"/>
    <w:rsid w:val="00BC3FFB"/>
    <w:rsid w:val="00BC44F8"/>
    <w:rsid w:val="00BC4DCB"/>
    <w:rsid w:val="00BC6446"/>
    <w:rsid w:val="00BD25CC"/>
    <w:rsid w:val="00BD2CD8"/>
    <w:rsid w:val="00BD336C"/>
    <w:rsid w:val="00BD4481"/>
    <w:rsid w:val="00BD4512"/>
    <w:rsid w:val="00BD4CC6"/>
    <w:rsid w:val="00BD4EC1"/>
    <w:rsid w:val="00BD6B3C"/>
    <w:rsid w:val="00BD6FBE"/>
    <w:rsid w:val="00BD76C3"/>
    <w:rsid w:val="00BD7F7F"/>
    <w:rsid w:val="00BE0F54"/>
    <w:rsid w:val="00BE69F2"/>
    <w:rsid w:val="00BE73CA"/>
    <w:rsid w:val="00BF0F9B"/>
    <w:rsid w:val="00BF3ADB"/>
    <w:rsid w:val="00BF46A5"/>
    <w:rsid w:val="00BF5168"/>
    <w:rsid w:val="00BF5C63"/>
    <w:rsid w:val="00C04C44"/>
    <w:rsid w:val="00C05821"/>
    <w:rsid w:val="00C06B5C"/>
    <w:rsid w:val="00C06E03"/>
    <w:rsid w:val="00C11D2B"/>
    <w:rsid w:val="00C13E91"/>
    <w:rsid w:val="00C176B4"/>
    <w:rsid w:val="00C2084D"/>
    <w:rsid w:val="00C21640"/>
    <w:rsid w:val="00C2187D"/>
    <w:rsid w:val="00C228ED"/>
    <w:rsid w:val="00C235F0"/>
    <w:rsid w:val="00C270ED"/>
    <w:rsid w:val="00C3028A"/>
    <w:rsid w:val="00C34518"/>
    <w:rsid w:val="00C37FE5"/>
    <w:rsid w:val="00C42AE5"/>
    <w:rsid w:val="00C43BD4"/>
    <w:rsid w:val="00C44495"/>
    <w:rsid w:val="00C448C6"/>
    <w:rsid w:val="00C51E7A"/>
    <w:rsid w:val="00C5213A"/>
    <w:rsid w:val="00C52CC3"/>
    <w:rsid w:val="00C5324B"/>
    <w:rsid w:val="00C56A52"/>
    <w:rsid w:val="00C56DE1"/>
    <w:rsid w:val="00C60687"/>
    <w:rsid w:val="00C620D7"/>
    <w:rsid w:val="00C6319E"/>
    <w:rsid w:val="00C66632"/>
    <w:rsid w:val="00C6772D"/>
    <w:rsid w:val="00C73BF8"/>
    <w:rsid w:val="00C745FF"/>
    <w:rsid w:val="00C81A3D"/>
    <w:rsid w:val="00C85A60"/>
    <w:rsid w:val="00C8602B"/>
    <w:rsid w:val="00C86EBD"/>
    <w:rsid w:val="00C86ECA"/>
    <w:rsid w:val="00C87BFC"/>
    <w:rsid w:val="00C92A40"/>
    <w:rsid w:val="00C93101"/>
    <w:rsid w:val="00C93273"/>
    <w:rsid w:val="00C93742"/>
    <w:rsid w:val="00C95BFD"/>
    <w:rsid w:val="00CA17A6"/>
    <w:rsid w:val="00CA1E22"/>
    <w:rsid w:val="00CA21A1"/>
    <w:rsid w:val="00CA3A7B"/>
    <w:rsid w:val="00CA3C8D"/>
    <w:rsid w:val="00CA4777"/>
    <w:rsid w:val="00CA638D"/>
    <w:rsid w:val="00CA6E54"/>
    <w:rsid w:val="00CA7ECC"/>
    <w:rsid w:val="00CB0A09"/>
    <w:rsid w:val="00CB176E"/>
    <w:rsid w:val="00CB450B"/>
    <w:rsid w:val="00CB577C"/>
    <w:rsid w:val="00CB6DCC"/>
    <w:rsid w:val="00CC049B"/>
    <w:rsid w:val="00CC2A15"/>
    <w:rsid w:val="00CC32F3"/>
    <w:rsid w:val="00CC362A"/>
    <w:rsid w:val="00CC3DDA"/>
    <w:rsid w:val="00CD655B"/>
    <w:rsid w:val="00CD7180"/>
    <w:rsid w:val="00CD7E3A"/>
    <w:rsid w:val="00CE2100"/>
    <w:rsid w:val="00CE2809"/>
    <w:rsid w:val="00CE640D"/>
    <w:rsid w:val="00CF5496"/>
    <w:rsid w:val="00CF76FD"/>
    <w:rsid w:val="00CF7B34"/>
    <w:rsid w:val="00D00A50"/>
    <w:rsid w:val="00D00BD1"/>
    <w:rsid w:val="00D02E02"/>
    <w:rsid w:val="00D03AC3"/>
    <w:rsid w:val="00D059D3"/>
    <w:rsid w:val="00D06B54"/>
    <w:rsid w:val="00D10283"/>
    <w:rsid w:val="00D11C24"/>
    <w:rsid w:val="00D134A4"/>
    <w:rsid w:val="00D13DCD"/>
    <w:rsid w:val="00D20551"/>
    <w:rsid w:val="00D2107B"/>
    <w:rsid w:val="00D227E0"/>
    <w:rsid w:val="00D228DC"/>
    <w:rsid w:val="00D2421D"/>
    <w:rsid w:val="00D26B7F"/>
    <w:rsid w:val="00D26EBD"/>
    <w:rsid w:val="00D270A1"/>
    <w:rsid w:val="00D32532"/>
    <w:rsid w:val="00D35173"/>
    <w:rsid w:val="00D3556F"/>
    <w:rsid w:val="00D35F46"/>
    <w:rsid w:val="00D378A6"/>
    <w:rsid w:val="00D37D7A"/>
    <w:rsid w:val="00D404E3"/>
    <w:rsid w:val="00D438E3"/>
    <w:rsid w:val="00D441D7"/>
    <w:rsid w:val="00D463D9"/>
    <w:rsid w:val="00D53C3B"/>
    <w:rsid w:val="00D56460"/>
    <w:rsid w:val="00D569D2"/>
    <w:rsid w:val="00D601FC"/>
    <w:rsid w:val="00D61393"/>
    <w:rsid w:val="00D61AD0"/>
    <w:rsid w:val="00D61D29"/>
    <w:rsid w:val="00D630CD"/>
    <w:rsid w:val="00D63BD3"/>
    <w:rsid w:val="00D64C47"/>
    <w:rsid w:val="00D65ABA"/>
    <w:rsid w:val="00D66228"/>
    <w:rsid w:val="00D7049A"/>
    <w:rsid w:val="00D70AA7"/>
    <w:rsid w:val="00D7100A"/>
    <w:rsid w:val="00D71176"/>
    <w:rsid w:val="00D7129E"/>
    <w:rsid w:val="00D72B5F"/>
    <w:rsid w:val="00D730EA"/>
    <w:rsid w:val="00D801C7"/>
    <w:rsid w:val="00D8251B"/>
    <w:rsid w:val="00D833B8"/>
    <w:rsid w:val="00D8654C"/>
    <w:rsid w:val="00D870DA"/>
    <w:rsid w:val="00D90052"/>
    <w:rsid w:val="00D917BC"/>
    <w:rsid w:val="00D935C6"/>
    <w:rsid w:val="00D93D2A"/>
    <w:rsid w:val="00D945F8"/>
    <w:rsid w:val="00D94DF7"/>
    <w:rsid w:val="00D9525B"/>
    <w:rsid w:val="00DA02D8"/>
    <w:rsid w:val="00DA1DE7"/>
    <w:rsid w:val="00DA1EAD"/>
    <w:rsid w:val="00DA3EDD"/>
    <w:rsid w:val="00DA4106"/>
    <w:rsid w:val="00DA5026"/>
    <w:rsid w:val="00DA591D"/>
    <w:rsid w:val="00DA6578"/>
    <w:rsid w:val="00DB1DFB"/>
    <w:rsid w:val="00DB3E32"/>
    <w:rsid w:val="00DB538F"/>
    <w:rsid w:val="00DB6C02"/>
    <w:rsid w:val="00DC02E3"/>
    <w:rsid w:val="00DC031F"/>
    <w:rsid w:val="00DC0780"/>
    <w:rsid w:val="00DC0E5F"/>
    <w:rsid w:val="00DC1B24"/>
    <w:rsid w:val="00DC2688"/>
    <w:rsid w:val="00DC3825"/>
    <w:rsid w:val="00DC564B"/>
    <w:rsid w:val="00DC5FA4"/>
    <w:rsid w:val="00DD4F79"/>
    <w:rsid w:val="00DD5346"/>
    <w:rsid w:val="00DE1EC0"/>
    <w:rsid w:val="00DE2D41"/>
    <w:rsid w:val="00DE3F49"/>
    <w:rsid w:val="00DE5CF1"/>
    <w:rsid w:val="00DE64D3"/>
    <w:rsid w:val="00DF0717"/>
    <w:rsid w:val="00DF141B"/>
    <w:rsid w:val="00DF65AD"/>
    <w:rsid w:val="00DF6F96"/>
    <w:rsid w:val="00E00F9F"/>
    <w:rsid w:val="00E060EA"/>
    <w:rsid w:val="00E07C77"/>
    <w:rsid w:val="00E10670"/>
    <w:rsid w:val="00E1156F"/>
    <w:rsid w:val="00E14DD1"/>
    <w:rsid w:val="00E15A1F"/>
    <w:rsid w:val="00E169B1"/>
    <w:rsid w:val="00E22A28"/>
    <w:rsid w:val="00E2380C"/>
    <w:rsid w:val="00E25AFC"/>
    <w:rsid w:val="00E30099"/>
    <w:rsid w:val="00E3238D"/>
    <w:rsid w:val="00E33768"/>
    <w:rsid w:val="00E34487"/>
    <w:rsid w:val="00E34837"/>
    <w:rsid w:val="00E36488"/>
    <w:rsid w:val="00E36C15"/>
    <w:rsid w:val="00E40ACE"/>
    <w:rsid w:val="00E4284E"/>
    <w:rsid w:val="00E44C8C"/>
    <w:rsid w:val="00E45BFE"/>
    <w:rsid w:val="00E468C4"/>
    <w:rsid w:val="00E4764A"/>
    <w:rsid w:val="00E47F28"/>
    <w:rsid w:val="00E52991"/>
    <w:rsid w:val="00E53330"/>
    <w:rsid w:val="00E602CB"/>
    <w:rsid w:val="00E614B9"/>
    <w:rsid w:val="00E63C41"/>
    <w:rsid w:val="00E73F3E"/>
    <w:rsid w:val="00E7612C"/>
    <w:rsid w:val="00E76879"/>
    <w:rsid w:val="00E76BFB"/>
    <w:rsid w:val="00E77D27"/>
    <w:rsid w:val="00E83763"/>
    <w:rsid w:val="00E844BA"/>
    <w:rsid w:val="00E8569A"/>
    <w:rsid w:val="00E857CF"/>
    <w:rsid w:val="00E91ACC"/>
    <w:rsid w:val="00E91F56"/>
    <w:rsid w:val="00E93B8B"/>
    <w:rsid w:val="00E940B7"/>
    <w:rsid w:val="00EA0C75"/>
    <w:rsid w:val="00EA2E2C"/>
    <w:rsid w:val="00EA389F"/>
    <w:rsid w:val="00EA6199"/>
    <w:rsid w:val="00EA7EE5"/>
    <w:rsid w:val="00EB0248"/>
    <w:rsid w:val="00EB28EA"/>
    <w:rsid w:val="00EB724E"/>
    <w:rsid w:val="00EC079E"/>
    <w:rsid w:val="00EC1DC5"/>
    <w:rsid w:val="00EC2D90"/>
    <w:rsid w:val="00EC2E7A"/>
    <w:rsid w:val="00EC3F8F"/>
    <w:rsid w:val="00EC560B"/>
    <w:rsid w:val="00EC58F3"/>
    <w:rsid w:val="00EC5FD1"/>
    <w:rsid w:val="00EC7D64"/>
    <w:rsid w:val="00ED38D9"/>
    <w:rsid w:val="00ED6E67"/>
    <w:rsid w:val="00ED7477"/>
    <w:rsid w:val="00ED77FF"/>
    <w:rsid w:val="00EE0FA7"/>
    <w:rsid w:val="00EE3C89"/>
    <w:rsid w:val="00EF2EBE"/>
    <w:rsid w:val="00EF310C"/>
    <w:rsid w:val="00EF5757"/>
    <w:rsid w:val="00EF6059"/>
    <w:rsid w:val="00EF65A2"/>
    <w:rsid w:val="00F00C08"/>
    <w:rsid w:val="00F030F6"/>
    <w:rsid w:val="00F05D7E"/>
    <w:rsid w:val="00F14404"/>
    <w:rsid w:val="00F15818"/>
    <w:rsid w:val="00F2161D"/>
    <w:rsid w:val="00F219A0"/>
    <w:rsid w:val="00F227E4"/>
    <w:rsid w:val="00F24434"/>
    <w:rsid w:val="00F25A74"/>
    <w:rsid w:val="00F277E1"/>
    <w:rsid w:val="00F318F4"/>
    <w:rsid w:val="00F325F6"/>
    <w:rsid w:val="00F32B2B"/>
    <w:rsid w:val="00F4159F"/>
    <w:rsid w:val="00F45710"/>
    <w:rsid w:val="00F516E6"/>
    <w:rsid w:val="00F53B96"/>
    <w:rsid w:val="00F5412F"/>
    <w:rsid w:val="00F57318"/>
    <w:rsid w:val="00F60A9C"/>
    <w:rsid w:val="00F625A1"/>
    <w:rsid w:val="00F64D0E"/>
    <w:rsid w:val="00F653A5"/>
    <w:rsid w:val="00F66530"/>
    <w:rsid w:val="00F6746A"/>
    <w:rsid w:val="00F7315D"/>
    <w:rsid w:val="00F81CB8"/>
    <w:rsid w:val="00F8230D"/>
    <w:rsid w:val="00F829E5"/>
    <w:rsid w:val="00F841C5"/>
    <w:rsid w:val="00F84F08"/>
    <w:rsid w:val="00F85978"/>
    <w:rsid w:val="00F85C0C"/>
    <w:rsid w:val="00F9375C"/>
    <w:rsid w:val="00F93E8C"/>
    <w:rsid w:val="00FA120F"/>
    <w:rsid w:val="00FA4325"/>
    <w:rsid w:val="00FA6B1F"/>
    <w:rsid w:val="00FB09BC"/>
    <w:rsid w:val="00FB14A0"/>
    <w:rsid w:val="00FB1776"/>
    <w:rsid w:val="00FB3197"/>
    <w:rsid w:val="00FB54F7"/>
    <w:rsid w:val="00FB56CB"/>
    <w:rsid w:val="00FB6123"/>
    <w:rsid w:val="00FB7AAF"/>
    <w:rsid w:val="00FC0E50"/>
    <w:rsid w:val="00FC18EC"/>
    <w:rsid w:val="00FC3905"/>
    <w:rsid w:val="00FC440C"/>
    <w:rsid w:val="00FC580E"/>
    <w:rsid w:val="00FC5F86"/>
    <w:rsid w:val="00FC7EC7"/>
    <w:rsid w:val="00FD2F7F"/>
    <w:rsid w:val="00FD636F"/>
    <w:rsid w:val="00FD7EF1"/>
    <w:rsid w:val="00FE01E6"/>
    <w:rsid w:val="00FF06E1"/>
    <w:rsid w:val="00FF1021"/>
    <w:rsid w:val="00FF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B7201"/>
  <w15:chartTrackingRefBased/>
  <w15:docId w15:val="{0D528061-0C8F-44B5-B919-59F7598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2A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AA3"/>
    <w:rPr>
      <w:sz w:val="20"/>
      <w:szCs w:val="20"/>
    </w:rPr>
  </w:style>
  <w:style w:type="character" w:styleId="FootnoteReference">
    <w:name w:val="footnote reference"/>
    <w:basedOn w:val="DefaultParagraphFont"/>
    <w:uiPriority w:val="99"/>
    <w:semiHidden/>
    <w:unhideWhenUsed/>
    <w:rsid w:val="00702AA3"/>
    <w:rPr>
      <w:vertAlign w:val="superscript"/>
    </w:rPr>
  </w:style>
  <w:style w:type="character" w:customStyle="1" w:styleId="english">
    <w:name w:val="english"/>
    <w:basedOn w:val="DefaultParagraphFont"/>
    <w:rsid w:val="00A318C3"/>
  </w:style>
  <w:style w:type="paragraph" w:styleId="Header">
    <w:name w:val="header"/>
    <w:basedOn w:val="Normal"/>
    <w:link w:val="HeaderChar"/>
    <w:uiPriority w:val="99"/>
    <w:unhideWhenUsed/>
    <w:rsid w:val="009F5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3E9"/>
  </w:style>
  <w:style w:type="paragraph" w:styleId="Footer">
    <w:name w:val="footer"/>
    <w:basedOn w:val="Normal"/>
    <w:link w:val="FooterChar"/>
    <w:uiPriority w:val="99"/>
    <w:unhideWhenUsed/>
    <w:rsid w:val="009F5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DBE5-15E4-42AB-9556-61D6A7BA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8</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Leslie</dc:creator>
  <cp:keywords/>
  <dc:description/>
  <cp:lastModifiedBy>Dodd, Leslie</cp:lastModifiedBy>
  <cp:revision>1266</cp:revision>
  <dcterms:created xsi:type="dcterms:W3CDTF">2021-04-29T15:39:00Z</dcterms:created>
  <dcterms:modified xsi:type="dcterms:W3CDTF">2021-05-22T10:48:00Z</dcterms:modified>
</cp:coreProperties>
</file>