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8B21" w14:textId="77777777" w:rsidR="00016C31" w:rsidRDefault="00016C31" w:rsidP="00016C31">
      <w:pPr>
        <w:spacing w:after="0" w:line="480" w:lineRule="auto"/>
        <w:jc w:val="center"/>
        <w:rPr>
          <w:rFonts w:ascii="Arial" w:hAnsi="Arial" w:cs="Arial"/>
          <w:b/>
          <w:bCs/>
          <w:sz w:val="24"/>
          <w:szCs w:val="24"/>
          <w:u w:val="single"/>
        </w:rPr>
      </w:pPr>
      <w:bookmarkStart w:id="0" w:name="_GoBack"/>
      <w:bookmarkEnd w:id="0"/>
      <w:r w:rsidRPr="00E91CBC">
        <w:rPr>
          <w:rFonts w:ascii="Arial" w:hAnsi="Arial" w:cs="Arial"/>
          <w:b/>
          <w:bCs/>
          <w:sz w:val="24"/>
          <w:szCs w:val="24"/>
          <w:u w:val="single"/>
        </w:rPr>
        <w:t>Title</w:t>
      </w:r>
    </w:p>
    <w:p w14:paraId="25D1C33D" w14:textId="10C7E272" w:rsidR="00016C31" w:rsidRPr="00016C31" w:rsidRDefault="00016C31" w:rsidP="00016C31">
      <w:pPr>
        <w:spacing w:after="0" w:line="480" w:lineRule="auto"/>
        <w:jc w:val="center"/>
        <w:rPr>
          <w:rFonts w:ascii="Arial" w:hAnsi="Arial" w:cs="Arial"/>
          <w:b/>
          <w:bCs/>
          <w:sz w:val="24"/>
          <w:szCs w:val="24"/>
          <w:u w:val="single"/>
        </w:rPr>
      </w:pPr>
      <w:r w:rsidRPr="00016C31">
        <w:rPr>
          <w:rFonts w:ascii="Arial" w:hAnsi="Arial" w:cs="Arial"/>
          <w:sz w:val="24"/>
          <w:szCs w:val="24"/>
        </w:rPr>
        <w:t>An initial psychometric assessment of an ICD-11 based measure of PTSD and Complex PTSD (ICD-TQ): Evidence of construct validity</w:t>
      </w:r>
    </w:p>
    <w:p w14:paraId="7B3BBB4C" w14:textId="77777777" w:rsidR="00016C31" w:rsidRPr="00E91CBC" w:rsidRDefault="00016C31" w:rsidP="00016C31">
      <w:pPr>
        <w:spacing w:after="0" w:line="480" w:lineRule="auto"/>
        <w:jc w:val="center"/>
        <w:rPr>
          <w:rFonts w:ascii="Arial" w:hAnsi="Arial" w:cs="Arial"/>
          <w:b/>
          <w:bCs/>
          <w:sz w:val="24"/>
          <w:szCs w:val="24"/>
          <w:u w:val="single"/>
        </w:rPr>
      </w:pPr>
      <w:r w:rsidRPr="00E91CBC">
        <w:rPr>
          <w:rFonts w:ascii="Arial" w:hAnsi="Arial" w:cs="Arial"/>
          <w:b/>
          <w:bCs/>
          <w:sz w:val="24"/>
          <w:szCs w:val="24"/>
          <w:u w:val="single"/>
        </w:rPr>
        <w:t>Running head</w:t>
      </w:r>
    </w:p>
    <w:p w14:paraId="3D8D3F08" w14:textId="77777777" w:rsidR="00016C31" w:rsidRDefault="00016C31" w:rsidP="00016C31">
      <w:pPr>
        <w:spacing w:after="0"/>
        <w:jc w:val="center"/>
        <w:rPr>
          <w:rFonts w:ascii="Arial" w:hAnsi="Arial" w:cs="Arial"/>
          <w:sz w:val="24"/>
          <w:szCs w:val="24"/>
        </w:rPr>
      </w:pPr>
      <w:r w:rsidRPr="00E91CBC">
        <w:rPr>
          <w:rFonts w:ascii="Arial" w:hAnsi="Arial" w:cs="Arial"/>
          <w:sz w:val="24"/>
          <w:szCs w:val="24"/>
        </w:rPr>
        <w:t>PTSD and CPTSD self-report scale</w:t>
      </w:r>
    </w:p>
    <w:p w14:paraId="6EB7E973" w14:textId="77777777" w:rsidR="00016C31" w:rsidRPr="00E91CBC" w:rsidRDefault="00016C31" w:rsidP="00016C31">
      <w:pPr>
        <w:spacing w:after="0"/>
        <w:jc w:val="center"/>
        <w:rPr>
          <w:rFonts w:ascii="Arial" w:hAnsi="Arial" w:cs="Arial"/>
          <w:sz w:val="24"/>
          <w:szCs w:val="24"/>
        </w:rPr>
      </w:pPr>
    </w:p>
    <w:p w14:paraId="2083CEED" w14:textId="77777777" w:rsidR="00016C31" w:rsidRDefault="00016C31" w:rsidP="00016C31">
      <w:pPr>
        <w:spacing w:after="0" w:line="240" w:lineRule="auto"/>
        <w:jc w:val="center"/>
        <w:rPr>
          <w:rFonts w:ascii="Arial" w:hAnsi="Arial" w:cs="Arial"/>
          <w:b/>
          <w:bCs/>
          <w:sz w:val="24"/>
          <w:szCs w:val="24"/>
          <w:u w:val="single"/>
        </w:rPr>
      </w:pPr>
      <w:r w:rsidRPr="00E91CBC">
        <w:rPr>
          <w:rFonts w:ascii="Arial" w:hAnsi="Arial" w:cs="Arial"/>
          <w:b/>
          <w:bCs/>
          <w:sz w:val="24"/>
          <w:szCs w:val="24"/>
          <w:u w:val="single"/>
        </w:rPr>
        <w:t>Authors</w:t>
      </w:r>
    </w:p>
    <w:p w14:paraId="7BA60E2B" w14:textId="77777777" w:rsidR="00016C31" w:rsidRPr="00E91CBC" w:rsidRDefault="00016C31" w:rsidP="00016C31">
      <w:pPr>
        <w:spacing w:after="0" w:line="240" w:lineRule="auto"/>
        <w:jc w:val="center"/>
        <w:rPr>
          <w:rFonts w:ascii="Arial" w:hAnsi="Arial" w:cs="Arial"/>
          <w:b/>
          <w:bCs/>
          <w:sz w:val="24"/>
          <w:szCs w:val="24"/>
          <w:u w:val="single"/>
        </w:rPr>
      </w:pPr>
    </w:p>
    <w:p w14:paraId="2C7A910B"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Thanos Karatzias</w:t>
      </w:r>
      <w:r w:rsidRPr="00E91CBC">
        <w:rPr>
          <w:rFonts w:ascii="Arial" w:hAnsi="Arial" w:cs="Arial"/>
          <w:sz w:val="24"/>
          <w:szCs w:val="24"/>
          <w:vertAlign w:val="superscript"/>
        </w:rPr>
        <w:t>1,2</w:t>
      </w:r>
    </w:p>
    <w:p w14:paraId="751B0B90"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Mark Shevlin</w:t>
      </w:r>
      <w:r w:rsidRPr="00E91CBC">
        <w:rPr>
          <w:rFonts w:ascii="Arial" w:hAnsi="Arial" w:cs="Arial"/>
          <w:sz w:val="24"/>
          <w:szCs w:val="24"/>
          <w:vertAlign w:val="superscript"/>
        </w:rPr>
        <w:t>3</w:t>
      </w:r>
    </w:p>
    <w:p w14:paraId="299798D6"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Claire Fyvie</w:t>
      </w:r>
      <w:r w:rsidRPr="00E91CBC">
        <w:rPr>
          <w:rFonts w:ascii="Arial" w:hAnsi="Arial" w:cs="Arial"/>
          <w:sz w:val="24"/>
          <w:szCs w:val="24"/>
          <w:vertAlign w:val="superscript"/>
        </w:rPr>
        <w:t>2</w:t>
      </w:r>
    </w:p>
    <w:p w14:paraId="37CF1798"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Philip Hyland</w:t>
      </w:r>
      <w:r>
        <w:rPr>
          <w:rFonts w:ascii="Arial" w:hAnsi="Arial" w:cs="Arial"/>
          <w:sz w:val="24"/>
          <w:szCs w:val="24"/>
          <w:vertAlign w:val="superscript"/>
        </w:rPr>
        <w:t>4</w:t>
      </w:r>
    </w:p>
    <w:p w14:paraId="1EC8F17F"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Erifili Efth</w:t>
      </w:r>
      <w:r>
        <w:rPr>
          <w:rFonts w:ascii="Arial" w:hAnsi="Arial" w:cs="Arial"/>
          <w:sz w:val="24"/>
          <w:szCs w:val="24"/>
        </w:rPr>
        <w:t>y</w:t>
      </w:r>
      <w:r w:rsidRPr="00E91CBC">
        <w:rPr>
          <w:rFonts w:ascii="Arial" w:hAnsi="Arial" w:cs="Arial"/>
          <w:sz w:val="24"/>
          <w:szCs w:val="24"/>
        </w:rPr>
        <w:t>miadou</w:t>
      </w:r>
      <w:r w:rsidRPr="00E91CBC">
        <w:rPr>
          <w:rFonts w:ascii="Arial" w:hAnsi="Arial" w:cs="Arial"/>
          <w:sz w:val="24"/>
          <w:szCs w:val="24"/>
          <w:vertAlign w:val="superscript"/>
        </w:rPr>
        <w:t>2</w:t>
      </w:r>
    </w:p>
    <w:p w14:paraId="1DE54F5C" w14:textId="29E40B5B"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Danie</w:t>
      </w:r>
      <w:r w:rsidR="008112C3">
        <w:rPr>
          <w:rFonts w:ascii="Arial" w:hAnsi="Arial" w:cs="Arial"/>
          <w:sz w:val="24"/>
          <w:szCs w:val="24"/>
        </w:rPr>
        <w:t>l</w:t>
      </w:r>
      <w:r w:rsidRPr="00E91CBC">
        <w:rPr>
          <w:rFonts w:ascii="Arial" w:hAnsi="Arial" w:cs="Arial"/>
          <w:sz w:val="24"/>
          <w:szCs w:val="24"/>
        </w:rPr>
        <w:t>le Wilson</w:t>
      </w:r>
      <w:r w:rsidRPr="00E91CBC">
        <w:rPr>
          <w:rFonts w:ascii="Arial" w:hAnsi="Arial" w:cs="Arial"/>
          <w:sz w:val="24"/>
          <w:szCs w:val="24"/>
          <w:vertAlign w:val="superscript"/>
        </w:rPr>
        <w:t>2</w:t>
      </w:r>
    </w:p>
    <w:p w14:paraId="01223512" w14:textId="77777777" w:rsidR="00016C31" w:rsidRDefault="00016C31" w:rsidP="00016C31">
      <w:pPr>
        <w:spacing w:after="0"/>
        <w:jc w:val="center"/>
        <w:rPr>
          <w:rFonts w:ascii="Arial" w:hAnsi="Arial" w:cs="Arial"/>
          <w:sz w:val="24"/>
          <w:szCs w:val="24"/>
        </w:rPr>
      </w:pPr>
      <w:r>
        <w:rPr>
          <w:rFonts w:ascii="Arial" w:hAnsi="Arial" w:cs="Arial"/>
          <w:sz w:val="24"/>
          <w:szCs w:val="24"/>
        </w:rPr>
        <w:t>Neil Roberts</w:t>
      </w:r>
      <w:r>
        <w:rPr>
          <w:rFonts w:ascii="Arial" w:hAnsi="Arial" w:cs="Arial"/>
          <w:sz w:val="24"/>
          <w:szCs w:val="24"/>
          <w:vertAlign w:val="superscript"/>
        </w:rPr>
        <w:t>5</w:t>
      </w:r>
    </w:p>
    <w:p w14:paraId="185AB34E"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Jon</w:t>
      </w:r>
      <w:r>
        <w:rPr>
          <w:rFonts w:ascii="Arial" w:hAnsi="Arial" w:cs="Arial"/>
          <w:sz w:val="24"/>
          <w:szCs w:val="24"/>
        </w:rPr>
        <w:t>athan I</w:t>
      </w:r>
      <w:r w:rsidRPr="00E91CBC">
        <w:rPr>
          <w:rFonts w:ascii="Arial" w:hAnsi="Arial" w:cs="Arial"/>
          <w:sz w:val="24"/>
          <w:szCs w:val="24"/>
        </w:rPr>
        <w:t xml:space="preserve"> Bisson</w:t>
      </w:r>
      <w:r>
        <w:rPr>
          <w:rFonts w:ascii="Arial" w:hAnsi="Arial" w:cs="Arial"/>
          <w:sz w:val="24"/>
          <w:szCs w:val="24"/>
          <w:vertAlign w:val="superscript"/>
        </w:rPr>
        <w:t>6</w:t>
      </w:r>
    </w:p>
    <w:p w14:paraId="6A9D80EA" w14:textId="77777777" w:rsidR="00016C31" w:rsidRDefault="00016C31" w:rsidP="00016C31">
      <w:pPr>
        <w:spacing w:after="0"/>
        <w:jc w:val="center"/>
        <w:rPr>
          <w:rFonts w:ascii="Arial" w:hAnsi="Arial" w:cs="Arial"/>
          <w:sz w:val="24"/>
          <w:szCs w:val="24"/>
        </w:rPr>
      </w:pPr>
      <w:r>
        <w:rPr>
          <w:rFonts w:ascii="Arial" w:hAnsi="Arial" w:cs="Arial"/>
          <w:sz w:val="24"/>
          <w:szCs w:val="24"/>
        </w:rPr>
        <w:t>Chris R. Brewin</w:t>
      </w:r>
      <w:r>
        <w:rPr>
          <w:rFonts w:ascii="Arial" w:hAnsi="Arial" w:cs="Arial"/>
          <w:sz w:val="24"/>
          <w:szCs w:val="24"/>
          <w:vertAlign w:val="superscript"/>
        </w:rPr>
        <w:t>7</w:t>
      </w:r>
    </w:p>
    <w:p w14:paraId="37678496" w14:textId="77777777" w:rsidR="00016C31" w:rsidRPr="00E91CBC" w:rsidRDefault="00016C31" w:rsidP="00016C31">
      <w:pPr>
        <w:spacing w:after="0"/>
        <w:jc w:val="center"/>
        <w:rPr>
          <w:rFonts w:ascii="Arial" w:hAnsi="Arial" w:cs="Arial"/>
          <w:sz w:val="24"/>
          <w:szCs w:val="24"/>
        </w:rPr>
      </w:pPr>
      <w:r w:rsidRPr="00E91CBC">
        <w:rPr>
          <w:rFonts w:ascii="Arial" w:hAnsi="Arial" w:cs="Arial"/>
          <w:sz w:val="24"/>
          <w:szCs w:val="24"/>
        </w:rPr>
        <w:t>Marylene Cloitre</w:t>
      </w:r>
      <w:r>
        <w:rPr>
          <w:rFonts w:ascii="Arial" w:hAnsi="Arial" w:cs="Arial"/>
          <w:sz w:val="24"/>
          <w:szCs w:val="24"/>
          <w:vertAlign w:val="superscript"/>
        </w:rPr>
        <w:t>8,9</w:t>
      </w:r>
    </w:p>
    <w:p w14:paraId="19563C1F" w14:textId="77777777" w:rsidR="00016C31" w:rsidRDefault="00016C31" w:rsidP="00016C31">
      <w:pPr>
        <w:spacing w:after="0" w:line="240" w:lineRule="auto"/>
        <w:jc w:val="center"/>
        <w:rPr>
          <w:rFonts w:ascii="Arial" w:hAnsi="Arial" w:cs="Arial"/>
          <w:b/>
          <w:bCs/>
          <w:sz w:val="24"/>
          <w:szCs w:val="24"/>
          <w:u w:val="single"/>
        </w:rPr>
      </w:pPr>
    </w:p>
    <w:p w14:paraId="1C4D2BA2" w14:textId="77777777" w:rsidR="00016C31" w:rsidRDefault="00016C31" w:rsidP="00016C31">
      <w:pPr>
        <w:spacing w:after="0" w:line="240" w:lineRule="auto"/>
        <w:jc w:val="center"/>
        <w:rPr>
          <w:rFonts w:ascii="Arial" w:hAnsi="Arial" w:cs="Arial"/>
          <w:b/>
          <w:bCs/>
          <w:sz w:val="24"/>
          <w:szCs w:val="24"/>
          <w:u w:val="single"/>
        </w:rPr>
      </w:pPr>
      <w:r w:rsidRPr="00E91CBC">
        <w:rPr>
          <w:rFonts w:ascii="Arial" w:hAnsi="Arial" w:cs="Arial"/>
          <w:b/>
          <w:bCs/>
          <w:sz w:val="24"/>
          <w:szCs w:val="24"/>
          <w:u w:val="single"/>
        </w:rPr>
        <w:t>Affiliations</w:t>
      </w:r>
    </w:p>
    <w:p w14:paraId="578FAC6F" w14:textId="77777777" w:rsidR="00016C31" w:rsidRPr="00E91CBC" w:rsidRDefault="00016C31" w:rsidP="00016C31">
      <w:pPr>
        <w:spacing w:after="0" w:line="240" w:lineRule="auto"/>
        <w:jc w:val="center"/>
        <w:rPr>
          <w:rFonts w:ascii="Arial" w:hAnsi="Arial" w:cs="Arial"/>
          <w:b/>
          <w:bCs/>
          <w:sz w:val="24"/>
          <w:szCs w:val="24"/>
          <w:u w:val="single"/>
        </w:rPr>
      </w:pPr>
    </w:p>
    <w:p w14:paraId="3DD6FC36" w14:textId="56708317" w:rsidR="00016C31" w:rsidRPr="00E91CBC" w:rsidRDefault="00016C31" w:rsidP="00016C31">
      <w:pPr>
        <w:spacing w:after="0" w:line="240" w:lineRule="auto"/>
        <w:jc w:val="center"/>
        <w:rPr>
          <w:rFonts w:ascii="Arial" w:hAnsi="Arial" w:cs="Arial"/>
          <w:sz w:val="24"/>
          <w:szCs w:val="24"/>
        </w:rPr>
      </w:pPr>
      <w:r w:rsidRPr="00E91CBC">
        <w:rPr>
          <w:rFonts w:ascii="Arial" w:hAnsi="Arial" w:cs="Arial"/>
          <w:sz w:val="24"/>
          <w:szCs w:val="24"/>
          <w:vertAlign w:val="superscript"/>
        </w:rPr>
        <w:t>1</w:t>
      </w:r>
      <w:r w:rsidRPr="00E91CBC">
        <w:rPr>
          <w:rFonts w:ascii="Arial" w:hAnsi="Arial" w:cs="Arial"/>
          <w:sz w:val="24"/>
          <w:szCs w:val="24"/>
        </w:rPr>
        <w:t xml:space="preserve">Edinburgh Napier University, </w:t>
      </w:r>
      <w:r w:rsidR="008112C3">
        <w:rPr>
          <w:rFonts w:ascii="Arial" w:hAnsi="Arial" w:cs="Arial"/>
          <w:sz w:val="24"/>
          <w:szCs w:val="24"/>
        </w:rPr>
        <w:t>School of Health &amp; Social Care</w:t>
      </w:r>
      <w:r w:rsidRPr="00E91CBC">
        <w:rPr>
          <w:rFonts w:ascii="Arial" w:hAnsi="Arial" w:cs="Arial"/>
          <w:sz w:val="24"/>
          <w:szCs w:val="24"/>
        </w:rPr>
        <w:t>, Edinburgh, UK</w:t>
      </w:r>
    </w:p>
    <w:p w14:paraId="7B966DF1" w14:textId="77777777" w:rsidR="00016C31" w:rsidRPr="00E91CBC" w:rsidRDefault="00016C31" w:rsidP="00016C31">
      <w:pPr>
        <w:spacing w:after="0" w:line="240" w:lineRule="auto"/>
        <w:jc w:val="center"/>
        <w:rPr>
          <w:rFonts w:ascii="Arial" w:hAnsi="Arial" w:cs="Arial"/>
          <w:sz w:val="24"/>
          <w:szCs w:val="24"/>
        </w:rPr>
      </w:pPr>
      <w:r w:rsidRPr="00E91CBC">
        <w:rPr>
          <w:rFonts w:ascii="Arial" w:hAnsi="Arial" w:cs="Arial"/>
          <w:sz w:val="24"/>
          <w:szCs w:val="24"/>
          <w:vertAlign w:val="superscript"/>
        </w:rPr>
        <w:t>2</w:t>
      </w:r>
      <w:r w:rsidRPr="00E91CBC">
        <w:rPr>
          <w:rFonts w:ascii="Arial" w:hAnsi="Arial" w:cs="Arial"/>
          <w:sz w:val="24"/>
          <w:szCs w:val="24"/>
        </w:rPr>
        <w:t>NHS Lothian, Rivers Centre for Traumatic Stress, Edinburgh, UK</w:t>
      </w:r>
    </w:p>
    <w:p w14:paraId="5504BDF2" w14:textId="77777777" w:rsidR="00016C31" w:rsidRDefault="00016C31" w:rsidP="00016C31">
      <w:pPr>
        <w:spacing w:after="0" w:line="240" w:lineRule="auto"/>
        <w:jc w:val="center"/>
        <w:rPr>
          <w:rFonts w:ascii="Arial" w:hAnsi="Arial" w:cs="Arial"/>
          <w:sz w:val="24"/>
          <w:szCs w:val="24"/>
        </w:rPr>
      </w:pPr>
      <w:r w:rsidRPr="00E91CBC">
        <w:rPr>
          <w:rFonts w:ascii="Arial" w:hAnsi="Arial" w:cs="Arial"/>
          <w:sz w:val="24"/>
          <w:szCs w:val="24"/>
          <w:vertAlign w:val="superscript"/>
        </w:rPr>
        <w:t>3</w:t>
      </w:r>
      <w:r w:rsidRPr="00E91CBC">
        <w:rPr>
          <w:rFonts w:ascii="Arial" w:hAnsi="Arial" w:cs="Arial"/>
          <w:sz w:val="24"/>
          <w:szCs w:val="24"/>
        </w:rPr>
        <w:t>Ulster</w:t>
      </w:r>
      <w:r>
        <w:rPr>
          <w:rFonts w:ascii="Arial" w:hAnsi="Arial" w:cs="Arial"/>
          <w:sz w:val="24"/>
          <w:szCs w:val="24"/>
        </w:rPr>
        <w:t xml:space="preserve"> </w:t>
      </w:r>
      <w:r w:rsidRPr="00E91CBC">
        <w:rPr>
          <w:rFonts w:ascii="Arial" w:hAnsi="Arial" w:cs="Arial"/>
          <w:sz w:val="24"/>
          <w:szCs w:val="24"/>
        </w:rPr>
        <w:t xml:space="preserve">University, School of Psychology, </w:t>
      </w:r>
      <w:r>
        <w:rPr>
          <w:rFonts w:ascii="Arial" w:hAnsi="Arial" w:cs="Arial"/>
          <w:sz w:val="24"/>
          <w:szCs w:val="24"/>
        </w:rPr>
        <w:t>D</w:t>
      </w:r>
      <w:r w:rsidRPr="00E91CBC">
        <w:rPr>
          <w:rFonts w:ascii="Arial" w:hAnsi="Arial" w:cs="Arial"/>
          <w:sz w:val="24"/>
          <w:szCs w:val="24"/>
        </w:rPr>
        <w:t>erry, UK</w:t>
      </w:r>
    </w:p>
    <w:p w14:paraId="31F7CF72" w14:textId="77777777" w:rsidR="00016C31"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4</w:t>
      </w:r>
      <w:r w:rsidRPr="00E91CBC">
        <w:rPr>
          <w:rFonts w:ascii="Arial" w:hAnsi="Arial" w:cs="Arial"/>
          <w:sz w:val="24"/>
          <w:szCs w:val="24"/>
        </w:rPr>
        <w:t>National College of Ireland, School of Business, Dublin, Ireland</w:t>
      </w:r>
    </w:p>
    <w:p w14:paraId="0ADE1CC9" w14:textId="77777777" w:rsidR="00016C31" w:rsidRPr="00012A36" w:rsidRDefault="00016C31" w:rsidP="00016C31">
      <w:pPr>
        <w:spacing w:after="0" w:line="240" w:lineRule="auto"/>
        <w:jc w:val="center"/>
        <w:rPr>
          <w:rFonts w:ascii="Arial" w:hAnsi="Arial" w:cs="Arial"/>
          <w:sz w:val="24"/>
          <w:szCs w:val="24"/>
        </w:rPr>
      </w:pPr>
      <w:r w:rsidRPr="00012A36">
        <w:rPr>
          <w:rFonts w:ascii="Arial" w:hAnsi="Arial" w:cs="Arial"/>
          <w:sz w:val="24"/>
          <w:szCs w:val="24"/>
          <w:vertAlign w:val="superscript"/>
        </w:rPr>
        <w:t>5</w:t>
      </w:r>
      <w:r w:rsidRPr="00012A36">
        <w:rPr>
          <w:rFonts w:ascii="Arial" w:hAnsi="Arial" w:cs="Arial"/>
          <w:color w:val="000000"/>
          <w:sz w:val="24"/>
          <w:szCs w:val="24"/>
          <w:shd w:val="clear" w:color="auto" w:fill="FFFFFF"/>
        </w:rPr>
        <w:t>Psychology and Counselling Directorate, Cardiff and Vale University Health Board, Cardiff, UK.</w:t>
      </w:r>
    </w:p>
    <w:p w14:paraId="060312BB" w14:textId="77777777" w:rsidR="00016C31"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6</w:t>
      </w:r>
      <w:r w:rsidRPr="00E91CBC">
        <w:rPr>
          <w:rFonts w:ascii="Arial" w:hAnsi="Arial" w:cs="Arial"/>
          <w:sz w:val="24"/>
          <w:szCs w:val="24"/>
        </w:rPr>
        <w:t>Cardiff University, School of Medicine, Cardiff, UK</w:t>
      </w:r>
    </w:p>
    <w:p w14:paraId="3EF23CE4" w14:textId="77777777" w:rsidR="00016C31" w:rsidRPr="00E91CBC"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7</w:t>
      </w:r>
      <w:r>
        <w:rPr>
          <w:rFonts w:ascii="Arial" w:hAnsi="Arial" w:cs="Arial"/>
          <w:sz w:val="24"/>
          <w:szCs w:val="24"/>
        </w:rPr>
        <w:t>University College London, Clinical, Education &amp; Health Psychology, London, UK</w:t>
      </w:r>
    </w:p>
    <w:p w14:paraId="6E16D011" w14:textId="77777777" w:rsidR="00016C31"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8</w:t>
      </w:r>
      <w:r w:rsidRPr="008D3D67">
        <w:rPr>
          <w:rFonts w:ascii="Arial" w:hAnsi="Arial" w:cs="Arial"/>
          <w:sz w:val="24"/>
          <w:szCs w:val="24"/>
        </w:rPr>
        <w:t>New York University, School of Medicine, USA</w:t>
      </w:r>
    </w:p>
    <w:p w14:paraId="7C3902D3" w14:textId="77777777" w:rsidR="00016C31" w:rsidRPr="008D3D67" w:rsidRDefault="00016C31" w:rsidP="00016C31">
      <w:pPr>
        <w:spacing w:after="0" w:line="240" w:lineRule="auto"/>
        <w:jc w:val="center"/>
        <w:rPr>
          <w:rFonts w:ascii="Arial" w:hAnsi="Arial" w:cs="Arial"/>
          <w:sz w:val="24"/>
          <w:szCs w:val="24"/>
        </w:rPr>
      </w:pPr>
      <w:r>
        <w:rPr>
          <w:rFonts w:ascii="Arial" w:hAnsi="Arial" w:cs="Arial"/>
          <w:sz w:val="24"/>
          <w:szCs w:val="24"/>
          <w:vertAlign w:val="superscript"/>
        </w:rPr>
        <w:t>9</w:t>
      </w:r>
      <w:r w:rsidRPr="008D3D67">
        <w:rPr>
          <w:rFonts w:ascii="Arial" w:hAnsi="Arial" w:cs="Arial"/>
          <w:sz w:val="24"/>
          <w:szCs w:val="24"/>
        </w:rPr>
        <w:t>National Center for PTSD, Veterans Affairs Palo Alto Health Care System, Palo Alto, CA, USA</w:t>
      </w:r>
    </w:p>
    <w:p w14:paraId="322E5329" w14:textId="77777777" w:rsidR="00016C31" w:rsidRDefault="00016C31" w:rsidP="00016C31">
      <w:pPr>
        <w:spacing w:after="0"/>
        <w:rPr>
          <w:rFonts w:ascii="Arial" w:hAnsi="Arial" w:cs="Arial"/>
          <w:sz w:val="24"/>
          <w:szCs w:val="24"/>
          <w:u w:val="single"/>
        </w:rPr>
      </w:pPr>
    </w:p>
    <w:p w14:paraId="36392523" w14:textId="77777777" w:rsidR="00016C31" w:rsidRPr="00E91CBC" w:rsidRDefault="00016C31" w:rsidP="00016C31">
      <w:pPr>
        <w:spacing w:after="0"/>
        <w:rPr>
          <w:rFonts w:ascii="Arial" w:hAnsi="Arial" w:cs="Arial"/>
          <w:sz w:val="24"/>
          <w:szCs w:val="24"/>
          <w:u w:val="single"/>
        </w:rPr>
      </w:pPr>
    </w:p>
    <w:p w14:paraId="49527001" w14:textId="77777777" w:rsidR="00016C31" w:rsidRDefault="00016C31" w:rsidP="00016C31">
      <w:pPr>
        <w:spacing w:after="0" w:line="240" w:lineRule="auto"/>
        <w:jc w:val="right"/>
        <w:rPr>
          <w:rFonts w:ascii="Arial" w:hAnsi="Arial" w:cs="Arial"/>
          <w:sz w:val="24"/>
          <w:szCs w:val="24"/>
        </w:rPr>
      </w:pPr>
      <w:r w:rsidRPr="00E91CBC">
        <w:rPr>
          <w:rFonts w:ascii="Arial" w:hAnsi="Arial" w:cs="Arial"/>
          <w:sz w:val="24"/>
          <w:szCs w:val="24"/>
          <w:vertAlign w:val="superscript"/>
        </w:rPr>
        <w:t>1</w:t>
      </w:r>
      <w:r w:rsidRPr="00E91CBC">
        <w:rPr>
          <w:rFonts w:ascii="Arial" w:hAnsi="Arial" w:cs="Arial"/>
          <w:b/>
          <w:bCs/>
          <w:sz w:val="24"/>
          <w:szCs w:val="24"/>
          <w:u w:val="single"/>
        </w:rPr>
        <w:t>Address for Correspondence</w:t>
      </w:r>
      <w:r w:rsidRPr="00E91CBC">
        <w:rPr>
          <w:rFonts w:ascii="Arial" w:hAnsi="Arial" w:cs="Arial"/>
          <w:sz w:val="24"/>
          <w:szCs w:val="24"/>
        </w:rPr>
        <w:t xml:space="preserve">: </w:t>
      </w:r>
    </w:p>
    <w:p w14:paraId="7A9FAA5B" w14:textId="77777777" w:rsidR="00016C31" w:rsidRPr="00E91CBC" w:rsidRDefault="00016C31" w:rsidP="00016C31">
      <w:pPr>
        <w:spacing w:after="0" w:line="240" w:lineRule="auto"/>
        <w:jc w:val="right"/>
        <w:rPr>
          <w:rFonts w:ascii="Arial" w:hAnsi="Arial" w:cs="Arial"/>
          <w:sz w:val="24"/>
          <w:szCs w:val="24"/>
        </w:rPr>
      </w:pPr>
    </w:p>
    <w:p w14:paraId="5A5756A6" w14:textId="77777777" w:rsidR="00016C31" w:rsidRPr="00E91CBC" w:rsidRDefault="00016C31" w:rsidP="00016C31">
      <w:pPr>
        <w:spacing w:after="0" w:line="240" w:lineRule="auto"/>
        <w:jc w:val="right"/>
        <w:rPr>
          <w:rFonts w:ascii="Arial" w:hAnsi="Arial" w:cs="Arial"/>
          <w:sz w:val="24"/>
          <w:szCs w:val="24"/>
        </w:rPr>
      </w:pPr>
      <w:r w:rsidRPr="00E91CBC">
        <w:rPr>
          <w:rFonts w:ascii="Arial" w:hAnsi="Arial" w:cs="Arial"/>
          <w:sz w:val="24"/>
          <w:szCs w:val="24"/>
        </w:rPr>
        <w:t xml:space="preserve">Prof. Thanos Karatzias, Edinburgh Napier University, </w:t>
      </w:r>
      <w:r w:rsidRPr="00172768">
        <w:rPr>
          <w:rStyle w:val="Strong"/>
          <w:rFonts w:ascii="Arial" w:hAnsi="Arial" w:cs="Arial"/>
          <w:b w:val="0"/>
          <w:sz w:val="24"/>
          <w:szCs w:val="24"/>
        </w:rPr>
        <w:t>Sighthill Campus, Sighthill Court, Edinburgh EH11 4BN, Scotland UK,</w:t>
      </w:r>
      <w:r w:rsidRPr="00E91CBC">
        <w:rPr>
          <w:rFonts w:ascii="Arial" w:hAnsi="Arial" w:cs="Arial"/>
          <w:sz w:val="24"/>
          <w:szCs w:val="24"/>
        </w:rPr>
        <w:t xml:space="preserve">Tel. (+44) (0) </w:t>
      </w:r>
      <w:r w:rsidRPr="00E91CBC">
        <w:rPr>
          <w:rFonts w:ascii="Arial" w:hAnsi="Arial" w:cs="Arial"/>
          <w:sz w:val="24"/>
          <w:szCs w:val="24"/>
          <w:lang w:val="en-US"/>
        </w:rPr>
        <w:t xml:space="preserve">131 455 5345, </w:t>
      </w:r>
      <w:r w:rsidRPr="00E91CBC">
        <w:rPr>
          <w:rFonts w:ascii="Arial" w:hAnsi="Arial" w:cs="Arial"/>
          <w:sz w:val="24"/>
          <w:szCs w:val="24"/>
        </w:rPr>
        <w:t>Email.</w:t>
      </w:r>
      <w:hyperlink r:id="rId8" w:history="1">
        <w:r w:rsidRPr="00E91CBC">
          <w:rPr>
            <w:rStyle w:val="Hyperlink"/>
            <w:rFonts w:ascii="Arial" w:hAnsi="Arial" w:cs="Arial"/>
            <w:color w:val="000000"/>
            <w:sz w:val="24"/>
            <w:szCs w:val="24"/>
          </w:rPr>
          <w:t>t.karatzias@napier.ac.uk</w:t>
        </w:r>
      </w:hyperlink>
    </w:p>
    <w:p w14:paraId="63A4063A" w14:textId="77777777" w:rsidR="00016C31" w:rsidRDefault="00016C31" w:rsidP="00016C31">
      <w:pPr>
        <w:spacing w:line="480" w:lineRule="auto"/>
        <w:rPr>
          <w:rFonts w:ascii="Arial" w:hAnsi="Arial" w:cs="Arial"/>
          <w:sz w:val="24"/>
          <w:szCs w:val="24"/>
        </w:rPr>
      </w:pPr>
    </w:p>
    <w:p w14:paraId="268FDCCD" w14:textId="77777777" w:rsidR="00016C31" w:rsidRDefault="00016C31" w:rsidP="00016C31"/>
    <w:p w14:paraId="3B7945AD" w14:textId="77777777" w:rsidR="00016C31" w:rsidRDefault="00016C31" w:rsidP="00FA79F4">
      <w:pPr>
        <w:spacing w:line="480" w:lineRule="auto"/>
        <w:rPr>
          <w:rFonts w:ascii="Arial" w:hAnsi="Arial" w:cs="Arial"/>
          <w:b/>
          <w:bCs/>
          <w:sz w:val="24"/>
          <w:szCs w:val="24"/>
        </w:rPr>
      </w:pPr>
    </w:p>
    <w:p w14:paraId="3789B59B" w14:textId="77777777" w:rsidR="009E6544" w:rsidRPr="00A30291" w:rsidRDefault="009E6544" w:rsidP="00FA79F4">
      <w:pPr>
        <w:spacing w:line="480" w:lineRule="auto"/>
        <w:rPr>
          <w:rFonts w:ascii="Arial" w:hAnsi="Arial" w:cs="Arial"/>
          <w:b/>
          <w:bCs/>
          <w:sz w:val="24"/>
          <w:szCs w:val="24"/>
        </w:rPr>
      </w:pPr>
      <w:r w:rsidRPr="00A30291">
        <w:rPr>
          <w:rFonts w:ascii="Arial" w:hAnsi="Arial" w:cs="Arial"/>
          <w:b/>
          <w:bCs/>
          <w:sz w:val="24"/>
          <w:szCs w:val="24"/>
        </w:rPr>
        <w:lastRenderedPageBreak/>
        <w:t>Abstract</w:t>
      </w:r>
    </w:p>
    <w:p w14:paraId="556A9CB8" w14:textId="61045638" w:rsidR="00EF24CA" w:rsidRPr="00A30291" w:rsidRDefault="00166050" w:rsidP="002E7A00">
      <w:pPr>
        <w:spacing w:line="480" w:lineRule="auto"/>
        <w:rPr>
          <w:rFonts w:ascii="Arial" w:hAnsi="Arial" w:cs="Arial"/>
          <w:sz w:val="24"/>
          <w:szCs w:val="24"/>
        </w:rPr>
      </w:pPr>
      <w:r w:rsidRPr="00A30291">
        <w:rPr>
          <w:rFonts w:ascii="Arial" w:hAnsi="Arial" w:cs="Arial"/>
          <w:sz w:val="24"/>
          <w:szCs w:val="24"/>
        </w:rPr>
        <w:t xml:space="preserve">Among the </w:t>
      </w:r>
      <w:r w:rsidR="009E6544" w:rsidRPr="00A30291">
        <w:rPr>
          <w:rFonts w:ascii="Arial" w:hAnsi="Arial" w:cs="Arial"/>
          <w:sz w:val="24"/>
          <w:szCs w:val="24"/>
        </w:rPr>
        <w:t>conditions following exposure to traumatic life events</w:t>
      </w:r>
      <w:r w:rsidRPr="00A30291">
        <w:rPr>
          <w:rFonts w:ascii="Arial" w:hAnsi="Arial" w:cs="Arial"/>
          <w:sz w:val="24"/>
          <w:szCs w:val="24"/>
        </w:rPr>
        <w:t xml:space="preserve"> proposed by ICD-11 are</w:t>
      </w:r>
      <w:r w:rsidR="009E6544" w:rsidRPr="00A30291">
        <w:rPr>
          <w:rFonts w:ascii="Arial" w:hAnsi="Arial" w:cs="Arial"/>
          <w:sz w:val="24"/>
          <w:szCs w:val="24"/>
        </w:rPr>
        <w:t xml:space="preserve"> Posttraumatic Stress Disorder (PTSD) and Complex PTSD (CPTSD). The primary aim of this study was to provide </w:t>
      </w:r>
      <w:r w:rsidR="002E7A00" w:rsidRPr="00A30291">
        <w:rPr>
          <w:rFonts w:ascii="Arial" w:hAnsi="Arial" w:cs="Arial"/>
          <w:sz w:val="24"/>
          <w:szCs w:val="24"/>
        </w:rPr>
        <w:t>an assessment of the reliability and validity of a</w:t>
      </w:r>
      <w:r w:rsidR="00B1086A" w:rsidRPr="00A30291">
        <w:rPr>
          <w:rFonts w:ascii="Arial" w:hAnsi="Arial" w:cs="Arial"/>
          <w:sz w:val="24"/>
          <w:szCs w:val="24"/>
        </w:rPr>
        <w:t xml:space="preserve"> newly developed </w:t>
      </w:r>
      <w:r w:rsidR="002E7A00" w:rsidRPr="00A30291">
        <w:rPr>
          <w:rFonts w:ascii="Arial" w:hAnsi="Arial" w:cs="Arial"/>
          <w:sz w:val="24"/>
          <w:szCs w:val="24"/>
        </w:rPr>
        <w:t>self-report measure of ICD-11 PTSD and CPTSD: the</w:t>
      </w:r>
      <w:r w:rsidR="00D73A3B" w:rsidRPr="00A30291">
        <w:rPr>
          <w:rFonts w:ascii="Arial" w:hAnsi="Arial" w:cs="Arial"/>
          <w:sz w:val="24"/>
          <w:szCs w:val="24"/>
        </w:rPr>
        <w:t xml:space="preserve"> </w:t>
      </w:r>
      <w:r w:rsidR="009E6544" w:rsidRPr="00A30291">
        <w:rPr>
          <w:rFonts w:ascii="Arial" w:hAnsi="Arial" w:cs="Arial"/>
          <w:i/>
          <w:sz w:val="24"/>
          <w:szCs w:val="24"/>
        </w:rPr>
        <w:t>ICD-11 Trauma Questionnaire</w:t>
      </w:r>
      <w:r w:rsidR="009E6544" w:rsidRPr="00A30291">
        <w:rPr>
          <w:rFonts w:ascii="Arial" w:hAnsi="Arial" w:cs="Arial"/>
          <w:sz w:val="24"/>
          <w:szCs w:val="24"/>
        </w:rPr>
        <w:t xml:space="preserve"> (</w:t>
      </w:r>
      <w:r w:rsidR="00D57922" w:rsidRPr="00A30291">
        <w:rPr>
          <w:rFonts w:ascii="Arial" w:hAnsi="Arial" w:cs="Arial"/>
          <w:sz w:val="24"/>
          <w:szCs w:val="24"/>
        </w:rPr>
        <w:t>ICD-TQ</w:t>
      </w:r>
      <w:r w:rsidR="009E6544" w:rsidRPr="00A30291">
        <w:rPr>
          <w:rFonts w:ascii="Arial" w:hAnsi="Arial" w:cs="Arial"/>
          <w:sz w:val="24"/>
          <w:szCs w:val="24"/>
        </w:rPr>
        <w:t xml:space="preserve">). Participants in this study were a </w:t>
      </w:r>
      <w:r w:rsidR="00D57922" w:rsidRPr="00A30291">
        <w:rPr>
          <w:rFonts w:ascii="Arial" w:hAnsi="Arial" w:cs="Arial"/>
          <w:sz w:val="24"/>
          <w:szCs w:val="24"/>
        </w:rPr>
        <w:t>sample of</w:t>
      </w:r>
      <w:r w:rsidR="009E6544" w:rsidRPr="00A30291">
        <w:rPr>
          <w:rFonts w:ascii="Arial" w:hAnsi="Arial" w:cs="Arial"/>
          <w:sz w:val="24"/>
          <w:szCs w:val="24"/>
        </w:rPr>
        <w:t xml:space="preserve"> individuals who were referred for psychological therapy to a National Health Service (NHS) trauma centre in Scotland (</w:t>
      </w:r>
      <w:r w:rsidR="00D73A3B" w:rsidRPr="00A30291">
        <w:rPr>
          <w:rFonts w:ascii="Arial" w:hAnsi="Arial" w:cs="Arial"/>
          <w:i/>
          <w:sz w:val="24"/>
          <w:szCs w:val="24"/>
        </w:rPr>
        <w:t>N</w:t>
      </w:r>
      <w:r w:rsidR="00EF24CA" w:rsidRPr="00A30291">
        <w:rPr>
          <w:rFonts w:ascii="Arial" w:hAnsi="Arial" w:cs="Arial"/>
          <w:i/>
          <w:sz w:val="24"/>
          <w:szCs w:val="24"/>
        </w:rPr>
        <w:t xml:space="preserve"> </w:t>
      </w:r>
      <w:r w:rsidR="009E6544" w:rsidRPr="00A30291">
        <w:rPr>
          <w:rFonts w:ascii="Arial" w:hAnsi="Arial" w:cs="Arial"/>
          <w:i/>
          <w:sz w:val="24"/>
          <w:szCs w:val="24"/>
        </w:rPr>
        <w:t>=</w:t>
      </w:r>
      <w:r w:rsidR="00EF24CA" w:rsidRPr="00A30291">
        <w:rPr>
          <w:rFonts w:ascii="Arial" w:hAnsi="Arial" w:cs="Arial"/>
          <w:i/>
          <w:sz w:val="24"/>
          <w:szCs w:val="24"/>
        </w:rPr>
        <w:t xml:space="preserve"> </w:t>
      </w:r>
      <w:r w:rsidR="009E6544" w:rsidRPr="00A30291">
        <w:rPr>
          <w:rFonts w:ascii="Arial" w:hAnsi="Arial" w:cs="Arial"/>
          <w:i/>
          <w:sz w:val="24"/>
          <w:szCs w:val="24"/>
        </w:rPr>
        <w:t>19</w:t>
      </w:r>
      <w:r w:rsidR="00394FC9" w:rsidRPr="00A30291">
        <w:rPr>
          <w:rFonts w:ascii="Arial" w:hAnsi="Arial" w:cs="Arial"/>
          <w:i/>
          <w:sz w:val="24"/>
          <w:szCs w:val="24"/>
        </w:rPr>
        <w:t>3</w:t>
      </w:r>
      <w:r w:rsidR="009E6544" w:rsidRPr="00A30291">
        <w:rPr>
          <w:rFonts w:ascii="Arial" w:hAnsi="Arial" w:cs="Arial"/>
          <w:sz w:val="24"/>
          <w:szCs w:val="24"/>
        </w:rPr>
        <w:t>). Participants completed the I</w:t>
      </w:r>
      <w:r w:rsidR="00D57922" w:rsidRPr="00A30291">
        <w:rPr>
          <w:rFonts w:ascii="Arial" w:hAnsi="Arial" w:cs="Arial"/>
          <w:sz w:val="24"/>
          <w:szCs w:val="24"/>
        </w:rPr>
        <w:t>CD-</w:t>
      </w:r>
      <w:r w:rsidR="009E6544" w:rsidRPr="00A30291">
        <w:rPr>
          <w:rFonts w:ascii="Arial" w:hAnsi="Arial" w:cs="Arial"/>
          <w:sz w:val="24"/>
          <w:szCs w:val="24"/>
        </w:rPr>
        <w:t>TQ and measures of</w:t>
      </w:r>
      <w:r w:rsidR="00EF24CA" w:rsidRPr="00A30291">
        <w:rPr>
          <w:rFonts w:ascii="Arial" w:hAnsi="Arial" w:cs="Arial"/>
          <w:sz w:val="24"/>
          <w:szCs w:val="24"/>
        </w:rPr>
        <w:t xml:space="preserve"> traumatic</w:t>
      </w:r>
      <w:r w:rsidR="009E6544" w:rsidRPr="00A30291">
        <w:rPr>
          <w:rFonts w:ascii="Arial" w:hAnsi="Arial" w:cs="Arial"/>
          <w:sz w:val="24"/>
          <w:szCs w:val="24"/>
        </w:rPr>
        <w:t xml:space="preserve"> life events, </w:t>
      </w:r>
      <w:r w:rsidR="00D73A3B" w:rsidRPr="00A30291">
        <w:rPr>
          <w:rFonts w:ascii="Arial" w:hAnsi="Arial" w:cs="Arial"/>
          <w:sz w:val="24"/>
          <w:szCs w:val="24"/>
        </w:rPr>
        <w:t>DSM</w:t>
      </w:r>
      <w:r w:rsidR="00D57922" w:rsidRPr="00A30291">
        <w:rPr>
          <w:rFonts w:ascii="Arial" w:hAnsi="Arial" w:cs="Arial"/>
          <w:sz w:val="24"/>
          <w:szCs w:val="24"/>
        </w:rPr>
        <w:t>-</w:t>
      </w:r>
      <w:r w:rsidR="00D73A3B" w:rsidRPr="00A30291">
        <w:rPr>
          <w:rFonts w:ascii="Arial" w:hAnsi="Arial" w:cs="Arial"/>
          <w:sz w:val="24"/>
          <w:szCs w:val="24"/>
        </w:rPr>
        <w:t xml:space="preserve">5 </w:t>
      </w:r>
      <w:r w:rsidR="009E6544" w:rsidRPr="00A30291">
        <w:rPr>
          <w:rFonts w:ascii="Arial" w:hAnsi="Arial" w:cs="Arial"/>
          <w:sz w:val="24"/>
          <w:szCs w:val="24"/>
        </w:rPr>
        <w:t xml:space="preserve">PTSD, emotion </w:t>
      </w:r>
      <w:r w:rsidR="003B1274" w:rsidRPr="00A30291">
        <w:rPr>
          <w:rFonts w:ascii="Arial" w:hAnsi="Arial" w:cs="Arial"/>
          <w:sz w:val="24"/>
          <w:szCs w:val="24"/>
        </w:rPr>
        <w:t>dys</w:t>
      </w:r>
      <w:r w:rsidR="009E6544" w:rsidRPr="00A30291">
        <w:rPr>
          <w:rFonts w:ascii="Arial" w:hAnsi="Arial" w:cs="Arial"/>
          <w:sz w:val="24"/>
          <w:szCs w:val="24"/>
        </w:rPr>
        <w:t>regulation, self–esteem</w:t>
      </w:r>
      <w:r w:rsidRPr="00A30291">
        <w:rPr>
          <w:rFonts w:ascii="Arial" w:hAnsi="Arial" w:cs="Arial"/>
          <w:sz w:val="24"/>
          <w:szCs w:val="24"/>
        </w:rPr>
        <w:t>,</w:t>
      </w:r>
      <w:r w:rsidR="009E6544" w:rsidRPr="00A30291">
        <w:rPr>
          <w:rFonts w:ascii="Arial" w:hAnsi="Arial" w:cs="Arial"/>
          <w:sz w:val="24"/>
          <w:szCs w:val="24"/>
        </w:rPr>
        <w:t xml:space="preserve"> and interpersonal difficulties. </w:t>
      </w:r>
      <w:r w:rsidR="00EF24CA" w:rsidRPr="00A30291">
        <w:rPr>
          <w:rFonts w:ascii="Arial" w:hAnsi="Arial" w:cs="Arial"/>
          <w:sz w:val="24"/>
          <w:szCs w:val="24"/>
        </w:rPr>
        <w:t xml:space="preserve">Confirmatory factor analysis results supported the factorial validity of the ICD-TQ with results in line with ICD-11 proposals. The ICD-TQ demonstrated satisfactory internal reliability, and correlation results indicated that the scale exhibited convergent and discriminant validity. Current results provide initial support for the psychometric properties of this initial version of the ICD-TQ. Future theoretical and empirical work will be required to generate a final version of the ICD-TQ that will match the diagnostic structure </w:t>
      </w:r>
      <w:r w:rsidR="00EF5E8B" w:rsidRPr="00A30291">
        <w:rPr>
          <w:rFonts w:ascii="Arial" w:hAnsi="Arial" w:cs="Arial"/>
          <w:sz w:val="24"/>
          <w:szCs w:val="24"/>
        </w:rPr>
        <w:t>of PTSD and CPTSD when ICD-11 is</w:t>
      </w:r>
      <w:r w:rsidR="00EF24CA" w:rsidRPr="00A30291">
        <w:rPr>
          <w:rFonts w:ascii="Arial" w:hAnsi="Arial" w:cs="Arial"/>
          <w:sz w:val="24"/>
          <w:szCs w:val="24"/>
        </w:rPr>
        <w:t xml:space="preserve"> published.</w:t>
      </w:r>
    </w:p>
    <w:p w14:paraId="2235178E" w14:textId="52C838FF" w:rsidR="009E6544" w:rsidRPr="00A30291" w:rsidRDefault="00EF5E8B" w:rsidP="00FA79F4">
      <w:pPr>
        <w:spacing w:line="480" w:lineRule="auto"/>
        <w:rPr>
          <w:rFonts w:ascii="Arial" w:hAnsi="Arial" w:cs="Arial"/>
          <w:b/>
          <w:bCs/>
          <w:sz w:val="24"/>
          <w:szCs w:val="24"/>
        </w:rPr>
      </w:pPr>
      <w:r w:rsidRPr="00A30291">
        <w:rPr>
          <w:rFonts w:ascii="Arial" w:hAnsi="Arial" w:cs="Arial"/>
          <w:b/>
          <w:bCs/>
          <w:sz w:val="24"/>
          <w:szCs w:val="24"/>
        </w:rPr>
        <w:t xml:space="preserve"> </w:t>
      </w:r>
    </w:p>
    <w:p w14:paraId="69D558FB" w14:textId="77777777" w:rsidR="009E6544" w:rsidRPr="00A30291" w:rsidRDefault="009E6544" w:rsidP="00FA79F4">
      <w:pPr>
        <w:spacing w:line="480" w:lineRule="auto"/>
        <w:rPr>
          <w:rFonts w:ascii="Arial" w:hAnsi="Arial" w:cs="Arial"/>
          <w:b/>
          <w:bCs/>
          <w:sz w:val="24"/>
          <w:szCs w:val="24"/>
        </w:rPr>
      </w:pPr>
    </w:p>
    <w:p w14:paraId="38C39071" w14:textId="0C42E459" w:rsidR="009E6544" w:rsidRPr="00A30291" w:rsidRDefault="002068E0" w:rsidP="00FA79F4">
      <w:pPr>
        <w:spacing w:line="480" w:lineRule="auto"/>
        <w:rPr>
          <w:rFonts w:ascii="Arial" w:hAnsi="Arial" w:cs="Arial"/>
          <w:b/>
          <w:bCs/>
          <w:sz w:val="24"/>
          <w:szCs w:val="24"/>
        </w:rPr>
      </w:pPr>
      <w:r w:rsidRPr="00A30291">
        <w:rPr>
          <w:rFonts w:ascii="Arial" w:hAnsi="Arial" w:cs="Arial"/>
          <w:b/>
          <w:bCs/>
          <w:sz w:val="24"/>
          <w:szCs w:val="24"/>
        </w:rPr>
        <w:t>Keywords</w:t>
      </w:r>
      <w:r w:rsidR="00402A46" w:rsidRPr="00A30291">
        <w:rPr>
          <w:rFonts w:ascii="Arial" w:hAnsi="Arial" w:cs="Arial"/>
          <w:b/>
          <w:bCs/>
          <w:sz w:val="24"/>
          <w:szCs w:val="24"/>
        </w:rPr>
        <w:t>:</w:t>
      </w:r>
      <w:r w:rsidR="00FB6222" w:rsidRPr="00A30291">
        <w:rPr>
          <w:rFonts w:ascii="Arial" w:hAnsi="Arial" w:cs="Arial"/>
          <w:b/>
          <w:bCs/>
          <w:sz w:val="24"/>
          <w:szCs w:val="24"/>
        </w:rPr>
        <w:t xml:space="preserve"> </w:t>
      </w:r>
      <w:r w:rsidR="00FB6222" w:rsidRPr="00A30291">
        <w:rPr>
          <w:rFonts w:ascii="Arial" w:hAnsi="Arial" w:cs="Arial"/>
          <w:bCs/>
          <w:sz w:val="24"/>
          <w:szCs w:val="24"/>
        </w:rPr>
        <w:t>PTSD, Complex PTSD,</w:t>
      </w:r>
      <w:r w:rsidR="00FB6222" w:rsidRPr="00A30291">
        <w:rPr>
          <w:rFonts w:ascii="Arial" w:hAnsi="Arial" w:cs="Arial"/>
          <w:b/>
          <w:bCs/>
          <w:sz w:val="24"/>
          <w:szCs w:val="24"/>
        </w:rPr>
        <w:t xml:space="preserve"> </w:t>
      </w:r>
      <w:r w:rsidR="00FB6222" w:rsidRPr="00A30291">
        <w:rPr>
          <w:rFonts w:ascii="Arial" w:hAnsi="Arial" w:cs="Arial"/>
          <w:sz w:val="24"/>
          <w:szCs w:val="24"/>
        </w:rPr>
        <w:t>ICD-11 Trauma Questionnaire</w:t>
      </w:r>
    </w:p>
    <w:p w14:paraId="4189112C" w14:textId="77777777" w:rsidR="009E6544" w:rsidRPr="00A30291" w:rsidRDefault="009E6544" w:rsidP="00FA79F4">
      <w:pPr>
        <w:spacing w:line="480" w:lineRule="auto"/>
        <w:rPr>
          <w:rFonts w:ascii="Arial" w:hAnsi="Arial" w:cs="Arial"/>
          <w:b/>
          <w:bCs/>
          <w:sz w:val="24"/>
          <w:szCs w:val="24"/>
        </w:rPr>
      </w:pPr>
    </w:p>
    <w:p w14:paraId="57644548" w14:textId="77777777" w:rsidR="002068E0" w:rsidRPr="00A30291" w:rsidRDefault="002068E0" w:rsidP="00FA79F4">
      <w:pPr>
        <w:spacing w:line="480" w:lineRule="auto"/>
        <w:rPr>
          <w:rFonts w:ascii="Arial" w:hAnsi="Arial" w:cs="Arial"/>
          <w:b/>
          <w:bCs/>
          <w:sz w:val="24"/>
          <w:szCs w:val="24"/>
        </w:rPr>
      </w:pPr>
    </w:p>
    <w:p w14:paraId="3CC2BB37" w14:textId="77777777" w:rsidR="002068E0" w:rsidRPr="00A30291" w:rsidRDefault="002068E0" w:rsidP="00FA79F4">
      <w:pPr>
        <w:spacing w:line="480" w:lineRule="auto"/>
        <w:rPr>
          <w:rFonts w:ascii="Arial" w:hAnsi="Arial" w:cs="Arial"/>
          <w:b/>
          <w:bCs/>
          <w:sz w:val="24"/>
          <w:szCs w:val="24"/>
        </w:rPr>
      </w:pPr>
    </w:p>
    <w:p w14:paraId="4264A1D2" w14:textId="7A0B8D13" w:rsidR="009E6544" w:rsidRPr="00A30291" w:rsidRDefault="002068E0" w:rsidP="00FA79F4">
      <w:pPr>
        <w:spacing w:line="480" w:lineRule="auto"/>
        <w:rPr>
          <w:rFonts w:ascii="Arial" w:hAnsi="Arial" w:cs="Arial"/>
          <w:b/>
          <w:bCs/>
          <w:sz w:val="24"/>
          <w:szCs w:val="24"/>
        </w:rPr>
      </w:pPr>
      <w:r w:rsidRPr="00A30291">
        <w:rPr>
          <w:rFonts w:ascii="Arial" w:hAnsi="Arial" w:cs="Arial"/>
          <w:b/>
          <w:bCs/>
          <w:sz w:val="24"/>
          <w:szCs w:val="24"/>
        </w:rPr>
        <w:lastRenderedPageBreak/>
        <w:t>I</w:t>
      </w:r>
      <w:r w:rsidR="009E6544" w:rsidRPr="00A30291">
        <w:rPr>
          <w:rFonts w:ascii="Arial" w:hAnsi="Arial" w:cs="Arial"/>
          <w:b/>
          <w:bCs/>
          <w:sz w:val="24"/>
          <w:szCs w:val="24"/>
        </w:rPr>
        <w:t>ntroduction</w:t>
      </w:r>
    </w:p>
    <w:p w14:paraId="3EFD0E9F" w14:textId="7E6C8AF1" w:rsidR="00955BF6" w:rsidRPr="00A30291" w:rsidRDefault="00FE009E" w:rsidP="00955BF6">
      <w:pPr>
        <w:spacing w:line="480" w:lineRule="auto"/>
        <w:rPr>
          <w:rFonts w:ascii="Arial" w:hAnsi="Arial" w:cs="Arial"/>
          <w:sz w:val="24"/>
          <w:szCs w:val="24"/>
        </w:rPr>
      </w:pPr>
      <w:r w:rsidRPr="00A30291">
        <w:rPr>
          <w:rFonts w:ascii="Arial" w:hAnsi="Arial" w:cs="Arial"/>
          <w:sz w:val="24"/>
          <w:szCs w:val="24"/>
        </w:rPr>
        <w:t>The upcoming 11</w:t>
      </w:r>
      <w:r w:rsidRPr="00A30291">
        <w:rPr>
          <w:rFonts w:ascii="Arial" w:hAnsi="Arial" w:cs="Arial"/>
          <w:sz w:val="24"/>
          <w:szCs w:val="24"/>
          <w:vertAlign w:val="superscript"/>
        </w:rPr>
        <w:t>th</w:t>
      </w:r>
      <w:r w:rsidRPr="00A30291">
        <w:rPr>
          <w:rFonts w:ascii="Arial" w:hAnsi="Arial" w:cs="Arial"/>
          <w:sz w:val="24"/>
          <w:szCs w:val="24"/>
        </w:rPr>
        <w:t xml:space="preserve"> revision to the World Health Organization’s </w:t>
      </w:r>
      <w:r w:rsidRPr="00A30291">
        <w:rPr>
          <w:rFonts w:ascii="Arial" w:hAnsi="Arial" w:cs="Arial"/>
          <w:i/>
          <w:sz w:val="24"/>
          <w:szCs w:val="24"/>
        </w:rPr>
        <w:t>International Classification of Diseases</w:t>
      </w:r>
      <w:r w:rsidRPr="00A30291">
        <w:rPr>
          <w:rFonts w:ascii="Arial" w:hAnsi="Arial" w:cs="Arial"/>
          <w:sz w:val="24"/>
          <w:szCs w:val="24"/>
        </w:rPr>
        <w:t xml:space="preserve"> (ICD-11) p</w:t>
      </w:r>
      <w:r w:rsidR="00AA5821" w:rsidRPr="00A30291">
        <w:rPr>
          <w:rFonts w:ascii="Arial" w:hAnsi="Arial" w:cs="Arial"/>
          <w:sz w:val="24"/>
          <w:szCs w:val="24"/>
        </w:rPr>
        <w:t xml:space="preserve">roposes two distinct </w:t>
      </w:r>
      <w:r w:rsidR="00E611CE" w:rsidRPr="00A30291">
        <w:rPr>
          <w:rFonts w:ascii="Arial" w:hAnsi="Arial" w:cs="Arial"/>
          <w:sz w:val="24"/>
          <w:szCs w:val="24"/>
        </w:rPr>
        <w:t xml:space="preserve">sibling </w:t>
      </w:r>
      <w:r w:rsidR="00AA5821" w:rsidRPr="00A30291">
        <w:rPr>
          <w:rFonts w:ascii="Arial" w:hAnsi="Arial" w:cs="Arial"/>
          <w:sz w:val="24"/>
          <w:szCs w:val="24"/>
        </w:rPr>
        <w:t>conditions</w:t>
      </w:r>
      <w:r w:rsidR="00E611CE" w:rsidRPr="00A30291">
        <w:rPr>
          <w:rFonts w:ascii="Arial" w:hAnsi="Arial" w:cs="Arial"/>
          <w:sz w:val="24"/>
          <w:szCs w:val="24"/>
        </w:rPr>
        <w:t>,</w:t>
      </w:r>
      <w:r w:rsidRPr="00A30291">
        <w:rPr>
          <w:rFonts w:ascii="Arial" w:hAnsi="Arial" w:cs="Arial"/>
          <w:sz w:val="24"/>
          <w:szCs w:val="24"/>
        </w:rPr>
        <w:t xml:space="preserve"> </w:t>
      </w:r>
      <w:r w:rsidR="001A16B0" w:rsidRPr="00A30291">
        <w:rPr>
          <w:rFonts w:ascii="Arial" w:hAnsi="Arial" w:cs="Arial"/>
          <w:sz w:val="24"/>
          <w:szCs w:val="24"/>
        </w:rPr>
        <w:t>Posttraumatic Stress Disorder (</w:t>
      </w:r>
      <w:r w:rsidRPr="00A30291">
        <w:rPr>
          <w:rFonts w:ascii="Arial" w:hAnsi="Arial" w:cs="Arial"/>
          <w:sz w:val="24"/>
          <w:szCs w:val="24"/>
        </w:rPr>
        <w:t>PTSD</w:t>
      </w:r>
      <w:r w:rsidR="001A16B0" w:rsidRPr="00A30291">
        <w:rPr>
          <w:rFonts w:ascii="Arial" w:hAnsi="Arial" w:cs="Arial"/>
          <w:sz w:val="24"/>
          <w:szCs w:val="24"/>
        </w:rPr>
        <w:t>)</w:t>
      </w:r>
      <w:r w:rsidRPr="00A30291">
        <w:rPr>
          <w:rFonts w:ascii="Arial" w:hAnsi="Arial" w:cs="Arial"/>
          <w:sz w:val="24"/>
          <w:szCs w:val="24"/>
        </w:rPr>
        <w:t xml:space="preserve"> and Complex PTSD (CPTSD)</w:t>
      </w:r>
      <w:r w:rsidR="00E611CE" w:rsidRPr="00A30291">
        <w:rPr>
          <w:rFonts w:ascii="Arial" w:hAnsi="Arial" w:cs="Arial"/>
          <w:sz w:val="24"/>
          <w:szCs w:val="24"/>
        </w:rPr>
        <w:t>,</w:t>
      </w:r>
      <w:r w:rsidRPr="00A30291">
        <w:rPr>
          <w:rFonts w:ascii="Arial" w:hAnsi="Arial" w:cs="Arial"/>
          <w:sz w:val="24"/>
          <w:szCs w:val="24"/>
          <w:lang w:val="en-US"/>
        </w:rPr>
        <w:t xml:space="preserve"> under a general parent category of traumatic stress disorders (Maercker et al., </w:t>
      </w:r>
      <w:hyperlink r:id="rId9" w:anchor="CIT0029_27344" w:history="1">
        <w:r w:rsidRPr="00A30291">
          <w:rPr>
            <w:rStyle w:val="Hyperlink"/>
            <w:rFonts w:ascii="Arial" w:hAnsi="Arial" w:cs="Arial"/>
            <w:color w:val="auto"/>
            <w:sz w:val="24"/>
            <w:szCs w:val="24"/>
            <w:u w:val="none"/>
            <w:lang w:val="en-US"/>
          </w:rPr>
          <w:t>2013</w:t>
        </w:r>
      </w:hyperlink>
      <w:r w:rsidRPr="00A30291">
        <w:rPr>
          <w:rFonts w:ascii="Arial" w:hAnsi="Arial" w:cs="Arial"/>
          <w:sz w:val="24"/>
          <w:szCs w:val="24"/>
          <w:lang w:val="en-US"/>
        </w:rPr>
        <w:t>)</w:t>
      </w:r>
      <w:r w:rsidRPr="00A30291">
        <w:rPr>
          <w:rFonts w:ascii="Arial" w:hAnsi="Arial" w:cs="Arial"/>
          <w:sz w:val="24"/>
          <w:szCs w:val="24"/>
        </w:rPr>
        <w:t>. The formulation of PTSD and CPTSD as two distinct</w:t>
      </w:r>
      <w:r w:rsidR="00EC7E35" w:rsidRPr="00A30291">
        <w:rPr>
          <w:rFonts w:ascii="Arial" w:hAnsi="Arial" w:cs="Arial"/>
          <w:sz w:val="24"/>
          <w:szCs w:val="24"/>
        </w:rPr>
        <w:t xml:space="preserve"> </w:t>
      </w:r>
      <w:r w:rsidR="000103C7" w:rsidRPr="00A30291">
        <w:rPr>
          <w:rFonts w:ascii="Arial" w:hAnsi="Arial" w:cs="Arial"/>
          <w:sz w:val="24"/>
          <w:szCs w:val="24"/>
        </w:rPr>
        <w:t xml:space="preserve">disorders is supported by differences in </w:t>
      </w:r>
      <w:r w:rsidRPr="00A30291">
        <w:rPr>
          <w:rFonts w:ascii="Arial" w:hAnsi="Arial" w:cs="Arial"/>
          <w:sz w:val="24"/>
          <w:szCs w:val="24"/>
        </w:rPr>
        <w:t>risk factors</w:t>
      </w:r>
      <w:r w:rsidR="001A16B0" w:rsidRPr="00A30291">
        <w:rPr>
          <w:rFonts w:ascii="Arial" w:hAnsi="Arial" w:cs="Arial"/>
          <w:sz w:val="24"/>
          <w:szCs w:val="24"/>
        </w:rPr>
        <w:t xml:space="preserve"> (Hyland et al., 2016),</w:t>
      </w:r>
      <w:r w:rsidRPr="00A30291">
        <w:rPr>
          <w:rFonts w:ascii="Arial" w:hAnsi="Arial" w:cs="Arial"/>
          <w:sz w:val="24"/>
          <w:szCs w:val="24"/>
        </w:rPr>
        <w:t xml:space="preserve"> </w:t>
      </w:r>
      <w:r w:rsidR="003867B6" w:rsidRPr="00A30291">
        <w:rPr>
          <w:rFonts w:ascii="Arial" w:hAnsi="Arial" w:cs="Arial"/>
          <w:sz w:val="24"/>
          <w:szCs w:val="24"/>
        </w:rPr>
        <w:t xml:space="preserve">proposed pathophysiology </w:t>
      </w:r>
      <w:r w:rsidR="001A16B0" w:rsidRPr="00A30291">
        <w:rPr>
          <w:rFonts w:ascii="Arial" w:hAnsi="Arial" w:cs="Arial"/>
          <w:sz w:val="24"/>
          <w:szCs w:val="24"/>
        </w:rPr>
        <w:t>(</w:t>
      </w:r>
      <w:r w:rsidR="009E39DC" w:rsidRPr="00A30291">
        <w:rPr>
          <w:rFonts w:ascii="Arial" w:hAnsi="Arial" w:cs="Arial"/>
          <w:sz w:val="24"/>
          <w:szCs w:val="24"/>
        </w:rPr>
        <w:t>Cloitre, Garvert, Brewin, Bryant, &amp; Maercker, 2013</w:t>
      </w:r>
      <w:r w:rsidR="001A16B0" w:rsidRPr="00A30291">
        <w:rPr>
          <w:rFonts w:ascii="Arial" w:hAnsi="Arial" w:cs="Arial"/>
          <w:sz w:val="24"/>
          <w:szCs w:val="24"/>
        </w:rPr>
        <w:t>)</w:t>
      </w:r>
      <w:r w:rsidRPr="00A30291">
        <w:rPr>
          <w:rFonts w:ascii="Arial" w:hAnsi="Arial" w:cs="Arial"/>
          <w:sz w:val="24"/>
          <w:szCs w:val="24"/>
        </w:rPr>
        <w:t>, level</w:t>
      </w:r>
      <w:r w:rsidR="001D74F0" w:rsidRPr="00A30291">
        <w:rPr>
          <w:rFonts w:ascii="Arial" w:hAnsi="Arial" w:cs="Arial"/>
          <w:sz w:val="24"/>
          <w:szCs w:val="24"/>
        </w:rPr>
        <w:t>s</w:t>
      </w:r>
      <w:r w:rsidRPr="00A30291">
        <w:rPr>
          <w:rFonts w:ascii="Arial" w:hAnsi="Arial" w:cs="Arial"/>
          <w:sz w:val="24"/>
          <w:szCs w:val="24"/>
        </w:rPr>
        <w:t xml:space="preserve"> of functional impairment </w:t>
      </w:r>
      <w:r w:rsidR="001A16B0" w:rsidRPr="00A30291">
        <w:rPr>
          <w:rFonts w:ascii="Arial" w:hAnsi="Arial" w:cs="Arial"/>
          <w:sz w:val="24"/>
          <w:szCs w:val="24"/>
        </w:rPr>
        <w:t>(</w:t>
      </w:r>
      <w:r w:rsidR="00643BB7" w:rsidRPr="00A30291">
        <w:rPr>
          <w:rFonts w:ascii="Arial" w:hAnsi="Arial" w:cs="Arial"/>
          <w:sz w:val="24"/>
          <w:szCs w:val="24"/>
        </w:rPr>
        <w:t>Cloitre</w:t>
      </w:r>
      <w:r w:rsidR="009E39DC" w:rsidRPr="00A30291">
        <w:rPr>
          <w:rFonts w:ascii="Arial" w:hAnsi="Arial" w:cs="Arial"/>
          <w:sz w:val="24"/>
          <w:szCs w:val="24"/>
        </w:rPr>
        <w:t xml:space="preserve"> et al, </w:t>
      </w:r>
      <w:r w:rsidR="00643BB7" w:rsidRPr="00A30291">
        <w:rPr>
          <w:rFonts w:ascii="Arial" w:hAnsi="Arial" w:cs="Arial"/>
          <w:sz w:val="24"/>
          <w:szCs w:val="24"/>
        </w:rPr>
        <w:t xml:space="preserve">2013; </w:t>
      </w:r>
      <w:r w:rsidR="001A16B0" w:rsidRPr="00A30291">
        <w:rPr>
          <w:rFonts w:ascii="Arial" w:hAnsi="Arial" w:cs="Arial"/>
          <w:sz w:val="24"/>
          <w:szCs w:val="24"/>
        </w:rPr>
        <w:t xml:space="preserve">Elklit, Hyland, &amp; Shevlin, 2014), </w:t>
      </w:r>
      <w:r w:rsidRPr="00A30291">
        <w:rPr>
          <w:rFonts w:ascii="Arial" w:hAnsi="Arial" w:cs="Arial"/>
          <w:sz w:val="24"/>
          <w:szCs w:val="24"/>
        </w:rPr>
        <w:t>and, potentially, course and duration of treatment</w:t>
      </w:r>
      <w:r w:rsidR="001A16B0" w:rsidRPr="00A30291">
        <w:rPr>
          <w:rFonts w:ascii="Arial" w:hAnsi="Arial" w:cs="Arial"/>
          <w:sz w:val="24"/>
          <w:szCs w:val="24"/>
        </w:rPr>
        <w:t xml:space="preserve"> (</w:t>
      </w:r>
      <w:r w:rsidR="002E7A00" w:rsidRPr="00A30291">
        <w:rPr>
          <w:rFonts w:ascii="Arial" w:hAnsi="Arial" w:cs="Arial"/>
          <w:sz w:val="24"/>
          <w:szCs w:val="24"/>
        </w:rPr>
        <w:t xml:space="preserve">Cloitre et al., 2011; </w:t>
      </w:r>
      <w:r w:rsidR="001A16B0" w:rsidRPr="00A30291">
        <w:rPr>
          <w:rFonts w:ascii="Arial" w:hAnsi="Arial" w:cs="Arial"/>
          <w:sz w:val="24"/>
          <w:szCs w:val="24"/>
        </w:rPr>
        <w:t>Ford, 2015)</w:t>
      </w:r>
      <w:r w:rsidR="00DA0D22" w:rsidRPr="00A30291">
        <w:rPr>
          <w:rFonts w:ascii="Arial" w:hAnsi="Arial" w:cs="Arial"/>
          <w:b/>
          <w:sz w:val="24"/>
          <w:szCs w:val="24"/>
        </w:rPr>
        <w:t>.</w:t>
      </w:r>
      <w:r w:rsidR="00955BF6" w:rsidRPr="00A30291">
        <w:rPr>
          <w:rFonts w:ascii="Arial" w:hAnsi="Arial" w:cs="Arial"/>
          <w:b/>
          <w:sz w:val="24"/>
          <w:szCs w:val="24"/>
        </w:rPr>
        <w:t xml:space="preserve"> </w:t>
      </w:r>
      <w:r w:rsidR="006E75AB" w:rsidRPr="00A30291">
        <w:rPr>
          <w:rFonts w:ascii="Arial" w:hAnsi="Arial" w:cs="Arial"/>
          <w:b/>
          <w:sz w:val="24"/>
          <w:szCs w:val="24"/>
        </w:rPr>
        <w:t xml:space="preserve"> </w:t>
      </w:r>
      <w:r w:rsidR="00FD4954" w:rsidRPr="00A30291">
        <w:rPr>
          <w:rFonts w:ascii="Arial" w:hAnsi="Arial" w:cs="Arial"/>
          <w:sz w:val="24"/>
          <w:szCs w:val="24"/>
        </w:rPr>
        <w:t>Moreover, t</w:t>
      </w:r>
      <w:r w:rsidR="0012289F" w:rsidRPr="00A30291">
        <w:rPr>
          <w:rFonts w:ascii="Arial" w:hAnsi="Arial" w:cs="Arial"/>
          <w:sz w:val="24"/>
          <w:szCs w:val="24"/>
        </w:rPr>
        <w:t xml:space="preserve">he </w:t>
      </w:r>
      <w:r w:rsidR="002C5B8A" w:rsidRPr="00A30291">
        <w:rPr>
          <w:rFonts w:ascii="Arial" w:hAnsi="Arial" w:cs="Arial"/>
          <w:sz w:val="24"/>
          <w:szCs w:val="24"/>
        </w:rPr>
        <w:t xml:space="preserve">ICD </w:t>
      </w:r>
      <w:r w:rsidR="0012289F" w:rsidRPr="00A30291">
        <w:rPr>
          <w:rFonts w:ascii="Arial" w:hAnsi="Arial" w:cs="Arial"/>
          <w:sz w:val="24"/>
          <w:szCs w:val="24"/>
        </w:rPr>
        <w:t xml:space="preserve">guidelines for the development of diagnoses </w:t>
      </w:r>
      <w:r w:rsidR="002C5B8A" w:rsidRPr="00A30291">
        <w:rPr>
          <w:rFonts w:ascii="Arial" w:hAnsi="Arial" w:cs="Arial"/>
          <w:sz w:val="24"/>
          <w:szCs w:val="24"/>
        </w:rPr>
        <w:t>indicate that they should have clinical utility, characteristics of which</w:t>
      </w:r>
      <w:r w:rsidR="0012289F" w:rsidRPr="00A30291">
        <w:rPr>
          <w:rFonts w:ascii="Arial" w:hAnsi="Arial" w:cs="Arial"/>
          <w:sz w:val="24"/>
          <w:szCs w:val="24"/>
        </w:rPr>
        <w:t xml:space="preserve"> </w:t>
      </w:r>
      <w:r w:rsidR="00FD4954" w:rsidRPr="00A30291">
        <w:rPr>
          <w:rFonts w:ascii="Arial" w:hAnsi="Arial" w:cs="Arial"/>
          <w:sz w:val="24"/>
          <w:szCs w:val="24"/>
        </w:rPr>
        <w:t>include</w:t>
      </w:r>
      <w:r w:rsidR="002C5B8A" w:rsidRPr="00A30291">
        <w:rPr>
          <w:rFonts w:ascii="Arial" w:hAnsi="Arial" w:cs="Arial"/>
          <w:sz w:val="24"/>
          <w:szCs w:val="24"/>
        </w:rPr>
        <w:t xml:space="preserve"> </w:t>
      </w:r>
      <w:r w:rsidR="00FD4954" w:rsidRPr="00A30291">
        <w:rPr>
          <w:rFonts w:ascii="Arial" w:hAnsi="Arial" w:cs="Arial"/>
          <w:sz w:val="24"/>
          <w:szCs w:val="24"/>
        </w:rPr>
        <w:t>that the</w:t>
      </w:r>
      <w:r w:rsidR="002C5B8A" w:rsidRPr="00A30291">
        <w:rPr>
          <w:rFonts w:ascii="Arial" w:hAnsi="Arial" w:cs="Arial"/>
          <w:sz w:val="24"/>
          <w:szCs w:val="24"/>
        </w:rPr>
        <w:t>y</w:t>
      </w:r>
      <w:r w:rsidR="00FD4954" w:rsidRPr="00A30291">
        <w:rPr>
          <w:rFonts w:ascii="Arial" w:hAnsi="Arial" w:cs="Arial"/>
          <w:sz w:val="24"/>
          <w:szCs w:val="24"/>
        </w:rPr>
        <w:t xml:space="preserve"> be </w:t>
      </w:r>
      <w:r w:rsidR="002C5B8A" w:rsidRPr="00A30291">
        <w:rPr>
          <w:rFonts w:ascii="Arial" w:hAnsi="Arial" w:cs="Arial"/>
          <w:sz w:val="24"/>
          <w:szCs w:val="24"/>
        </w:rPr>
        <w:t xml:space="preserve">structured in a way </w:t>
      </w:r>
      <w:r w:rsidR="00FD4954" w:rsidRPr="00A30291">
        <w:rPr>
          <w:rFonts w:ascii="Arial" w:hAnsi="Arial" w:cs="Arial"/>
          <w:sz w:val="24"/>
          <w:szCs w:val="24"/>
        </w:rPr>
        <w:t xml:space="preserve">consistent </w:t>
      </w:r>
      <w:r w:rsidR="0012289F" w:rsidRPr="00A30291">
        <w:rPr>
          <w:rFonts w:ascii="Arial" w:hAnsi="Arial" w:cs="Arial"/>
          <w:sz w:val="24"/>
          <w:szCs w:val="24"/>
        </w:rPr>
        <w:t>with clinicians’ mental taxonomies</w:t>
      </w:r>
      <w:r w:rsidR="00D83FF5" w:rsidRPr="00A30291">
        <w:rPr>
          <w:rFonts w:ascii="Arial" w:hAnsi="Arial" w:cs="Arial"/>
          <w:sz w:val="24"/>
          <w:szCs w:val="24"/>
        </w:rPr>
        <w:t xml:space="preserve"> and </w:t>
      </w:r>
      <w:r w:rsidR="00FD4954" w:rsidRPr="00A30291">
        <w:rPr>
          <w:rFonts w:ascii="Arial" w:hAnsi="Arial" w:cs="Arial"/>
          <w:sz w:val="24"/>
          <w:szCs w:val="24"/>
        </w:rPr>
        <w:t xml:space="preserve">demonstrate ease of use </w:t>
      </w:r>
      <w:r w:rsidR="0012289F" w:rsidRPr="00A30291">
        <w:rPr>
          <w:rFonts w:ascii="Arial" w:hAnsi="Arial" w:cs="Arial"/>
          <w:sz w:val="24"/>
          <w:szCs w:val="24"/>
        </w:rPr>
        <w:t xml:space="preserve">(Reed, 2010). </w:t>
      </w:r>
      <w:r w:rsidR="00955BF6" w:rsidRPr="00A30291">
        <w:rPr>
          <w:rFonts w:ascii="Arial" w:hAnsi="Arial" w:cs="Arial"/>
          <w:sz w:val="24"/>
          <w:szCs w:val="24"/>
        </w:rPr>
        <w:t xml:space="preserve">A recent field study of 1,738 international </w:t>
      </w:r>
      <w:r w:rsidR="00A64181" w:rsidRPr="00A30291">
        <w:rPr>
          <w:rFonts w:ascii="Arial" w:hAnsi="Arial" w:cs="Arial"/>
          <w:sz w:val="24"/>
          <w:szCs w:val="24"/>
        </w:rPr>
        <w:t xml:space="preserve">mental health </w:t>
      </w:r>
      <w:r w:rsidR="00955BF6" w:rsidRPr="00A30291">
        <w:rPr>
          <w:rFonts w:ascii="Arial" w:hAnsi="Arial" w:cs="Arial"/>
          <w:sz w:val="24"/>
          <w:szCs w:val="24"/>
        </w:rPr>
        <w:t xml:space="preserve">providers reported that clinicians </w:t>
      </w:r>
      <w:r w:rsidR="00D76DCA" w:rsidRPr="00A30291">
        <w:rPr>
          <w:rFonts w:ascii="Arial" w:hAnsi="Arial" w:cs="Arial"/>
          <w:sz w:val="24"/>
          <w:szCs w:val="24"/>
        </w:rPr>
        <w:t xml:space="preserve">readily </w:t>
      </w:r>
      <w:r w:rsidR="00955BF6" w:rsidRPr="00A30291">
        <w:rPr>
          <w:rFonts w:ascii="Arial" w:hAnsi="Arial" w:cs="Arial"/>
          <w:sz w:val="24"/>
          <w:szCs w:val="24"/>
        </w:rPr>
        <w:t xml:space="preserve">discriminated between ICD-11 PTSD and CPTSD </w:t>
      </w:r>
      <w:r w:rsidR="00D76DCA" w:rsidRPr="00A30291">
        <w:rPr>
          <w:rFonts w:ascii="Arial" w:hAnsi="Arial" w:cs="Arial"/>
          <w:sz w:val="24"/>
          <w:szCs w:val="24"/>
        </w:rPr>
        <w:t xml:space="preserve">and that </w:t>
      </w:r>
      <w:r w:rsidR="00FB46CD" w:rsidRPr="00A30291">
        <w:rPr>
          <w:rFonts w:ascii="Arial" w:hAnsi="Arial" w:cs="Arial"/>
          <w:sz w:val="24"/>
          <w:szCs w:val="24"/>
        </w:rPr>
        <w:t xml:space="preserve">the </w:t>
      </w:r>
      <w:r w:rsidR="00955BF6" w:rsidRPr="00A30291">
        <w:rPr>
          <w:rFonts w:ascii="Arial" w:hAnsi="Arial" w:cs="Arial"/>
          <w:sz w:val="24"/>
          <w:szCs w:val="24"/>
        </w:rPr>
        <w:t xml:space="preserve">addition of CPTSD increased overall diagnostic accuracy </w:t>
      </w:r>
      <w:r w:rsidR="00FB46CD" w:rsidRPr="00A30291">
        <w:rPr>
          <w:rFonts w:ascii="Arial" w:hAnsi="Arial" w:cs="Arial"/>
          <w:sz w:val="24"/>
          <w:szCs w:val="24"/>
        </w:rPr>
        <w:t xml:space="preserve">compared to other </w:t>
      </w:r>
      <w:r w:rsidR="00955BF6" w:rsidRPr="00A30291">
        <w:rPr>
          <w:rFonts w:ascii="Arial" w:hAnsi="Arial" w:cs="Arial"/>
          <w:sz w:val="24"/>
          <w:szCs w:val="24"/>
        </w:rPr>
        <w:t>conditions</w:t>
      </w:r>
      <w:r w:rsidR="00D76DCA" w:rsidRPr="00A30291">
        <w:rPr>
          <w:rFonts w:ascii="Arial" w:hAnsi="Arial" w:cs="Arial"/>
          <w:sz w:val="24"/>
          <w:szCs w:val="24"/>
        </w:rPr>
        <w:t xml:space="preserve"> (</w:t>
      </w:r>
      <w:r w:rsidR="000749FD" w:rsidRPr="00A30291">
        <w:rPr>
          <w:rFonts w:ascii="Arial" w:eastAsia="Times New Roman" w:hAnsi="Arial" w:cs="Arial"/>
          <w:sz w:val="24"/>
          <w:szCs w:val="24"/>
          <w:lang w:val="en-US"/>
        </w:rPr>
        <w:t>Keeley, Reed, Roberts, Evans, Robles, 2016</w:t>
      </w:r>
      <w:r w:rsidR="00D76DCA" w:rsidRPr="00A30291">
        <w:rPr>
          <w:rFonts w:ascii="Arial" w:hAnsi="Arial" w:cs="Arial"/>
          <w:sz w:val="24"/>
          <w:szCs w:val="24"/>
        </w:rPr>
        <w:t>)</w:t>
      </w:r>
      <w:r w:rsidR="00D83FF5" w:rsidRPr="00A30291">
        <w:rPr>
          <w:rFonts w:ascii="Arial" w:hAnsi="Arial" w:cs="Arial"/>
          <w:sz w:val="24"/>
          <w:szCs w:val="24"/>
        </w:rPr>
        <w:t xml:space="preserve">. Thus, in addition to being motivated by traditional scientific reasons, the </w:t>
      </w:r>
      <w:r w:rsidR="00A64181" w:rsidRPr="00A30291">
        <w:rPr>
          <w:rFonts w:ascii="Arial" w:hAnsi="Arial" w:cs="Arial"/>
          <w:sz w:val="24"/>
          <w:szCs w:val="24"/>
        </w:rPr>
        <w:t xml:space="preserve">PTSD/CPTSD </w:t>
      </w:r>
      <w:r w:rsidR="002E303A" w:rsidRPr="00A30291">
        <w:rPr>
          <w:rFonts w:ascii="Arial" w:hAnsi="Arial" w:cs="Arial"/>
          <w:sz w:val="24"/>
          <w:szCs w:val="24"/>
        </w:rPr>
        <w:t>di</w:t>
      </w:r>
      <w:r w:rsidR="00D83FF5" w:rsidRPr="00A30291">
        <w:rPr>
          <w:rFonts w:ascii="Arial" w:hAnsi="Arial" w:cs="Arial"/>
          <w:sz w:val="24"/>
          <w:szCs w:val="24"/>
        </w:rPr>
        <w:t xml:space="preserve">stinction </w:t>
      </w:r>
      <w:r w:rsidR="002C5B8A" w:rsidRPr="00A30291">
        <w:rPr>
          <w:rFonts w:ascii="Arial" w:hAnsi="Arial" w:cs="Arial"/>
          <w:sz w:val="24"/>
          <w:szCs w:val="24"/>
        </w:rPr>
        <w:t xml:space="preserve">appears to be readily </w:t>
      </w:r>
      <w:r w:rsidR="002E303A" w:rsidRPr="00A30291">
        <w:rPr>
          <w:rFonts w:ascii="Arial" w:hAnsi="Arial" w:cs="Arial"/>
          <w:sz w:val="24"/>
          <w:szCs w:val="24"/>
        </w:rPr>
        <w:t>comprehended</w:t>
      </w:r>
      <w:r w:rsidR="0012289F" w:rsidRPr="00A30291">
        <w:rPr>
          <w:rFonts w:ascii="Arial" w:hAnsi="Arial" w:cs="Arial"/>
          <w:sz w:val="24"/>
          <w:szCs w:val="24"/>
        </w:rPr>
        <w:t xml:space="preserve"> </w:t>
      </w:r>
      <w:r w:rsidR="002E303A" w:rsidRPr="00A30291">
        <w:rPr>
          <w:rFonts w:ascii="Arial" w:hAnsi="Arial" w:cs="Arial"/>
          <w:sz w:val="24"/>
          <w:szCs w:val="24"/>
        </w:rPr>
        <w:t xml:space="preserve">and to improve overall differential diagnosis. </w:t>
      </w:r>
      <w:r w:rsidR="00955BF6" w:rsidRPr="00A30291">
        <w:rPr>
          <w:rFonts w:ascii="Arial" w:hAnsi="Arial" w:cs="Arial"/>
          <w:sz w:val="24"/>
          <w:szCs w:val="24"/>
        </w:rPr>
        <w:t xml:space="preserve"> </w:t>
      </w:r>
    </w:p>
    <w:p w14:paraId="727D6A12" w14:textId="48CB3B1F" w:rsidR="002E303A" w:rsidRPr="00A30291" w:rsidRDefault="002C5B8A" w:rsidP="00AA5821">
      <w:pPr>
        <w:autoSpaceDE w:val="0"/>
        <w:autoSpaceDN w:val="0"/>
        <w:adjustRightInd w:val="0"/>
        <w:spacing w:after="0" w:line="480" w:lineRule="auto"/>
        <w:ind w:firstLine="720"/>
        <w:rPr>
          <w:rFonts w:ascii="Arial" w:hAnsi="Arial" w:cs="Arial"/>
          <w:i/>
          <w:sz w:val="24"/>
          <w:szCs w:val="24"/>
        </w:rPr>
      </w:pPr>
      <w:r w:rsidRPr="00A30291">
        <w:rPr>
          <w:rFonts w:ascii="Arial" w:hAnsi="Arial" w:cs="Arial"/>
          <w:sz w:val="24"/>
          <w:szCs w:val="24"/>
        </w:rPr>
        <w:t>ICD requires that a traumatic stressor be present as a prerequisite for consideration of the diagnosis of either PTSD or CPTSD. Once this requirement is met, t</w:t>
      </w:r>
      <w:r w:rsidR="00FB46CD" w:rsidRPr="00A30291">
        <w:rPr>
          <w:rFonts w:ascii="Arial" w:hAnsi="Arial" w:cs="Arial"/>
          <w:sz w:val="24"/>
          <w:szCs w:val="24"/>
        </w:rPr>
        <w:t xml:space="preserve">he </w:t>
      </w:r>
      <w:r w:rsidRPr="00A30291">
        <w:rPr>
          <w:rFonts w:ascii="Arial" w:hAnsi="Arial" w:cs="Arial"/>
          <w:sz w:val="24"/>
          <w:szCs w:val="24"/>
        </w:rPr>
        <w:t xml:space="preserve">differential </w:t>
      </w:r>
      <w:r w:rsidR="00FB46CD" w:rsidRPr="00A30291">
        <w:rPr>
          <w:rFonts w:ascii="Arial" w:hAnsi="Arial" w:cs="Arial"/>
          <w:sz w:val="24"/>
          <w:szCs w:val="24"/>
        </w:rPr>
        <w:t xml:space="preserve">diagnosis </w:t>
      </w:r>
      <w:r w:rsidRPr="00A30291">
        <w:rPr>
          <w:rFonts w:ascii="Arial" w:hAnsi="Arial" w:cs="Arial"/>
          <w:sz w:val="24"/>
          <w:szCs w:val="24"/>
        </w:rPr>
        <w:t>between</w:t>
      </w:r>
      <w:r w:rsidR="00FB46CD" w:rsidRPr="00A30291">
        <w:rPr>
          <w:rFonts w:ascii="Arial" w:hAnsi="Arial" w:cs="Arial"/>
          <w:sz w:val="24"/>
          <w:szCs w:val="24"/>
        </w:rPr>
        <w:t xml:space="preserve"> PTSD </w:t>
      </w:r>
      <w:r w:rsidRPr="00A30291">
        <w:rPr>
          <w:rFonts w:ascii="Arial" w:hAnsi="Arial" w:cs="Arial"/>
          <w:sz w:val="24"/>
          <w:szCs w:val="24"/>
        </w:rPr>
        <w:t xml:space="preserve">and </w:t>
      </w:r>
      <w:r w:rsidR="00FB46CD" w:rsidRPr="00A30291">
        <w:rPr>
          <w:rFonts w:ascii="Arial" w:hAnsi="Arial" w:cs="Arial"/>
          <w:sz w:val="24"/>
          <w:szCs w:val="24"/>
        </w:rPr>
        <w:t>CPTSD is determined by assessment of symptom</w:t>
      </w:r>
      <w:r w:rsidR="0012289F" w:rsidRPr="00A30291">
        <w:rPr>
          <w:rFonts w:ascii="Arial" w:hAnsi="Arial" w:cs="Arial"/>
          <w:sz w:val="24"/>
          <w:szCs w:val="24"/>
        </w:rPr>
        <w:t xml:space="preserve">s. </w:t>
      </w:r>
      <w:r w:rsidR="00AA5821" w:rsidRPr="00A30291">
        <w:rPr>
          <w:rFonts w:ascii="Arial" w:hAnsi="Arial" w:cs="Arial"/>
          <w:sz w:val="24"/>
          <w:szCs w:val="24"/>
        </w:rPr>
        <w:t>I</w:t>
      </w:r>
      <w:r w:rsidR="009E6544" w:rsidRPr="00A30291">
        <w:rPr>
          <w:rFonts w:ascii="Arial" w:hAnsi="Arial" w:cs="Arial"/>
          <w:sz w:val="24"/>
          <w:szCs w:val="24"/>
        </w:rPr>
        <w:t>CD-11</w:t>
      </w:r>
      <w:r w:rsidR="00D73A3B" w:rsidRPr="00A30291">
        <w:rPr>
          <w:rFonts w:ascii="Arial" w:hAnsi="Arial" w:cs="Arial"/>
          <w:sz w:val="24"/>
          <w:szCs w:val="24"/>
        </w:rPr>
        <w:t xml:space="preserve"> </w:t>
      </w:r>
      <w:r w:rsidR="006F45A8" w:rsidRPr="00A30291">
        <w:rPr>
          <w:rFonts w:ascii="Arial" w:hAnsi="Arial" w:cs="Arial"/>
          <w:sz w:val="24"/>
          <w:szCs w:val="24"/>
        </w:rPr>
        <w:t>proposes th</w:t>
      </w:r>
      <w:r w:rsidR="00E5176A" w:rsidRPr="00A30291">
        <w:rPr>
          <w:rFonts w:ascii="Arial" w:hAnsi="Arial" w:cs="Arial"/>
          <w:sz w:val="24"/>
          <w:szCs w:val="24"/>
        </w:rPr>
        <w:t xml:space="preserve">at PTSD </w:t>
      </w:r>
      <w:r w:rsidR="003A6476" w:rsidRPr="00A30291">
        <w:rPr>
          <w:rFonts w:ascii="Arial" w:hAnsi="Arial" w:cs="Arial"/>
          <w:sz w:val="24"/>
          <w:szCs w:val="24"/>
        </w:rPr>
        <w:t xml:space="preserve">is comprised of </w:t>
      </w:r>
      <w:r w:rsidR="001D74F0" w:rsidRPr="00A30291">
        <w:rPr>
          <w:rFonts w:ascii="Arial" w:hAnsi="Arial" w:cs="Arial"/>
          <w:sz w:val="24"/>
          <w:szCs w:val="24"/>
          <w:lang w:val="en-US"/>
        </w:rPr>
        <w:t xml:space="preserve">three symptom </w:t>
      </w:r>
      <w:r w:rsidR="00861C3F" w:rsidRPr="00A30291">
        <w:rPr>
          <w:rFonts w:ascii="Arial" w:hAnsi="Arial" w:cs="Arial"/>
          <w:sz w:val="24"/>
          <w:szCs w:val="24"/>
          <w:lang w:val="en-US"/>
        </w:rPr>
        <w:t>clusters that</w:t>
      </w:r>
      <w:r w:rsidR="006F45A8" w:rsidRPr="00A30291">
        <w:rPr>
          <w:rFonts w:ascii="Arial" w:hAnsi="Arial" w:cs="Arial"/>
          <w:sz w:val="24"/>
          <w:szCs w:val="24"/>
          <w:lang w:val="en-US"/>
        </w:rPr>
        <w:t xml:space="preserve"> </w:t>
      </w:r>
      <w:r w:rsidR="009E6544" w:rsidRPr="00A30291">
        <w:rPr>
          <w:rFonts w:ascii="Arial" w:hAnsi="Arial" w:cs="Arial"/>
          <w:sz w:val="24"/>
          <w:szCs w:val="24"/>
          <w:lang w:val="en-US"/>
        </w:rPr>
        <w:t xml:space="preserve">result from stimuli </w:t>
      </w:r>
      <w:r w:rsidR="006F45A8" w:rsidRPr="00A30291">
        <w:rPr>
          <w:rFonts w:ascii="Arial" w:hAnsi="Arial" w:cs="Arial"/>
          <w:sz w:val="24"/>
          <w:szCs w:val="24"/>
          <w:lang w:val="en-US"/>
        </w:rPr>
        <w:t xml:space="preserve">related to the traumatic events (First et al., 2015). </w:t>
      </w:r>
      <w:r w:rsidR="00861C3F" w:rsidRPr="00A30291">
        <w:rPr>
          <w:rFonts w:ascii="Arial" w:hAnsi="Arial" w:cs="Arial"/>
          <w:sz w:val="24"/>
          <w:szCs w:val="24"/>
          <w:lang w:val="en-US"/>
        </w:rPr>
        <w:t>These symptoms clusters are</w:t>
      </w:r>
      <w:r w:rsidR="003575B1" w:rsidRPr="00A30291">
        <w:rPr>
          <w:rFonts w:ascii="Arial" w:hAnsi="Arial" w:cs="Arial"/>
          <w:sz w:val="24"/>
          <w:szCs w:val="24"/>
          <w:lang w:val="en-US"/>
        </w:rPr>
        <w:t>:</w:t>
      </w:r>
      <w:r w:rsidR="00390FD7" w:rsidRPr="00A30291">
        <w:rPr>
          <w:rFonts w:ascii="Arial" w:hAnsi="Arial" w:cs="Arial"/>
          <w:sz w:val="24"/>
          <w:szCs w:val="24"/>
          <w:lang w:val="en-US"/>
        </w:rPr>
        <w:t xml:space="preserve"> </w:t>
      </w:r>
      <w:r w:rsidR="00390FD7" w:rsidRPr="00A30291">
        <w:rPr>
          <w:rFonts w:ascii="Arial" w:hAnsi="Arial" w:cs="Arial"/>
          <w:sz w:val="24"/>
          <w:szCs w:val="24"/>
        </w:rPr>
        <w:t xml:space="preserve">(1) re-experiencing of the trauma in the </w:t>
      </w:r>
      <w:r w:rsidR="006F45A8" w:rsidRPr="00A30291">
        <w:rPr>
          <w:rFonts w:ascii="Arial" w:hAnsi="Arial" w:cs="Arial"/>
          <w:sz w:val="24"/>
          <w:szCs w:val="24"/>
        </w:rPr>
        <w:t>here and now</w:t>
      </w:r>
      <w:r w:rsidR="00390FD7" w:rsidRPr="00A30291">
        <w:rPr>
          <w:rFonts w:ascii="Arial" w:hAnsi="Arial" w:cs="Arial"/>
          <w:sz w:val="24"/>
          <w:szCs w:val="24"/>
        </w:rPr>
        <w:t xml:space="preserve"> (Re), (2) avoidance of traumatic reminders (Av), and (3) a persistent sense of </w:t>
      </w:r>
      <w:r w:rsidR="006F45A8" w:rsidRPr="00A30291">
        <w:rPr>
          <w:rFonts w:ascii="Arial" w:hAnsi="Arial" w:cs="Arial"/>
          <w:sz w:val="24"/>
          <w:szCs w:val="24"/>
        </w:rPr>
        <w:t xml:space="preserve">current </w:t>
      </w:r>
      <w:r w:rsidR="00390FD7" w:rsidRPr="00A30291">
        <w:rPr>
          <w:rFonts w:ascii="Arial" w:hAnsi="Arial" w:cs="Arial"/>
          <w:sz w:val="24"/>
          <w:szCs w:val="24"/>
        </w:rPr>
        <w:t>threat that is manifested by a</w:t>
      </w:r>
      <w:r w:rsidR="00897BED" w:rsidRPr="00A30291">
        <w:rPr>
          <w:rFonts w:ascii="Arial" w:hAnsi="Arial" w:cs="Arial"/>
          <w:sz w:val="24"/>
          <w:szCs w:val="24"/>
        </w:rPr>
        <w:t>rousal and hypervigilance (Th).</w:t>
      </w:r>
      <w:r w:rsidR="006F45A8" w:rsidRPr="00A30291">
        <w:rPr>
          <w:rFonts w:ascii="Arial" w:hAnsi="Arial" w:cs="Arial"/>
          <w:sz w:val="24"/>
          <w:szCs w:val="24"/>
          <w:lang w:val="en-US"/>
        </w:rPr>
        <w:t xml:space="preserve"> </w:t>
      </w:r>
      <w:r w:rsidR="00FB46CD" w:rsidRPr="00A30291">
        <w:rPr>
          <w:rFonts w:ascii="Arial" w:hAnsi="Arial" w:cs="Arial"/>
          <w:sz w:val="24"/>
          <w:szCs w:val="24"/>
          <w:lang w:val="en-US"/>
        </w:rPr>
        <w:t xml:space="preserve">ICD-11 </w:t>
      </w:r>
      <w:r w:rsidR="00861C3F" w:rsidRPr="00A30291">
        <w:rPr>
          <w:rFonts w:ascii="Arial" w:hAnsi="Arial" w:cs="Arial"/>
          <w:sz w:val="24"/>
          <w:szCs w:val="24"/>
          <w:lang w:val="en-US"/>
        </w:rPr>
        <w:t xml:space="preserve">CPTSD </w:t>
      </w:r>
      <w:r w:rsidR="00FB46CD" w:rsidRPr="00A30291">
        <w:rPr>
          <w:rFonts w:ascii="Arial" w:hAnsi="Arial" w:cs="Arial"/>
          <w:sz w:val="24"/>
          <w:szCs w:val="24"/>
          <w:lang w:val="en-US"/>
        </w:rPr>
        <w:t>includes the three PTSD clusters and an additional three clusters that reflect</w:t>
      </w:r>
      <w:r w:rsidR="009E6544" w:rsidRPr="00A30291">
        <w:rPr>
          <w:rFonts w:ascii="Arial" w:hAnsi="Arial" w:cs="Arial"/>
          <w:sz w:val="24"/>
          <w:szCs w:val="24"/>
          <w:lang w:val="en-US"/>
        </w:rPr>
        <w:t xml:space="preserve"> </w:t>
      </w:r>
      <w:r w:rsidR="00390FD7" w:rsidRPr="00A30291">
        <w:rPr>
          <w:rFonts w:ascii="Arial" w:hAnsi="Arial" w:cs="Arial"/>
          <w:sz w:val="24"/>
          <w:szCs w:val="24"/>
        </w:rPr>
        <w:t>‘disturban</w:t>
      </w:r>
      <w:r w:rsidR="00CA45DE" w:rsidRPr="00A30291">
        <w:rPr>
          <w:rFonts w:ascii="Arial" w:hAnsi="Arial" w:cs="Arial"/>
          <w:sz w:val="24"/>
          <w:szCs w:val="24"/>
        </w:rPr>
        <w:t>ces in self-organization’ (DSO)</w:t>
      </w:r>
      <w:r w:rsidR="00FB46CD" w:rsidRPr="00A30291">
        <w:rPr>
          <w:rFonts w:ascii="Arial" w:hAnsi="Arial" w:cs="Arial"/>
          <w:sz w:val="24"/>
          <w:szCs w:val="24"/>
        </w:rPr>
        <w:t xml:space="preserve">: (1) affective dysregulation (AD), (2) negative self-concept (NSC), and (3) disturbances in relationships (DR). </w:t>
      </w:r>
      <w:r w:rsidR="003A6476" w:rsidRPr="00A30291">
        <w:rPr>
          <w:rFonts w:ascii="Arial" w:hAnsi="Arial" w:cs="Arial"/>
          <w:sz w:val="24"/>
          <w:szCs w:val="24"/>
        </w:rPr>
        <w:t>These disturbances are proposed to be</w:t>
      </w:r>
      <w:r w:rsidR="00FB46CD" w:rsidRPr="00A30291">
        <w:rPr>
          <w:rFonts w:ascii="Arial" w:hAnsi="Arial" w:cs="Arial"/>
          <w:sz w:val="24"/>
          <w:szCs w:val="24"/>
        </w:rPr>
        <w:t xml:space="preserve"> </w:t>
      </w:r>
      <w:r w:rsidR="00B1086A" w:rsidRPr="00A30291">
        <w:rPr>
          <w:rFonts w:ascii="Arial" w:hAnsi="Arial" w:cs="Arial"/>
          <w:sz w:val="24"/>
          <w:szCs w:val="24"/>
        </w:rPr>
        <w:t>typically</w:t>
      </w:r>
      <w:r w:rsidR="003A6476" w:rsidRPr="00A30291">
        <w:rPr>
          <w:rFonts w:ascii="Arial" w:hAnsi="Arial" w:cs="Arial"/>
          <w:sz w:val="24"/>
          <w:szCs w:val="24"/>
        </w:rPr>
        <w:t xml:space="preserve"> </w:t>
      </w:r>
      <w:r w:rsidR="00390FD7" w:rsidRPr="00A30291">
        <w:rPr>
          <w:rFonts w:ascii="Arial" w:hAnsi="Arial" w:cs="Arial"/>
          <w:sz w:val="24"/>
          <w:szCs w:val="24"/>
        </w:rPr>
        <w:t xml:space="preserve">associated with sustained, repeated, </w:t>
      </w:r>
      <w:r w:rsidR="0012289F" w:rsidRPr="00A30291">
        <w:rPr>
          <w:rFonts w:ascii="Arial" w:hAnsi="Arial" w:cs="Arial"/>
          <w:sz w:val="24"/>
          <w:szCs w:val="24"/>
        </w:rPr>
        <w:t>or</w:t>
      </w:r>
      <w:r w:rsidR="00390FD7" w:rsidRPr="00A30291">
        <w:rPr>
          <w:rFonts w:ascii="Arial" w:hAnsi="Arial" w:cs="Arial"/>
          <w:sz w:val="24"/>
          <w:szCs w:val="24"/>
        </w:rPr>
        <w:t xml:space="preserve"> multiple forms of traumatic exposures (e.g., genocide campaigns, childhood sexual abuse, child soldiering, severe domestic viole</w:t>
      </w:r>
      <w:r w:rsidR="00CA45DE" w:rsidRPr="00A30291">
        <w:rPr>
          <w:rFonts w:ascii="Arial" w:hAnsi="Arial" w:cs="Arial"/>
          <w:sz w:val="24"/>
          <w:szCs w:val="24"/>
        </w:rPr>
        <w:t>nce, torture, or slavery)</w:t>
      </w:r>
      <w:r w:rsidR="00FB46CD" w:rsidRPr="00A30291">
        <w:rPr>
          <w:rFonts w:ascii="Arial" w:hAnsi="Arial" w:cs="Arial"/>
          <w:sz w:val="24"/>
          <w:szCs w:val="24"/>
        </w:rPr>
        <w:t>, reflec</w:t>
      </w:r>
      <w:r w:rsidR="003A6476" w:rsidRPr="00A30291">
        <w:rPr>
          <w:rFonts w:ascii="Arial" w:hAnsi="Arial" w:cs="Arial"/>
          <w:sz w:val="24"/>
          <w:szCs w:val="24"/>
        </w:rPr>
        <w:t xml:space="preserve">ting a loss of </w:t>
      </w:r>
      <w:r w:rsidR="00FB46CD" w:rsidRPr="00A30291">
        <w:rPr>
          <w:rFonts w:ascii="Arial" w:hAnsi="Arial" w:cs="Arial"/>
          <w:sz w:val="24"/>
          <w:szCs w:val="24"/>
        </w:rPr>
        <w:t xml:space="preserve">emotional, psychological, and social </w:t>
      </w:r>
      <w:r w:rsidR="003A6476" w:rsidRPr="00A30291">
        <w:rPr>
          <w:rFonts w:ascii="Arial" w:hAnsi="Arial" w:cs="Arial"/>
          <w:sz w:val="24"/>
          <w:szCs w:val="24"/>
        </w:rPr>
        <w:t xml:space="preserve">resources under conditions of prolonged adversity. </w:t>
      </w:r>
      <w:r w:rsidR="009D6308" w:rsidRPr="00A30291">
        <w:rPr>
          <w:rFonts w:ascii="Arial" w:hAnsi="Arial" w:cs="Arial"/>
          <w:sz w:val="24"/>
          <w:szCs w:val="24"/>
        </w:rPr>
        <w:t>However, t</w:t>
      </w:r>
      <w:r w:rsidR="002E303A" w:rsidRPr="00A30291">
        <w:rPr>
          <w:rFonts w:ascii="Arial" w:hAnsi="Arial" w:cs="Arial"/>
          <w:sz w:val="24"/>
          <w:szCs w:val="24"/>
        </w:rPr>
        <w:t xml:space="preserve">ype of traumatic stressor is considered a risk factor </w:t>
      </w:r>
      <w:r w:rsidR="003A6476" w:rsidRPr="00A30291">
        <w:rPr>
          <w:rFonts w:ascii="Arial" w:hAnsi="Arial" w:cs="Arial"/>
          <w:sz w:val="24"/>
          <w:szCs w:val="24"/>
        </w:rPr>
        <w:t>not a requirement in the differential diagnosis of</w:t>
      </w:r>
      <w:r w:rsidR="002E303A" w:rsidRPr="00A30291">
        <w:rPr>
          <w:rFonts w:ascii="Arial" w:hAnsi="Arial" w:cs="Arial"/>
          <w:sz w:val="24"/>
          <w:szCs w:val="24"/>
        </w:rPr>
        <w:t xml:space="preserve"> PTSD </w:t>
      </w:r>
      <w:r w:rsidR="003A6476" w:rsidRPr="00A30291">
        <w:rPr>
          <w:rFonts w:ascii="Arial" w:hAnsi="Arial" w:cs="Arial"/>
          <w:sz w:val="24"/>
          <w:szCs w:val="24"/>
        </w:rPr>
        <w:t xml:space="preserve">versus </w:t>
      </w:r>
      <w:r w:rsidR="002E303A" w:rsidRPr="00A30291">
        <w:rPr>
          <w:rFonts w:ascii="Arial" w:hAnsi="Arial" w:cs="Arial"/>
          <w:sz w:val="24"/>
          <w:szCs w:val="24"/>
        </w:rPr>
        <w:t>CPTSD</w:t>
      </w:r>
      <w:r w:rsidR="003A6476" w:rsidRPr="00A30291">
        <w:rPr>
          <w:rFonts w:ascii="Arial" w:hAnsi="Arial" w:cs="Arial"/>
          <w:sz w:val="24"/>
          <w:szCs w:val="24"/>
        </w:rPr>
        <w:t>. This view, supported by recent data (Cloitre et al, 2013), recognizes and a</w:t>
      </w:r>
      <w:r w:rsidR="002E303A" w:rsidRPr="00A30291">
        <w:rPr>
          <w:rFonts w:ascii="Arial" w:hAnsi="Arial" w:cs="Arial"/>
          <w:sz w:val="24"/>
          <w:szCs w:val="24"/>
        </w:rPr>
        <w:t xml:space="preserve">llows for the added potential influences of genetic load and environmental risk </w:t>
      </w:r>
      <w:r w:rsidR="003A6476" w:rsidRPr="00A30291">
        <w:rPr>
          <w:rFonts w:ascii="Arial" w:hAnsi="Arial" w:cs="Arial"/>
          <w:sz w:val="24"/>
          <w:szCs w:val="24"/>
        </w:rPr>
        <w:t>and resiliency factors.</w:t>
      </w:r>
      <w:r w:rsidR="000D0A31" w:rsidRPr="00A30291">
        <w:rPr>
          <w:rFonts w:ascii="Arial" w:hAnsi="Arial" w:cs="Arial"/>
          <w:sz w:val="24"/>
          <w:szCs w:val="24"/>
        </w:rPr>
        <w:t xml:space="preserve"> The diagnosis is ultimately determined by symptom profile not trauma history</w:t>
      </w:r>
      <w:r w:rsidR="0012289F" w:rsidRPr="00A30291">
        <w:rPr>
          <w:rFonts w:ascii="Arial" w:hAnsi="Arial" w:cs="Arial"/>
          <w:sz w:val="24"/>
          <w:szCs w:val="24"/>
        </w:rPr>
        <w:t xml:space="preserve">, </w:t>
      </w:r>
      <w:r w:rsidR="000D0A31" w:rsidRPr="00A30291">
        <w:rPr>
          <w:rFonts w:ascii="Arial" w:hAnsi="Arial" w:cs="Arial"/>
          <w:sz w:val="24"/>
          <w:szCs w:val="24"/>
        </w:rPr>
        <w:t>and</w:t>
      </w:r>
      <w:r w:rsidR="0012289F" w:rsidRPr="00A30291">
        <w:rPr>
          <w:rFonts w:ascii="Arial" w:hAnsi="Arial" w:cs="Arial"/>
          <w:sz w:val="24"/>
          <w:szCs w:val="24"/>
        </w:rPr>
        <w:t>,</w:t>
      </w:r>
      <w:r w:rsidR="000D0A31" w:rsidRPr="00A30291">
        <w:rPr>
          <w:rFonts w:ascii="Arial" w:hAnsi="Arial" w:cs="Arial"/>
          <w:sz w:val="24"/>
          <w:szCs w:val="24"/>
        </w:rPr>
        <w:t xml:space="preserve"> </w:t>
      </w:r>
      <w:r w:rsidR="00A161A7" w:rsidRPr="00A30291">
        <w:rPr>
          <w:rFonts w:ascii="Arial" w:hAnsi="Arial" w:cs="Arial"/>
          <w:sz w:val="24"/>
          <w:szCs w:val="24"/>
        </w:rPr>
        <w:t xml:space="preserve">based on symptoms, the </w:t>
      </w:r>
      <w:r w:rsidR="000D0A31" w:rsidRPr="00A30291">
        <w:rPr>
          <w:rFonts w:ascii="Arial" w:hAnsi="Arial" w:cs="Arial"/>
          <w:sz w:val="24"/>
          <w:szCs w:val="24"/>
        </w:rPr>
        <w:t xml:space="preserve">individual </w:t>
      </w:r>
      <w:r w:rsidR="00A161A7" w:rsidRPr="00A30291">
        <w:rPr>
          <w:rFonts w:ascii="Arial" w:hAnsi="Arial" w:cs="Arial"/>
          <w:sz w:val="24"/>
          <w:szCs w:val="24"/>
        </w:rPr>
        <w:t xml:space="preserve">is indicated to have </w:t>
      </w:r>
      <w:r w:rsidR="000D0A31" w:rsidRPr="00A30291">
        <w:rPr>
          <w:rFonts w:ascii="Arial" w:hAnsi="Arial" w:cs="Arial"/>
          <w:sz w:val="24"/>
          <w:szCs w:val="24"/>
        </w:rPr>
        <w:t>one or the other disorder</w:t>
      </w:r>
      <w:r w:rsidR="00080530" w:rsidRPr="00A30291">
        <w:rPr>
          <w:rFonts w:ascii="Arial" w:hAnsi="Arial" w:cs="Arial"/>
          <w:sz w:val="24"/>
          <w:szCs w:val="24"/>
        </w:rPr>
        <w:t xml:space="preserve"> but not both</w:t>
      </w:r>
      <w:r w:rsidR="000D0A31" w:rsidRPr="00A30291">
        <w:rPr>
          <w:rFonts w:ascii="Arial" w:hAnsi="Arial" w:cs="Arial"/>
          <w:sz w:val="24"/>
          <w:szCs w:val="24"/>
        </w:rPr>
        <w:t xml:space="preserve">. </w:t>
      </w:r>
      <w:r w:rsidR="00080530" w:rsidRPr="00A30291">
        <w:rPr>
          <w:rFonts w:ascii="Arial" w:hAnsi="Arial" w:cs="Arial"/>
          <w:sz w:val="24"/>
          <w:szCs w:val="24"/>
        </w:rPr>
        <w:t xml:space="preserve">The decision to have </w:t>
      </w:r>
      <w:r w:rsidR="00643BB7" w:rsidRPr="00A30291">
        <w:rPr>
          <w:rFonts w:ascii="Arial" w:hAnsi="Arial" w:cs="Arial"/>
          <w:sz w:val="24"/>
          <w:szCs w:val="24"/>
        </w:rPr>
        <w:t xml:space="preserve">CPTSD </w:t>
      </w:r>
      <w:r w:rsidR="00080530" w:rsidRPr="00A30291">
        <w:rPr>
          <w:rFonts w:ascii="Arial" w:hAnsi="Arial" w:cs="Arial"/>
          <w:sz w:val="24"/>
          <w:szCs w:val="24"/>
        </w:rPr>
        <w:t xml:space="preserve">represented </w:t>
      </w:r>
      <w:r w:rsidR="00643BB7" w:rsidRPr="00A30291">
        <w:rPr>
          <w:rFonts w:ascii="Arial" w:hAnsi="Arial" w:cs="Arial"/>
          <w:sz w:val="24"/>
          <w:szCs w:val="24"/>
        </w:rPr>
        <w:t>as a</w:t>
      </w:r>
      <w:r w:rsidR="00080530" w:rsidRPr="00A30291">
        <w:rPr>
          <w:rFonts w:ascii="Arial" w:hAnsi="Arial" w:cs="Arial"/>
          <w:sz w:val="24"/>
          <w:szCs w:val="24"/>
        </w:rPr>
        <w:t xml:space="preserve"> disorder distinct from PTSD rather than a </w:t>
      </w:r>
      <w:r w:rsidR="0084326B" w:rsidRPr="00A30291">
        <w:rPr>
          <w:rFonts w:ascii="Arial" w:hAnsi="Arial" w:cs="Arial"/>
          <w:sz w:val="24"/>
          <w:szCs w:val="24"/>
        </w:rPr>
        <w:t xml:space="preserve">subtype </w:t>
      </w:r>
      <w:r w:rsidR="00643BB7" w:rsidRPr="00A30291">
        <w:rPr>
          <w:rFonts w:ascii="Arial" w:hAnsi="Arial" w:cs="Arial"/>
          <w:sz w:val="24"/>
          <w:szCs w:val="24"/>
        </w:rPr>
        <w:t xml:space="preserve">of PTSD is driven not only by conceptual and clinical reasons described above but also by the nature of the ICD taxonomic structure, which unlike the DSM, is strongly horizontal rather than vertical and does not </w:t>
      </w:r>
      <w:r w:rsidR="0063078E" w:rsidRPr="00A30291">
        <w:rPr>
          <w:rFonts w:ascii="Arial" w:hAnsi="Arial" w:cs="Arial"/>
          <w:sz w:val="24"/>
          <w:szCs w:val="24"/>
        </w:rPr>
        <w:t xml:space="preserve">readily </w:t>
      </w:r>
      <w:r w:rsidR="00643BB7" w:rsidRPr="00A30291">
        <w:rPr>
          <w:rFonts w:ascii="Arial" w:hAnsi="Arial" w:cs="Arial"/>
          <w:sz w:val="24"/>
          <w:szCs w:val="24"/>
        </w:rPr>
        <w:t xml:space="preserve">support subtyping.   </w:t>
      </w:r>
      <w:r w:rsidR="0084326B" w:rsidRPr="00A30291">
        <w:rPr>
          <w:rFonts w:ascii="Arial" w:hAnsi="Arial" w:cs="Arial"/>
          <w:sz w:val="24"/>
          <w:szCs w:val="24"/>
        </w:rPr>
        <w:t xml:space="preserve"> </w:t>
      </w:r>
      <w:r w:rsidR="000D0A31" w:rsidRPr="00A30291">
        <w:rPr>
          <w:rFonts w:ascii="Arial" w:hAnsi="Arial" w:cs="Arial"/>
          <w:sz w:val="24"/>
          <w:szCs w:val="24"/>
        </w:rPr>
        <w:t xml:space="preserve">  </w:t>
      </w:r>
      <w:r w:rsidR="003A6476" w:rsidRPr="00A30291">
        <w:rPr>
          <w:rFonts w:ascii="Arial" w:hAnsi="Arial" w:cs="Arial"/>
          <w:sz w:val="24"/>
          <w:szCs w:val="24"/>
        </w:rPr>
        <w:t xml:space="preserve"> </w:t>
      </w:r>
    </w:p>
    <w:p w14:paraId="32450F04" w14:textId="750FAC9C" w:rsidR="000D0A31" w:rsidRPr="00A30291" w:rsidRDefault="00FC3D36" w:rsidP="006F45A8">
      <w:pPr>
        <w:autoSpaceDE w:val="0"/>
        <w:autoSpaceDN w:val="0"/>
        <w:adjustRightInd w:val="0"/>
        <w:spacing w:after="0" w:line="480" w:lineRule="auto"/>
        <w:ind w:firstLine="720"/>
        <w:rPr>
          <w:rFonts w:ascii="Arial" w:hAnsi="Arial" w:cs="Arial"/>
          <w:sz w:val="24"/>
          <w:szCs w:val="24"/>
          <w:lang w:val="en-US"/>
        </w:rPr>
      </w:pPr>
      <w:r w:rsidRPr="00A30291">
        <w:rPr>
          <w:rFonts w:ascii="Arial" w:hAnsi="Arial" w:cs="Arial"/>
          <w:sz w:val="24"/>
          <w:szCs w:val="24"/>
        </w:rPr>
        <w:t xml:space="preserve">The qualitative distinction between PTSD and CPTSD symptomatology has </w:t>
      </w:r>
      <w:r w:rsidRPr="00A30291">
        <w:rPr>
          <w:rFonts w:ascii="Arial" w:hAnsi="Arial" w:cs="Arial"/>
          <w:sz w:val="24"/>
          <w:szCs w:val="24"/>
          <w:lang w:val="en-US"/>
        </w:rPr>
        <w:t xml:space="preserve">been supported among different trauma samples including those experiencing a range of interpersonal violence events (Cloitre et al., </w:t>
      </w:r>
      <w:hyperlink r:id="rId10" w:anchor="CIT0009_27344" w:history="1">
        <w:r w:rsidRPr="00A30291">
          <w:rPr>
            <w:rStyle w:val="Hyperlink"/>
            <w:rFonts w:ascii="Arial" w:hAnsi="Arial" w:cs="Arial"/>
            <w:color w:val="auto"/>
            <w:sz w:val="24"/>
            <w:szCs w:val="24"/>
            <w:u w:val="none"/>
            <w:lang w:val="en-US"/>
          </w:rPr>
          <w:t>2013</w:t>
        </w:r>
      </w:hyperlink>
      <w:r w:rsidRPr="00A30291">
        <w:rPr>
          <w:rFonts w:ascii="Arial" w:hAnsi="Arial" w:cs="Arial"/>
          <w:sz w:val="24"/>
          <w:szCs w:val="24"/>
          <w:lang w:val="en-US"/>
        </w:rPr>
        <w:t xml:space="preserve">), rape victims, survivors of domestic violence, and traumatic bereavement (Elklit et al., </w:t>
      </w:r>
      <w:hyperlink r:id="rId11" w:anchor="CIT0017_27344" w:history="1">
        <w:r w:rsidRPr="00A30291">
          <w:rPr>
            <w:rStyle w:val="Hyperlink"/>
            <w:rFonts w:ascii="Arial" w:hAnsi="Arial" w:cs="Arial"/>
            <w:color w:val="auto"/>
            <w:sz w:val="24"/>
            <w:szCs w:val="24"/>
            <w:u w:val="none"/>
            <w:lang w:val="en-US"/>
          </w:rPr>
          <w:t>2014</w:t>
        </w:r>
      </w:hyperlink>
      <w:r w:rsidRPr="00A30291">
        <w:rPr>
          <w:rFonts w:ascii="Arial" w:hAnsi="Arial" w:cs="Arial"/>
          <w:sz w:val="24"/>
          <w:szCs w:val="24"/>
          <w:lang w:val="en-US"/>
        </w:rPr>
        <w:t xml:space="preserve">), victims of institutional abuse such as that occurring within foster care and religious organizations (Knefel, Garvert, Cloitre, &amp; Lueger-Schuster, </w:t>
      </w:r>
      <w:hyperlink r:id="rId12" w:anchor="CIT0028_27344" w:history="1">
        <w:r w:rsidRPr="00A30291">
          <w:rPr>
            <w:rStyle w:val="Hyperlink"/>
            <w:rFonts w:ascii="Arial" w:hAnsi="Arial" w:cs="Arial"/>
            <w:color w:val="auto"/>
            <w:sz w:val="24"/>
            <w:szCs w:val="24"/>
            <w:u w:val="none"/>
            <w:lang w:val="en-US"/>
          </w:rPr>
          <w:t>2015</w:t>
        </w:r>
      </w:hyperlink>
      <w:r w:rsidRPr="00A30291">
        <w:rPr>
          <w:rFonts w:ascii="Arial" w:hAnsi="Arial" w:cs="Arial"/>
          <w:sz w:val="24"/>
          <w:szCs w:val="24"/>
          <w:lang w:val="en-US"/>
        </w:rPr>
        <w:t xml:space="preserve">), and young adults (Perkonigg, Höfler, Wittchen, Trautmann, &amp; Maercker, </w:t>
      </w:r>
      <w:hyperlink r:id="rId13" w:anchor="CIT0034_27344" w:history="1">
        <w:r w:rsidRPr="00A30291">
          <w:rPr>
            <w:rStyle w:val="Hyperlink"/>
            <w:rFonts w:ascii="Arial" w:hAnsi="Arial" w:cs="Arial"/>
            <w:color w:val="auto"/>
            <w:sz w:val="24"/>
            <w:szCs w:val="24"/>
            <w:u w:val="none"/>
            <w:lang w:val="en-US"/>
          </w:rPr>
          <w:t>2014</w:t>
        </w:r>
      </w:hyperlink>
      <w:r w:rsidRPr="00A30291">
        <w:rPr>
          <w:rFonts w:ascii="Arial" w:hAnsi="Arial" w:cs="Arial"/>
          <w:sz w:val="24"/>
          <w:szCs w:val="24"/>
          <w:lang w:val="en-US"/>
        </w:rPr>
        <w:t xml:space="preserve">). </w:t>
      </w:r>
      <w:r w:rsidR="006F45A8" w:rsidRPr="00A30291">
        <w:rPr>
          <w:rFonts w:ascii="Arial" w:hAnsi="Arial" w:cs="Arial"/>
          <w:sz w:val="24"/>
          <w:szCs w:val="24"/>
        </w:rPr>
        <w:t>The proposed three-factor structure of ICD-11 PTSD (Re, Av, Th) has been supported in numerous studies (Forbes et al., 2015; Gluck</w:t>
      </w:r>
      <w:r w:rsidR="0043725A" w:rsidRPr="00A30291">
        <w:rPr>
          <w:rFonts w:ascii="Arial" w:hAnsi="Arial" w:cs="Arial"/>
          <w:sz w:val="24"/>
          <w:szCs w:val="24"/>
        </w:rPr>
        <w:t>,</w:t>
      </w:r>
      <w:r w:rsidR="006F45A8" w:rsidRPr="00A30291">
        <w:rPr>
          <w:rFonts w:ascii="Arial" w:hAnsi="Arial" w:cs="Arial"/>
          <w:sz w:val="24"/>
          <w:szCs w:val="24"/>
        </w:rPr>
        <w:t xml:space="preserve"> </w:t>
      </w:r>
      <w:r w:rsidR="0043725A" w:rsidRPr="00A30291">
        <w:rPr>
          <w:rFonts w:ascii="Arial" w:hAnsi="Arial" w:cs="Arial"/>
          <w:sz w:val="24"/>
          <w:szCs w:val="24"/>
        </w:rPr>
        <w:t xml:space="preserve">Knefel, Tran, &amp; Lueger-Schuster, </w:t>
      </w:r>
      <w:r w:rsidR="006F45A8" w:rsidRPr="00A30291">
        <w:rPr>
          <w:rFonts w:ascii="Arial" w:hAnsi="Arial" w:cs="Arial"/>
          <w:sz w:val="24"/>
          <w:szCs w:val="24"/>
        </w:rPr>
        <w:t xml:space="preserve">2016; </w:t>
      </w:r>
      <w:r w:rsidR="0043725A" w:rsidRPr="00A30291">
        <w:rPr>
          <w:rFonts w:ascii="Arial" w:hAnsi="Arial" w:cs="Arial"/>
          <w:sz w:val="24"/>
          <w:szCs w:val="24"/>
        </w:rPr>
        <w:t>Hansen, Hyland, Armour, Shevlin, &amp; Elklit,</w:t>
      </w:r>
      <w:r w:rsidR="006F45A8" w:rsidRPr="00A30291">
        <w:rPr>
          <w:rFonts w:ascii="Arial" w:hAnsi="Arial" w:cs="Arial"/>
          <w:sz w:val="24"/>
          <w:szCs w:val="24"/>
        </w:rPr>
        <w:t xml:space="preserve"> 2015; Tay</w:t>
      </w:r>
      <w:r w:rsidR="0043725A" w:rsidRPr="00A30291">
        <w:rPr>
          <w:rFonts w:ascii="Arial" w:hAnsi="Arial" w:cs="Arial"/>
          <w:sz w:val="24"/>
          <w:szCs w:val="24"/>
        </w:rPr>
        <w:t>,</w:t>
      </w:r>
      <w:r w:rsidR="006F45A8" w:rsidRPr="00A30291">
        <w:rPr>
          <w:rFonts w:ascii="Arial" w:hAnsi="Arial" w:cs="Arial"/>
          <w:sz w:val="24"/>
          <w:szCs w:val="24"/>
        </w:rPr>
        <w:t xml:space="preserve"> </w:t>
      </w:r>
      <w:r w:rsidR="0043725A" w:rsidRPr="00A30291">
        <w:rPr>
          <w:rFonts w:ascii="Arial" w:hAnsi="Arial" w:cs="Arial"/>
          <w:sz w:val="24"/>
          <w:szCs w:val="24"/>
        </w:rPr>
        <w:t xml:space="preserve">Rees, Chen, Kareth, &amp; Silove, </w:t>
      </w:r>
      <w:r w:rsidR="006F45A8" w:rsidRPr="00A30291">
        <w:rPr>
          <w:rFonts w:ascii="Arial" w:hAnsi="Arial" w:cs="Arial"/>
          <w:sz w:val="24"/>
          <w:szCs w:val="24"/>
        </w:rPr>
        <w:t xml:space="preserve"> 2015)</w:t>
      </w:r>
      <w:r w:rsidRPr="00A30291">
        <w:rPr>
          <w:rFonts w:ascii="Arial" w:hAnsi="Arial" w:cs="Arial"/>
          <w:sz w:val="24"/>
          <w:szCs w:val="24"/>
        </w:rPr>
        <w:t xml:space="preserve">. In addition, the </w:t>
      </w:r>
      <w:r w:rsidR="006F45A8" w:rsidRPr="00A30291">
        <w:rPr>
          <w:rFonts w:ascii="Arial" w:hAnsi="Arial" w:cs="Arial"/>
          <w:sz w:val="24"/>
          <w:szCs w:val="24"/>
        </w:rPr>
        <w:t xml:space="preserve">second-order factorial structure of CPTSD </w:t>
      </w:r>
      <w:r w:rsidRPr="00A30291">
        <w:rPr>
          <w:rFonts w:ascii="Arial" w:hAnsi="Arial" w:cs="Arial"/>
          <w:sz w:val="24"/>
          <w:szCs w:val="24"/>
        </w:rPr>
        <w:t xml:space="preserve">in which the disorder is comprised of both PTSD and DSO has also been supported </w:t>
      </w:r>
      <w:r w:rsidR="006F45A8" w:rsidRPr="00A30291">
        <w:rPr>
          <w:rFonts w:ascii="Arial" w:hAnsi="Arial" w:cs="Arial"/>
          <w:sz w:val="24"/>
          <w:szCs w:val="24"/>
        </w:rPr>
        <w:t>(Hyland et al., 2016).</w:t>
      </w:r>
      <w:r w:rsidR="009E6544" w:rsidRPr="00A30291">
        <w:rPr>
          <w:rFonts w:ascii="Arial" w:hAnsi="Arial" w:cs="Arial"/>
          <w:sz w:val="24"/>
          <w:szCs w:val="24"/>
          <w:lang w:val="en-US"/>
        </w:rPr>
        <w:t xml:space="preserve"> </w:t>
      </w:r>
    </w:p>
    <w:p w14:paraId="4E71A91E" w14:textId="5ED65DF6" w:rsidR="006F45A8" w:rsidRPr="00A30291" w:rsidRDefault="006F45A8" w:rsidP="006F45A8">
      <w:pPr>
        <w:autoSpaceDE w:val="0"/>
        <w:autoSpaceDN w:val="0"/>
        <w:adjustRightInd w:val="0"/>
        <w:spacing w:after="0" w:line="480" w:lineRule="auto"/>
        <w:ind w:firstLine="720"/>
        <w:rPr>
          <w:rFonts w:ascii="Arial" w:hAnsi="Arial" w:cs="Arial"/>
          <w:sz w:val="24"/>
          <w:szCs w:val="24"/>
          <w:lang w:val="en-US"/>
        </w:rPr>
      </w:pPr>
      <w:r w:rsidRPr="00A30291">
        <w:rPr>
          <w:rFonts w:ascii="Arial" w:hAnsi="Arial" w:cs="Arial"/>
          <w:sz w:val="24"/>
          <w:szCs w:val="24"/>
          <w:lang w:val="en-US"/>
        </w:rPr>
        <w:t xml:space="preserve">A salient limitation with all existing studies that have assessed the construct validity of ICD-11 proposals for PTSD and CPTSD has been the reliance on the use of archival data </w:t>
      </w:r>
      <w:r w:rsidR="0043725A" w:rsidRPr="00A30291">
        <w:rPr>
          <w:rFonts w:ascii="Arial" w:hAnsi="Arial" w:cs="Arial"/>
          <w:sz w:val="24"/>
          <w:szCs w:val="24"/>
          <w:lang w:val="en-US"/>
        </w:rPr>
        <w:t xml:space="preserve">gathered using measures not specifically designed to capture the content of the ICD-11 </w:t>
      </w:r>
      <w:r w:rsidR="00861C3F" w:rsidRPr="00A30291">
        <w:rPr>
          <w:rFonts w:ascii="Arial" w:hAnsi="Arial" w:cs="Arial"/>
          <w:sz w:val="24"/>
          <w:szCs w:val="24"/>
          <w:lang w:val="en-US"/>
        </w:rPr>
        <w:t>diagnoses</w:t>
      </w:r>
      <w:r w:rsidR="0043725A" w:rsidRPr="00A30291">
        <w:rPr>
          <w:rFonts w:ascii="Arial" w:hAnsi="Arial" w:cs="Arial"/>
          <w:sz w:val="24"/>
          <w:szCs w:val="24"/>
          <w:lang w:val="en-US"/>
        </w:rPr>
        <w:t xml:space="preserve"> of PTSD and CPTSD. </w:t>
      </w:r>
      <w:r w:rsidR="00AA5821" w:rsidRPr="00A30291">
        <w:rPr>
          <w:rFonts w:ascii="Arial" w:hAnsi="Arial" w:cs="Arial"/>
          <w:sz w:val="24"/>
          <w:szCs w:val="24"/>
          <w:lang w:val="en-US"/>
        </w:rPr>
        <w:t>Consequently</w:t>
      </w:r>
      <w:r w:rsidR="00861C3F" w:rsidRPr="00A30291">
        <w:rPr>
          <w:rFonts w:ascii="Arial" w:hAnsi="Arial" w:cs="Arial"/>
          <w:sz w:val="24"/>
          <w:szCs w:val="24"/>
          <w:lang w:val="en-US"/>
        </w:rPr>
        <w:t>,</w:t>
      </w:r>
      <w:r w:rsidR="00AA5821" w:rsidRPr="00A30291">
        <w:rPr>
          <w:rFonts w:ascii="Arial" w:hAnsi="Arial" w:cs="Arial"/>
          <w:sz w:val="24"/>
          <w:szCs w:val="24"/>
          <w:lang w:val="en-US"/>
        </w:rPr>
        <w:t xml:space="preserve"> i</w:t>
      </w:r>
      <w:r w:rsidR="0043725A" w:rsidRPr="00A30291">
        <w:rPr>
          <w:rFonts w:ascii="Arial" w:hAnsi="Arial" w:cs="Arial"/>
          <w:sz w:val="24"/>
          <w:szCs w:val="24"/>
          <w:lang w:val="en-US"/>
        </w:rPr>
        <w:t>t has been necessary</w:t>
      </w:r>
      <w:r w:rsidR="00AA5821" w:rsidRPr="00A30291">
        <w:rPr>
          <w:rFonts w:ascii="Arial" w:hAnsi="Arial" w:cs="Arial"/>
          <w:sz w:val="24"/>
          <w:szCs w:val="24"/>
          <w:lang w:val="en-US"/>
        </w:rPr>
        <w:t xml:space="preserve"> </w:t>
      </w:r>
      <w:r w:rsidR="0043725A" w:rsidRPr="00A30291">
        <w:rPr>
          <w:rFonts w:ascii="Arial" w:hAnsi="Arial" w:cs="Arial"/>
          <w:sz w:val="24"/>
          <w:szCs w:val="24"/>
          <w:lang w:val="en-US"/>
        </w:rPr>
        <w:t xml:space="preserve">to estimate the content of these diagnoses using measures that were </w:t>
      </w:r>
      <w:r w:rsidR="00AA5821" w:rsidRPr="00A30291">
        <w:rPr>
          <w:rFonts w:ascii="Arial" w:hAnsi="Arial" w:cs="Arial"/>
          <w:sz w:val="24"/>
          <w:szCs w:val="24"/>
          <w:lang w:val="en-US"/>
        </w:rPr>
        <w:t>generally</w:t>
      </w:r>
      <w:r w:rsidR="0043725A" w:rsidRPr="00A30291">
        <w:rPr>
          <w:rFonts w:ascii="Arial" w:hAnsi="Arial" w:cs="Arial"/>
          <w:sz w:val="24"/>
          <w:szCs w:val="24"/>
          <w:lang w:val="en-US"/>
        </w:rPr>
        <w:t xml:space="preserve"> designed to </w:t>
      </w:r>
      <w:r w:rsidR="00861C3F" w:rsidRPr="00A30291">
        <w:rPr>
          <w:rFonts w:ascii="Arial" w:hAnsi="Arial" w:cs="Arial"/>
          <w:sz w:val="24"/>
          <w:szCs w:val="24"/>
          <w:lang w:val="en-US"/>
        </w:rPr>
        <w:t>reflect</w:t>
      </w:r>
      <w:r w:rsidR="0043725A" w:rsidRPr="00A30291">
        <w:rPr>
          <w:rFonts w:ascii="Arial" w:hAnsi="Arial" w:cs="Arial"/>
          <w:sz w:val="24"/>
          <w:szCs w:val="24"/>
          <w:lang w:val="en-US"/>
        </w:rPr>
        <w:t xml:space="preserve"> the content of DSM-based models of PTSD. </w:t>
      </w:r>
      <w:r w:rsidR="00AA5821" w:rsidRPr="00A30291">
        <w:rPr>
          <w:rFonts w:ascii="Arial" w:hAnsi="Arial" w:cs="Arial"/>
          <w:sz w:val="24"/>
          <w:szCs w:val="24"/>
          <w:lang w:val="en-US"/>
        </w:rPr>
        <w:t xml:space="preserve">This is an important limitation as ICD-11 PTSD, and particularly ICD-11 CPTSD, do not </w:t>
      </w:r>
      <w:r w:rsidR="00861C3F" w:rsidRPr="00A30291">
        <w:rPr>
          <w:rFonts w:ascii="Arial" w:hAnsi="Arial" w:cs="Arial"/>
          <w:sz w:val="24"/>
          <w:szCs w:val="24"/>
          <w:lang w:val="en-US"/>
        </w:rPr>
        <w:t xml:space="preserve">merely </w:t>
      </w:r>
      <w:r w:rsidR="00AA5821" w:rsidRPr="00A30291">
        <w:rPr>
          <w:rFonts w:ascii="Arial" w:hAnsi="Arial" w:cs="Arial"/>
          <w:sz w:val="24"/>
          <w:szCs w:val="24"/>
          <w:lang w:val="en-US"/>
        </w:rPr>
        <w:t xml:space="preserve">reflect a subset of </w:t>
      </w:r>
      <w:r w:rsidR="00861C3F" w:rsidRPr="00A30291">
        <w:rPr>
          <w:rFonts w:ascii="Arial" w:hAnsi="Arial" w:cs="Arial"/>
          <w:sz w:val="24"/>
          <w:szCs w:val="24"/>
          <w:lang w:val="en-US"/>
        </w:rPr>
        <w:t xml:space="preserve">the </w:t>
      </w:r>
      <w:r w:rsidR="00AA5821" w:rsidRPr="00A30291">
        <w:rPr>
          <w:rFonts w:ascii="Arial" w:hAnsi="Arial" w:cs="Arial"/>
          <w:sz w:val="24"/>
          <w:szCs w:val="24"/>
          <w:lang w:val="en-US"/>
        </w:rPr>
        <w:t>DSM-5 PTSD symptoms.</w:t>
      </w:r>
      <w:r w:rsidR="00AA5821" w:rsidRPr="00A30291">
        <w:t xml:space="preserve"> </w:t>
      </w:r>
      <w:r w:rsidR="00AA5821" w:rsidRPr="00A30291">
        <w:rPr>
          <w:rFonts w:ascii="Arial" w:hAnsi="Arial" w:cs="Arial"/>
          <w:sz w:val="24"/>
          <w:szCs w:val="24"/>
          <w:lang w:val="en-US"/>
        </w:rPr>
        <w:t>The ICD-11 proposals contain tw</w:t>
      </w:r>
      <w:r w:rsidR="001E04FC" w:rsidRPr="00A30291">
        <w:rPr>
          <w:rFonts w:ascii="Arial" w:hAnsi="Arial" w:cs="Arial"/>
          <w:sz w:val="24"/>
          <w:szCs w:val="24"/>
          <w:lang w:val="en-US"/>
        </w:rPr>
        <w:t>o logically distinct elements: a</w:t>
      </w:r>
      <w:r w:rsidR="00AA5821" w:rsidRPr="00A30291">
        <w:rPr>
          <w:rFonts w:ascii="Arial" w:hAnsi="Arial" w:cs="Arial"/>
          <w:sz w:val="24"/>
          <w:szCs w:val="24"/>
          <w:lang w:val="en-US"/>
        </w:rPr>
        <w:t xml:space="preserve"> structural description of PTSD</w:t>
      </w:r>
      <w:r w:rsidR="000D0A31" w:rsidRPr="00A30291">
        <w:rPr>
          <w:rFonts w:ascii="Arial" w:hAnsi="Arial" w:cs="Arial"/>
          <w:sz w:val="24"/>
          <w:szCs w:val="24"/>
          <w:lang w:val="en-US"/>
        </w:rPr>
        <w:t xml:space="preserve"> and CPTSD where PTSD is comprised of three factors and </w:t>
      </w:r>
      <w:r w:rsidR="00AA5821" w:rsidRPr="00A30291">
        <w:rPr>
          <w:rFonts w:ascii="Arial" w:hAnsi="Arial" w:cs="Arial"/>
          <w:sz w:val="24"/>
          <w:szCs w:val="24"/>
          <w:lang w:val="en-US"/>
        </w:rPr>
        <w:t>CPTSD</w:t>
      </w:r>
      <w:r w:rsidR="000D0A31" w:rsidRPr="00A30291">
        <w:rPr>
          <w:rFonts w:ascii="Arial" w:hAnsi="Arial" w:cs="Arial"/>
          <w:sz w:val="24"/>
          <w:szCs w:val="24"/>
          <w:lang w:val="en-US"/>
        </w:rPr>
        <w:t xml:space="preserve"> </w:t>
      </w:r>
      <w:r w:rsidR="00AA5821" w:rsidRPr="00A30291">
        <w:rPr>
          <w:rFonts w:ascii="Arial" w:hAnsi="Arial" w:cs="Arial"/>
          <w:sz w:val="24"/>
          <w:szCs w:val="24"/>
          <w:lang w:val="en-US"/>
        </w:rPr>
        <w:t>involv</w:t>
      </w:r>
      <w:r w:rsidR="000D0A31" w:rsidRPr="00A30291">
        <w:rPr>
          <w:rFonts w:ascii="Arial" w:hAnsi="Arial" w:cs="Arial"/>
          <w:sz w:val="24"/>
          <w:szCs w:val="24"/>
          <w:lang w:val="en-US"/>
        </w:rPr>
        <w:t>es</w:t>
      </w:r>
      <w:r w:rsidR="00AA5821" w:rsidRPr="00A30291">
        <w:rPr>
          <w:rFonts w:ascii="Arial" w:hAnsi="Arial" w:cs="Arial"/>
          <w:sz w:val="24"/>
          <w:szCs w:val="24"/>
          <w:lang w:val="en-US"/>
        </w:rPr>
        <w:t xml:space="preserve"> two groups of three factors</w:t>
      </w:r>
      <w:r w:rsidR="00F434BA" w:rsidRPr="00A30291">
        <w:rPr>
          <w:rFonts w:ascii="Arial" w:hAnsi="Arial" w:cs="Arial"/>
          <w:sz w:val="24"/>
          <w:szCs w:val="24"/>
          <w:lang w:val="en-US"/>
        </w:rPr>
        <w:t xml:space="preserve"> (see Figure 1, Model 4)</w:t>
      </w:r>
      <w:r w:rsidR="000D0A31" w:rsidRPr="00A30291">
        <w:rPr>
          <w:rFonts w:ascii="Arial" w:hAnsi="Arial" w:cs="Arial"/>
          <w:sz w:val="24"/>
          <w:szCs w:val="24"/>
          <w:lang w:val="en-US"/>
        </w:rPr>
        <w:t xml:space="preserve">. The proposals also include </w:t>
      </w:r>
      <w:r w:rsidR="00AA5821" w:rsidRPr="00A30291">
        <w:rPr>
          <w:rFonts w:ascii="Arial" w:hAnsi="Arial" w:cs="Arial"/>
          <w:sz w:val="24"/>
          <w:szCs w:val="24"/>
          <w:lang w:val="en-US"/>
        </w:rPr>
        <w:t>new content concerning the key symptoms</w:t>
      </w:r>
      <w:r w:rsidR="000D0A31" w:rsidRPr="00A30291">
        <w:rPr>
          <w:rFonts w:ascii="Arial" w:hAnsi="Arial" w:cs="Arial"/>
          <w:sz w:val="24"/>
          <w:szCs w:val="24"/>
          <w:lang w:val="en-US"/>
        </w:rPr>
        <w:t xml:space="preserve"> in the CPTSD diagnosis. </w:t>
      </w:r>
      <w:r w:rsidR="00AA5821" w:rsidRPr="00A30291">
        <w:rPr>
          <w:rFonts w:ascii="Arial" w:hAnsi="Arial" w:cs="Arial"/>
          <w:sz w:val="24"/>
          <w:szCs w:val="24"/>
          <w:lang w:val="en-US"/>
        </w:rPr>
        <w:t xml:space="preserve"> </w:t>
      </w:r>
      <w:r w:rsidR="00A64181" w:rsidRPr="00A30291">
        <w:rPr>
          <w:rFonts w:ascii="Arial" w:hAnsi="Arial" w:cs="Arial"/>
          <w:sz w:val="24"/>
          <w:szCs w:val="24"/>
          <w:lang w:val="en-US"/>
        </w:rPr>
        <w:t>Given the use of archival data, e</w:t>
      </w:r>
      <w:r w:rsidR="00AA5821" w:rsidRPr="00A30291">
        <w:rPr>
          <w:rFonts w:ascii="Arial" w:hAnsi="Arial" w:cs="Arial"/>
          <w:sz w:val="24"/>
          <w:szCs w:val="24"/>
          <w:lang w:val="en-US"/>
        </w:rPr>
        <w:t>xis</w:t>
      </w:r>
      <w:r w:rsidR="00861C3F" w:rsidRPr="00A30291">
        <w:rPr>
          <w:rFonts w:ascii="Arial" w:hAnsi="Arial" w:cs="Arial"/>
          <w:sz w:val="24"/>
          <w:szCs w:val="24"/>
          <w:lang w:val="en-US"/>
        </w:rPr>
        <w:t>ting studies have supported the</w:t>
      </w:r>
      <w:r w:rsidR="00AA5821" w:rsidRPr="00A30291">
        <w:rPr>
          <w:rFonts w:ascii="Arial" w:hAnsi="Arial" w:cs="Arial"/>
          <w:sz w:val="24"/>
          <w:szCs w:val="24"/>
          <w:lang w:val="en-US"/>
        </w:rPr>
        <w:t xml:space="preserve"> structural aspects of ICD-11 proposals </w:t>
      </w:r>
      <w:r w:rsidR="00A64181" w:rsidRPr="00A30291">
        <w:rPr>
          <w:rFonts w:ascii="Arial" w:hAnsi="Arial" w:cs="Arial"/>
          <w:sz w:val="24"/>
          <w:szCs w:val="24"/>
          <w:lang w:val="en-US"/>
        </w:rPr>
        <w:t xml:space="preserve">but have </w:t>
      </w:r>
      <w:r w:rsidR="00AA5821" w:rsidRPr="00A30291">
        <w:rPr>
          <w:rFonts w:ascii="Arial" w:hAnsi="Arial" w:cs="Arial"/>
          <w:sz w:val="24"/>
          <w:szCs w:val="24"/>
          <w:lang w:val="en-US"/>
        </w:rPr>
        <w:t>not necessarily captur</w:t>
      </w:r>
      <w:r w:rsidR="00A64181" w:rsidRPr="00A30291">
        <w:rPr>
          <w:rFonts w:ascii="Arial" w:hAnsi="Arial" w:cs="Arial"/>
          <w:sz w:val="24"/>
          <w:szCs w:val="24"/>
          <w:lang w:val="en-US"/>
        </w:rPr>
        <w:t>ed</w:t>
      </w:r>
      <w:r w:rsidR="00AA5821" w:rsidRPr="00A30291">
        <w:rPr>
          <w:rFonts w:ascii="Arial" w:hAnsi="Arial" w:cs="Arial"/>
          <w:sz w:val="24"/>
          <w:szCs w:val="24"/>
          <w:lang w:val="en-US"/>
        </w:rPr>
        <w:t xml:space="preserve"> the content aspects </w:t>
      </w:r>
      <w:r w:rsidR="0004031D" w:rsidRPr="00A30291">
        <w:rPr>
          <w:rFonts w:ascii="Arial" w:hAnsi="Arial" w:cs="Arial"/>
          <w:sz w:val="24"/>
          <w:szCs w:val="24"/>
          <w:lang w:val="en-US"/>
        </w:rPr>
        <w:t xml:space="preserve">precisely. </w:t>
      </w:r>
      <w:r w:rsidR="00AA5821" w:rsidRPr="00A30291">
        <w:rPr>
          <w:rFonts w:ascii="Arial" w:hAnsi="Arial" w:cs="Arial"/>
          <w:sz w:val="24"/>
          <w:szCs w:val="24"/>
          <w:lang w:val="en-US"/>
        </w:rPr>
        <w:t xml:space="preserve">This limitation has been the inevitable consequence of the absence of </w:t>
      </w:r>
      <w:r w:rsidR="0004031D" w:rsidRPr="00A30291">
        <w:rPr>
          <w:rFonts w:ascii="Arial" w:hAnsi="Arial" w:cs="Arial"/>
          <w:sz w:val="24"/>
          <w:szCs w:val="24"/>
          <w:lang w:val="en-US"/>
        </w:rPr>
        <w:t xml:space="preserve">a </w:t>
      </w:r>
      <w:r w:rsidR="00AA5821" w:rsidRPr="00A30291">
        <w:rPr>
          <w:rFonts w:ascii="Arial" w:hAnsi="Arial" w:cs="Arial"/>
          <w:sz w:val="24"/>
          <w:szCs w:val="24"/>
          <w:lang w:val="en-US"/>
        </w:rPr>
        <w:t xml:space="preserve">measure that is specifically </w:t>
      </w:r>
      <w:r w:rsidR="00861C3F" w:rsidRPr="00A30291">
        <w:rPr>
          <w:rFonts w:ascii="Arial" w:hAnsi="Arial" w:cs="Arial"/>
          <w:sz w:val="24"/>
          <w:szCs w:val="24"/>
          <w:lang w:val="en-US"/>
        </w:rPr>
        <w:t>designed</w:t>
      </w:r>
      <w:r w:rsidR="00AA5821" w:rsidRPr="00A30291">
        <w:rPr>
          <w:rFonts w:ascii="Arial" w:hAnsi="Arial" w:cs="Arial"/>
          <w:sz w:val="24"/>
          <w:szCs w:val="24"/>
          <w:lang w:val="en-US"/>
        </w:rPr>
        <w:t xml:space="preserve"> to capture the ICD-11 symptoms of PTSD and CPTSD.</w:t>
      </w:r>
    </w:p>
    <w:p w14:paraId="75BD0A86" w14:textId="4126C474" w:rsidR="001474A6" w:rsidRPr="00A30291" w:rsidRDefault="006A6771" w:rsidP="007E2999">
      <w:pPr>
        <w:spacing w:line="480" w:lineRule="auto"/>
        <w:ind w:firstLine="720"/>
        <w:rPr>
          <w:rFonts w:ascii="Arial" w:hAnsi="Arial" w:cs="Arial"/>
          <w:sz w:val="24"/>
          <w:szCs w:val="24"/>
        </w:rPr>
      </w:pPr>
      <w:r w:rsidRPr="00A30291">
        <w:rPr>
          <w:rFonts w:ascii="Arial" w:hAnsi="Arial" w:cs="Arial"/>
          <w:sz w:val="24"/>
          <w:szCs w:val="24"/>
          <w:lang w:val="en-US"/>
        </w:rPr>
        <w:t xml:space="preserve">The </w:t>
      </w:r>
      <w:r w:rsidR="00442AC5" w:rsidRPr="00A30291">
        <w:rPr>
          <w:rFonts w:ascii="Arial" w:hAnsi="Arial" w:cs="Arial"/>
          <w:i/>
          <w:iCs/>
          <w:sz w:val="24"/>
          <w:szCs w:val="24"/>
        </w:rPr>
        <w:t>ICD-11 Trauma Questionnaire</w:t>
      </w:r>
      <w:r w:rsidR="00442AC5" w:rsidRPr="00A30291">
        <w:rPr>
          <w:rFonts w:ascii="Arial" w:hAnsi="Arial" w:cs="Arial"/>
          <w:iCs/>
          <w:sz w:val="24"/>
          <w:szCs w:val="24"/>
        </w:rPr>
        <w:t xml:space="preserve"> (I</w:t>
      </w:r>
      <w:r w:rsidR="00442AC5" w:rsidRPr="00A30291">
        <w:rPr>
          <w:rFonts w:ascii="Arial" w:hAnsi="Arial" w:cs="Arial"/>
          <w:sz w:val="24"/>
          <w:szCs w:val="24"/>
          <w:lang w:val="en-US"/>
        </w:rPr>
        <w:t>CD-</w:t>
      </w:r>
      <w:r w:rsidR="009E6544" w:rsidRPr="00A30291">
        <w:rPr>
          <w:rFonts w:ascii="Arial" w:hAnsi="Arial" w:cs="Arial"/>
          <w:sz w:val="24"/>
          <w:szCs w:val="24"/>
          <w:lang w:val="en-US"/>
        </w:rPr>
        <w:t>TQ</w:t>
      </w:r>
      <w:r w:rsidR="00442AC5" w:rsidRPr="00A30291">
        <w:rPr>
          <w:rFonts w:ascii="Arial" w:hAnsi="Arial" w:cs="Arial"/>
          <w:sz w:val="24"/>
          <w:szCs w:val="24"/>
          <w:lang w:val="en-US"/>
        </w:rPr>
        <w:t xml:space="preserve">; </w:t>
      </w:r>
      <w:r w:rsidR="00442AC5" w:rsidRPr="00A30291">
        <w:rPr>
          <w:rFonts w:ascii="Arial" w:hAnsi="Arial" w:cs="Arial"/>
          <w:sz w:val="24"/>
          <w:szCs w:val="24"/>
        </w:rPr>
        <w:t xml:space="preserve">Cloitre, Roberts, Bisson, </w:t>
      </w:r>
      <w:r w:rsidR="00C1042A" w:rsidRPr="00A30291">
        <w:rPr>
          <w:rFonts w:ascii="Arial" w:hAnsi="Arial" w:cs="Arial"/>
          <w:sz w:val="24"/>
          <w:szCs w:val="24"/>
        </w:rPr>
        <w:t xml:space="preserve">&amp; </w:t>
      </w:r>
      <w:r w:rsidR="0004031D" w:rsidRPr="00A30291">
        <w:rPr>
          <w:rFonts w:ascii="Arial" w:hAnsi="Arial" w:cs="Arial"/>
          <w:sz w:val="24"/>
          <w:szCs w:val="24"/>
        </w:rPr>
        <w:t>Brewin, under development</w:t>
      </w:r>
      <w:r w:rsidR="00442AC5" w:rsidRPr="00A30291">
        <w:rPr>
          <w:rFonts w:ascii="Arial" w:hAnsi="Arial" w:cs="Arial"/>
          <w:sz w:val="24"/>
          <w:szCs w:val="24"/>
        </w:rPr>
        <w:t>)</w:t>
      </w:r>
      <w:r w:rsidR="009E6544" w:rsidRPr="00A30291">
        <w:rPr>
          <w:rFonts w:ascii="Arial" w:hAnsi="Arial" w:cs="Arial"/>
          <w:sz w:val="24"/>
          <w:szCs w:val="24"/>
          <w:lang w:val="en-US"/>
        </w:rPr>
        <w:t xml:space="preserve"> has been developed with th</w:t>
      </w:r>
      <w:r w:rsidR="00A96D95" w:rsidRPr="00A30291">
        <w:rPr>
          <w:rFonts w:ascii="Arial" w:hAnsi="Arial" w:cs="Arial"/>
          <w:sz w:val="24"/>
          <w:szCs w:val="24"/>
          <w:lang w:val="en-US"/>
        </w:rPr>
        <w:t>ese</w:t>
      </w:r>
      <w:r w:rsidR="009E6544" w:rsidRPr="00A30291">
        <w:rPr>
          <w:rFonts w:ascii="Arial" w:hAnsi="Arial" w:cs="Arial"/>
          <w:sz w:val="24"/>
          <w:szCs w:val="24"/>
          <w:lang w:val="en-US"/>
        </w:rPr>
        <w:t xml:space="preserve"> need</w:t>
      </w:r>
      <w:r w:rsidR="00A96D95" w:rsidRPr="00A30291">
        <w:rPr>
          <w:rFonts w:ascii="Arial" w:hAnsi="Arial" w:cs="Arial"/>
          <w:sz w:val="24"/>
          <w:szCs w:val="24"/>
          <w:lang w:val="en-US"/>
        </w:rPr>
        <w:t>s</w:t>
      </w:r>
      <w:r w:rsidR="009E6544" w:rsidRPr="00A30291">
        <w:rPr>
          <w:rFonts w:ascii="Arial" w:hAnsi="Arial" w:cs="Arial"/>
          <w:sz w:val="24"/>
          <w:szCs w:val="24"/>
          <w:lang w:val="en-US"/>
        </w:rPr>
        <w:t xml:space="preserve"> in mind</w:t>
      </w:r>
      <w:r w:rsidR="0004031D" w:rsidRPr="00A30291">
        <w:rPr>
          <w:rFonts w:ascii="Arial" w:hAnsi="Arial" w:cs="Arial"/>
          <w:sz w:val="24"/>
          <w:szCs w:val="24"/>
          <w:lang w:val="en-US"/>
        </w:rPr>
        <w:t xml:space="preserve"> and represents a preliminary-stage</w:t>
      </w:r>
      <w:r w:rsidR="00861C3F" w:rsidRPr="00A30291">
        <w:rPr>
          <w:rFonts w:ascii="Arial" w:hAnsi="Arial" w:cs="Arial"/>
          <w:sz w:val="24"/>
          <w:szCs w:val="24"/>
          <w:lang w:val="en-US"/>
        </w:rPr>
        <w:t>,</w:t>
      </w:r>
      <w:r w:rsidR="0004031D" w:rsidRPr="00A30291">
        <w:rPr>
          <w:rFonts w:ascii="Arial" w:hAnsi="Arial" w:cs="Arial"/>
          <w:sz w:val="24"/>
          <w:szCs w:val="24"/>
          <w:lang w:val="en-US"/>
        </w:rPr>
        <w:t xml:space="preserve"> self-report measure of </w:t>
      </w:r>
      <w:r w:rsidR="007E2999" w:rsidRPr="00A30291">
        <w:rPr>
          <w:rFonts w:ascii="Arial" w:hAnsi="Arial" w:cs="Arial"/>
          <w:sz w:val="24"/>
          <w:szCs w:val="24"/>
          <w:lang w:val="en-US"/>
        </w:rPr>
        <w:t xml:space="preserve">the ICD-11 </w:t>
      </w:r>
      <w:r w:rsidR="0004031D" w:rsidRPr="00A30291">
        <w:rPr>
          <w:rFonts w:ascii="Arial" w:hAnsi="Arial" w:cs="Arial"/>
          <w:sz w:val="24"/>
          <w:szCs w:val="24"/>
          <w:lang w:val="en-US"/>
        </w:rPr>
        <w:t>PTSD and CPTSD</w:t>
      </w:r>
      <w:r w:rsidR="007E2999" w:rsidRPr="00A30291">
        <w:rPr>
          <w:rFonts w:ascii="Arial" w:hAnsi="Arial" w:cs="Arial"/>
          <w:sz w:val="24"/>
          <w:szCs w:val="24"/>
          <w:lang w:val="en-US"/>
        </w:rPr>
        <w:t xml:space="preserve"> diagnoses</w:t>
      </w:r>
      <w:r w:rsidR="0004031D" w:rsidRPr="00A30291">
        <w:rPr>
          <w:rFonts w:ascii="Arial" w:hAnsi="Arial" w:cs="Arial"/>
          <w:sz w:val="24"/>
          <w:szCs w:val="24"/>
          <w:lang w:val="en-US"/>
        </w:rPr>
        <w:t xml:space="preserve">. </w:t>
      </w:r>
      <w:r w:rsidR="0012289F" w:rsidRPr="00A30291">
        <w:rPr>
          <w:rFonts w:ascii="Arial" w:hAnsi="Arial" w:cs="Arial"/>
          <w:sz w:val="24"/>
          <w:szCs w:val="24"/>
          <w:lang w:val="en-US"/>
        </w:rPr>
        <w:t xml:space="preserve">The goal of the </w:t>
      </w:r>
      <w:r w:rsidR="007E2999" w:rsidRPr="00A30291">
        <w:rPr>
          <w:rFonts w:ascii="Arial" w:hAnsi="Arial" w:cs="Arial"/>
          <w:sz w:val="24"/>
          <w:szCs w:val="24"/>
          <w:lang w:val="en-US"/>
        </w:rPr>
        <w:t xml:space="preserve">ICD-11 proposals for PTSD and CPTSD </w:t>
      </w:r>
      <w:r w:rsidR="0012289F" w:rsidRPr="00A30291">
        <w:rPr>
          <w:rFonts w:ascii="Arial" w:hAnsi="Arial" w:cs="Arial"/>
          <w:sz w:val="24"/>
          <w:szCs w:val="24"/>
          <w:lang w:val="en-US"/>
        </w:rPr>
        <w:t xml:space="preserve">is to </w:t>
      </w:r>
      <w:r w:rsidR="007E2999" w:rsidRPr="00A30291">
        <w:rPr>
          <w:rFonts w:ascii="Arial" w:hAnsi="Arial" w:cs="Arial"/>
          <w:sz w:val="24"/>
          <w:szCs w:val="24"/>
          <w:lang w:val="en-US"/>
        </w:rPr>
        <w:t xml:space="preserve">include a limited number of symptoms </w:t>
      </w:r>
      <w:r w:rsidR="00EE7539" w:rsidRPr="00A30291">
        <w:rPr>
          <w:rFonts w:ascii="Arial" w:hAnsi="Arial" w:cs="Arial"/>
          <w:sz w:val="24"/>
          <w:szCs w:val="24"/>
          <w:lang w:val="en-US"/>
        </w:rPr>
        <w:t>f</w:t>
      </w:r>
      <w:r w:rsidR="00861C3F" w:rsidRPr="00A30291">
        <w:rPr>
          <w:rFonts w:ascii="Arial" w:hAnsi="Arial" w:cs="Arial"/>
          <w:sz w:val="24"/>
          <w:szCs w:val="24"/>
          <w:lang w:val="en-US"/>
        </w:rPr>
        <w:t>or</w:t>
      </w:r>
      <w:r w:rsidR="007E2999" w:rsidRPr="00A30291">
        <w:rPr>
          <w:rFonts w:ascii="Arial" w:hAnsi="Arial" w:cs="Arial"/>
          <w:sz w:val="24"/>
          <w:szCs w:val="24"/>
          <w:lang w:val="en-US"/>
        </w:rPr>
        <w:t xml:space="preserve"> each disorder</w:t>
      </w:r>
      <w:r w:rsidR="00EE7539" w:rsidRPr="00A30291">
        <w:rPr>
          <w:rFonts w:ascii="Arial" w:hAnsi="Arial" w:cs="Arial"/>
          <w:sz w:val="24"/>
          <w:szCs w:val="24"/>
          <w:lang w:val="en-US"/>
        </w:rPr>
        <w:t>. H</w:t>
      </w:r>
      <w:r w:rsidR="007E2999" w:rsidRPr="00A30291">
        <w:rPr>
          <w:rFonts w:ascii="Arial" w:hAnsi="Arial" w:cs="Arial"/>
          <w:sz w:val="24"/>
          <w:szCs w:val="24"/>
          <w:lang w:val="en-US"/>
        </w:rPr>
        <w:t>owever this first iteration of the</w:t>
      </w:r>
      <w:r w:rsidR="007E2999" w:rsidRPr="00A30291">
        <w:rPr>
          <w:rFonts w:ascii="Arial" w:hAnsi="Arial" w:cs="Arial"/>
          <w:sz w:val="24"/>
          <w:szCs w:val="24"/>
        </w:rPr>
        <w:t xml:space="preserve"> ICD-TQ include</w:t>
      </w:r>
      <w:r w:rsidR="00861C3F" w:rsidRPr="00A30291">
        <w:rPr>
          <w:rFonts w:ascii="Arial" w:hAnsi="Arial" w:cs="Arial"/>
          <w:sz w:val="24"/>
          <w:szCs w:val="24"/>
        </w:rPr>
        <w:t>s</w:t>
      </w:r>
      <w:r w:rsidR="007E2999" w:rsidRPr="00A30291">
        <w:rPr>
          <w:rFonts w:ascii="Arial" w:hAnsi="Arial" w:cs="Arial"/>
          <w:sz w:val="24"/>
          <w:szCs w:val="24"/>
        </w:rPr>
        <w:t xml:space="preserve"> 23-items. These items reflect test items that may comprise the final composition of symptoms of</w:t>
      </w:r>
      <w:r w:rsidR="00651CF3" w:rsidRPr="00A30291">
        <w:rPr>
          <w:rFonts w:ascii="Arial" w:hAnsi="Arial" w:cs="Arial"/>
          <w:sz w:val="24"/>
          <w:szCs w:val="24"/>
        </w:rPr>
        <w:t xml:space="preserve"> ICD-11 PTSD and CPTSD </w:t>
      </w:r>
      <w:r w:rsidR="007E2999" w:rsidRPr="00A30291">
        <w:rPr>
          <w:rFonts w:ascii="Arial" w:hAnsi="Arial" w:cs="Arial"/>
          <w:sz w:val="24"/>
          <w:szCs w:val="24"/>
        </w:rPr>
        <w:t>when presented to the World Health Assembly in 2017 (First et al., 2015)</w:t>
      </w:r>
      <w:r w:rsidR="00651CF3" w:rsidRPr="00A30291">
        <w:rPr>
          <w:rFonts w:ascii="Arial" w:hAnsi="Arial" w:cs="Arial"/>
          <w:sz w:val="24"/>
          <w:szCs w:val="24"/>
        </w:rPr>
        <w:t>.</w:t>
      </w:r>
      <w:r w:rsidR="007E2999" w:rsidRPr="00A30291">
        <w:rPr>
          <w:rFonts w:ascii="Arial" w:hAnsi="Arial" w:cs="Arial"/>
          <w:sz w:val="24"/>
          <w:szCs w:val="24"/>
        </w:rPr>
        <w:t xml:space="preserve"> In its current, preliminary form, </w:t>
      </w:r>
      <w:r w:rsidR="001474A6" w:rsidRPr="00A30291">
        <w:rPr>
          <w:rFonts w:ascii="Arial" w:hAnsi="Arial" w:cs="Arial"/>
          <w:sz w:val="24"/>
          <w:szCs w:val="24"/>
        </w:rPr>
        <w:t>seven</w:t>
      </w:r>
      <w:r w:rsidR="00651CF3" w:rsidRPr="00A30291">
        <w:rPr>
          <w:rFonts w:ascii="Arial" w:hAnsi="Arial" w:cs="Arial"/>
          <w:sz w:val="24"/>
          <w:szCs w:val="24"/>
        </w:rPr>
        <w:t xml:space="preserve"> items </w:t>
      </w:r>
      <w:r w:rsidR="007E2999" w:rsidRPr="00A30291">
        <w:rPr>
          <w:rFonts w:ascii="Arial" w:hAnsi="Arial" w:cs="Arial"/>
          <w:sz w:val="24"/>
          <w:szCs w:val="24"/>
        </w:rPr>
        <w:t>are included to</w:t>
      </w:r>
      <w:r w:rsidR="00651CF3" w:rsidRPr="00A30291">
        <w:rPr>
          <w:rFonts w:ascii="Arial" w:hAnsi="Arial" w:cs="Arial"/>
          <w:sz w:val="24"/>
          <w:szCs w:val="24"/>
        </w:rPr>
        <w:t xml:space="preserve"> repre</w:t>
      </w:r>
      <w:r w:rsidR="007E2999" w:rsidRPr="00A30291">
        <w:rPr>
          <w:rFonts w:ascii="Arial" w:hAnsi="Arial" w:cs="Arial"/>
          <w:sz w:val="24"/>
          <w:szCs w:val="24"/>
        </w:rPr>
        <w:t xml:space="preserve">sent the three clusters of PTSD: Re </w:t>
      </w:r>
      <w:r w:rsidR="001474A6" w:rsidRPr="00A30291">
        <w:rPr>
          <w:rFonts w:ascii="Arial" w:hAnsi="Arial" w:cs="Arial"/>
          <w:sz w:val="24"/>
          <w:szCs w:val="24"/>
        </w:rPr>
        <w:t>(items P1-P3</w:t>
      </w:r>
      <w:r w:rsidR="007E2999" w:rsidRPr="00A30291">
        <w:rPr>
          <w:rFonts w:ascii="Arial" w:hAnsi="Arial" w:cs="Arial"/>
          <w:sz w:val="24"/>
          <w:szCs w:val="24"/>
        </w:rPr>
        <w:t xml:space="preserve">), Av </w:t>
      </w:r>
      <w:r w:rsidR="00651CF3" w:rsidRPr="00A30291">
        <w:rPr>
          <w:rFonts w:ascii="Arial" w:hAnsi="Arial" w:cs="Arial"/>
          <w:sz w:val="24"/>
          <w:szCs w:val="24"/>
        </w:rPr>
        <w:t xml:space="preserve">(items P4-P5), and </w:t>
      </w:r>
      <w:r w:rsidR="007E2999" w:rsidRPr="00A30291">
        <w:rPr>
          <w:rFonts w:ascii="Arial" w:hAnsi="Arial" w:cs="Arial"/>
          <w:sz w:val="24"/>
          <w:szCs w:val="24"/>
        </w:rPr>
        <w:t>Th</w:t>
      </w:r>
      <w:r w:rsidR="00651CF3" w:rsidRPr="00A30291">
        <w:rPr>
          <w:rFonts w:ascii="Arial" w:hAnsi="Arial" w:cs="Arial"/>
          <w:sz w:val="24"/>
          <w:szCs w:val="24"/>
        </w:rPr>
        <w:t xml:space="preserve"> (items P6-P7). Sixteen items </w:t>
      </w:r>
      <w:r w:rsidR="001474A6" w:rsidRPr="00A30291">
        <w:rPr>
          <w:rFonts w:ascii="Arial" w:hAnsi="Arial" w:cs="Arial"/>
          <w:sz w:val="24"/>
          <w:szCs w:val="24"/>
        </w:rPr>
        <w:t xml:space="preserve">are included to </w:t>
      </w:r>
      <w:r w:rsidR="00651CF3" w:rsidRPr="00A30291">
        <w:rPr>
          <w:rFonts w:ascii="Arial" w:hAnsi="Arial" w:cs="Arial"/>
          <w:sz w:val="24"/>
          <w:szCs w:val="24"/>
        </w:rPr>
        <w:t xml:space="preserve">represent the three </w:t>
      </w:r>
      <w:r w:rsidR="009132FB" w:rsidRPr="00A30291">
        <w:rPr>
          <w:rFonts w:ascii="Arial" w:hAnsi="Arial" w:cs="Arial"/>
          <w:sz w:val="24"/>
          <w:szCs w:val="24"/>
        </w:rPr>
        <w:t>DSO</w:t>
      </w:r>
      <w:r w:rsidR="001474A6" w:rsidRPr="00A30291">
        <w:rPr>
          <w:rFonts w:ascii="Arial" w:hAnsi="Arial" w:cs="Arial"/>
          <w:sz w:val="24"/>
          <w:szCs w:val="24"/>
        </w:rPr>
        <w:t xml:space="preserve"> clusters </w:t>
      </w:r>
      <w:r w:rsidR="00861C3F" w:rsidRPr="00A30291">
        <w:rPr>
          <w:rFonts w:ascii="Arial" w:hAnsi="Arial" w:cs="Arial"/>
          <w:sz w:val="24"/>
          <w:szCs w:val="24"/>
        </w:rPr>
        <w:t>that make up the additional symptoms of</w:t>
      </w:r>
      <w:r w:rsidR="001474A6" w:rsidRPr="00A30291">
        <w:rPr>
          <w:rFonts w:ascii="Arial" w:hAnsi="Arial" w:cs="Arial"/>
          <w:sz w:val="24"/>
          <w:szCs w:val="24"/>
        </w:rPr>
        <w:t xml:space="preserve"> CPTSD. Nin</w:t>
      </w:r>
      <w:r w:rsidR="00B1086A" w:rsidRPr="00A30291">
        <w:rPr>
          <w:rFonts w:ascii="Arial" w:hAnsi="Arial" w:cs="Arial"/>
          <w:sz w:val="24"/>
          <w:szCs w:val="24"/>
        </w:rPr>
        <w:t>e items are included to measure</w:t>
      </w:r>
      <w:r w:rsidR="001474A6" w:rsidRPr="00A30291">
        <w:rPr>
          <w:rFonts w:ascii="Arial" w:hAnsi="Arial" w:cs="Arial"/>
          <w:sz w:val="24"/>
          <w:szCs w:val="24"/>
        </w:rPr>
        <w:t xml:space="preserve"> the </w:t>
      </w:r>
      <w:r w:rsidR="00651CF3" w:rsidRPr="00A30291">
        <w:rPr>
          <w:rFonts w:ascii="Arial" w:hAnsi="Arial" w:cs="Arial"/>
          <w:sz w:val="24"/>
          <w:szCs w:val="24"/>
        </w:rPr>
        <w:t>AD</w:t>
      </w:r>
      <w:r w:rsidR="001474A6" w:rsidRPr="00A30291">
        <w:rPr>
          <w:rFonts w:ascii="Arial" w:hAnsi="Arial" w:cs="Arial"/>
          <w:sz w:val="24"/>
          <w:szCs w:val="24"/>
        </w:rPr>
        <w:t xml:space="preserve"> cluster, and these items span hyper- and hypo-activation</w:t>
      </w:r>
      <w:r w:rsidR="00651CF3" w:rsidRPr="00A30291">
        <w:rPr>
          <w:rFonts w:ascii="Arial" w:hAnsi="Arial" w:cs="Arial"/>
          <w:sz w:val="24"/>
          <w:szCs w:val="24"/>
        </w:rPr>
        <w:t xml:space="preserve"> (items C1-C9), </w:t>
      </w:r>
      <w:r w:rsidR="001474A6" w:rsidRPr="00A30291">
        <w:rPr>
          <w:rFonts w:ascii="Arial" w:hAnsi="Arial" w:cs="Arial"/>
          <w:sz w:val="24"/>
          <w:szCs w:val="24"/>
        </w:rPr>
        <w:t xml:space="preserve">four-items to measure </w:t>
      </w:r>
      <w:r w:rsidR="00651CF3" w:rsidRPr="00A30291">
        <w:rPr>
          <w:rFonts w:ascii="Arial" w:hAnsi="Arial" w:cs="Arial"/>
          <w:sz w:val="24"/>
          <w:szCs w:val="24"/>
        </w:rPr>
        <w:t>NSC (items C10</w:t>
      </w:r>
      <w:r w:rsidR="00F402B1" w:rsidRPr="00A30291">
        <w:rPr>
          <w:rFonts w:ascii="Arial" w:hAnsi="Arial" w:cs="Arial"/>
          <w:sz w:val="24"/>
          <w:szCs w:val="24"/>
        </w:rPr>
        <w:t xml:space="preserve">-C13), and </w:t>
      </w:r>
      <w:r w:rsidR="001474A6" w:rsidRPr="00A30291">
        <w:rPr>
          <w:rFonts w:ascii="Arial" w:hAnsi="Arial" w:cs="Arial"/>
          <w:sz w:val="24"/>
          <w:szCs w:val="24"/>
        </w:rPr>
        <w:t xml:space="preserve">three items to measure </w:t>
      </w:r>
      <w:r w:rsidR="00F402B1" w:rsidRPr="00A30291">
        <w:rPr>
          <w:rFonts w:ascii="Arial" w:hAnsi="Arial" w:cs="Arial"/>
          <w:sz w:val="24"/>
          <w:szCs w:val="24"/>
        </w:rPr>
        <w:t xml:space="preserve">DR (items C14-C16). </w:t>
      </w:r>
    </w:p>
    <w:p w14:paraId="41B0F24E" w14:textId="358D374C" w:rsidR="001D74F0" w:rsidRPr="00A30291" w:rsidRDefault="009E6544" w:rsidP="001D74F0">
      <w:pPr>
        <w:spacing w:line="480" w:lineRule="auto"/>
        <w:ind w:firstLine="720"/>
        <w:rPr>
          <w:rFonts w:ascii="Arial" w:hAnsi="Arial" w:cs="Arial"/>
          <w:sz w:val="24"/>
          <w:szCs w:val="24"/>
        </w:rPr>
      </w:pPr>
      <w:r w:rsidRPr="00A30291">
        <w:rPr>
          <w:rFonts w:ascii="Arial" w:hAnsi="Arial" w:cs="Arial"/>
          <w:sz w:val="24"/>
          <w:szCs w:val="24"/>
        </w:rPr>
        <w:t>The primary aim</w:t>
      </w:r>
      <w:r w:rsidR="001474A6" w:rsidRPr="00A30291">
        <w:rPr>
          <w:rFonts w:ascii="Arial" w:hAnsi="Arial" w:cs="Arial"/>
          <w:sz w:val="24"/>
          <w:szCs w:val="24"/>
        </w:rPr>
        <w:t>s</w:t>
      </w:r>
      <w:r w:rsidRPr="00A30291">
        <w:rPr>
          <w:rFonts w:ascii="Arial" w:hAnsi="Arial" w:cs="Arial"/>
          <w:sz w:val="24"/>
          <w:szCs w:val="24"/>
        </w:rPr>
        <w:t xml:space="preserve"> of this study </w:t>
      </w:r>
      <w:r w:rsidR="001474A6" w:rsidRPr="00A30291">
        <w:rPr>
          <w:rFonts w:ascii="Arial" w:hAnsi="Arial" w:cs="Arial"/>
          <w:sz w:val="24"/>
          <w:szCs w:val="24"/>
        </w:rPr>
        <w:t>were</w:t>
      </w:r>
      <w:r w:rsidRPr="00A30291">
        <w:rPr>
          <w:rFonts w:ascii="Arial" w:hAnsi="Arial" w:cs="Arial"/>
          <w:sz w:val="24"/>
          <w:szCs w:val="24"/>
        </w:rPr>
        <w:t xml:space="preserve"> </w:t>
      </w:r>
      <w:r w:rsidR="001474A6" w:rsidRPr="00A30291">
        <w:rPr>
          <w:rFonts w:ascii="Arial" w:hAnsi="Arial" w:cs="Arial"/>
          <w:sz w:val="24"/>
          <w:szCs w:val="24"/>
        </w:rPr>
        <w:t>to: (1) test the structural proposals of ICD-11 PTSD and CPTSD using a preliminary version of the ICD-TQ that c</w:t>
      </w:r>
      <w:r w:rsidR="00861C3F" w:rsidRPr="00A30291">
        <w:rPr>
          <w:rFonts w:ascii="Arial" w:hAnsi="Arial" w:cs="Arial"/>
          <w:sz w:val="24"/>
          <w:szCs w:val="24"/>
        </w:rPr>
        <w:t>ontains a large</w:t>
      </w:r>
      <w:r w:rsidR="00F52A02" w:rsidRPr="00A30291">
        <w:rPr>
          <w:rFonts w:ascii="Arial" w:hAnsi="Arial" w:cs="Arial"/>
          <w:sz w:val="24"/>
          <w:szCs w:val="24"/>
        </w:rPr>
        <w:t>r</w:t>
      </w:r>
      <w:r w:rsidR="00861C3F" w:rsidRPr="00A30291">
        <w:rPr>
          <w:rFonts w:ascii="Arial" w:hAnsi="Arial" w:cs="Arial"/>
          <w:sz w:val="24"/>
          <w:szCs w:val="24"/>
        </w:rPr>
        <w:t xml:space="preserve"> pool of items </w:t>
      </w:r>
      <w:r w:rsidR="001474A6" w:rsidRPr="00A30291">
        <w:rPr>
          <w:rFonts w:ascii="Arial" w:hAnsi="Arial" w:cs="Arial"/>
          <w:sz w:val="24"/>
          <w:szCs w:val="24"/>
        </w:rPr>
        <w:t>reflect</w:t>
      </w:r>
      <w:r w:rsidR="00F52A02" w:rsidRPr="00A30291">
        <w:rPr>
          <w:rFonts w:ascii="Arial" w:hAnsi="Arial" w:cs="Arial"/>
          <w:sz w:val="24"/>
          <w:szCs w:val="24"/>
        </w:rPr>
        <w:t>ing</w:t>
      </w:r>
      <w:r w:rsidR="001474A6" w:rsidRPr="00A30291">
        <w:rPr>
          <w:rFonts w:ascii="Arial" w:hAnsi="Arial" w:cs="Arial"/>
          <w:sz w:val="24"/>
          <w:szCs w:val="24"/>
        </w:rPr>
        <w:t xml:space="preserve"> </w:t>
      </w:r>
      <w:r w:rsidR="00F52A02" w:rsidRPr="00A30291">
        <w:rPr>
          <w:rFonts w:ascii="Arial" w:hAnsi="Arial" w:cs="Arial"/>
          <w:sz w:val="24"/>
          <w:szCs w:val="24"/>
        </w:rPr>
        <w:t>the CPTSD</w:t>
      </w:r>
      <w:r w:rsidR="001474A6" w:rsidRPr="00A30291">
        <w:rPr>
          <w:rFonts w:ascii="Arial" w:hAnsi="Arial" w:cs="Arial"/>
          <w:sz w:val="24"/>
          <w:szCs w:val="24"/>
        </w:rPr>
        <w:t xml:space="preserve"> symptom cluster</w:t>
      </w:r>
      <w:r w:rsidR="00F52A02" w:rsidRPr="00A30291">
        <w:rPr>
          <w:rFonts w:ascii="Arial" w:hAnsi="Arial" w:cs="Arial"/>
          <w:sz w:val="24"/>
          <w:szCs w:val="24"/>
        </w:rPr>
        <w:t>s</w:t>
      </w:r>
      <w:r w:rsidR="001474A6" w:rsidRPr="00A30291">
        <w:rPr>
          <w:rFonts w:ascii="Arial" w:hAnsi="Arial" w:cs="Arial"/>
          <w:sz w:val="24"/>
          <w:szCs w:val="24"/>
        </w:rPr>
        <w:t xml:space="preserve">, (2) assess the internal reliability of the ICD-TQ, and (3) assess the convergent and discriminant validity of the ICD-TQ. A number of hypotheses were formulated based on these research aims. </w:t>
      </w:r>
      <w:r w:rsidRPr="00A30291">
        <w:rPr>
          <w:rFonts w:ascii="Arial" w:hAnsi="Arial" w:cs="Arial"/>
          <w:sz w:val="24"/>
          <w:szCs w:val="24"/>
        </w:rPr>
        <w:t>First, it was predicted that</w:t>
      </w:r>
      <w:r w:rsidR="001D74F0" w:rsidRPr="00A30291">
        <w:rPr>
          <w:rFonts w:ascii="Arial" w:hAnsi="Arial" w:cs="Arial"/>
          <w:sz w:val="24"/>
          <w:szCs w:val="24"/>
        </w:rPr>
        <w:t xml:space="preserve"> factorial</w:t>
      </w:r>
      <w:r w:rsidRPr="00A30291">
        <w:rPr>
          <w:rFonts w:ascii="Arial" w:hAnsi="Arial" w:cs="Arial"/>
          <w:sz w:val="24"/>
          <w:szCs w:val="24"/>
        </w:rPr>
        <w:t xml:space="preserve"> models </w:t>
      </w:r>
      <w:r w:rsidR="00EE7539" w:rsidRPr="00A30291">
        <w:rPr>
          <w:rFonts w:ascii="Arial" w:hAnsi="Arial" w:cs="Arial"/>
          <w:sz w:val="24"/>
          <w:szCs w:val="24"/>
        </w:rPr>
        <w:t xml:space="preserve">for CPTSD </w:t>
      </w:r>
      <w:r w:rsidRPr="00A30291">
        <w:rPr>
          <w:rFonts w:ascii="Arial" w:hAnsi="Arial" w:cs="Arial"/>
          <w:sz w:val="24"/>
          <w:szCs w:val="24"/>
        </w:rPr>
        <w:t>with two</w:t>
      </w:r>
      <w:r w:rsidR="001D74F0" w:rsidRPr="00A30291">
        <w:rPr>
          <w:rFonts w:ascii="Arial" w:hAnsi="Arial" w:cs="Arial"/>
          <w:sz w:val="24"/>
          <w:szCs w:val="24"/>
        </w:rPr>
        <w:t xml:space="preserve"> higher-order</w:t>
      </w:r>
      <w:r w:rsidRPr="00A30291">
        <w:rPr>
          <w:rFonts w:ascii="Arial" w:hAnsi="Arial" w:cs="Arial"/>
          <w:sz w:val="24"/>
          <w:szCs w:val="24"/>
        </w:rPr>
        <w:t xml:space="preserve"> factors representing PTSD and</w:t>
      </w:r>
      <w:r w:rsidR="00E23C68" w:rsidRPr="00A30291">
        <w:rPr>
          <w:rFonts w:ascii="Arial" w:hAnsi="Arial" w:cs="Arial"/>
          <w:sz w:val="24"/>
          <w:szCs w:val="24"/>
        </w:rPr>
        <w:t xml:space="preserve"> </w:t>
      </w:r>
      <w:r w:rsidRPr="00A30291">
        <w:rPr>
          <w:rFonts w:ascii="Arial" w:hAnsi="Arial" w:cs="Arial"/>
          <w:sz w:val="24"/>
          <w:szCs w:val="24"/>
        </w:rPr>
        <w:t xml:space="preserve">DSO would </w:t>
      </w:r>
      <w:r w:rsidR="00E23C68" w:rsidRPr="00A30291">
        <w:rPr>
          <w:rFonts w:ascii="Arial" w:hAnsi="Arial" w:cs="Arial"/>
          <w:sz w:val="24"/>
          <w:szCs w:val="24"/>
        </w:rPr>
        <w:t xml:space="preserve">perform </w:t>
      </w:r>
      <w:r w:rsidRPr="00A30291">
        <w:rPr>
          <w:rFonts w:ascii="Arial" w:hAnsi="Arial" w:cs="Arial"/>
          <w:sz w:val="24"/>
          <w:szCs w:val="24"/>
        </w:rPr>
        <w:t>better than models that do not differentiate between PTSD and DSO</w:t>
      </w:r>
      <w:r w:rsidR="00EE7539" w:rsidRPr="00A30291">
        <w:rPr>
          <w:rFonts w:ascii="Arial" w:hAnsi="Arial" w:cs="Arial"/>
          <w:sz w:val="24"/>
          <w:szCs w:val="24"/>
        </w:rPr>
        <w:t>.</w:t>
      </w:r>
      <w:r w:rsidRPr="00A30291">
        <w:rPr>
          <w:rFonts w:ascii="Arial" w:hAnsi="Arial" w:cs="Arial"/>
          <w:sz w:val="24"/>
          <w:szCs w:val="24"/>
        </w:rPr>
        <w:t xml:space="preserve"> </w:t>
      </w:r>
      <w:r w:rsidR="001474A6" w:rsidRPr="00A30291">
        <w:rPr>
          <w:rFonts w:ascii="Arial" w:hAnsi="Arial" w:cs="Arial"/>
          <w:sz w:val="24"/>
          <w:szCs w:val="24"/>
        </w:rPr>
        <w:t xml:space="preserve">Second, it was predicted that the ICD-TQ would demonstrate </w:t>
      </w:r>
      <w:r w:rsidR="001D74F0" w:rsidRPr="00A30291">
        <w:rPr>
          <w:rFonts w:ascii="Arial" w:hAnsi="Arial" w:cs="Arial"/>
          <w:sz w:val="24"/>
          <w:szCs w:val="24"/>
        </w:rPr>
        <w:t>satisfactory</w:t>
      </w:r>
      <w:r w:rsidR="001474A6" w:rsidRPr="00A30291">
        <w:rPr>
          <w:rFonts w:ascii="Arial" w:hAnsi="Arial" w:cs="Arial"/>
          <w:sz w:val="24"/>
          <w:szCs w:val="24"/>
        </w:rPr>
        <w:t xml:space="preserve"> internal reliability. Third,</w:t>
      </w:r>
      <w:r w:rsidRPr="00A30291">
        <w:rPr>
          <w:rFonts w:ascii="Arial" w:hAnsi="Arial" w:cs="Arial"/>
          <w:sz w:val="24"/>
          <w:szCs w:val="24"/>
        </w:rPr>
        <w:t xml:space="preserve"> it was predicted that there </w:t>
      </w:r>
      <w:r w:rsidR="006A6771" w:rsidRPr="00A30291">
        <w:rPr>
          <w:rFonts w:ascii="Arial" w:hAnsi="Arial" w:cs="Arial"/>
          <w:sz w:val="24"/>
          <w:szCs w:val="24"/>
        </w:rPr>
        <w:t>w</w:t>
      </w:r>
      <w:r w:rsidRPr="00A30291">
        <w:rPr>
          <w:rFonts w:ascii="Arial" w:hAnsi="Arial" w:cs="Arial"/>
          <w:sz w:val="24"/>
          <w:szCs w:val="24"/>
        </w:rPr>
        <w:t>ould be evidence of convergent and discriminant validity</w:t>
      </w:r>
      <w:r w:rsidR="009132FB" w:rsidRPr="00A30291">
        <w:rPr>
          <w:rFonts w:ascii="Arial" w:hAnsi="Arial" w:cs="Arial"/>
          <w:sz w:val="24"/>
          <w:szCs w:val="24"/>
        </w:rPr>
        <w:t>.</w:t>
      </w:r>
      <w:r w:rsidRPr="00A30291">
        <w:rPr>
          <w:rFonts w:ascii="Arial" w:hAnsi="Arial" w:cs="Arial"/>
          <w:sz w:val="24"/>
          <w:szCs w:val="24"/>
        </w:rPr>
        <w:t xml:space="preserve"> </w:t>
      </w:r>
      <w:r w:rsidR="007C4D6A" w:rsidRPr="00A30291">
        <w:rPr>
          <w:rFonts w:ascii="Arial" w:hAnsi="Arial" w:cs="Arial"/>
          <w:sz w:val="24"/>
          <w:szCs w:val="24"/>
        </w:rPr>
        <w:t xml:space="preserve">Convergent validity would be </w:t>
      </w:r>
      <w:r w:rsidRPr="00A30291">
        <w:rPr>
          <w:rFonts w:ascii="Arial" w:hAnsi="Arial" w:cs="Arial"/>
          <w:sz w:val="24"/>
          <w:szCs w:val="24"/>
        </w:rPr>
        <w:t>evidenced by the I</w:t>
      </w:r>
      <w:r w:rsidR="00156D90" w:rsidRPr="00A30291">
        <w:rPr>
          <w:rFonts w:ascii="Arial" w:hAnsi="Arial" w:cs="Arial"/>
          <w:sz w:val="24"/>
          <w:szCs w:val="24"/>
        </w:rPr>
        <w:t>CD-T</w:t>
      </w:r>
      <w:r w:rsidR="001372DE" w:rsidRPr="00A30291">
        <w:rPr>
          <w:rFonts w:ascii="Arial" w:hAnsi="Arial" w:cs="Arial"/>
          <w:sz w:val="24"/>
          <w:szCs w:val="24"/>
        </w:rPr>
        <w:t>Q</w:t>
      </w:r>
      <w:r w:rsidRPr="00A30291">
        <w:rPr>
          <w:rFonts w:ascii="Arial" w:hAnsi="Arial" w:cs="Arial"/>
          <w:sz w:val="24"/>
          <w:szCs w:val="24"/>
        </w:rPr>
        <w:t xml:space="preserve"> </w:t>
      </w:r>
      <w:r w:rsidR="00EC0692" w:rsidRPr="00A30291">
        <w:rPr>
          <w:rFonts w:ascii="Arial" w:hAnsi="Arial" w:cs="Arial"/>
          <w:sz w:val="24"/>
          <w:szCs w:val="24"/>
        </w:rPr>
        <w:t>PTSD (scale and sub-scales)</w:t>
      </w:r>
      <w:r w:rsidR="00861C3F" w:rsidRPr="00A30291">
        <w:rPr>
          <w:rFonts w:ascii="Arial" w:hAnsi="Arial" w:cs="Arial"/>
          <w:sz w:val="24"/>
          <w:szCs w:val="24"/>
        </w:rPr>
        <w:t xml:space="preserve"> factors</w:t>
      </w:r>
      <w:r w:rsidR="00EC0692" w:rsidRPr="00A30291">
        <w:rPr>
          <w:rFonts w:ascii="Arial" w:hAnsi="Arial" w:cs="Arial"/>
          <w:sz w:val="24"/>
          <w:szCs w:val="24"/>
        </w:rPr>
        <w:t xml:space="preserve"> </w:t>
      </w:r>
      <w:r w:rsidRPr="00A30291">
        <w:rPr>
          <w:rFonts w:ascii="Arial" w:hAnsi="Arial" w:cs="Arial"/>
          <w:sz w:val="24"/>
          <w:szCs w:val="24"/>
        </w:rPr>
        <w:t xml:space="preserve">correlating </w:t>
      </w:r>
      <w:r w:rsidR="007C4D6A" w:rsidRPr="00A30291">
        <w:rPr>
          <w:rFonts w:ascii="Arial" w:hAnsi="Arial" w:cs="Arial"/>
          <w:sz w:val="24"/>
          <w:szCs w:val="24"/>
        </w:rPr>
        <w:t xml:space="preserve">positively and </w:t>
      </w:r>
      <w:r w:rsidRPr="00A30291">
        <w:rPr>
          <w:rFonts w:ascii="Arial" w:hAnsi="Arial" w:cs="Arial"/>
          <w:sz w:val="24"/>
          <w:szCs w:val="24"/>
        </w:rPr>
        <w:t xml:space="preserve">strongly with </w:t>
      </w:r>
      <w:r w:rsidR="001D74F0" w:rsidRPr="00A30291">
        <w:rPr>
          <w:rFonts w:ascii="Arial" w:hAnsi="Arial" w:cs="Arial"/>
          <w:sz w:val="24"/>
          <w:szCs w:val="24"/>
        </w:rPr>
        <w:t>three</w:t>
      </w:r>
      <w:r w:rsidR="007C4D6A" w:rsidRPr="00A30291">
        <w:rPr>
          <w:rFonts w:ascii="Arial" w:hAnsi="Arial" w:cs="Arial"/>
          <w:sz w:val="24"/>
          <w:szCs w:val="24"/>
        </w:rPr>
        <w:t xml:space="preserve"> dimensions of </w:t>
      </w:r>
      <w:r w:rsidRPr="00A30291">
        <w:rPr>
          <w:rFonts w:ascii="Arial" w:hAnsi="Arial" w:cs="Arial"/>
          <w:sz w:val="24"/>
          <w:szCs w:val="24"/>
        </w:rPr>
        <w:t>another criterion measure of</w:t>
      </w:r>
      <w:r w:rsidR="001D74F0" w:rsidRPr="00A30291">
        <w:rPr>
          <w:rFonts w:ascii="Arial" w:hAnsi="Arial" w:cs="Arial"/>
          <w:sz w:val="24"/>
          <w:szCs w:val="24"/>
        </w:rPr>
        <w:t xml:space="preserve"> </w:t>
      </w:r>
      <w:r w:rsidR="00861C3F" w:rsidRPr="00A30291">
        <w:rPr>
          <w:rFonts w:ascii="Arial" w:hAnsi="Arial" w:cs="Arial"/>
          <w:sz w:val="24"/>
          <w:szCs w:val="24"/>
        </w:rPr>
        <w:t>(</w:t>
      </w:r>
      <w:r w:rsidR="001D74F0" w:rsidRPr="00A30291">
        <w:rPr>
          <w:rFonts w:ascii="Arial" w:hAnsi="Arial" w:cs="Arial"/>
          <w:sz w:val="24"/>
          <w:szCs w:val="24"/>
        </w:rPr>
        <w:t>DSM-5</w:t>
      </w:r>
      <w:r w:rsidR="00861C3F" w:rsidRPr="00A30291">
        <w:rPr>
          <w:rFonts w:ascii="Arial" w:hAnsi="Arial" w:cs="Arial"/>
          <w:sz w:val="24"/>
          <w:szCs w:val="24"/>
        </w:rPr>
        <w:t>)</w:t>
      </w:r>
      <w:r w:rsidRPr="00A30291">
        <w:rPr>
          <w:rFonts w:ascii="Arial" w:hAnsi="Arial" w:cs="Arial"/>
          <w:sz w:val="24"/>
          <w:szCs w:val="24"/>
        </w:rPr>
        <w:t xml:space="preserve"> PTSD</w:t>
      </w:r>
      <w:r w:rsidR="00D772C0" w:rsidRPr="00A30291">
        <w:rPr>
          <w:rFonts w:ascii="Arial" w:hAnsi="Arial" w:cs="Arial"/>
          <w:sz w:val="24"/>
          <w:szCs w:val="24"/>
        </w:rPr>
        <w:t xml:space="preserve"> (</w:t>
      </w:r>
      <w:r w:rsidR="00F402B1" w:rsidRPr="00A30291">
        <w:rPr>
          <w:rFonts w:ascii="Arial" w:hAnsi="Arial" w:cs="Arial"/>
          <w:sz w:val="24"/>
          <w:szCs w:val="24"/>
        </w:rPr>
        <w:t>intrusions, avoidance</w:t>
      </w:r>
      <w:r w:rsidR="00671C00" w:rsidRPr="00A30291">
        <w:rPr>
          <w:rFonts w:ascii="Arial" w:hAnsi="Arial" w:cs="Arial"/>
          <w:sz w:val="24"/>
          <w:szCs w:val="24"/>
        </w:rPr>
        <w:t xml:space="preserve">, and </w:t>
      </w:r>
      <w:r w:rsidR="009132FB" w:rsidRPr="00A30291">
        <w:rPr>
          <w:rStyle w:val="apple-converted-space"/>
          <w:rFonts w:ascii="Arial" w:hAnsi="Arial" w:cs="Arial"/>
          <w:sz w:val="24"/>
          <w:szCs w:val="24"/>
          <w:shd w:val="clear" w:color="auto" w:fill="FFFFFF"/>
        </w:rPr>
        <w:t>a</w:t>
      </w:r>
      <w:r w:rsidR="00671C00" w:rsidRPr="00A30291">
        <w:rPr>
          <w:rStyle w:val="apple-converted-space"/>
          <w:rFonts w:ascii="Arial" w:hAnsi="Arial" w:cs="Arial"/>
          <w:sz w:val="24"/>
          <w:szCs w:val="24"/>
          <w:shd w:val="clear" w:color="auto" w:fill="FFFFFF"/>
        </w:rPr>
        <w:t>lterations in arousal and reactivity</w:t>
      </w:r>
      <w:r w:rsidR="00671C00" w:rsidRPr="00A30291">
        <w:rPr>
          <w:rFonts w:ascii="Arial" w:hAnsi="Arial" w:cs="Arial"/>
          <w:sz w:val="24"/>
          <w:szCs w:val="24"/>
        </w:rPr>
        <w:t xml:space="preserve"> subscales of the PCL-5</w:t>
      </w:r>
      <w:r w:rsidR="00D772C0" w:rsidRPr="00A30291">
        <w:rPr>
          <w:rFonts w:ascii="Arial" w:hAnsi="Arial" w:cs="Arial"/>
          <w:sz w:val="24"/>
          <w:szCs w:val="24"/>
        </w:rPr>
        <w:t>)</w:t>
      </w:r>
      <w:r w:rsidRPr="00A30291">
        <w:rPr>
          <w:rFonts w:ascii="Arial" w:hAnsi="Arial" w:cs="Arial"/>
          <w:sz w:val="24"/>
          <w:szCs w:val="24"/>
        </w:rPr>
        <w:t xml:space="preserve">, </w:t>
      </w:r>
      <w:r w:rsidR="007C4D6A" w:rsidRPr="00A30291">
        <w:rPr>
          <w:rFonts w:ascii="Arial" w:hAnsi="Arial" w:cs="Arial"/>
          <w:sz w:val="24"/>
          <w:szCs w:val="24"/>
        </w:rPr>
        <w:t>whereas discriminant validity would be indicated if the ICD-TQ PTSD (scale and sub-scales)</w:t>
      </w:r>
      <w:r w:rsidR="00861C3F" w:rsidRPr="00A30291">
        <w:rPr>
          <w:rFonts w:ascii="Arial" w:hAnsi="Arial" w:cs="Arial"/>
          <w:sz w:val="24"/>
          <w:szCs w:val="24"/>
        </w:rPr>
        <w:t xml:space="preserve"> factors</w:t>
      </w:r>
      <w:r w:rsidR="007C4D6A" w:rsidRPr="00A30291">
        <w:rPr>
          <w:rFonts w:ascii="Arial" w:hAnsi="Arial" w:cs="Arial"/>
          <w:sz w:val="24"/>
          <w:szCs w:val="24"/>
        </w:rPr>
        <w:t xml:space="preserve"> correlated less strongly with</w:t>
      </w:r>
      <w:r w:rsidRPr="00A30291">
        <w:rPr>
          <w:rFonts w:ascii="Arial" w:hAnsi="Arial" w:cs="Arial"/>
          <w:sz w:val="24"/>
          <w:szCs w:val="24"/>
        </w:rPr>
        <w:t xml:space="preserve"> other criterion measures of </w:t>
      </w:r>
      <w:r w:rsidR="001D74F0" w:rsidRPr="00A30291">
        <w:rPr>
          <w:rFonts w:ascii="Arial" w:hAnsi="Arial" w:cs="Arial"/>
          <w:sz w:val="24"/>
          <w:szCs w:val="24"/>
        </w:rPr>
        <w:t>DSO</w:t>
      </w:r>
      <w:r w:rsidR="00671C00" w:rsidRPr="00A30291">
        <w:rPr>
          <w:rFonts w:ascii="Arial" w:hAnsi="Arial" w:cs="Arial"/>
          <w:sz w:val="24"/>
          <w:szCs w:val="24"/>
        </w:rPr>
        <w:t xml:space="preserve"> (</w:t>
      </w:r>
      <w:r w:rsidR="00F402B1" w:rsidRPr="00A30291">
        <w:rPr>
          <w:rFonts w:ascii="Arial" w:hAnsi="Arial" w:cs="Arial"/>
          <w:sz w:val="24"/>
          <w:szCs w:val="24"/>
        </w:rPr>
        <w:t xml:space="preserve">the negative alterations in cognition and mood scale of the PCL-5, the </w:t>
      </w:r>
      <w:r w:rsidR="00671C00" w:rsidRPr="00A30291">
        <w:rPr>
          <w:rFonts w:ascii="Arial" w:hAnsi="Arial" w:cs="Arial"/>
          <w:iCs/>
          <w:sz w:val="24"/>
          <w:szCs w:val="24"/>
        </w:rPr>
        <w:t xml:space="preserve">Difficulties in Emotional Regulation Scale, </w:t>
      </w:r>
      <w:r w:rsidR="00F402B1" w:rsidRPr="00A30291">
        <w:rPr>
          <w:rFonts w:ascii="Arial" w:hAnsi="Arial" w:cs="Arial"/>
          <w:iCs/>
          <w:sz w:val="24"/>
          <w:szCs w:val="24"/>
        </w:rPr>
        <w:t xml:space="preserve">the </w:t>
      </w:r>
      <w:r w:rsidR="00671C00" w:rsidRPr="00A30291">
        <w:rPr>
          <w:rFonts w:ascii="Arial" w:hAnsi="Arial" w:cs="Arial"/>
          <w:iCs/>
          <w:sz w:val="24"/>
          <w:szCs w:val="24"/>
        </w:rPr>
        <w:t xml:space="preserve">Rosenberg Self-esteem Scale, and the </w:t>
      </w:r>
      <w:r w:rsidR="00671C00" w:rsidRPr="00A30291">
        <w:rPr>
          <w:rFonts w:ascii="Arial" w:hAnsi="Arial" w:cs="Arial"/>
          <w:iCs/>
          <w:spacing w:val="4"/>
          <w:sz w:val="24"/>
          <w:szCs w:val="24"/>
        </w:rPr>
        <w:t>Inventory of Interpersonal Problems</w:t>
      </w:r>
      <w:r w:rsidR="00671C00" w:rsidRPr="00A30291">
        <w:rPr>
          <w:rFonts w:ascii="Arial" w:hAnsi="Arial" w:cs="Arial"/>
          <w:sz w:val="24"/>
          <w:szCs w:val="24"/>
        </w:rPr>
        <w:t>)</w:t>
      </w:r>
      <w:r w:rsidRPr="00A30291">
        <w:rPr>
          <w:rFonts w:ascii="Arial" w:hAnsi="Arial" w:cs="Arial"/>
          <w:sz w:val="24"/>
          <w:szCs w:val="24"/>
        </w:rPr>
        <w:t xml:space="preserve">. </w:t>
      </w:r>
      <w:r w:rsidR="00306796" w:rsidRPr="00A30291">
        <w:rPr>
          <w:rFonts w:ascii="Arial" w:hAnsi="Arial" w:cs="Arial"/>
          <w:sz w:val="24"/>
          <w:szCs w:val="24"/>
        </w:rPr>
        <w:t>Similarly, i</w:t>
      </w:r>
      <w:r w:rsidR="001372DE" w:rsidRPr="00A30291">
        <w:rPr>
          <w:rFonts w:ascii="Arial" w:hAnsi="Arial" w:cs="Arial"/>
          <w:sz w:val="24"/>
          <w:szCs w:val="24"/>
        </w:rPr>
        <w:t>t</w:t>
      </w:r>
      <w:r w:rsidRPr="00A30291">
        <w:rPr>
          <w:rFonts w:ascii="Arial" w:hAnsi="Arial" w:cs="Arial"/>
          <w:sz w:val="24"/>
          <w:szCs w:val="24"/>
        </w:rPr>
        <w:t xml:space="preserve"> was </w:t>
      </w:r>
      <w:r w:rsidR="001372DE" w:rsidRPr="00A30291">
        <w:rPr>
          <w:rFonts w:ascii="Arial" w:hAnsi="Arial" w:cs="Arial"/>
          <w:sz w:val="24"/>
          <w:szCs w:val="24"/>
        </w:rPr>
        <w:t>also predicted that</w:t>
      </w:r>
      <w:r w:rsidRPr="00A30291">
        <w:rPr>
          <w:rFonts w:ascii="Arial" w:hAnsi="Arial" w:cs="Arial"/>
          <w:sz w:val="24"/>
          <w:szCs w:val="24"/>
        </w:rPr>
        <w:t xml:space="preserve"> the scale and subscale scores for the DSO </w:t>
      </w:r>
      <w:r w:rsidR="00861C3F" w:rsidRPr="00A30291">
        <w:rPr>
          <w:rFonts w:ascii="Arial" w:hAnsi="Arial" w:cs="Arial"/>
          <w:sz w:val="24"/>
          <w:szCs w:val="24"/>
        </w:rPr>
        <w:t>factors</w:t>
      </w:r>
      <w:r w:rsidRPr="00A30291">
        <w:rPr>
          <w:rFonts w:ascii="Arial" w:hAnsi="Arial" w:cs="Arial"/>
          <w:sz w:val="24"/>
          <w:szCs w:val="24"/>
        </w:rPr>
        <w:t xml:space="preserve"> </w:t>
      </w:r>
      <w:r w:rsidR="001372DE" w:rsidRPr="00A30291">
        <w:rPr>
          <w:rFonts w:ascii="Arial" w:hAnsi="Arial" w:cs="Arial"/>
          <w:sz w:val="24"/>
          <w:szCs w:val="24"/>
        </w:rPr>
        <w:t>w</w:t>
      </w:r>
      <w:r w:rsidRPr="00A30291">
        <w:rPr>
          <w:rFonts w:ascii="Arial" w:hAnsi="Arial" w:cs="Arial"/>
          <w:sz w:val="24"/>
          <w:szCs w:val="24"/>
        </w:rPr>
        <w:t xml:space="preserve">ould correlate more strongly with other criterion measures of emotional regulation </w:t>
      </w:r>
      <w:r w:rsidR="001372DE" w:rsidRPr="00A30291">
        <w:rPr>
          <w:rFonts w:ascii="Arial" w:hAnsi="Arial" w:cs="Arial"/>
          <w:sz w:val="24"/>
          <w:szCs w:val="24"/>
        </w:rPr>
        <w:t xml:space="preserve">than the </w:t>
      </w:r>
      <w:r w:rsidRPr="00A30291">
        <w:rPr>
          <w:rFonts w:ascii="Arial" w:hAnsi="Arial" w:cs="Arial"/>
          <w:sz w:val="24"/>
          <w:szCs w:val="24"/>
        </w:rPr>
        <w:t>PTSD</w:t>
      </w:r>
      <w:r w:rsidR="001372DE" w:rsidRPr="00A30291">
        <w:rPr>
          <w:rFonts w:ascii="Arial" w:hAnsi="Arial" w:cs="Arial"/>
          <w:sz w:val="24"/>
          <w:szCs w:val="24"/>
        </w:rPr>
        <w:t xml:space="preserve"> </w:t>
      </w:r>
      <w:r w:rsidR="00861C3F" w:rsidRPr="00A30291">
        <w:rPr>
          <w:rFonts w:ascii="Arial" w:hAnsi="Arial" w:cs="Arial"/>
          <w:sz w:val="24"/>
          <w:szCs w:val="24"/>
        </w:rPr>
        <w:t>factors</w:t>
      </w:r>
      <w:r w:rsidRPr="00A30291">
        <w:rPr>
          <w:rFonts w:ascii="Arial" w:hAnsi="Arial" w:cs="Arial"/>
          <w:sz w:val="24"/>
          <w:szCs w:val="24"/>
        </w:rPr>
        <w:t>.</w:t>
      </w:r>
    </w:p>
    <w:p w14:paraId="5CF8A0A0" w14:textId="3C4C803D" w:rsidR="009E6544" w:rsidRPr="00A30291" w:rsidRDefault="009E6544" w:rsidP="001D74F0">
      <w:pPr>
        <w:spacing w:line="480" w:lineRule="auto"/>
        <w:rPr>
          <w:rFonts w:ascii="Arial" w:hAnsi="Arial" w:cs="Arial"/>
          <w:b/>
          <w:bCs/>
          <w:sz w:val="24"/>
          <w:szCs w:val="24"/>
        </w:rPr>
      </w:pPr>
      <w:r w:rsidRPr="00A30291">
        <w:rPr>
          <w:rFonts w:ascii="Arial" w:hAnsi="Arial" w:cs="Arial"/>
          <w:b/>
          <w:bCs/>
          <w:sz w:val="24"/>
          <w:szCs w:val="24"/>
        </w:rPr>
        <w:t>Method</w:t>
      </w:r>
    </w:p>
    <w:p w14:paraId="4936F58A" w14:textId="77777777" w:rsidR="009E6544" w:rsidRPr="00A30291" w:rsidRDefault="009E6544" w:rsidP="003C3A41">
      <w:pPr>
        <w:spacing w:line="480" w:lineRule="auto"/>
        <w:rPr>
          <w:rFonts w:ascii="Arial" w:hAnsi="Arial" w:cs="Arial"/>
          <w:i/>
          <w:iCs/>
          <w:sz w:val="24"/>
          <w:szCs w:val="24"/>
        </w:rPr>
      </w:pPr>
      <w:r w:rsidRPr="00A30291">
        <w:rPr>
          <w:rFonts w:ascii="Arial" w:hAnsi="Arial" w:cs="Arial"/>
          <w:i/>
          <w:iCs/>
          <w:sz w:val="24"/>
          <w:szCs w:val="24"/>
        </w:rPr>
        <w:t>Participants and procedure</w:t>
      </w:r>
    </w:p>
    <w:p w14:paraId="48FBA0A2" w14:textId="26564182" w:rsidR="00394FC9" w:rsidRPr="00A30291" w:rsidRDefault="009E6544" w:rsidP="00394FC9">
      <w:pPr>
        <w:tabs>
          <w:tab w:val="left" w:pos="0"/>
        </w:tabs>
        <w:spacing w:before="113" w:after="170" w:line="480" w:lineRule="auto"/>
        <w:rPr>
          <w:rFonts w:asciiTheme="minorHAnsi" w:hAnsiTheme="minorHAnsi" w:cs="Arial"/>
          <w:szCs w:val="24"/>
        </w:rPr>
      </w:pPr>
      <w:r w:rsidRPr="00A30291">
        <w:rPr>
          <w:rFonts w:ascii="Arial" w:hAnsi="Arial" w:cs="Arial"/>
          <w:sz w:val="24"/>
          <w:szCs w:val="24"/>
        </w:rPr>
        <w:tab/>
        <w:t>Participants in this study w</w:t>
      </w:r>
      <w:r w:rsidR="00AE48EA" w:rsidRPr="00A30291">
        <w:rPr>
          <w:rFonts w:ascii="Arial" w:hAnsi="Arial" w:cs="Arial"/>
          <w:sz w:val="24"/>
          <w:szCs w:val="24"/>
        </w:rPr>
        <w:t>ere</w:t>
      </w:r>
      <w:r w:rsidRPr="00A30291">
        <w:rPr>
          <w:rFonts w:ascii="Arial" w:hAnsi="Arial" w:cs="Arial"/>
          <w:sz w:val="24"/>
          <w:szCs w:val="24"/>
        </w:rPr>
        <w:t xml:space="preserve"> individuals who were referred </w:t>
      </w:r>
      <w:r w:rsidR="00AE48EA" w:rsidRPr="00A30291">
        <w:rPr>
          <w:rFonts w:ascii="Arial" w:hAnsi="Arial" w:cs="Arial"/>
          <w:sz w:val="24"/>
          <w:szCs w:val="24"/>
        </w:rPr>
        <w:t xml:space="preserve">by </w:t>
      </w:r>
      <w:r w:rsidR="00814999" w:rsidRPr="00A30291">
        <w:rPr>
          <w:rFonts w:ascii="Arial" w:hAnsi="Arial" w:cs="Arial"/>
          <w:sz w:val="24"/>
          <w:szCs w:val="24"/>
        </w:rPr>
        <w:t>g</w:t>
      </w:r>
      <w:r w:rsidR="00AE48EA" w:rsidRPr="00A30291">
        <w:rPr>
          <w:rFonts w:ascii="Arial" w:hAnsi="Arial" w:cs="Arial"/>
          <w:sz w:val="24"/>
          <w:szCs w:val="24"/>
        </w:rPr>
        <w:t xml:space="preserve">eneral </w:t>
      </w:r>
      <w:r w:rsidR="00814999" w:rsidRPr="00A30291">
        <w:rPr>
          <w:rFonts w:ascii="Arial" w:hAnsi="Arial" w:cs="Arial"/>
          <w:sz w:val="24"/>
          <w:szCs w:val="24"/>
        </w:rPr>
        <w:t>p</w:t>
      </w:r>
      <w:r w:rsidR="00AE48EA" w:rsidRPr="00A30291">
        <w:rPr>
          <w:rFonts w:ascii="Arial" w:hAnsi="Arial" w:cs="Arial"/>
          <w:sz w:val="24"/>
          <w:szCs w:val="24"/>
        </w:rPr>
        <w:t xml:space="preserve">ractitioners, </w:t>
      </w:r>
      <w:r w:rsidR="00814999" w:rsidRPr="00A30291">
        <w:rPr>
          <w:rFonts w:ascii="Arial" w:hAnsi="Arial" w:cs="Arial"/>
          <w:sz w:val="24"/>
          <w:szCs w:val="24"/>
        </w:rPr>
        <w:t>p</w:t>
      </w:r>
      <w:r w:rsidR="00AE48EA" w:rsidRPr="00A30291">
        <w:rPr>
          <w:rFonts w:ascii="Arial" w:hAnsi="Arial" w:cs="Arial"/>
          <w:sz w:val="24"/>
          <w:szCs w:val="24"/>
        </w:rPr>
        <w:t xml:space="preserve">sychiatrists or </w:t>
      </w:r>
      <w:r w:rsidR="00814999" w:rsidRPr="00A30291">
        <w:rPr>
          <w:rFonts w:ascii="Arial" w:hAnsi="Arial" w:cs="Arial"/>
          <w:sz w:val="24"/>
          <w:szCs w:val="24"/>
        </w:rPr>
        <w:t>p</w:t>
      </w:r>
      <w:r w:rsidR="00AE48EA" w:rsidRPr="00A30291">
        <w:rPr>
          <w:rFonts w:ascii="Arial" w:hAnsi="Arial" w:cs="Arial"/>
          <w:sz w:val="24"/>
          <w:szCs w:val="24"/>
        </w:rPr>
        <w:t xml:space="preserve">sychologists </w:t>
      </w:r>
      <w:r w:rsidRPr="00A30291">
        <w:rPr>
          <w:rFonts w:ascii="Arial" w:hAnsi="Arial" w:cs="Arial"/>
          <w:sz w:val="24"/>
          <w:szCs w:val="24"/>
        </w:rPr>
        <w:t xml:space="preserve">for psychological therapy to a National Health Service (NHS) trauma centre in Scotland.  </w:t>
      </w:r>
      <w:r w:rsidR="00894051" w:rsidRPr="00A30291">
        <w:rPr>
          <w:rFonts w:ascii="Arial" w:hAnsi="Arial" w:cs="Arial"/>
          <w:sz w:val="24"/>
          <w:szCs w:val="24"/>
        </w:rPr>
        <w:t xml:space="preserve">Cases of childhood, adulthood and both child and adulthood traumatisation </w:t>
      </w:r>
      <w:r w:rsidR="005D5C7A" w:rsidRPr="00A30291">
        <w:rPr>
          <w:rFonts w:ascii="Arial" w:hAnsi="Arial" w:cs="Arial"/>
          <w:sz w:val="24"/>
          <w:szCs w:val="24"/>
        </w:rPr>
        <w:t>were</w:t>
      </w:r>
      <w:r w:rsidR="00894051" w:rsidRPr="00A30291">
        <w:rPr>
          <w:rFonts w:ascii="Arial" w:hAnsi="Arial" w:cs="Arial"/>
          <w:sz w:val="24"/>
          <w:szCs w:val="24"/>
        </w:rPr>
        <w:t xml:space="preserve"> referred to the service.</w:t>
      </w:r>
      <w:r w:rsidR="0053120B" w:rsidRPr="00A30291">
        <w:rPr>
          <w:rFonts w:ascii="Arial" w:hAnsi="Arial" w:cs="Arial"/>
          <w:sz w:val="24"/>
          <w:szCs w:val="24"/>
        </w:rPr>
        <w:t xml:space="preserve"> </w:t>
      </w:r>
      <w:r w:rsidR="00AE48EA" w:rsidRPr="00A30291">
        <w:rPr>
          <w:rFonts w:ascii="Arial" w:hAnsi="Arial" w:cs="Arial"/>
          <w:sz w:val="24"/>
          <w:szCs w:val="24"/>
        </w:rPr>
        <w:t xml:space="preserve">All 230 new patients over the 18 month recruitment period were </w:t>
      </w:r>
      <w:r w:rsidR="00814999" w:rsidRPr="00A30291">
        <w:rPr>
          <w:rFonts w:ascii="Arial" w:hAnsi="Arial" w:cs="Arial"/>
          <w:sz w:val="24"/>
          <w:szCs w:val="24"/>
        </w:rPr>
        <w:t>sent a letter</w:t>
      </w:r>
      <w:r w:rsidRPr="00A30291">
        <w:rPr>
          <w:rFonts w:ascii="Arial" w:hAnsi="Arial" w:cs="Arial"/>
          <w:sz w:val="24"/>
          <w:szCs w:val="24"/>
        </w:rPr>
        <w:t xml:space="preserve"> and invited to complete a set of standardised measures. </w:t>
      </w:r>
      <w:r w:rsidR="00394FC9" w:rsidRPr="00A30291">
        <w:rPr>
          <w:rFonts w:ascii="Arial" w:hAnsi="Arial" w:cs="Arial"/>
          <w:sz w:val="24"/>
          <w:szCs w:val="24"/>
        </w:rPr>
        <w:t>Twenty-two did not respond and 13 provided unusable data due to large amounts of missing responses, and 2</w:t>
      </w:r>
      <w:r w:rsidR="004C16E4" w:rsidRPr="00A30291">
        <w:rPr>
          <w:rFonts w:ascii="Arial" w:hAnsi="Arial" w:cs="Arial"/>
          <w:sz w:val="24"/>
          <w:szCs w:val="24"/>
        </w:rPr>
        <w:t xml:space="preserve"> had missing scores on the ICD-</w:t>
      </w:r>
      <w:r w:rsidR="00394FC9" w:rsidRPr="00A30291">
        <w:rPr>
          <w:rFonts w:ascii="Arial" w:hAnsi="Arial" w:cs="Arial"/>
          <w:sz w:val="24"/>
          <w:szCs w:val="24"/>
        </w:rPr>
        <w:t xml:space="preserve">TQ which resulted in a final sample size of 193. </w:t>
      </w:r>
    </w:p>
    <w:p w14:paraId="48272483" w14:textId="3F873D7C" w:rsidR="009E6544" w:rsidRPr="00A30291" w:rsidRDefault="004B5A4B" w:rsidP="00707958">
      <w:pPr>
        <w:tabs>
          <w:tab w:val="left" w:pos="0"/>
        </w:tabs>
        <w:spacing w:before="113" w:after="170" w:line="480" w:lineRule="auto"/>
        <w:rPr>
          <w:rFonts w:ascii="Arial" w:hAnsi="Arial" w:cs="Arial"/>
          <w:sz w:val="24"/>
          <w:szCs w:val="24"/>
        </w:rPr>
      </w:pPr>
      <w:r w:rsidRPr="00A30291">
        <w:rPr>
          <w:rFonts w:ascii="Arial" w:hAnsi="Arial" w:cs="Arial"/>
          <w:sz w:val="24"/>
          <w:szCs w:val="24"/>
        </w:rPr>
        <w:tab/>
      </w:r>
      <w:r w:rsidR="009E6544" w:rsidRPr="00A30291">
        <w:rPr>
          <w:rFonts w:ascii="Arial" w:hAnsi="Arial" w:cs="Arial"/>
          <w:sz w:val="24"/>
          <w:szCs w:val="24"/>
        </w:rPr>
        <w:t>The mean age of the sample was 4</w:t>
      </w:r>
      <w:r w:rsidR="00870BD7" w:rsidRPr="00A30291">
        <w:rPr>
          <w:rFonts w:ascii="Arial" w:hAnsi="Arial" w:cs="Arial"/>
          <w:sz w:val="24"/>
          <w:szCs w:val="24"/>
        </w:rPr>
        <w:t>0.7</w:t>
      </w:r>
      <w:r w:rsidR="009E6544" w:rsidRPr="00A30291">
        <w:rPr>
          <w:rFonts w:ascii="Arial" w:hAnsi="Arial" w:cs="Arial"/>
          <w:sz w:val="24"/>
          <w:szCs w:val="24"/>
        </w:rPr>
        <w:t xml:space="preserve"> years (SD = 12.4) and there were more females (65.1%) than males. </w:t>
      </w:r>
      <w:r w:rsidR="006728E3" w:rsidRPr="00A30291">
        <w:rPr>
          <w:rFonts w:ascii="Arial" w:hAnsi="Arial" w:cs="Arial"/>
          <w:sz w:val="24"/>
          <w:szCs w:val="24"/>
        </w:rPr>
        <w:t xml:space="preserve">Most of the sample were born in the United Kingdom (88.7%) and of these most were from Scotland (79%). </w:t>
      </w:r>
      <w:r w:rsidR="009E6544" w:rsidRPr="00A30291">
        <w:rPr>
          <w:rFonts w:ascii="Arial" w:hAnsi="Arial" w:cs="Arial"/>
          <w:sz w:val="24"/>
          <w:szCs w:val="24"/>
        </w:rPr>
        <w:t>The highest level of academic attainment was varied: school (38.5%), College (30.2%), and University (30.2%). Approximately a third of the sample was in employment (full-time 20.2%, part-time 13%), 38.9</w:t>
      </w:r>
      <w:r w:rsidR="003B1274" w:rsidRPr="00A30291">
        <w:rPr>
          <w:rFonts w:ascii="Arial" w:hAnsi="Arial" w:cs="Arial"/>
          <w:sz w:val="24"/>
          <w:szCs w:val="24"/>
        </w:rPr>
        <w:t>%</w:t>
      </w:r>
      <w:r w:rsidR="009E6544" w:rsidRPr="00A30291">
        <w:rPr>
          <w:rFonts w:ascii="Arial" w:hAnsi="Arial" w:cs="Arial"/>
          <w:sz w:val="24"/>
          <w:szCs w:val="24"/>
        </w:rPr>
        <w:t xml:space="preserve"> were unemployed, 7.3% were retired, and 5.7% were in voluntary work (15% reported ‘None of these’). Almost half of the sample were single (48.2%), 22.3% were married, 12.4% were divorced, and 9.8% were co-habiting. Most participants were either living with partner or with their family (41%), 34.7% were living alone (and 24.4% reported ‘Other’).</w:t>
      </w:r>
      <w:r w:rsidR="00AE65E3" w:rsidRPr="00A30291">
        <w:rPr>
          <w:rFonts w:ascii="Arial" w:hAnsi="Arial" w:cs="Arial"/>
          <w:sz w:val="24"/>
          <w:szCs w:val="24"/>
        </w:rPr>
        <w:t xml:space="preserve"> Psychotropic medication had been prescribed to 67.5% of the sample.</w:t>
      </w:r>
    </w:p>
    <w:p w14:paraId="2FEB871A" w14:textId="77777777" w:rsidR="009E6544" w:rsidRPr="00A30291" w:rsidRDefault="009E6544" w:rsidP="003C3A41">
      <w:pPr>
        <w:spacing w:line="480" w:lineRule="auto"/>
        <w:rPr>
          <w:rFonts w:ascii="Arial" w:hAnsi="Arial" w:cs="Arial"/>
          <w:b/>
          <w:bCs/>
          <w:sz w:val="24"/>
          <w:szCs w:val="24"/>
        </w:rPr>
      </w:pPr>
      <w:r w:rsidRPr="00A30291">
        <w:rPr>
          <w:rFonts w:ascii="Arial" w:hAnsi="Arial" w:cs="Arial"/>
          <w:b/>
          <w:bCs/>
          <w:sz w:val="24"/>
          <w:szCs w:val="24"/>
        </w:rPr>
        <w:t>Measures</w:t>
      </w:r>
    </w:p>
    <w:p w14:paraId="7E3FD542" w14:textId="22DD4CE4" w:rsidR="00707958" w:rsidRPr="00A30291" w:rsidRDefault="00707958" w:rsidP="009132FB">
      <w:pPr>
        <w:autoSpaceDE w:val="0"/>
        <w:autoSpaceDN w:val="0"/>
        <w:adjustRightInd w:val="0"/>
        <w:spacing w:after="0" w:line="480" w:lineRule="auto"/>
        <w:rPr>
          <w:rFonts w:ascii="Arial" w:hAnsi="Arial" w:cs="Arial"/>
          <w:i/>
          <w:sz w:val="24"/>
          <w:szCs w:val="24"/>
          <w:lang w:val="en-US"/>
        </w:rPr>
      </w:pPr>
      <w:r w:rsidRPr="00A30291">
        <w:rPr>
          <w:rFonts w:ascii="Arial" w:hAnsi="Arial" w:cs="Arial"/>
          <w:i/>
          <w:iCs/>
          <w:sz w:val="24"/>
          <w:szCs w:val="24"/>
        </w:rPr>
        <w:t>ICD</w:t>
      </w:r>
      <w:r w:rsidR="006D4223" w:rsidRPr="00A30291">
        <w:rPr>
          <w:rFonts w:ascii="Arial" w:hAnsi="Arial" w:cs="Arial"/>
          <w:i/>
          <w:iCs/>
          <w:sz w:val="24"/>
          <w:szCs w:val="24"/>
        </w:rPr>
        <w:t>-</w:t>
      </w:r>
      <w:r w:rsidRPr="00A30291">
        <w:rPr>
          <w:rFonts w:ascii="Arial" w:hAnsi="Arial" w:cs="Arial"/>
          <w:i/>
          <w:iCs/>
          <w:sz w:val="24"/>
          <w:szCs w:val="24"/>
        </w:rPr>
        <w:t>11 Trauma Questionnaire (</w:t>
      </w:r>
      <w:r w:rsidR="00FB6222" w:rsidRPr="00A30291">
        <w:rPr>
          <w:rFonts w:ascii="Arial" w:hAnsi="Arial" w:cs="Arial"/>
          <w:i/>
          <w:iCs/>
          <w:sz w:val="24"/>
          <w:szCs w:val="24"/>
        </w:rPr>
        <w:t>I</w:t>
      </w:r>
      <w:r w:rsidR="00FB6222" w:rsidRPr="00A30291">
        <w:rPr>
          <w:rFonts w:ascii="Arial" w:hAnsi="Arial" w:cs="Arial"/>
          <w:i/>
          <w:sz w:val="24"/>
          <w:szCs w:val="24"/>
          <w:lang w:val="en-US"/>
        </w:rPr>
        <w:t>CD-TQ</w:t>
      </w:r>
      <w:r w:rsidR="006D4223" w:rsidRPr="00A30291">
        <w:rPr>
          <w:rFonts w:ascii="Arial" w:hAnsi="Arial" w:cs="Arial"/>
          <w:i/>
          <w:sz w:val="24"/>
          <w:szCs w:val="24"/>
          <w:lang w:val="en-US"/>
        </w:rPr>
        <w:t xml:space="preserve"> version 1.2</w:t>
      </w:r>
      <w:r w:rsidRPr="00A30291">
        <w:rPr>
          <w:rFonts w:ascii="Arial" w:hAnsi="Arial" w:cs="Arial"/>
          <w:i/>
          <w:sz w:val="24"/>
          <w:szCs w:val="24"/>
          <w:lang w:val="en-US"/>
        </w:rPr>
        <w:t xml:space="preserve">; </w:t>
      </w:r>
      <w:r w:rsidR="00FB6222" w:rsidRPr="00A30291">
        <w:rPr>
          <w:rFonts w:ascii="Arial" w:hAnsi="Arial" w:cs="Arial"/>
          <w:i/>
          <w:sz w:val="24"/>
          <w:szCs w:val="24"/>
        </w:rPr>
        <w:t>Cloitre</w:t>
      </w:r>
      <w:r w:rsidR="00C1042A" w:rsidRPr="00A30291">
        <w:rPr>
          <w:rFonts w:ascii="Arial" w:hAnsi="Arial" w:cs="Arial"/>
          <w:i/>
          <w:sz w:val="24"/>
          <w:szCs w:val="24"/>
        </w:rPr>
        <w:t xml:space="preserve"> et al.</w:t>
      </w:r>
      <w:r w:rsidR="001772E6" w:rsidRPr="00A30291">
        <w:rPr>
          <w:rFonts w:ascii="Arial" w:hAnsi="Arial" w:cs="Arial"/>
          <w:i/>
          <w:sz w:val="24"/>
          <w:szCs w:val="24"/>
        </w:rPr>
        <w:t>, 2015</w:t>
      </w:r>
      <w:r w:rsidR="00FB6222" w:rsidRPr="00A30291">
        <w:rPr>
          <w:rFonts w:ascii="Arial" w:hAnsi="Arial" w:cs="Arial"/>
          <w:i/>
          <w:sz w:val="24"/>
          <w:szCs w:val="24"/>
        </w:rPr>
        <w:t>)</w:t>
      </w:r>
      <w:r w:rsidR="00FB6222" w:rsidRPr="00A30291">
        <w:rPr>
          <w:rFonts w:ascii="Arial" w:hAnsi="Arial" w:cs="Arial"/>
          <w:i/>
          <w:sz w:val="24"/>
          <w:szCs w:val="24"/>
          <w:lang w:val="en-US"/>
        </w:rPr>
        <w:t xml:space="preserve"> </w:t>
      </w:r>
    </w:p>
    <w:p w14:paraId="66C24F0B" w14:textId="058F3B60" w:rsidR="00FB6222" w:rsidRPr="00A30291" w:rsidRDefault="00FB6222" w:rsidP="00FB6222">
      <w:pPr>
        <w:autoSpaceDE w:val="0"/>
        <w:autoSpaceDN w:val="0"/>
        <w:adjustRightInd w:val="0"/>
        <w:spacing w:after="0" w:line="480" w:lineRule="auto"/>
        <w:ind w:firstLine="720"/>
        <w:rPr>
          <w:rFonts w:ascii="Arial" w:hAnsi="Arial" w:cs="Arial"/>
          <w:sz w:val="24"/>
          <w:szCs w:val="24"/>
          <w:u w:val="single"/>
        </w:rPr>
      </w:pPr>
      <w:r w:rsidRPr="00A30291">
        <w:rPr>
          <w:rFonts w:ascii="Arial" w:hAnsi="Arial" w:cs="Arial"/>
          <w:sz w:val="24"/>
          <w:szCs w:val="24"/>
        </w:rPr>
        <w:t xml:space="preserve">The ICD-TQ is a 23-item self-report measure for ICD-11 PTSD and CPTSD diagnoses. </w:t>
      </w:r>
      <w:r w:rsidR="004C16E4" w:rsidRPr="00A30291">
        <w:rPr>
          <w:rFonts w:ascii="Arial" w:hAnsi="Arial" w:cs="Arial"/>
          <w:sz w:val="24"/>
          <w:szCs w:val="24"/>
        </w:rPr>
        <w:t>Three items are used to measure</w:t>
      </w:r>
      <w:r w:rsidR="00E23C68" w:rsidRPr="00A30291">
        <w:rPr>
          <w:rFonts w:ascii="Arial" w:hAnsi="Arial" w:cs="Arial"/>
          <w:sz w:val="24"/>
          <w:szCs w:val="24"/>
        </w:rPr>
        <w:t xml:space="preserve"> R</w:t>
      </w:r>
      <w:r w:rsidRPr="00A30291">
        <w:rPr>
          <w:rFonts w:ascii="Arial" w:hAnsi="Arial" w:cs="Arial"/>
          <w:sz w:val="24"/>
          <w:szCs w:val="24"/>
        </w:rPr>
        <w:t xml:space="preserve">e (items </w:t>
      </w:r>
      <w:r w:rsidR="00C1042A" w:rsidRPr="00A30291">
        <w:rPr>
          <w:rFonts w:ascii="Arial" w:hAnsi="Arial" w:cs="Arial"/>
          <w:sz w:val="24"/>
          <w:szCs w:val="24"/>
        </w:rPr>
        <w:t>P</w:t>
      </w:r>
      <w:r w:rsidRPr="00A30291">
        <w:rPr>
          <w:rFonts w:ascii="Arial" w:hAnsi="Arial" w:cs="Arial"/>
          <w:sz w:val="24"/>
          <w:szCs w:val="24"/>
        </w:rPr>
        <w:t>1-</w:t>
      </w:r>
      <w:r w:rsidR="00C1042A" w:rsidRPr="00A30291">
        <w:rPr>
          <w:rFonts w:ascii="Arial" w:hAnsi="Arial" w:cs="Arial"/>
          <w:sz w:val="24"/>
          <w:szCs w:val="24"/>
        </w:rPr>
        <w:t>P</w:t>
      </w:r>
      <w:r w:rsidR="004C16E4" w:rsidRPr="00A30291">
        <w:rPr>
          <w:rFonts w:ascii="Arial" w:hAnsi="Arial" w:cs="Arial"/>
          <w:sz w:val="24"/>
          <w:szCs w:val="24"/>
        </w:rPr>
        <w:t>3</w:t>
      </w:r>
      <w:r w:rsidRPr="00A30291">
        <w:rPr>
          <w:rFonts w:ascii="Arial" w:hAnsi="Arial" w:cs="Arial"/>
          <w:sz w:val="24"/>
          <w:szCs w:val="24"/>
        </w:rPr>
        <w:t xml:space="preserve">), </w:t>
      </w:r>
      <w:r w:rsidR="004C16E4" w:rsidRPr="00A30291">
        <w:rPr>
          <w:rFonts w:ascii="Arial" w:hAnsi="Arial" w:cs="Arial"/>
          <w:sz w:val="24"/>
          <w:szCs w:val="24"/>
        </w:rPr>
        <w:t>two items to measure Av</w:t>
      </w:r>
      <w:r w:rsidR="00E23C68" w:rsidRPr="00A30291">
        <w:rPr>
          <w:rFonts w:ascii="Arial" w:hAnsi="Arial" w:cs="Arial"/>
          <w:sz w:val="24"/>
          <w:szCs w:val="24"/>
        </w:rPr>
        <w:t xml:space="preserve"> </w:t>
      </w:r>
      <w:r w:rsidRPr="00A30291">
        <w:rPr>
          <w:rFonts w:ascii="Arial" w:hAnsi="Arial" w:cs="Arial"/>
          <w:sz w:val="24"/>
          <w:szCs w:val="24"/>
        </w:rPr>
        <w:t xml:space="preserve">(items </w:t>
      </w:r>
      <w:r w:rsidR="00C1042A" w:rsidRPr="00A30291">
        <w:rPr>
          <w:rFonts w:ascii="Arial" w:hAnsi="Arial" w:cs="Arial"/>
          <w:sz w:val="24"/>
          <w:szCs w:val="24"/>
        </w:rPr>
        <w:t>P</w:t>
      </w:r>
      <w:r w:rsidR="006D4223" w:rsidRPr="00A30291">
        <w:rPr>
          <w:rFonts w:ascii="Arial" w:hAnsi="Arial" w:cs="Arial"/>
          <w:sz w:val="24"/>
          <w:szCs w:val="24"/>
        </w:rPr>
        <w:t>4</w:t>
      </w:r>
      <w:r w:rsidR="00C1042A" w:rsidRPr="00A30291">
        <w:rPr>
          <w:rFonts w:ascii="Arial" w:hAnsi="Arial" w:cs="Arial"/>
          <w:sz w:val="24"/>
          <w:szCs w:val="24"/>
        </w:rPr>
        <w:t>-P</w:t>
      </w:r>
      <w:r w:rsidR="006D4223" w:rsidRPr="00A30291">
        <w:rPr>
          <w:rFonts w:ascii="Arial" w:hAnsi="Arial" w:cs="Arial"/>
          <w:sz w:val="24"/>
          <w:szCs w:val="24"/>
        </w:rPr>
        <w:t>5</w:t>
      </w:r>
      <w:r w:rsidRPr="00A30291">
        <w:rPr>
          <w:rFonts w:ascii="Arial" w:hAnsi="Arial" w:cs="Arial"/>
          <w:sz w:val="24"/>
          <w:szCs w:val="24"/>
        </w:rPr>
        <w:t xml:space="preserve">), and </w:t>
      </w:r>
      <w:r w:rsidR="004C16E4" w:rsidRPr="00A30291">
        <w:rPr>
          <w:rFonts w:ascii="Arial" w:hAnsi="Arial" w:cs="Arial"/>
          <w:sz w:val="24"/>
          <w:szCs w:val="24"/>
        </w:rPr>
        <w:t>two items to measure Th</w:t>
      </w:r>
      <w:r w:rsidR="003C4AE7" w:rsidRPr="00A30291">
        <w:rPr>
          <w:rFonts w:ascii="Arial" w:hAnsi="Arial" w:cs="Arial"/>
          <w:sz w:val="24"/>
          <w:szCs w:val="24"/>
        </w:rPr>
        <w:t xml:space="preserve"> (</w:t>
      </w:r>
      <w:r w:rsidR="00C1042A" w:rsidRPr="00A30291">
        <w:rPr>
          <w:rFonts w:ascii="Arial" w:hAnsi="Arial" w:cs="Arial"/>
          <w:sz w:val="24"/>
          <w:szCs w:val="24"/>
        </w:rPr>
        <w:t>items P</w:t>
      </w:r>
      <w:r w:rsidR="006D4223" w:rsidRPr="00A30291">
        <w:rPr>
          <w:rFonts w:ascii="Arial" w:hAnsi="Arial" w:cs="Arial"/>
          <w:sz w:val="24"/>
          <w:szCs w:val="24"/>
        </w:rPr>
        <w:t>6</w:t>
      </w:r>
      <w:r w:rsidR="00C1042A" w:rsidRPr="00A30291">
        <w:rPr>
          <w:rFonts w:ascii="Arial" w:hAnsi="Arial" w:cs="Arial"/>
          <w:sz w:val="24"/>
          <w:szCs w:val="24"/>
        </w:rPr>
        <w:t>-P</w:t>
      </w:r>
      <w:r w:rsidR="006D4223" w:rsidRPr="00A30291">
        <w:rPr>
          <w:rFonts w:ascii="Arial" w:hAnsi="Arial" w:cs="Arial"/>
          <w:sz w:val="24"/>
          <w:szCs w:val="24"/>
        </w:rPr>
        <w:t>7</w:t>
      </w:r>
      <w:r w:rsidRPr="00A30291">
        <w:rPr>
          <w:rFonts w:ascii="Arial" w:hAnsi="Arial" w:cs="Arial"/>
          <w:sz w:val="24"/>
          <w:szCs w:val="24"/>
        </w:rPr>
        <w:t xml:space="preserve">). </w:t>
      </w:r>
      <w:r w:rsidR="00E5176A" w:rsidRPr="00A30291">
        <w:rPr>
          <w:rFonts w:ascii="Arial" w:hAnsi="Arial" w:cs="Arial"/>
          <w:sz w:val="24"/>
          <w:szCs w:val="24"/>
        </w:rPr>
        <w:t>Although re-experiencing is generally measured with two symptoms, it</w:t>
      </w:r>
      <w:r w:rsidR="00FC4035" w:rsidRPr="00A30291">
        <w:rPr>
          <w:rFonts w:ascii="Arial" w:hAnsi="Arial" w:cs="Arial"/>
          <w:sz w:val="24"/>
          <w:szCs w:val="24"/>
        </w:rPr>
        <w:t xml:space="preserve"> can include a third item</w:t>
      </w:r>
      <w:r w:rsidR="00171A3B" w:rsidRPr="00A30291">
        <w:rPr>
          <w:rFonts w:ascii="Arial" w:hAnsi="Arial" w:cs="Arial"/>
          <w:sz w:val="24"/>
          <w:szCs w:val="24"/>
        </w:rPr>
        <w:t xml:space="preserve"> </w:t>
      </w:r>
      <w:r w:rsidR="00850650" w:rsidRPr="00A30291">
        <w:rPr>
          <w:rFonts w:ascii="Arial" w:hAnsi="Arial" w:cs="Arial"/>
          <w:sz w:val="24"/>
          <w:szCs w:val="24"/>
        </w:rPr>
        <w:t xml:space="preserve">(P3) which references </w:t>
      </w:r>
      <w:r w:rsidR="006D4223" w:rsidRPr="00A30291">
        <w:rPr>
          <w:rFonts w:ascii="Arial" w:hAnsi="Arial" w:cs="Arial"/>
          <w:sz w:val="24"/>
          <w:szCs w:val="24"/>
        </w:rPr>
        <w:t xml:space="preserve">upset in response to </w:t>
      </w:r>
      <w:r w:rsidR="00850650" w:rsidRPr="00A30291">
        <w:rPr>
          <w:rFonts w:ascii="Arial" w:hAnsi="Arial" w:cs="Arial"/>
          <w:sz w:val="24"/>
          <w:szCs w:val="24"/>
        </w:rPr>
        <w:t>internal or external cues that sym</w:t>
      </w:r>
      <w:r w:rsidR="006D4223" w:rsidRPr="00A30291">
        <w:rPr>
          <w:rFonts w:ascii="Arial" w:hAnsi="Arial" w:cs="Arial"/>
          <w:sz w:val="24"/>
          <w:szCs w:val="24"/>
        </w:rPr>
        <w:t>bol</w:t>
      </w:r>
      <w:r w:rsidR="00850650" w:rsidRPr="00A30291">
        <w:rPr>
          <w:rFonts w:ascii="Arial" w:hAnsi="Arial" w:cs="Arial"/>
          <w:sz w:val="24"/>
          <w:szCs w:val="24"/>
        </w:rPr>
        <w:t>ize or resemble an aspect of the traumatic event</w:t>
      </w:r>
      <w:r w:rsidR="006D4223" w:rsidRPr="00A30291">
        <w:rPr>
          <w:rFonts w:ascii="Arial" w:hAnsi="Arial" w:cs="Arial"/>
          <w:sz w:val="24"/>
          <w:szCs w:val="24"/>
        </w:rPr>
        <w:t>. This item was designed</w:t>
      </w:r>
      <w:r w:rsidR="00850650" w:rsidRPr="00A30291">
        <w:rPr>
          <w:rFonts w:ascii="Arial" w:hAnsi="Arial" w:cs="Arial"/>
          <w:sz w:val="24"/>
          <w:szCs w:val="24"/>
        </w:rPr>
        <w:t xml:space="preserve"> to a</w:t>
      </w:r>
      <w:r w:rsidR="006D4223" w:rsidRPr="00A30291">
        <w:rPr>
          <w:rFonts w:ascii="Arial" w:hAnsi="Arial" w:cs="Arial"/>
          <w:sz w:val="24"/>
          <w:szCs w:val="24"/>
        </w:rPr>
        <w:t>llow re-experiencing to be assessed among</w:t>
      </w:r>
      <w:r w:rsidR="00850650" w:rsidRPr="00A30291">
        <w:rPr>
          <w:rFonts w:ascii="Arial" w:hAnsi="Arial" w:cs="Arial"/>
          <w:sz w:val="24"/>
          <w:szCs w:val="24"/>
        </w:rPr>
        <w:t xml:space="preserve"> </w:t>
      </w:r>
      <w:r w:rsidR="006D4223" w:rsidRPr="00A30291">
        <w:rPr>
          <w:rFonts w:ascii="Arial" w:hAnsi="Arial" w:cs="Arial"/>
          <w:sz w:val="24"/>
          <w:szCs w:val="24"/>
        </w:rPr>
        <w:t>respondents</w:t>
      </w:r>
      <w:r w:rsidR="00850650" w:rsidRPr="00A30291">
        <w:rPr>
          <w:rFonts w:ascii="Arial" w:hAnsi="Arial" w:cs="Arial"/>
          <w:sz w:val="24"/>
          <w:szCs w:val="24"/>
        </w:rPr>
        <w:t xml:space="preserve"> </w:t>
      </w:r>
      <w:r w:rsidR="00171A3B" w:rsidRPr="00A30291">
        <w:rPr>
          <w:rFonts w:ascii="Arial" w:hAnsi="Arial" w:cs="Arial"/>
          <w:sz w:val="24"/>
          <w:szCs w:val="24"/>
        </w:rPr>
        <w:t xml:space="preserve">with </w:t>
      </w:r>
      <w:r w:rsidR="00850650" w:rsidRPr="00A30291">
        <w:rPr>
          <w:rFonts w:ascii="Arial" w:hAnsi="Arial" w:cs="Arial"/>
          <w:sz w:val="24"/>
          <w:szCs w:val="24"/>
        </w:rPr>
        <w:t xml:space="preserve">absent or </w:t>
      </w:r>
      <w:r w:rsidR="00171A3B" w:rsidRPr="00A30291">
        <w:rPr>
          <w:rFonts w:ascii="Arial" w:hAnsi="Arial" w:cs="Arial"/>
          <w:sz w:val="24"/>
          <w:szCs w:val="24"/>
        </w:rPr>
        <w:t xml:space="preserve">unclear </w:t>
      </w:r>
      <w:r w:rsidR="00850650" w:rsidRPr="00A30291">
        <w:rPr>
          <w:rFonts w:ascii="Arial" w:hAnsi="Arial" w:cs="Arial"/>
          <w:sz w:val="24"/>
          <w:szCs w:val="24"/>
        </w:rPr>
        <w:t xml:space="preserve">memories </w:t>
      </w:r>
      <w:r w:rsidR="006D4223" w:rsidRPr="00A30291">
        <w:rPr>
          <w:rFonts w:ascii="Arial" w:hAnsi="Arial" w:cs="Arial"/>
          <w:sz w:val="24"/>
          <w:szCs w:val="24"/>
        </w:rPr>
        <w:t xml:space="preserve">of the traumatic event, </w:t>
      </w:r>
      <w:r w:rsidR="00850650" w:rsidRPr="00A30291">
        <w:rPr>
          <w:rFonts w:ascii="Arial" w:hAnsi="Arial" w:cs="Arial"/>
          <w:sz w:val="24"/>
          <w:szCs w:val="24"/>
        </w:rPr>
        <w:t xml:space="preserve">such as may occur with traumatic brain injury or childhood abuse. The P3 item was </w:t>
      </w:r>
      <w:r w:rsidR="006D4223" w:rsidRPr="00A30291">
        <w:rPr>
          <w:rFonts w:ascii="Arial" w:hAnsi="Arial" w:cs="Arial"/>
          <w:sz w:val="24"/>
          <w:szCs w:val="24"/>
        </w:rPr>
        <w:t>answered by all respondents in this survey whether they had a clear memory of the event or not</w:t>
      </w:r>
      <w:r w:rsidR="00850650" w:rsidRPr="00A30291">
        <w:rPr>
          <w:rFonts w:ascii="Arial" w:hAnsi="Arial" w:cs="Arial"/>
          <w:sz w:val="24"/>
          <w:szCs w:val="24"/>
        </w:rPr>
        <w:t xml:space="preserve">. </w:t>
      </w:r>
      <w:r w:rsidRPr="00A30291">
        <w:rPr>
          <w:rFonts w:ascii="Arial" w:hAnsi="Arial" w:cs="Arial"/>
          <w:sz w:val="24"/>
          <w:szCs w:val="24"/>
        </w:rPr>
        <w:t xml:space="preserve">CPTSD includes PTSD as well as three clusters reflecting </w:t>
      </w:r>
      <w:r w:rsidR="00E23C68" w:rsidRPr="00A30291">
        <w:rPr>
          <w:rFonts w:ascii="Arial" w:hAnsi="Arial" w:cs="Arial"/>
          <w:sz w:val="24"/>
          <w:szCs w:val="24"/>
        </w:rPr>
        <w:t>DSO</w:t>
      </w:r>
      <w:r w:rsidRPr="00A30291">
        <w:rPr>
          <w:rFonts w:ascii="Arial" w:hAnsi="Arial" w:cs="Arial"/>
          <w:sz w:val="24"/>
          <w:szCs w:val="24"/>
        </w:rPr>
        <w:t xml:space="preserve">. Sixteen items represent the three </w:t>
      </w:r>
      <w:r w:rsidR="005D5C7A" w:rsidRPr="00A30291">
        <w:rPr>
          <w:rFonts w:ascii="Arial" w:hAnsi="Arial" w:cs="Arial"/>
          <w:sz w:val="24"/>
          <w:szCs w:val="24"/>
        </w:rPr>
        <w:t>clusters</w:t>
      </w:r>
      <w:r w:rsidR="009132FB" w:rsidRPr="00A30291">
        <w:rPr>
          <w:rFonts w:ascii="Arial" w:hAnsi="Arial" w:cs="Arial"/>
          <w:sz w:val="24"/>
          <w:szCs w:val="24"/>
        </w:rPr>
        <w:t xml:space="preserve"> of</w:t>
      </w:r>
      <w:r w:rsidR="00E23C68" w:rsidRPr="00A30291">
        <w:rPr>
          <w:rFonts w:ascii="Arial" w:hAnsi="Arial" w:cs="Arial"/>
          <w:sz w:val="24"/>
          <w:szCs w:val="24"/>
        </w:rPr>
        <w:t xml:space="preserve"> AD</w:t>
      </w:r>
      <w:r w:rsidRPr="00A30291">
        <w:rPr>
          <w:rFonts w:ascii="Arial" w:hAnsi="Arial" w:cs="Arial"/>
          <w:sz w:val="24"/>
          <w:szCs w:val="24"/>
        </w:rPr>
        <w:t xml:space="preserve"> (items </w:t>
      </w:r>
      <w:r w:rsidR="00C1042A" w:rsidRPr="00A30291">
        <w:rPr>
          <w:rFonts w:ascii="Arial" w:hAnsi="Arial" w:cs="Arial"/>
          <w:sz w:val="24"/>
          <w:szCs w:val="24"/>
        </w:rPr>
        <w:t>C</w:t>
      </w:r>
      <w:r w:rsidRPr="00A30291">
        <w:rPr>
          <w:rFonts w:ascii="Arial" w:hAnsi="Arial" w:cs="Arial"/>
          <w:sz w:val="24"/>
          <w:szCs w:val="24"/>
        </w:rPr>
        <w:t>1-</w:t>
      </w:r>
      <w:r w:rsidR="00C1042A" w:rsidRPr="00A30291">
        <w:rPr>
          <w:rFonts w:ascii="Arial" w:hAnsi="Arial" w:cs="Arial"/>
          <w:sz w:val="24"/>
          <w:szCs w:val="24"/>
        </w:rPr>
        <w:t>C</w:t>
      </w:r>
      <w:r w:rsidRPr="00A30291">
        <w:rPr>
          <w:rFonts w:ascii="Arial" w:hAnsi="Arial" w:cs="Arial"/>
          <w:sz w:val="24"/>
          <w:szCs w:val="24"/>
        </w:rPr>
        <w:t xml:space="preserve">9), </w:t>
      </w:r>
      <w:r w:rsidR="00E23C68" w:rsidRPr="00A30291">
        <w:rPr>
          <w:rFonts w:ascii="Arial" w:hAnsi="Arial" w:cs="Arial"/>
          <w:sz w:val="24"/>
          <w:szCs w:val="24"/>
        </w:rPr>
        <w:t>NSC (</w:t>
      </w:r>
      <w:r w:rsidRPr="00A30291">
        <w:rPr>
          <w:rFonts w:ascii="Arial" w:hAnsi="Arial" w:cs="Arial"/>
          <w:sz w:val="24"/>
          <w:szCs w:val="24"/>
        </w:rPr>
        <w:t xml:space="preserve">items </w:t>
      </w:r>
      <w:r w:rsidR="00C1042A" w:rsidRPr="00A30291">
        <w:rPr>
          <w:rFonts w:ascii="Arial" w:hAnsi="Arial" w:cs="Arial"/>
          <w:sz w:val="24"/>
          <w:szCs w:val="24"/>
        </w:rPr>
        <w:t>C</w:t>
      </w:r>
      <w:r w:rsidRPr="00A30291">
        <w:rPr>
          <w:rFonts w:ascii="Arial" w:hAnsi="Arial" w:cs="Arial"/>
          <w:sz w:val="24"/>
          <w:szCs w:val="24"/>
        </w:rPr>
        <w:t>10-</w:t>
      </w:r>
      <w:r w:rsidR="00C1042A" w:rsidRPr="00A30291">
        <w:rPr>
          <w:rFonts w:ascii="Arial" w:hAnsi="Arial" w:cs="Arial"/>
          <w:sz w:val="24"/>
          <w:szCs w:val="24"/>
        </w:rPr>
        <w:t>C</w:t>
      </w:r>
      <w:r w:rsidRPr="00A30291">
        <w:rPr>
          <w:rFonts w:ascii="Arial" w:hAnsi="Arial" w:cs="Arial"/>
          <w:sz w:val="24"/>
          <w:szCs w:val="24"/>
        </w:rPr>
        <w:t xml:space="preserve">13), and </w:t>
      </w:r>
      <w:r w:rsidR="002A602D" w:rsidRPr="00A30291">
        <w:rPr>
          <w:rFonts w:ascii="Arial" w:hAnsi="Arial" w:cs="Arial"/>
          <w:sz w:val="24"/>
          <w:szCs w:val="24"/>
        </w:rPr>
        <w:t>DR</w:t>
      </w:r>
      <w:r w:rsidRPr="00A30291">
        <w:rPr>
          <w:rFonts w:ascii="Arial" w:hAnsi="Arial" w:cs="Arial"/>
          <w:sz w:val="24"/>
          <w:szCs w:val="24"/>
        </w:rPr>
        <w:t xml:space="preserve"> (items </w:t>
      </w:r>
      <w:r w:rsidR="00C1042A" w:rsidRPr="00A30291">
        <w:rPr>
          <w:rFonts w:ascii="Arial" w:hAnsi="Arial" w:cs="Arial"/>
          <w:sz w:val="24"/>
          <w:szCs w:val="24"/>
        </w:rPr>
        <w:t>C</w:t>
      </w:r>
      <w:r w:rsidRPr="00A30291">
        <w:rPr>
          <w:rFonts w:ascii="Arial" w:hAnsi="Arial" w:cs="Arial"/>
          <w:sz w:val="24"/>
          <w:szCs w:val="24"/>
        </w:rPr>
        <w:t>14-</w:t>
      </w:r>
      <w:r w:rsidR="00C1042A" w:rsidRPr="00A30291">
        <w:rPr>
          <w:rFonts w:ascii="Arial" w:hAnsi="Arial" w:cs="Arial"/>
          <w:sz w:val="24"/>
          <w:szCs w:val="24"/>
        </w:rPr>
        <w:t>C</w:t>
      </w:r>
      <w:r w:rsidR="009132FB" w:rsidRPr="00A30291">
        <w:rPr>
          <w:rFonts w:ascii="Arial" w:hAnsi="Arial" w:cs="Arial"/>
          <w:sz w:val="24"/>
          <w:szCs w:val="24"/>
        </w:rPr>
        <w:t xml:space="preserve">16). </w:t>
      </w:r>
      <w:r w:rsidRPr="00A30291">
        <w:rPr>
          <w:rFonts w:ascii="Arial" w:hAnsi="Arial" w:cs="Arial"/>
          <w:sz w:val="24"/>
          <w:szCs w:val="24"/>
        </w:rPr>
        <w:t xml:space="preserve">Symptom endorsement </w:t>
      </w:r>
      <w:r w:rsidR="005D5C7A" w:rsidRPr="00A30291">
        <w:rPr>
          <w:rFonts w:ascii="Arial" w:hAnsi="Arial" w:cs="Arial"/>
          <w:sz w:val="24"/>
          <w:szCs w:val="24"/>
        </w:rPr>
        <w:t xml:space="preserve">for all items </w:t>
      </w:r>
      <w:r w:rsidRPr="00A30291">
        <w:rPr>
          <w:rFonts w:ascii="Arial" w:hAnsi="Arial" w:cs="Arial"/>
          <w:sz w:val="24"/>
          <w:szCs w:val="24"/>
        </w:rPr>
        <w:t>is scored on a Likert scale ranging from 0 (</w:t>
      </w:r>
      <w:r w:rsidR="004C16E4" w:rsidRPr="00A30291">
        <w:rPr>
          <w:rFonts w:ascii="Arial" w:hAnsi="Arial" w:cs="Arial"/>
          <w:sz w:val="24"/>
          <w:szCs w:val="24"/>
        </w:rPr>
        <w:t>“</w:t>
      </w:r>
      <w:r w:rsidRPr="00A30291">
        <w:rPr>
          <w:rFonts w:ascii="Arial" w:hAnsi="Arial" w:cs="Arial"/>
          <w:sz w:val="24"/>
          <w:szCs w:val="24"/>
        </w:rPr>
        <w:t>not at all</w:t>
      </w:r>
      <w:r w:rsidR="004C16E4" w:rsidRPr="00A30291">
        <w:rPr>
          <w:rFonts w:ascii="Arial" w:hAnsi="Arial" w:cs="Arial"/>
          <w:sz w:val="24"/>
          <w:szCs w:val="24"/>
        </w:rPr>
        <w:t>”</w:t>
      </w:r>
      <w:r w:rsidRPr="00A30291">
        <w:rPr>
          <w:rFonts w:ascii="Arial" w:hAnsi="Arial" w:cs="Arial"/>
          <w:sz w:val="24"/>
          <w:szCs w:val="24"/>
        </w:rPr>
        <w:t>) to 4 (</w:t>
      </w:r>
      <w:r w:rsidR="004C16E4" w:rsidRPr="00A30291">
        <w:rPr>
          <w:rFonts w:ascii="Arial" w:hAnsi="Arial" w:cs="Arial"/>
          <w:sz w:val="24"/>
          <w:szCs w:val="24"/>
        </w:rPr>
        <w:t>“</w:t>
      </w:r>
      <w:r w:rsidRPr="00A30291">
        <w:rPr>
          <w:rFonts w:ascii="Arial" w:hAnsi="Arial" w:cs="Arial"/>
          <w:sz w:val="24"/>
          <w:szCs w:val="24"/>
        </w:rPr>
        <w:t>extremely</w:t>
      </w:r>
      <w:r w:rsidR="004C16E4" w:rsidRPr="00A30291">
        <w:rPr>
          <w:rFonts w:ascii="Arial" w:hAnsi="Arial" w:cs="Arial"/>
          <w:sz w:val="24"/>
          <w:szCs w:val="24"/>
        </w:rPr>
        <w:t>”</w:t>
      </w:r>
      <w:r w:rsidRPr="00A30291">
        <w:rPr>
          <w:rFonts w:ascii="Arial" w:hAnsi="Arial" w:cs="Arial"/>
          <w:sz w:val="24"/>
          <w:szCs w:val="24"/>
        </w:rPr>
        <w:t>)</w:t>
      </w:r>
      <w:r w:rsidR="004C16E4" w:rsidRPr="00A30291">
        <w:rPr>
          <w:rFonts w:ascii="Arial" w:hAnsi="Arial" w:cs="Arial"/>
          <w:sz w:val="24"/>
          <w:szCs w:val="24"/>
        </w:rPr>
        <w:t xml:space="preserve"> in response to the question “</w:t>
      </w:r>
      <w:r w:rsidR="005D5C7A" w:rsidRPr="00A30291">
        <w:rPr>
          <w:rFonts w:ascii="Arial" w:hAnsi="Arial" w:cs="Arial"/>
          <w:i/>
          <w:sz w:val="24"/>
          <w:szCs w:val="24"/>
        </w:rPr>
        <w:t>how much have you been bothered by that problem</w:t>
      </w:r>
      <w:r w:rsidR="009132FB" w:rsidRPr="00A30291">
        <w:rPr>
          <w:rFonts w:ascii="Arial" w:hAnsi="Arial" w:cs="Arial"/>
          <w:i/>
          <w:sz w:val="24"/>
          <w:szCs w:val="24"/>
        </w:rPr>
        <w:t xml:space="preserve"> for the past month?</w:t>
      </w:r>
      <w:r w:rsidR="009132FB" w:rsidRPr="00A30291">
        <w:rPr>
          <w:rFonts w:ascii="Arial" w:hAnsi="Arial" w:cs="Arial"/>
          <w:sz w:val="24"/>
          <w:szCs w:val="24"/>
        </w:rPr>
        <w:t>”</w:t>
      </w:r>
      <w:r w:rsidRPr="00A30291">
        <w:rPr>
          <w:rFonts w:ascii="Arial" w:hAnsi="Arial" w:cs="Arial"/>
          <w:sz w:val="24"/>
          <w:szCs w:val="24"/>
        </w:rPr>
        <w:t xml:space="preserve"> </w:t>
      </w:r>
      <w:r w:rsidRPr="00A30291">
        <w:rPr>
          <w:rStyle w:val="apple-converted-space"/>
          <w:rFonts w:ascii="Arial" w:hAnsi="Arial" w:cs="Arial"/>
          <w:sz w:val="24"/>
          <w:szCs w:val="24"/>
          <w:shd w:val="clear" w:color="auto" w:fill="FFFFFF"/>
        </w:rPr>
        <w:t xml:space="preserve">The scale can be used to generate a self-report ICD-11 PTSD or CPTSD diagnosis. A diagnosis of PTSD requires a score of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2 </w:t>
      </w:r>
      <w:r w:rsidR="005D5C7A" w:rsidRPr="00A30291">
        <w:rPr>
          <w:rStyle w:val="apple-converted-space"/>
          <w:rFonts w:ascii="Arial" w:hAnsi="Arial" w:cs="Arial"/>
          <w:sz w:val="24"/>
          <w:szCs w:val="24"/>
          <w:shd w:val="clear" w:color="auto" w:fill="FFFFFF"/>
        </w:rPr>
        <w:t>(</w:t>
      </w:r>
      <w:r w:rsidR="004C16E4" w:rsidRPr="00A30291">
        <w:rPr>
          <w:rStyle w:val="apple-converted-space"/>
          <w:rFonts w:ascii="Arial" w:hAnsi="Arial" w:cs="Arial"/>
          <w:sz w:val="24"/>
          <w:szCs w:val="24"/>
          <w:shd w:val="clear" w:color="auto" w:fill="FFFFFF"/>
        </w:rPr>
        <w:t>“</w:t>
      </w:r>
      <w:r w:rsidR="005D5C7A" w:rsidRPr="00A30291">
        <w:rPr>
          <w:rStyle w:val="apple-converted-space"/>
          <w:rFonts w:ascii="Arial" w:hAnsi="Arial" w:cs="Arial"/>
          <w:sz w:val="24"/>
          <w:szCs w:val="24"/>
          <w:shd w:val="clear" w:color="auto" w:fill="FFFFFF"/>
        </w:rPr>
        <w:t>moderately</w:t>
      </w:r>
      <w:r w:rsidR="004C16E4" w:rsidRPr="00A30291">
        <w:rPr>
          <w:rStyle w:val="apple-converted-space"/>
          <w:rFonts w:ascii="Arial" w:hAnsi="Arial" w:cs="Arial"/>
          <w:sz w:val="24"/>
          <w:szCs w:val="24"/>
          <w:shd w:val="clear" w:color="auto" w:fill="FFFFFF"/>
        </w:rPr>
        <w:t>”</w:t>
      </w:r>
      <w:r w:rsidR="005D5C7A" w:rsidRPr="00A30291">
        <w:rPr>
          <w:rStyle w:val="apple-converted-space"/>
          <w:rFonts w:ascii="Arial" w:hAnsi="Arial" w:cs="Arial"/>
          <w:sz w:val="24"/>
          <w:szCs w:val="24"/>
          <w:shd w:val="clear" w:color="auto" w:fill="FFFFFF"/>
        </w:rPr>
        <w:t xml:space="preserve">) </w:t>
      </w:r>
      <w:r w:rsidRPr="00A30291">
        <w:rPr>
          <w:rStyle w:val="apple-converted-space"/>
          <w:rFonts w:ascii="Arial" w:hAnsi="Arial" w:cs="Arial"/>
          <w:sz w:val="24"/>
          <w:szCs w:val="24"/>
          <w:shd w:val="clear" w:color="auto" w:fill="FFFFFF"/>
        </w:rPr>
        <w:t>for at least one symptom in each of its three clusters. A diagnosis of CPTSD requires PTSD and the following scores for</w:t>
      </w:r>
      <w:r w:rsidR="004C16E4" w:rsidRPr="00A30291">
        <w:rPr>
          <w:rStyle w:val="apple-converted-space"/>
          <w:rFonts w:ascii="Arial" w:hAnsi="Arial" w:cs="Arial"/>
          <w:sz w:val="24"/>
          <w:szCs w:val="24"/>
          <w:shd w:val="clear" w:color="auto" w:fill="FFFFFF"/>
        </w:rPr>
        <w:t xml:space="preserve"> each of the three DSO clusters:</w:t>
      </w:r>
      <w:r w:rsidRPr="00A30291">
        <w:rPr>
          <w:rStyle w:val="apple-converted-space"/>
          <w:rFonts w:ascii="Arial" w:hAnsi="Arial" w:cs="Arial"/>
          <w:sz w:val="24"/>
          <w:szCs w:val="24"/>
          <w:shd w:val="clear" w:color="auto" w:fill="FFFFFF"/>
        </w:rPr>
        <w:t xml:space="preserve"> </w:t>
      </w:r>
      <w:r w:rsidR="00CD71A7" w:rsidRPr="00A30291">
        <w:rPr>
          <w:rStyle w:val="apple-converted-space"/>
          <w:rFonts w:ascii="Arial" w:hAnsi="Arial" w:cs="Arial"/>
          <w:sz w:val="24"/>
          <w:szCs w:val="24"/>
          <w:shd w:val="clear" w:color="auto" w:fill="FFFFFF"/>
        </w:rPr>
        <w:t>AD</w:t>
      </w:r>
      <w:r w:rsidRPr="00A30291">
        <w:rPr>
          <w:rStyle w:val="apple-converted-space"/>
          <w:rFonts w:ascii="Arial" w:hAnsi="Arial" w:cs="Arial"/>
          <w:sz w:val="24"/>
          <w:szCs w:val="24"/>
          <w:shd w:val="clear" w:color="auto" w:fill="FFFFFF"/>
        </w:rPr>
        <w:t xml:space="preserve"> requires a score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10 on items 1-5 (hyper-activation) </w:t>
      </w:r>
      <w:r w:rsidRPr="00A30291">
        <w:rPr>
          <w:rStyle w:val="apple-converted-space"/>
          <w:rFonts w:ascii="Arial" w:hAnsi="Arial" w:cs="Arial"/>
          <w:i/>
          <w:iCs/>
          <w:sz w:val="24"/>
          <w:szCs w:val="24"/>
          <w:shd w:val="clear" w:color="auto" w:fill="FFFFFF"/>
        </w:rPr>
        <w:t>or</w:t>
      </w:r>
      <w:r w:rsidRPr="00A30291">
        <w:rPr>
          <w:rStyle w:val="apple-converted-space"/>
          <w:rFonts w:ascii="Arial" w:hAnsi="Arial" w:cs="Arial"/>
          <w:sz w:val="24"/>
          <w:szCs w:val="24"/>
          <w:shd w:val="clear" w:color="auto" w:fill="FFFFFF"/>
        </w:rPr>
        <w:t xml:space="preserve"> a score of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8 on items 6-9 (</w:t>
      </w:r>
      <w:r w:rsidR="004C16E4" w:rsidRPr="00A30291">
        <w:rPr>
          <w:rStyle w:val="apple-converted-space"/>
          <w:rFonts w:ascii="Arial" w:hAnsi="Arial" w:cs="Arial"/>
          <w:sz w:val="24"/>
          <w:szCs w:val="24"/>
          <w:shd w:val="clear" w:color="auto" w:fill="FFFFFF"/>
        </w:rPr>
        <w:t>hypo-activation</w:t>
      </w:r>
      <w:r w:rsidRPr="00A30291">
        <w:rPr>
          <w:rStyle w:val="apple-converted-space"/>
          <w:rFonts w:ascii="Arial" w:hAnsi="Arial" w:cs="Arial"/>
          <w:sz w:val="24"/>
          <w:szCs w:val="24"/>
          <w:shd w:val="clear" w:color="auto" w:fill="FFFFFF"/>
        </w:rPr>
        <w:t xml:space="preserve">); </w:t>
      </w:r>
      <w:r w:rsidR="00CD71A7" w:rsidRPr="00A30291">
        <w:rPr>
          <w:rStyle w:val="apple-converted-space"/>
          <w:rFonts w:ascii="Arial" w:hAnsi="Arial" w:cs="Arial"/>
          <w:sz w:val="24"/>
          <w:szCs w:val="24"/>
          <w:shd w:val="clear" w:color="auto" w:fill="FFFFFF"/>
        </w:rPr>
        <w:t>NSC</w:t>
      </w:r>
      <w:r w:rsidRPr="00A30291">
        <w:rPr>
          <w:rStyle w:val="apple-converted-space"/>
          <w:rFonts w:ascii="Arial" w:hAnsi="Arial" w:cs="Arial"/>
          <w:sz w:val="24"/>
          <w:szCs w:val="24"/>
          <w:shd w:val="clear" w:color="auto" w:fill="FFFFFF"/>
        </w:rPr>
        <w:t xml:space="preserve"> </w:t>
      </w:r>
      <w:r w:rsidR="004C16E4" w:rsidRPr="00A30291">
        <w:rPr>
          <w:rStyle w:val="apple-converted-space"/>
          <w:rFonts w:ascii="Arial" w:hAnsi="Arial" w:cs="Arial"/>
          <w:sz w:val="24"/>
          <w:szCs w:val="24"/>
          <w:shd w:val="clear" w:color="auto" w:fill="FFFFFF"/>
        </w:rPr>
        <w:t>requires</w:t>
      </w:r>
      <w:r w:rsidRPr="00A30291">
        <w:rPr>
          <w:rStyle w:val="apple-converted-space"/>
          <w:rFonts w:ascii="Arial" w:hAnsi="Arial" w:cs="Arial"/>
          <w:sz w:val="24"/>
          <w:szCs w:val="24"/>
          <w:shd w:val="clear" w:color="auto" w:fill="FFFFFF"/>
        </w:rPr>
        <w:t xml:space="preserve"> a score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8</w:t>
      </w:r>
      <w:r w:rsidR="004C16E4" w:rsidRPr="00A30291">
        <w:rPr>
          <w:rStyle w:val="apple-converted-space"/>
          <w:rFonts w:ascii="Arial" w:hAnsi="Arial" w:cs="Arial"/>
          <w:sz w:val="24"/>
          <w:szCs w:val="24"/>
          <w:shd w:val="clear" w:color="auto" w:fill="FFFFFF"/>
        </w:rPr>
        <w:t>,</w:t>
      </w:r>
      <w:r w:rsidRPr="00A30291">
        <w:rPr>
          <w:rStyle w:val="apple-converted-space"/>
          <w:rFonts w:ascii="Arial" w:hAnsi="Arial" w:cs="Arial"/>
          <w:sz w:val="24"/>
          <w:szCs w:val="24"/>
          <w:shd w:val="clear" w:color="auto" w:fill="FFFFFF"/>
        </w:rPr>
        <w:t xml:space="preserve"> and </w:t>
      </w:r>
      <w:r w:rsidR="007520CD" w:rsidRPr="00A30291">
        <w:rPr>
          <w:rStyle w:val="apple-converted-space"/>
          <w:rFonts w:ascii="Arial" w:hAnsi="Arial" w:cs="Arial"/>
          <w:sz w:val="24"/>
          <w:szCs w:val="24"/>
          <w:shd w:val="clear" w:color="auto" w:fill="FFFFFF"/>
        </w:rPr>
        <w:t>DR</w:t>
      </w:r>
      <w:r w:rsidRPr="00A30291">
        <w:rPr>
          <w:rStyle w:val="apple-converted-space"/>
          <w:rFonts w:ascii="Arial" w:hAnsi="Arial" w:cs="Arial"/>
          <w:sz w:val="24"/>
          <w:szCs w:val="24"/>
          <w:shd w:val="clear" w:color="auto" w:fill="FFFFFF"/>
        </w:rPr>
        <w:t xml:space="preserve"> </w:t>
      </w:r>
      <w:r w:rsidR="004C16E4" w:rsidRPr="00A30291">
        <w:rPr>
          <w:rStyle w:val="apple-converted-space"/>
          <w:rFonts w:ascii="Arial" w:hAnsi="Arial" w:cs="Arial"/>
          <w:sz w:val="24"/>
          <w:szCs w:val="24"/>
          <w:shd w:val="clear" w:color="auto" w:fill="FFFFFF"/>
        </w:rPr>
        <w:t xml:space="preserve">requires </w:t>
      </w:r>
      <w:r w:rsidRPr="00A30291">
        <w:rPr>
          <w:rStyle w:val="apple-converted-space"/>
          <w:rFonts w:ascii="Arial" w:hAnsi="Arial" w:cs="Arial"/>
          <w:sz w:val="24"/>
          <w:szCs w:val="24"/>
          <w:shd w:val="clear" w:color="auto" w:fill="FFFFFF"/>
        </w:rPr>
        <w:t xml:space="preserve">a score </w:t>
      </w:r>
      <w:r w:rsidRPr="00A30291">
        <w:rPr>
          <w:rStyle w:val="apple-converted-space"/>
          <w:rFonts w:ascii="Arial" w:hAnsi="Arial" w:cs="Arial"/>
          <w:sz w:val="24"/>
          <w:szCs w:val="24"/>
          <w:u w:val="single"/>
          <w:shd w:val="clear" w:color="auto" w:fill="FFFFFF"/>
        </w:rPr>
        <w:t>&gt;</w:t>
      </w:r>
      <w:r w:rsidRPr="00A30291">
        <w:rPr>
          <w:rStyle w:val="apple-converted-space"/>
          <w:rFonts w:ascii="Arial" w:hAnsi="Arial" w:cs="Arial"/>
          <w:sz w:val="24"/>
          <w:szCs w:val="24"/>
          <w:shd w:val="clear" w:color="auto" w:fill="FFFFFF"/>
        </w:rPr>
        <w:t xml:space="preserve"> 10. </w:t>
      </w:r>
    </w:p>
    <w:p w14:paraId="79AAB1B4" w14:textId="1B99C05E" w:rsidR="009E6544" w:rsidRPr="00A30291" w:rsidRDefault="009E6544" w:rsidP="001D10F7">
      <w:pPr>
        <w:tabs>
          <w:tab w:val="left" w:pos="720"/>
        </w:tabs>
        <w:spacing w:line="480" w:lineRule="auto"/>
        <w:ind w:right="-227"/>
        <w:rPr>
          <w:rFonts w:ascii="Arial" w:hAnsi="Arial" w:cs="Arial"/>
          <w:sz w:val="24"/>
          <w:szCs w:val="24"/>
        </w:rPr>
      </w:pPr>
      <w:r w:rsidRPr="00A30291">
        <w:rPr>
          <w:rFonts w:ascii="Arial" w:hAnsi="Arial" w:cs="Arial"/>
          <w:i/>
          <w:iCs/>
          <w:sz w:val="24"/>
          <w:szCs w:val="24"/>
        </w:rPr>
        <w:t>Childhood Trauma Questionnaire</w:t>
      </w:r>
      <w:r w:rsidRPr="00A30291">
        <w:rPr>
          <w:rFonts w:ascii="Arial" w:hAnsi="Arial" w:cs="Arial"/>
          <w:sz w:val="24"/>
          <w:szCs w:val="24"/>
        </w:rPr>
        <w:t xml:space="preserve"> (CTQ: Bernstein &amp; Fink, 1998).</w:t>
      </w:r>
    </w:p>
    <w:p w14:paraId="24704E9D" w14:textId="1BE15674" w:rsidR="009E6544" w:rsidRPr="00A30291" w:rsidRDefault="009E6544" w:rsidP="001D10F7">
      <w:pPr>
        <w:tabs>
          <w:tab w:val="left" w:pos="720"/>
        </w:tabs>
        <w:spacing w:line="480" w:lineRule="auto"/>
        <w:ind w:right="-227"/>
        <w:rPr>
          <w:rFonts w:ascii="Arial" w:hAnsi="Arial" w:cs="Arial"/>
          <w:sz w:val="24"/>
          <w:szCs w:val="24"/>
        </w:rPr>
      </w:pPr>
      <w:r w:rsidRPr="00A30291">
        <w:rPr>
          <w:rFonts w:ascii="Arial" w:hAnsi="Arial" w:cs="Arial"/>
          <w:sz w:val="24"/>
          <w:szCs w:val="24"/>
        </w:rPr>
        <w:tab/>
        <w:t xml:space="preserve">The CTQ is a 28-item self-report questionnaire that assesses exposure to </w:t>
      </w:r>
      <w:r w:rsidR="00B11354" w:rsidRPr="00A30291">
        <w:rPr>
          <w:rFonts w:ascii="Arial" w:hAnsi="Arial" w:cs="Arial"/>
          <w:sz w:val="24"/>
          <w:szCs w:val="24"/>
        </w:rPr>
        <w:t xml:space="preserve">a </w:t>
      </w:r>
      <w:r w:rsidRPr="00A30291">
        <w:rPr>
          <w:rFonts w:ascii="Arial" w:hAnsi="Arial" w:cs="Arial"/>
          <w:sz w:val="24"/>
          <w:szCs w:val="24"/>
        </w:rPr>
        <w:t xml:space="preserve">range of different childhood traumas. </w:t>
      </w:r>
      <w:r w:rsidR="00814999" w:rsidRPr="00A30291">
        <w:rPr>
          <w:rFonts w:ascii="Arial" w:hAnsi="Arial" w:cs="Arial"/>
          <w:sz w:val="24"/>
          <w:szCs w:val="24"/>
        </w:rPr>
        <w:t>It yields</w:t>
      </w:r>
      <w:r w:rsidRPr="00A30291">
        <w:rPr>
          <w:rFonts w:ascii="Arial" w:hAnsi="Arial" w:cs="Arial"/>
          <w:sz w:val="24"/>
          <w:szCs w:val="24"/>
          <w:shd w:val="clear" w:color="auto" w:fill="FFFFFF"/>
        </w:rPr>
        <w:t xml:space="preserve"> five subscales, each with five items: Emotional Abuse, Physical Abuse, Sexual Abuse, Emotional Neglect, and Physical Neglect.</w:t>
      </w:r>
      <w:r w:rsidRPr="00A30291">
        <w:rPr>
          <w:rStyle w:val="apple-converted-space"/>
          <w:rFonts w:ascii="Arial" w:hAnsi="Arial" w:cs="Arial"/>
          <w:sz w:val="24"/>
          <w:szCs w:val="24"/>
          <w:shd w:val="clear" w:color="auto" w:fill="FFFFFF"/>
        </w:rPr>
        <w:t> </w:t>
      </w:r>
      <w:r w:rsidRPr="00A30291">
        <w:rPr>
          <w:rFonts w:ascii="Arial" w:hAnsi="Arial" w:cs="Arial"/>
          <w:sz w:val="24"/>
          <w:szCs w:val="24"/>
        </w:rPr>
        <w:t xml:space="preserve"> Items are responded to using a 5-point scale ranging from “never true” (1) to “very often true” (5) which produces possible scores </w:t>
      </w:r>
      <w:r w:rsidR="00B11354" w:rsidRPr="00A30291">
        <w:rPr>
          <w:rFonts w:ascii="Arial" w:hAnsi="Arial" w:cs="Arial"/>
          <w:sz w:val="24"/>
          <w:szCs w:val="24"/>
        </w:rPr>
        <w:t xml:space="preserve">of </w:t>
      </w:r>
      <w:r w:rsidRPr="00A30291">
        <w:rPr>
          <w:rFonts w:ascii="Arial" w:hAnsi="Arial" w:cs="Arial"/>
          <w:sz w:val="24"/>
          <w:szCs w:val="24"/>
          <w:shd w:val="clear" w:color="auto" w:fill="FFFFFF"/>
        </w:rPr>
        <w:t xml:space="preserve">5 to 25 for each trauma subscale. </w:t>
      </w:r>
      <w:r w:rsidRPr="00A30291">
        <w:rPr>
          <w:rFonts w:ascii="Arial" w:hAnsi="Arial" w:cs="Arial"/>
          <w:sz w:val="24"/>
          <w:szCs w:val="24"/>
        </w:rPr>
        <w:t xml:space="preserve">The reliability of the </w:t>
      </w:r>
      <w:r w:rsidR="00814999" w:rsidRPr="00A30291">
        <w:rPr>
          <w:rFonts w:ascii="Arial" w:hAnsi="Arial" w:cs="Arial"/>
          <w:sz w:val="24"/>
          <w:szCs w:val="24"/>
        </w:rPr>
        <w:t>sub</w:t>
      </w:r>
      <w:r w:rsidRPr="00A30291">
        <w:rPr>
          <w:rFonts w:ascii="Arial" w:hAnsi="Arial" w:cs="Arial"/>
          <w:sz w:val="24"/>
          <w:szCs w:val="24"/>
        </w:rPr>
        <w:t xml:space="preserve">scales was high in this sample; </w:t>
      </w:r>
      <w:r w:rsidRPr="00A30291">
        <w:rPr>
          <w:rFonts w:ascii="Arial" w:hAnsi="Arial" w:cs="Arial"/>
          <w:sz w:val="24"/>
          <w:szCs w:val="24"/>
          <w:shd w:val="clear" w:color="auto" w:fill="FFFFFF"/>
        </w:rPr>
        <w:t>Emotional Abuse (.90), Physical Abuse (.85), Sexual Abuse (.97), Emotional Neglect (.92), Physical Neglect (.83).</w:t>
      </w:r>
      <w:r w:rsidRPr="00A30291">
        <w:rPr>
          <w:rStyle w:val="apple-converted-space"/>
          <w:rFonts w:ascii="Arial" w:hAnsi="Arial" w:cs="Arial"/>
          <w:sz w:val="24"/>
          <w:szCs w:val="24"/>
          <w:shd w:val="clear" w:color="auto" w:fill="FFFFFF"/>
        </w:rPr>
        <w:t> </w:t>
      </w:r>
    </w:p>
    <w:p w14:paraId="03849935" w14:textId="77777777" w:rsidR="009E6544" w:rsidRPr="00A30291" w:rsidRDefault="009E6544" w:rsidP="001D10F7">
      <w:pPr>
        <w:tabs>
          <w:tab w:val="left" w:pos="720"/>
        </w:tabs>
        <w:spacing w:line="480" w:lineRule="auto"/>
        <w:ind w:right="-227"/>
        <w:rPr>
          <w:rFonts w:ascii="Arial" w:hAnsi="Arial" w:cs="Arial"/>
          <w:sz w:val="24"/>
          <w:szCs w:val="24"/>
        </w:rPr>
      </w:pPr>
      <w:r w:rsidRPr="00A30291">
        <w:rPr>
          <w:rFonts w:ascii="Arial" w:hAnsi="Arial" w:cs="Arial"/>
          <w:i/>
          <w:iCs/>
          <w:sz w:val="24"/>
          <w:szCs w:val="24"/>
        </w:rPr>
        <w:t xml:space="preserve">The Life Events Checklist (LEC: </w:t>
      </w:r>
      <w:r w:rsidRPr="00A30291">
        <w:rPr>
          <w:rFonts w:ascii="Arial" w:hAnsi="Arial" w:cs="Arial"/>
          <w:sz w:val="24"/>
          <w:szCs w:val="24"/>
        </w:rPr>
        <w:t xml:space="preserve">Gray, Litz, Hsu, &amp; Lombardo, 2004). </w:t>
      </w:r>
    </w:p>
    <w:p w14:paraId="10F63443" w14:textId="6F1D7B8B" w:rsidR="009E6544" w:rsidRPr="00A30291" w:rsidRDefault="009E6544" w:rsidP="001D10F7">
      <w:pPr>
        <w:tabs>
          <w:tab w:val="left" w:pos="720"/>
        </w:tabs>
        <w:spacing w:line="480" w:lineRule="auto"/>
        <w:ind w:right="-227"/>
        <w:rPr>
          <w:rFonts w:ascii="Arial" w:hAnsi="Arial" w:cs="Arial"/>
          <w:sz w:val="24"/>
          <w:szCs w:val="24"/>
          <w:lang w:eastAsia="en-GB"/>
        </w:rPr>
      </w:pPr>
      <w:r w:rsidRPr="00A30291">
        <w:rPr>
          <w:rFonts w:ascii="Arial" w:hAnsi="Arial" w:cs="Arial"/>
          <w:sz w:val="24"/>
          <w:szCs w:val="24"/>
        </w:rPr>
        <w:tab/>
        <w:t xml:space="preserve">The LEC is a 17-item self-report measure designed to screen for potentially traumatic events in a respondent's lifetime. The LEC assesses life time exposure to 16 traumatic events (e.g. Natural disaster, Physical assault, Life threatening illness/injury) and the 17th item, “Any other very stressful event/experience”, can be used to indicate exposure to a trauma that </w:t>
      </w:r>
      <w:r w:rsidR="00B11354" w:rsidRPr="00A30291">
        <w:rPr>
          <w:rFonts w:ascii="Arial" w:hAnsi="Arial" w:cs="Arial"/>
          <w:sz w:val="24"/>
          <w:szCs w:val="24"/>
        </w:rPr>
        <w:t>i</w:t>
      </w:r>
      <w:r w:rsidRPr="00A30291">
        <w:rPr>
          <w:rFonts w:ascii="Arial" w:hAnsi="Arial" w:cs="Arial"/>
          <w:sz w:val="24"/>
          <w:szCs w:val="24"/>
        </w:rPr>
        <w:t>s not listed. For each item, respondent</w:t>
      </w:r>
      <w:r w:rsidR="008A6702" w:rsidRPr="00A30291">
        <w:rPr>
          <w:rFonts w:ascii="Arial" w:hAnsi="Arial" w:cs="Arial"/>
          <w:sz w:val="24"/>
          <w:szCs w:val="24"/>
        </w:rPr>
        <w:t>s check</w:t>
      </w:r>
      <w:r w:rsidRPr="00A30291">
        <w:rPr>
          <w:rFonts w:ascii="Arial" w:hAnsi="Arial" w:cs="Arial"/>
          <w:sz w:val="24"/>
          <w:szCs w:val="24"/>
        </w:rPr>
        <w:t xml:space="preserve"> whether the event </w:t>
      </w:r>
      <w:r w:rsidRPr="00A30291">
        <w:rPr>
          <w:rFonts w:ascii="Arial" w:hAnsi="Arial" w:cs="Arial"/>
          <w:sz w:val="24"/>
          <w:szCs w:val="24"/>
          <w:lang w:eastAsia="en-GB"/>
        </w:rPr>
        <w:t xml:space="preserve">‘Happened to me’ (1), ‘Witnessed it happening to somebody else’ (2), ‘Learned about it happening to someone close to me’ (3), ‘Part of my job’ (4), ‘Not sure it applies’ (5), ‘Doesn't apply to my experience’ (6). In order to create a summed total to represent the number of different life events that has been experienced the items were recoded into binary variables with ‘Happened to me’ responses being coded as 1 and all other responses coded as 0. This produced a single ‘Total traumas’ variable with possible scores ranging from 0 to 16; item 17 </w:t>
      </w:r>
      <w:r w:rsidR="002747F7" w:rsidRPr="00A30291">
        <w:rPr>
          <w:rFonts w:ascii="Arial" w:hAnsi="Arial" w:cs="Arial"/>
          <w:sz w:val="24"/>
          <w:szCs w:val="24"/>
          <w:lang w:eastAsia="en-GB"/>
        </w:rPr>
        <w:t xml:space="preserve">(“Any other very stressful event or experience”) </w:t>
      </w:r>
      <w:r w:rsidRPr="00A30291">
        <w:rPr>
          <w:rFonts w:ascii="Arial" w:hAnsi="Arial" w:cs="Arial"/>
          <w:sz w:val="24"/>
          <w:szCs w:val="24"/>
          <w:lang w:eastAsia="en-GB"/>
        </w:rPr>
        <w:t>was not included as the nature of the trauma could not be identified.</w:t>
      </w:r>
    </w:p>
    <w:p w14:paraId="503FB60C" w14:textId="77777777" w:rsidR="009E6544" w:rsidRPr="00A30291" w:rsidRDefault="009E6544" w:rsidP="003C3A41">
      <w:pPr>
        <w:tabs>
          <w:tab w:val="left" w:pos="720"/>
        </w:tabs>
        <w:spacing w:line="480" w:lineRule="auto"/>
        <w:ind w:right="-227"/>
        <w:rPr>
          <w:rFonts w:ascii="Arial" w:hAnsi="Arial" w:cs="Arial"/>
          <w:sz w:val="24"/>
          <w:szCs w:val="24"/>
        </w:rPr>
      </w:pPr>
      <w:r w:rsidRPr="00A30291">
        <w:rPr>
          <w:rFonts w:ascii="Arial" w:hAnsi="Arial" w:cs="Arial"/>
          <w:i/>
          <w:iCs/>
          <w:sz w:val="24"/>
          <w:szCs w:val="24"/>
        </w:rPr>
        <w:t xml:space="preserve">PTSD Checklist for DSM-5 (PCL-5: </w:t>
      </w:r>
      <w:r w:rsidRPr="00A30291">
        <w:rPr>
          <w:rFonts w:ascii="Arial" w:hAnsi="Arial" w:cs="Arial"/>
          <w:sz w:val="24"/>
          <w:szCs w:val="24"/>
        </w:rPr>
        <w:t>Weathers et al., 2013)</w:t>
      </w:r>
    </w:p>
    <w:p w14:paraId="37D309A2" w14:textId="6B6A9124" w:rsidR="00766DE1" w:rsidRPr="00A30291" w:rsidRDefault="009E6544" w:rsidP="00673A4A">
      <w:pPr>
        <w:tabs>
          <w:tab w:val="left" w:pos="720"/>
        </w:tabs>
        <w:spacing w:line="480" w:lineRule="auto"/>
        <w:ind w:right="-227"/>
        <w:rPr>
          <w:rStyle w:val="apple-converted-space"/>
          <w:rFonts w:ascii="Arial" w:hAnsi="Arial" w:cs="Arial"/>
          <w:sz w:val="24"/>
          <w:szCs w:val="24"/>
          <w:shd w:val="clear" w:color="auto" w:fill="FFFFFF"/>
        </w:rPr>
      </w:pPr>
      <w:r w:rsidRPr="00A30291">
        <w:rPr>
          <w:rFonts w:ascii="Arial" w:hAnsi="Arial" w:cs="Arial"/>
          <w:sz w:val="24"/>
          <w:szCs w:val="24"/>
          <w:shd w:val="clear" w:color="auto" w:fill="FFFFFF"/>
        </w:rPr>
        <w:tab/>
        <w:t>The PCL-5 is a 20-item self-report measure that assesses the 20 DSM-5 symptoms of PTSD.</w:t>
      </w:r>
      <w:r w:rsidRPr="00A30291">
        <w:rPr>
          <w:rStyle w:val="apple-converted-space"/>
          <w:rFonts w:ascii="Arial" w:hAnsi="Arial" w:cs="Arial"/>
          <w:sz w:val="24"/>
          <w:szCs w:val="24"/>
          <w:shd w:val="clear" w:color="auto" w:fill="FFFFFF"/>
        </w:rPr>
        <w:t> </w:t>
      </w:r>
      <w:r w:rsidRPr="00A30291">
        <w:rPr>
          <w:rFonts w:ascii="Arial" w:hAnsi="Arial" w:cs="Arial"/>
          <w:sz w:val="24"/>
          <w:szCs w:val="24"/>
        </w:rPr>
        <w:t xml:space="preserve">Participants respond using a 5 point scale, ranging from </w:t>
      </w:r>
      <w:r w:rsidRPr="00A30291">
        <w:rPr>
          <w:rFonts w:ascii="Arial" w:hAnsi="Arial" w:cs="Arial"/>
          <w:sz w:val="24"/>
          <w:szCs w:val="24"/>
          <w:shd w:val="clear" w:color="auto" w:fill="FFFFFF"/>
        </w:rPr>
        <w:t>"Not at all" (0) to "Extremely"</w:t>
      </w:r>
      <w:r w:rsidR="00DD063C">
        <w:rPr>
          <w:rFonts w:ascii="Arial" w:hAnsi="Arial" w:cs="Arial"/>
          <w:sz w:val="24"/>
          <w:szCs w:val="24"/>
        </w:rPr>
        <w:t xml:space="preserve"> (4</w:t>
      </w:r>
      <w:r w:rsidRPr="00A30291">
        <w:rPr>
          <w:rFonts w:ascii="Arial" w:hAnsi="Arial" w:cs="Arial"/>
          <w:sz w:val="24"/>
          <w:szCs w:val="24"/>
        </w:rPr>
        <w:t xml:space="preserve">), indicating how much the specific symptom was a problem to them over the past month. </w:t>
      </w:r>
      <w:r w:rsidRPr="00A30291">
        <w:rPr>
          <w:rFonts w:ascii="Arial" w:hAnsi="Arial" w:cs="Arial"/>
          <w:sz w:val="24"/>
          <w:szCs w:val="24"/>
          <w:shd w:val="clear" w:color="auto" w:fill="FFFFFF"/>
        </w:rPr>
        <w:t>Symptom cluster severity scores</w:t>
      </w:r>
      <w:r w:rsidRPr="00A30291">
        <w:rPr>
          <w:rStyle w:val="apple-converted-space"/>
          <w:rFonts w:ascii="Arial" w:hAnsi="Arial" w:cs="Arial"/>
          <w:sz w:val="24"/>
          <w:szCs w:val="24"/>
          <w:shd w:val="clear" w:color="auto" w:fill="FFFFFF"/>
        </w:rPr>
        <w:t xml:space="preserve"> are calculated for </w:t>
      </w:r>
      <w:r w:rsidR="009132FB" w:rsidRPr="00A30291">
        <w:rPr>
          <w:rStyle w:val="apple-converted-space"/>
          <w:rFonts w:ascii="Arial" w:hAnsi="Arial" w:cs="Arial"/>
          <w:sz w:val="24"/>
          <w:szCs w:val="24"/>
          <w:shd w:val="clear" w:color="auto" w:fill="FFFFFF"/>
        </w:rPr>
        <w:t xml:space="preserve">intrusions </w:t>
      </w:r>
      <w:r w:rsidRPr="00A30291">
        <w:rPr>
          <w:rStyle w:val="apple-converted-space"/>
          <w:rFonts w:ascii="Arial" w:hAnsi="Arial" w:cs="Arial"/>
          <w:sz w:val="24"/>
          <w:szCs w:val="24"/>
          <w:shd w:val="clear" w:color="auto" w:fill="FFFFFF"/>
        </w:rPr>
        <w:t>(</w:t>
      </w:r>
      <w:r w:rsidR="00E654A0" w:rsidRPr="00A30291">
        <w:rPr>
          <w:rStyle w:val="apple-converted-space"/>
          <w:rFonts w:ascii="Arial" w:hAnsi="Arial" w:cs="Arial"/>
          <w:sz w:val="24"/>
          <w:szCs w:val="24"/>
          <w:shd w:val="clear" w:color="auto" w:fill="FFFFFF"/>
        </w:rPr>
        <w:t xml:space="preserve">I: </w:t>
      </w:r>
      <w:r w:rsidRPr="00A30291">
        <w:rPr>
          <w:rStyle w:val="apple-converted-space"/>
          <w:rFonts w:ascii="Arial" w:hAnsi="Arial" w:cs="Arial"/>
          <w:sz w:val="24"/>
          <w:szCs w:val="24"/>
          <w:shd w:val="clear" w:color="auto" w:fill="FFFFFF"/>
        </w:rPr>
        <w:t xml:space="preserve">5 items), </w:t>
      </w:r>
      <w:r w:rsidR="00E60296" w:rsidRPr="00A30291">
        <w:rPr>
          <w:rStyle w:val="apple-converted-space"/>
          <w:rFonts w:ascii="Arial" w:hAnsi="Arial" w:cs="Arial"/>
          <w:sz w:val="24"/>
          <w:szCs w:val="24"/>
          <w:shd w:val="clear" w:color="auto" w:fill="FFFFFF"/>
        </w:rPr>
        <w:t xml:space="preserve">avoidance </w:t>
      </w:r>
      <w:r w:rsidRPr="00A30291">
        <w:rPr>
          <w:rStyle w:val="apple-converted-space"/>
          <w:rFonts w:ascii="Arial" w:hAnsi="Arial" w:cs="Arial"/>
          <w:sz w:val="24"/>
          <w:szCs w:val="24"/>
          <w:shd w:val="clear" w:color="auto" w:fill="FFFFFF"/>
        </w:rPr>
        <w:t>(</w:t>
      </w:r>
      <w:r w:rsidR="00E654A0" w:rsidRPr="00A30291">
        <w:rPr>
          <w:rStyle w:val="apple-converted-space"/>
          <w:rFonts w:ascii="Arial" w:hAnsi="Arial" w:cs="Arial"/>
          <w:sz w:val="24"/>
          <w:szCs w:val="24"/>
          <w:shd w:val="clear" w:color="auto" w:fill="FFFFFF"/>
        </w:rPr>
        <w:t xml:space="preserve">Av: </w:t>
      </w:r>
      <w:r w:rsidRPr="00A30291">
        <w:rPr>
          <w:rStyle w:val="apple-converted-space"/>
          <w:rFonts w:ascii="Arial" w:hAnsi="Arial" w:cs="Arial"/>
          <w:sz w:val="24"/>
          <w:szCs w:val="24"/>
          <w:shd w:val="clear" w:color="auto" w:fill="FFFFFF"/>
        </w:rPr>
        <w:t xml:space="preserve">2 items), </w:t>
      </w:r>
      <w:r w:rsidR="00CD71A7" w:rsidRPr="00A30291">
        <w:rPr>
          <w:rStyle w:val="apple-converted-space"/>
          <w:rFonts w:ascii="Arial" w:hAnsi="Arial" w:cs="Arial"/>
          <w:sz w:val="24"/>
          <w:szCs w:val="24"/>
          <w:shd w:val="clear" w:color="auto" w:fill="FFFFFF"/>
        </w:rPr>
        <w:t xml:space="preserve">negative </w:t>
      </w:r>
      <w:r w:rsidRPr="00A30291">
        <w:rPr>
          <w:rStyle w:val="apple-converted-space"/>
          <w:rFonts w:ascii="Arial" w:hAnsi="Arial" w:cs="Arial"/>
          <w:sz w:val="24"/>
          <w:szCs w:val="24"/>
          <w:shd w:val="clear" w:color="auto" w:fill="FFFFFF"/>
        </w:rPr>
        <w:t>alterations in cognitions and mood (</w:t>
      </w:r>
      <w:r w:rsidR="00E654A0" w:rsidRPr="00A30291">
        <w:rPr>
          <w:rStyle w:val="apple-converted-space"/>
          <w:rFonts w:ascii="Arial" w:hAnsi="Arial" w:cs="Arial"/>
          <w:sz w:val="24"/>
          <w:szCs w:val="24"/>
          <w:shd w:val="clear" w:color="auto" w:fill="FFFFFF"/>
        </w:rPr>
        <w:t xml:space="preserve">NACM: </w:t>
      </w:r>
      <w:r w:rsidRPr="00A30291">
        <w:rPr>
          <w:rStyle w:val="apple-converted-space"/>
          <w:rFonts w:ascii="Arial" w:hAnsi="Arial" w:cs="Arial"/>
          <w:sz w:val="24"/>
          <w:szCs w:val="24"/>
          <w:shd w:val="clear" w:color="auto" w:fill="FFFFFF"/>
        </w:rPr>
        <w:t xml:space="preserve">7 items), and </w:t>
      </w:r>
      <w:r w:rsidR="00CD71A7" w:rsidRPr="00A30291">
        <w:rPr>
          <w:rStyle w:val="apple-converted-space"/>
          <w:rFonts w:ascii="Arial" w:hAnsi="Arial" w:cs="Arial"/>
          <w:sz w:val="24"/>
          <w:szCs w:val="24"/>
          <w:shd w:val="clear" w:color="auto" w:fill="FFFFFF"/>
        </w:rPr>
        <w:t xml:space="preserve">alterations </w:t>
      </w:r>
      <w:r w:rsidRPr="00A30291">
        <w:rPr>
          <w:rStyle w:val="apple-converted-space"/>
          <w:rFonts w:ascii="Arial" w:hAnsi="Arial" w:cs="Arial"/>
          <w:sz w:val="24"/>
          <w:szCs w:val="24"/>
          <w:shd w:val="clear" w:color="auto" w:fill="FFFFFF"/>
        </w:rPr>
        <w:t>in arousal and reactivity (</w:t>
      </w:r>
      <w:r w:rsidR="00E654A0" w:rsidRPr="00A30291">
        <w:rPr>
          <w:rStyle w:val="apple-converted-space"/>
          <w:rFonts w:ascii="Arial" w:hAnsi="Arial" w:cs="Arial"/>
          <w:sz w:val="24"/>
          <w:szCs w:val="24"/>
          <w:shd w:val="clear" w:color="auto" w:fill="FFFFFF"/>
        </w:rPr>
        <w:t xml:space="preserve">Ar: </w:t>
      </w:r>
      <w:r w:rsidRPr="00A30291">
        <w:rPr>
          <w:rStyle w:val="apple-converted-space"/>
          <w:rFonts w:ascii="Arial" w:hAnsi="Arial" w:cs="Arial"/>
          <w:sz w:val="24"/>
          <w:szCs w:val="24"/>
          <w:shd w:val="clear" w:color="auto" w:fill="FFFFFF"/>
        </w:rPr>
        <w:t xml:space="preserve">6 items). The scale can also be used to generate a self-report DSM-5 diagnosis using a </w:t>
      </w:r>
      <w:r w:rsidRPr="00A30291">
        <w:rPr>
          <w:rStyle w:val="Strong"/>
          <w:rFonts w:ascii="Arial" w:hAnsi="Arial" w:cs="Arial"/>
          <w:b w:val="0"/>
          <w:bCs w:val="0"/>
          <w:sz w:val="24"/>
          <w:szCs w:val="24"/>
          <w:shd w:val="clear" w:color="auto" w:fill="FFFFFF"/>
        </w:rPr>
        <w:t>cut-point of 38</w:t>
      </w:r>
      <w:r w:rsidRPr="00A30291">
        <w:rPr>
          <w:rStyle w:val="apple-converted-space"/>
          <w:rFonts w:ascii="Arial" w:hAnsi="Arial" w:cs="Arial"/>
          <w:sz w:val="24"/>
          <w:szCs w:val="24"/>
          <w:shd w:val="clear" w:color="auto" w:fill="FFFFFF"/>
        </w:rPr>
        <w:t xml:space="preserve">. </w:t>
      </w:r>
      <w:r w:rsidR="00CD71A7" w:rsidRPr="00A30291">
        <w:rPr>
          <w:rStyle w:val="apple-converted-space"/>
          <w:rFonts w:ascii="Arial" w:hAnsi="Arial" w:cs="Arial"/>
          <w:sz w:val="24"/>
          <w:szCs w:val="24"/>
          <w:shd w:val="clear" w:color="auto" w:fill="FFFFFF"/>
        </w:rPr>
        <w:t xml:space="preserve">PCL-5 has demonstrated </w:t>
      </w:r>
      <w:r w:rsidR="008A6702" w:rsidRPr="00A30291">
        <w:rPr>
          <w:rStyle w:val="apple-converted-space"/>
          <w:rFonts w:ascii="Arial" w:hAnsi="Arial" w:cs="Arial"/>
          <w:sz w:val="24"/>
          <w:szCs w:val="24"/>
          <w:shd w:val="clear" w:color="auto" w:fill="FFFFFF"/>
        </w:rPr>
        <w:t>acceptable</w:t>
      </w:r>
      <w:r w:rsidR="00CD71A7" w:rsidRPr="00A30291">
        <w:rPr>
          <w:rStyle w:val="apple-converted-space"/>
          <w:rFonts w:ascii="Arial" w:hAnsi="Arial" w:cs="Arial"/>
          <w:sz w:val="24"/>
          <w:szCs w:val="24"/>
          <w:shd w:val="clear" w:color="auto" w:fill="FFFFFF"/>
        </w:rPr>
        <w:t xml:space="preserve"> reliability and validity</w:t>
      </w:r>
      <w:r w:rsidR="00766DE1" w:rsidRPr="00A30291">
        <w:rPr>
          <w:rStyle w:val="apple-converted-space"/>
          <w:rFonts w:ascii="Arial" w:hAnsi="Arial" w:cs="Arial"/>
          <w:sz w:val="24"/>
          <w:szCs w:val="24"/>
          <w:shd w:val="clear" w:color="auto" w:fill="FFFFFF"/>
        </w:rPr>
        <w:t xml:space="preserve"> in samples of college students (</w:t>
      </w:r>
      <w:r w:rsidR="00766DE1" w:rsidRPr="00A30291">
        <w:rPr>
          <w:rFonts w:ascii="Arial" w:eastAsia="Times New Roman" w:hAnsi="Arial" w:cs="Arial"/>
          <w:sz w:val="24"/>
          <w:szCs w:val="24"/>
          <w:lang w:val="en" w:eastAsia="en-GB"/>
        </w:rPr>
        <w:t xml:space="preserve">Blevins, Weathers, Davis, Witte, Domino, 2015) as well as veterans (Bovin, Marx, Weathers, Gallagher, Rodriguez, Schnurr, &amp; Keane, </w:t>
      </w:r>
      <w:r w:rsidR="00E60296" w:rsidRPr="00A30291">
        <w:rPr>
          <w:rFonts w:ascii="Arial" w:eastAsia="Times New Roman" w:hAnsi="Arial" w:cs="Arial"/>
          <w:sz w:val="24"/>
          <w:szCs w:val="24"/>
          <w:lang w:val="en" w:eastAsia="en-GB"/>
        </w:rPr>
        <w:t>2015</w:t>
      </w:r>
      <w:r w:rsidR="00766DE1" w:rsidRPr="00A30291">
        <w:rPr>
          <w:rFonts w:ascii="Arial" w:eastAsia="Times New Roman" w:hAnsi="Arial" w:cs="Arial"/>
          <w:sz w:val="24"/>
          <w:szCs w:val="24"/>
          <w:lang w:val="en" w:eastAsia="en-GB"/>
        </w:rPr>
        <w:t>).</w:t>
      </w:r>
      <w:r w:rsidR="00E60296" w:rsidRPr="00A30291">
        <w:rPr>
          <w:rFonts w:ascii="Arial" w:eastAsia="Times New Roman" w:hAnsi="Arial" w:cs="Arial"/>
          <w:sz w:val="24"/>
          <w:szCs w:val="24"/>
          <w:lang w:val="en" w:eastAsia="en-GB"/>
        </w:rPr>
        <w:t xml:space="preserve"> </w:t>
      </w:r>
      <w:r w:rsidR="005A5274" w:rsidRPr="00A30291">
        <w:rPr>
          <w:rFonts w:ascii="Arial" w:hAnsi="Arial" w:cs="Arial"/>
          <w:sz w:val="24"/>
          <w:szCs w:val="24"/>
        </w:rPr>
        <w:t>The reliability of the total scale (</w:t>
      </w:r>
      <w:r w:rsidR="005A5274" w:rsidRPr="00A30291">
        <w:rPr>
          <w:rFonts w:ascii="Arial" w:hAnsi="Arial" w:cs="Arial"/>
          <w:sz w:val="24"/>
          <w:szCs w:val="24"/>
        </w:rPr>
        <w:sym w:font="Symbol" w:char="F061"/>
      </w:r>
      <w:r w:rsidR="005A5274" w:rsidRPr="00A30291">
        <w:rPr>
          <w:rFonts w:ascii="Arial" w:hAnsi="Arial" w:cs="Arial"/>
          <w:sz w:val="24"/>
          <w:szCs w:val="24"/>
        </w:rPr>
        <w:t xml:space="preserve"> = .88) and the </w:t>
      </w:r>
      <w:r w:rsidR="00E654A0" w:rsidRPr="00A30291">
        <w:rPr>
          <w:rFonts w:ascii="Arial" w:hAnsi="Arial" w:cs="Arial"/>
          <w:sz w:val="24"/>
          <w:szCs w:val="24"/>
        </w:rPr>
        <w:t>I</w:t>
      </w:r>
      <w:r w:rsidR="005A5274" w:rsidRPr="00A30291">
        <w:rPr>
          <w:rFonts w:ascii="Arial" w:hAnsi="Arial" w:cs="Arial"/>
          <w:sz w:val="24"/>
          <w:szCs w:val="24"/>
        </w:rPr>
        <w:t xml:space="preserve"> (</w:t>
      </w:r>
      <w:r w:rsidR="005A5274" w:rsidRPr="00A30291">
        <w:rPr>
          <w:rFonts w:ascii="Arial" w:hAnsi="Arial" w:cs="Arial"/>
          <w:sz w:val="24"/>
          <w:szCs w:val="24"/>
        </w:rPr>
        <w:sym w:font="Symbol" w:char="F061"/>
      </w:r>
      <w:r w:rsidR="005A5274" w:rsidRPr="00A30291">
        <w:rPr>
          <w:rFonts w:ascii="Arial" w:hAnsi="Arial" w:cs="Arial"/>
          <w:sz w:val="24"/>
          <w:szCs w:val="24"/>
        </w:rPr>
        <w:t xml:space="preserve"> = .80), </w:t>
      </w:r>
      <w:r w:rsidR="00E654A0" w:rsidRPr="00A30291">
        <w:rPr>
          <w:rStyle w:val="apple-converted-space"/>
          <w:rFonts w:ascii="Arial" w:hAnsi="Arial" w:cs="Arial"/>
          <w:sz w:val="24"/>
          <w:szCs w:val="24"/>
          <w:shd w:val="clear" w:color="auto" w:fill="FFFFFF"/>
        </w:rPr>
        <w:t>NACM</w:t>
      </w:r>
      <w:r w:rsidR="005A5274" w:rsidRPr="00A30291">
        <w:rPr>
          <w:rStyle w:val="apple-converted-space"/>
          <w:rFonts w:ascii="Arial" w:hAnsi="Arial" w:cs="Arial"/>
          <w:sz w:val="24"/>
          <w:szCs w:val="24"/>
          <w:shd w:val="clear" w:color="auto" w:fill="FFFFFF"/>
        </w:rPr>
        <w:t xml:space="preserve"> </w:t>
      </w:r>
      <w:r w:rsidR="005A5274" w:rsidRPr="00A30291">
        <w:rPr>
          <w:rFonts w:ascii="Arial" w:hAnsi="Arial" w:cs="Arial"/>
          <w:sz w:val="24"/>
          <w:szCs w:val="24"/>
        </w:rPr>
        <w:t>(</w:t>
      </w:r>
      <w:r w:rsidR="005A5274" w:rsidRPr="00A30291">
        <w:rPr>
          <w:rFonts w:ascii="Arial" w:hAnsi="Arial" w:cs="Arial"/>
          <w:sz w:val="24"/>
          <w:szCs w:val="24"/>
        </w:rPr>
        <w:sym w:font="Symbol" w:char="F061"/>
      </w:r>
      <w:r w:rsidR="005A5274" w:rsidRPr="00A30291">
        <w:rPr>
          <w:rFonts w:ascii="Arial" w:hAnsi="Arial" w:cs="Arial"/>
          <w:sz w:val="24"/>
          <w:szCs w:val="24"/>
        </w:rPr>
        <w:t xml:space="preserve"> = .79), and </w:t>
      </w:r>
      <w:r w:rsidR="00E654A0" w:rsidRPr="00A30291">
        <w:rPr>
          <w:rStyle w:val="apple-converted-space"/>
          <w:rFonts w:ascii="Arial" w:hAnsi="Arial" w:cs="Arial"/>
          <w:sz w:val="24"/>
          <w:szCs w:val="24"/>
          <w:shd w:val="clear" w:color="auto" w:fill="FFFFFF"/>
        </w:rPr>
        <w:t>Ar</w:t>
      </w:r>
      <w:r w:rsidR="005A5274" w:rsidRPr="00A30291">
        <w:rPr>
          <w:rStyle w:val="apple-converted-space"/>
          <w:rFonts w:ascii="Arial" w:hAnsi="Arial" w:cs="Arial"/>
          <w:sz w:val="24"/>
          <w:szCs w:val="24"/>
          <w:shd w:val="clear" w:color="auto" w:fill="FFFFFF"/>
        </w:rPr>
        <w:t xml:space="preserve"> </w:t>
      </w:r>
      <w:r w:rsidR="005A5274" w:rsidRPr="00A30291">
        <w:rPr>
          <w:rFonts w:ascii="Arial" w:hAnsi="Arial" w:cs="Arial"/>
          <w:sz w:val="24"/>
          <w:szCs w:val="24"/>
        </w:rPr>
        <w:t>(</w:t>
      </w:r>
      <w:r w:rsidR="005A5274" w:rsidRPr="00A30291">
        <w:rPr>
          <w:rFonts w:ascii="Arial" w:hAnsi="Arial" w:cs="Arial"/>
          <w:sz w:val="24"/>
          <w:szCs w:val="24"/>
        </w:rPr>
        <w:sym w:font="Symbol" w:char="F061"/>
      </w:r>
      <w:r w:rsidR="005A5274" w:rsidRPr="00A30291">
        <w:rPr>
          <w:rFonts w:ascii="Arial" w:hAnsi="Arial" w:cs="Arial"/>
          <w:sz w:val="24"/>
          <w:szCs w:val="24"/>
        </w:rPr>
        <w:t xml:space="preserve"> = .70) subscales were acceptable. The estimate of reliability for the </w:t>
      </w:r>
      <w:r w:rsidR="00E654A0" w:rsidRPr="00A30291">
        <w:rPr>
          <w:rFonts w:ascii="Arial" w:hAnsi="Arial" w:cs="Arial"/>
          <w:sz w:val="24"/>
          <w:szCs w:val="24"/>
        </w:rPr>
        <w:t>Av</w:t>
      </w:r>
      <w:r w:rsidR="005A5274" w:rsidRPr="00A30291">
        <w:rPr>
          <w:rFonts w:ascii="Arial" w:hAnsi="Arial" w:cs="Arial"/>
          <w:sz w:val="24"/>
          <w:szCs w:val="24"/>
        </w:rPr>
        <w:t xml:space="preserve"> items was low (</w:t>
      </w:r>
      <w:r w:rsidR="005A5274" w:rsidRPr="00A30291">
        <w:rPr>
          <w:rFonts w:ascii="Arial" w:hAnsi="Arial" w:cs="Arial"/>
          <w:sz w:val="24"/>
          <w:szCs w:val="24"/>
        </w:rPr>
        <w:sym w:font="Symbol" w:char="F061"/>
      </w:r>
      <w:r w:rsidR="005A5274" w:rsidRPr="00A30291">
        <w:rPr>
          <w:rFonts w:ascii="Arial" w:hAnsi="Arial" w:cs="Arial"/>
          <w:sz w:val="24"/>
          <w:szCs w:val="24"/>
        </w:rPr>
        <w:t xml:space="preserve"> = .44) but is</w:t>
      </w:r>
      <w:r w:rsidR="009132FB" w:rsidRPr="00A30291">
        <w:rPr>
          <w:rFonts w:ascii="Arial" w:hAnsi="Arial" w:cs="Arial"/>
          <w:sz w:val="24"/>
          <w:szCs w:val="24"/>
        </w:rPr>
        <w:t xml:space="preserve"> </w:t>
      </w:r>
      <w:r w:rsidR="005A5274" w:rsidRPr="00A30291">
        <w:rPr>
          <w:rStyle w:val="apple-converted-space"/>
          <w:rFonts w:ascii="Arial" w:hAnsi="Arial" w:cs="Arial"/>
          <w:sz w:val="24"/>
          <w:szCs w:val="24"/>
          <w:shd w:val="clear" w:color="auto" w:fill="FFFFFF"/>
        </w:rPr>
        <w:t xml:space="preserve">likely to be </w:t>
      </w:r>
      <w:r w:rsidR="009132FB" w:rsidRPr="00A30291">
        <w:rPr>
          <w:rStyle w:val="apple-converted-space"/>
          <w:rFonts w:ascii="Arial" w:hAnsi="Arial" w:cs="Arial"/>
          <w:sz w:val="24"/>
          <w:szCs w:val="24"/>
          <w:shd w:val="clear" w:color="auto" w:fill="FFFFFF"/>
        </w:rPr>
        <w:t>an under-estimate</w:t>
      </w:r>
      <w:r w:rsidR="005A5274" w:rsidRPr="00A30291">
        <w:rPr>
          <w:rStyle w:val="apple-converted-space"/>
          <w:rFonts w:ascii="Arial" w:hAnsi="Arial" w:cs="Arial"/>
          <w:sz w:val="24"/>
          <w:szCs w:val="24"/>
          <w:shd w:val="clear" w:color="auto" w:fill="FFFFFF"/>
        </w:rPr>
        <w:t xml:space="preserve"> of </w:t>
      </w:r>
      <w:r w:rsidR="009132FB" w:rsidRPr="00A30291">
        <w:rPr>
          <w:rStyle w:val="apple-converted-space"/>
          <w:rFonts w:ascii="Arial" w:hAnsi="Arial" w:cs="Arial"/>
          <w:sz w:val="24"/>
          <w:szCs w:val="24"/>
          <w:shd w:val="clear" w:color="auto" w:fill="FFFFFF"/>
        </w:rPr>
        <w:t xml:space="preserve">the </w:t>
      </w:r>
      <w:r w:rsidR="005A5274" w:rsidRPr="00A30291">
        <w:rPr>
          <w:rStyle w:val="apple-converted-space"/>
          <w:rFonts w:ascii="Arial" w:hAnsi="Arial" w:cs="Arial"/>
          <w:sz w:val="24"/>
          <w:szCs w:val="24"/>
          <w:shd w:val="clear" w:color="auto" w:fill="FFFFFF"/>
        </w:rPr>
        <w:t>true reliability due to the small number of variables (</w:t>
      </w:r>
      <w:r w:rsidR="005A5274" w:rsidRPr="00A30291">
        <w:rPr>
          <w:rFonts w:ascii="Arial" w:hAnsi="Arial" w:cs="Arial"/>
          <w:sz w:val="24"/>
          <w:szCs w:val="24"/>
        </w:rPr>
        <w:t>Eisinga, Grotenhuis, &amp; Pelzer, 2012)</w:t>
      </w:r>
      <w:r w:rsidR="005A5274" w:rsidRPr="00A30291">
        <w:rPr>
          <w:rStyle w:val="apple-converted-space"/>
          <w:rFonts w:ascii="Arial" w:hAnsi="Arial" w:cs="Arial"/>
          <w:sz w:val="24"/>
          <w:szCs w:val="24"/>
          <w:shd w:val="clear" w:color="auto" w:fill="FFFFFF"/>
        </w:rPr>
        <w:t xml:space="preserve">. </w:t>
      </w:r>
      <w:r w:rsidR="005A5274" w:rsidRPr="00A30291">
        <w:rPr>
          <w:rFonts w:ascii="Arial" w:hAnsi="Arial" w:cs="Arial"/>
          <w:sz w:val="24"/>
          <w:szCs w:val="24"/>
        </w:rPr>
        <w:t xml:space="preserve"> </w:t>
      </w:r>
    </w:p>
    <w:p w14:paraId="70749573" w14:textId="77777777" w:rsidR="009E6544" w:rsidRPr="00A30291" w:rsidRDefault="009E6544" w:rsidP="003C3A41">
      <w:pPr>
        <w:spacing w:line="480" w:lineRule="auto"/>
        <w:ind w:right="-227"/>
        <w:rPr>
          <w:rFonts w:ascii="Arial" w:hAnsi="Arial" w:cs="Arial"/>
          <w:i/>
          <w:iCs/>
          <w:sz w:val="24"/>
          <w:szCs w:val="24"/>
        </w:rPr>
      </w:pPr>
      <w:r w:rsidRPr="00A30291">
        <w:rPr>
          <w:rFonts w:ascii="Arial" w:hAnsi="Arial" w:cs="Arial"/>
          <w:i/>
          <w:iCs/>
          <w:sz w:val="24"/>
          <w:szCs w:val="24"/>
        </w:rPr>
        <w:t xml:space="preserve">Difficulties in Emotional Regulation Scale (DERS: </w:t>
      </w:r>
      <w:r w:rsidRPr="00A30291">
        <w:rPr>
          <w:rFonts w:ascii="Arial" w:hAnsi="Arial" w:cs="Arial"/>
          <w:sz w:val="24"/>
          <w:szCs w:val="24"/>
        </w:rPr>
        <w:t>Gratz &amp; Roemer, 2004)</w:t>
      </w:r>
    </w:p>
    <w:p w14:paraId="4396436E" w14:textId="04FD48B7" w:rsidR="009E6544" w:rsidRPr="00A30291" w:rsidRDefault="009E6544" w:rsidP="003C4AE7">
      <w:pPr>
        <w:spacing w:line="480" w:lineRule="auto"/>
        <w:ind w:right="-227" w:firstLine="720"/>
        <w:rPr>
          <w:rFonts w:ascii="Arial" w:hAnsi="Arial" w:cs="Arial"/>
          <w:sz w:val="24"/>
          <w:szCs w:val="24"/>
        </w:rPr>
      </w:pPr>
      <w:r w:rsidRPr="00A30291">
        <w:rPr>
          <w:rFonts w:ascii="Arial" w:hAnsi="Arial" w:cs="Arial"/>
          <w:sz w:val="24"/>
          <w:szCs w:val="24"/>
        </w:rPr>
        <w:t>The DERS is a standardised 36-item measure of emotion</w:t>
      </w:r>
      <w:r w:rsidR="00B11354" w:rsidRPr="00A30291">
        <w:rPr>
          <w:rFonts w:ascii="Arial" w:hAnsi="Arial" w:cs="Arial"/>
          <w:sz w:val="24"/>
          <w:szCs w:val="24"/>
        </w:rPr>
        <w:t>al</w:t>
      </w:r>
      <w:r w:rsidRPr="00A30291">
        <w:rPr>
          <w:rFonts w:ascii="Arial" w:hAnsi="Arial" w:cs="Arial"/>
          <w:sz w:val="24"/>
          <w:szCs w:val="24"/>
        </w:rPr>
        <w:t xml:space="preserve"> </w:t>
      </w:r>
      <w:r w:rsidR="00796979" w:rsidRPr="00A30291">
        <w:rPr>
          <w:rFonts w:ascii="Arial" w:hAnsi="Arial" w:cs="Arial"/>
          <w:sz w:val="24"/>
          <w:szCs w:val="24"/>
        </w:rPr>
        <w:t>dys</w:t>
      </w:r>
      <w:r w:rsidRPr="00A30291">
        <w:rPr>
          <w:rFonts w:ascii="Arial" w:hAnsi="Arial" w:cs="Arial"/>
          <w:sz w:val="24"/>
          <w:szCs w:val="24"/>
        </w:rPr>
        <w:t xml:space="preserve">regulation involving not just the modulation of emotional arousal, but also the awareness, understanding, and acceptance of emotions, and the ability to act in desired ways regardless of emotional state. It provides six subscales including ‘Non-acceptance of emotional responses’, ‘Difficulties in engaging in goal directed behaviour’, ‘Impulse control difficulties’, ‘Lack of emotional awareness’, ‘Limited access to emotional regulation strategies’ and ‘Lack of emotional clarity’. </w:t>
      </w:r>
      <w:r w:rsidR="008B708E" w:rsidRPr="00A30291">
        <w:rPr>
          <w:rFonts w:ascii="Arial" w:hAnsi="Arial" w:cs="Arial"/>
          <w:sz w:val="24"/>
          <w:szCs w:val="24"/>
        </w:rPr>
        <w:t xml:space="preserve">Participants are asked to indicate how often the items apply to themselves, with responses ranging from 1 to 5, where 1 is </w:t>
      </w:r>
      <w:r w:rsidR="008B708E" w:rsidRPr="00A30291">
        <w:rPr>
          <w:rFonts w:ascii="Arial" w:hAnsi="Arial" w:cs="Arial"/>
          <w:iCs/>
          <w:sz w:val="24"/>
          <w:szCs w:val="24"/>
        </w:rPr>
        <w:t>almost never</w:t>
      </w:r>
      <w:r w:rsidR="001772E6" w:rsidRPr="00A30291">
        <w:rPr>
          <w:rFonts w:ascii="Arial" w:hAnsi="Arial" w:cs="Arial"/>
          <w:sz w:val="24"/>
          <w:szCs w:val="24"/>
        </w:rPr>
        <w:t xml:space="preserve"> </w:t>
      </w:r>
      <w:r w:rsidR="008B708E" w:rsidRPr="00A30291">
        <w:rPr>
          <w:rFonts w:ascii="Arial" w:hAnsi="Arial" w:cs="Arial"/>
          <w:sz w:val="24"/>
          <w:szCs w:val="24"/>
        </w:rPr>
        <w:t xml:space="preserve">and 5 is </w:t>
      </w:r>
      <w:r w:rsidR="008B708E" w:rsidRPr="00A30291">
        <w:rPr>
          <w:rFonts w:ascii="Arial" w:hAnsi="Arial" w:cs="Arial"/>
          <w:iCs/>
          <w:sz w:val="24"/>
          <w:szCs w:val="24"/>
        </w:rPr>
        <w:t>almost always</w:t>
      </w:r>
      <w:r w:rsidR="008B708E" w:rsidRPr="00A30291">
        <w:rPr>
          <w:rFonts w:ascii="Arial" w:hAnsi="Arial" w:cs="Arial"/>
          <w:sz w:val="24"/>
          <w:szCs w:val="24"/>
        </w:rPr>
        <w:t xml:space="preserve">.  </w:t>
      </w:r>
      <w:r w:rsidRPr="00A30291">
        <w:rPr>
          <w:rFonts w:ascii="Arial" w:hAnsi="Arial" w:cs="Arial"/>
          <w:sz w:val="24"/>
          <w:szCs w:val="24"/>
        </w:rPr>
        <w:t>The total scale score was used in this study t</w:t>
      </w:r>
      <w:r w:rsidR="00B11354" w:rsidRPr="00A30291">
        <w:rPr>
          <w:rFonts w:ascii="Arial" w:hAnsi="Arial" w:cs="Arial"/>
          <w:sz w:val="24"/>
          <w:szCs w:val="24"/>
        </w:rPr>
        <w:t>o</w:t>
      </w:r>
      <w:r w:rsidRPr="00A30291">
        <w:rPr>
          <w:rFonts w:ascii="Arial" w:hAnsi="Arial" w:cs="Arial"/>
          <w:sz w:val="24"/>
          <w:szCs w:val="24"/>
        </w:rPr>
        <w:t xml:space="preserve"> reflect the overall degree of </w:t>
      </w:r>
      <w:r w:rsidRPr="00A30291">
        <w:rPr>
          <w:rFonts w:ascii="Arial" w:hAnsi="Arial" w:cs="Arial"/>
          <w:sz w:val="24"/>
          <w:szCs w:val="24"/>
          <w:shd w:val="clear" w:color="auto" w:fill="FFFFFF"/>
        </w:rPr>
        <w:t xml:space="preserve">emotion dysregulation. </w:t>
      </w:r>
      <w:r w:rsidRPr="00A30291">
        <w:rPr>
          <w:rFonts w:ascii="Arial" w:hAnsi="Arial" w:cs="Arial"/>
          <w:sz w:val="24"/>
          <w:szCs w:val="24"/>
        </w:rPr>
        <w:t>The reliability of the total scale scores was high in this sample at .94</w:t>
      </w:r>
      <w:r w:rsidR="00156D90" w:rsidRPr="00A30291">
        <w:rPr>
          <w:rFonts w:ascii="Arial" w:hAnsi="Arial" w:cs="Arial"/>
          <w:sz w:val="24"/>
          <w:szCs w:val="24"/>
        </w:rPr>
        <w:t>.</w:t>
      </w:r>
    </w:p>
    <w:p w14:paraId="76A5A71A" w14:textId="77777777" w:rsidR="009E6544" w:rsidRPr="00A30291" w:rsidRDefault="009E6544" w:rsidP="003C3A41">
      <w:pPr>
        <w:spacing w:line="480" w:lineRule="auto"/>
        <w:rPr>
          <w:rFonts w:ascii="Arial" w:hAnsi="Arial" w:cs="Arial"/>
          <w:i/>
          <w:iCs/>
          <w:sz w:val="24"/>
          <w:szCs w:val="24"/>
        </w:rPr>
      </w:pPr>
      <w:r w:rsidRPr="00A30291">
        <w:rPr>
          <w:rFonts w:ascii="Arial" w:hAnsi="Arial" w:cs="Arial"/>
          <w:i/>
          <w:iCs/>
          <w:sz w:val="24"/>
          <w:szCs w:val="24"/>
        </w:rPr>
        <w:t xml:space="preserve">Rosenberg Self-Esteem Scale (RSES: </w:t>
      </w:r>
      <w:r w:rsidRPr="00A30291">
        <w:rPr>
          <w:rFonts w:ascii="Arial" w:hAnsi="Arial" w:cs="Arial"/>
          <w:sz w:val="24"/>
          <w:szCs w:val="24"/>
        </w:rPr>
        <w:t>Rosenberg, 1965</w:t>
      </w:r>
      <w:r w:rsidRPr="00A30291">
        <w:rPr>
          <w:rFonts w:ascii="Arial" w:hAnsi="Arial" w:cs="Arial"/>
          <w:i/>
          <w:iCs/>
          <w:sz w:val="24"/>
          <w:szCs w:val="24"/>
        </w:rPr>
        <w:t xml:space="preserve">) </w:t>
      </w:r>
    </w:p>
    <w:p w14:paraId="4C088FF9" w14:textId="73710398" w:rsidR="009E6544" w:rsidRPr="00A30291" w:rsidRDefault="009E6544" w:rsidP="008D3D67">
      <w:pPr>
        <w:spacing w:line="480" w:lineRule="auto"/>
        <w:ind w:firstLine="720"/>
        <w:rPr>
          <w:rFonts w:ascii="Arial" w:hAnsi="Arial" w:cs="Arial"/>
          <w:sz w:val="24"/>
          <w:szCs w:val="24"/>
        </w:rPr>
      </w:pPr>
      <w:r w:rsidRPr="00A30291">
        <w:rPr>
          <w:rFonts w:ascii="Arial" w:hAnsi="Arial" w:cs="Arial"/>
          <w:sz w:val="24"/>
          <w:szCs w:val="24"/>
        </w:rPr>
        <w:t>The RSES consists of 10 Likert-type scale items designed to assess positive and negative evaluations of self. Respondents indicate their level of agreement ranging from 1 (</w:t>
      </w:r>
      <w:r w:rsidR="004C16E4" w:rsidRPr="00A30291">
        <w:rPr>
          <w:rFonts w:ascii="Arial" w:hAnsi="Arial" w:cs="Arial"/>
          <w:sz w:val="24"/>
          <w:szCs w:val="24"/>
        </w:rPr>
        <w:t>“</w:t>
      </w:r>
      <w:r w:rsidRPr="00A30291">
        <w:rPr>
          <w:rFonts w:ascii="Arial" w:hAnsi="Arial" w:cs="Arial"/>
          <w:sz w:val="24"/>
          <w:szCs w:val="24"/>
        </w:rPr>
        <w:t>strongly disagree</w:t>
      </w:r>
      <w:r w:rsidR="004C16E4" w:rsidRPr="00A30291">
        <w:rPr>
          <w:rFonts w:ascii="Arial" w:hAnsi="Arial" w:cs="Arial"/>
          <w:sz w:val="24"/>
          <w:szCs w:val="24"/>
        </w:rPr>
        <w:t>”</w:t>
      </w:r>
      <w:r w:rsidRPr="00A30291">
        <w:rPr>
          <w:rFonts w:ascii="Arial" w:hAnsi="Arial" w:cs="Arial"/>
          <w:sz w:val="24"/>
          <w:szCs w:val="24"/>
        </w:rPr>
        <w:t>) to 4 (</w:t>
      </w:r>
      <w:r w:rsidR="004C16E4" w:rsidRPr="00A30291">
        <w:rPr>
          <w:rFonts w:ascii="Arial" w:hAnsi="Arial" w:cs="Arial"/>
          <w:sz w:val="24"/>
          <w:szCs w:val="24"/>
        </w:rPr>
        <w:t>“</w:t>
      </w:r>
      <w:r w:rsidRPr="00A30291">
        <w:rPr>
          <w:rFonts w:ascii="Arial" w:hAnsi="Arial" w:cs="Arial"/>
          <w:sz w:val="24"/>
          <w:szCs w:val="24"/>
        </w:rPr>
        <w:t>strongly agree</w:t>
      </w:r>
      <w:r w:rsidR="004C16E4" w:rsidRPr="00A30291">
        <w:rPr>
          <w:rFonts w:ascii="Arial" w:hAnsi="Arial" w:cs="Arial"/>
          <w:sz w:val="24"/>
          <w:szCs w:val="24"/>
        </w:rPr>
        <w:t>”</w:t>
      </w:r>
      <w:r w:rsidRPr="00A30291">
        <w:rPr>
          <w:rFonts w:ascii="Arial" w:hAnsi="Arial" w:cs="Arial"/>
          <w:sz w:val="24"/>
          <w:szCs w:val="24"/>
        </w:rPr>
        <w:t>). Thus, the possible total score can range from a minimum of 10 to a maximum of 40, with higher scores reflecting more positive evaluations of self. The reliability of the scale scores was high in this sample (.89).</w:t>
      </w:r>
    </w:p>
    <w:p w14:paraId="7F882349" w14:textId="55820FAD" w:rsidR="009E6544" w:rsidRPr="00A30291" w:rsidRDefault="009E6544" w:rsidP="003C3A41">
      <w:pPr>
        <w:spacing w:line="480" w:lineRule="auto"/>
        <w:rPr>
          <w:rFonts w:ascii="Arial" w:hAnsi="Arial" w:cs="Arial"/>
          <w:i/>
          <w:iCs/>
          <w:spacing w:val="4"/>
          <w:sz w:val="24"/>
          <w:szCs w:val="24"/>
        </w:rPr>
      </w:pPr>
      <w:r w:rsidRPr="00A30291">
        <w:rPr>
          <w:rFonts w:ascii="Arial" w:hAnsi="Arial" w:cs="Arial"/>
          <w:i/>
          <w:iCs/>
          <w:spacing w:val="4"/>
          <w:sz w:val="24"/>
          <w:szCs w:val="24"/>
        </w:rPr>
        <w:t xml:space="preserve">Inventory of Interpersonal Problems - Short Circumplex Form (IIP: </w:t>
      </w:r>
      <w:r w:rsidRPr="00A30291">
        <w:rPr>
          <w:rFonts w:ascii="Arial" w:hAnsi="Arial" w:cs="Arial"/>
          <w:spacing w:val="4"/>
          <w:sz w:val="24"/>
          <w:szCs w:val="24"/>
        </w:rPr>
        <w:t>Soldz,</w:t>
      </w:r>
      <w:r w:rsidR="003C4AE7" w:rsidRPr="00A30291">
        <w:rPr>
          <w:rFonts w:ascii="Arial" w:hAnsi="Arial" w:cs="Arial"/>
          <w:spacing w:val="4"/>
          <w:sz w:val="24"/>
          <w:szCs w:val="24"/>
        </w:rPr>
        <w:t xml:space="preserve"> </w:t>
      </w:r>
      <w:r w:rsidRPr="00A30291">
        <w:rPr>
          <w:rFonts w:ascii="Arial" w:hAnsi="Arial" w:cs="Arial"/>
          <w:spacing w:val="4"/>
          <w:sz w:val="24"/>
          <w:szCs w:val="24"/>
        </w:rPr>
        <w:t>Budman,</w:t>
      </w:r>
      <w:r w:rsidR="003C4AE7" w:rsidRPr="00A30291">
        <w:rPr>
          <w:rFonts w:ascii="Arial" w:hAnsi="Arial" w:cs="Arial"/>
          <w:spacing w:val="4"/>
          <w:sz w:val="24"/>
          <w:szCs w:val="24"/>
        </w:rPr>
        <w:t xml:space="preserve"> </w:t>
      </w:r>
      <w:r w:rsidRPr="00A30291">
        <w:rPr>
          <w:rFonts w:ascii="Arial" w:hAnsi="Arial" w:cs="Arial"/>
          <w:spacing w:val="4"/>
          <w:sz w:val="24"/>
          <w:szCs w:val="24"/>
        </w:rPr>
        <w:t>Demby, &amp; Merry,1995)</w:t>
      </w:r>
    </w:p>
    <w:p w14:paraId="24BEB3F0" w14:textId="4A69BF68" w:rsidR="009E6544" w:rsidRPr="00A30291" w:rsidRDefault="009E6544" w:rsidP="008D3D67">
      <w:pPr>
        <w:spacing w:line="480" w:lineRule="auto"/>
        <w:ind w:firstLine="720"/>
        <w:rPr>
          <w:rFonts w:ascii="Arial" w:hAnsi="Arial" w:cs="Arial"/>
          <w:sz w:val="24"/>
          <w:szCs w:val="24"/>
        </w:rPr>
      </w:pPr>
      <w:r w:rsidRPr="00A30291">
        <w:rPr>
          <w:rFonts w:ascii="Arial" w:hAnsi="Arial" w:cs="Arial"/>
          <w:spacing w:val="4"/>
          <w:sz w:val="24"/>
          <w:szCs w:val="24"/>
        </w:rPr>
        <w:t xml:space="preserve">The </w:t>
      </w:r>
      <w:r w:rsidRPr="00A30291">
        <w:rPr>
          <w:rStyle w:val="Strong"/>
          <w:rFonts w:ascii="Arial" w:hAnsi="Arial" w:cs="Arial"/>
          <w:b w:val="0"/>
          <w:bCs w:val="0"/>
          <w:spacing w:val="4"/>
          <w:sz w:val="24"/>
          <w:szCs w:val="24"/>
        </w:rPr>
        <w:t>IIP</w:t>
      </w:r>
      <w:r w:rsidRPr="00A30291">
        <w:rPr>
          <w:rFonts w:ascii="Arial" w:hAnsi="Arial" w:cs="Arial"/>
          <w:spacing w:val="4"/>
          <w:sz w:val="24"/>
          <w:szCs w:val="24"/>
        </w:rPr>
        <w:t xml:space="preserve"> is a 32-item self-report measure of interpersonal difficulties and consists of 8 subscales (Domineering, Vindictive, Cold, Socially Avoidant, Non-assertive, Exploitable, Overly Nurturant, Intrusive) with responses based on a 5-p</w:t>
      </w:r>
      <w:r w:rsidR="004C16E4" w:rsidRPr="00A30291">
        <w:rPr>
          <w:rFonts w:ascii="Arial" w:hAnsi="Arial" w:cs="Arial"/>
          <w:spacing w:val="4"/>
          <w:sz w:val="24"/>
          <w:szCs w:val="24"/>
        </w:rPr>
        <w:t>oint Likert scale ranging from “almost never” (1) to “almost always”</w:t>
      </w:r>
      <w:r w:rsidRPr="00A30291">
        <w:rPr>
          <w:rFonts w:ascii="Arial" w:hAnsi="Arial" w:cs="Arial"/>
          <w:spacing w:val="4"/>
          <w:sz w:val="24"/>
          <w:szCs w:val="24"/>
        </w:rPr>
        <w:t xml:space="preserve"> (5). </w:t>
      </w:r>
      <w:r w:rsidR="00287D43" w:rsidRPr="00A30291">
        <w:rPr>
          <w:rFonts w:ascii="Arial" w:hAnsi="Arial" w:cs="Arial"/>
          <w:spacing w:val="4"/>
          <w:sz w:val="24"/>
          <w:szCs w:val="24"/>
        </w:rPr>
        <w:t xml:space="preserve">The total scale score was used in this study and </w:t>
      </w:r>
      <w:r w:rsidR="00287D43" w:rsidRPr="00A30291">
        <w:rPr>
          <w:rFonts w:ascii="Arial" w:hAnsi="Arial" w:cs="Arial"/>
          <w:sz w:val="24"/>
          <w:szCs w:val="24"/>
        </w:rPr>
        <w:t>t</w:t>
      </w:r>
      <w:r w:rsidRPr="00A30291">
        <w:rPr>
          <w:rFonts w:ascii="Arial" w:hAnsi="Arial" w:cs="Arial"/>
          <w:sz w:val="24"/>
          <w:szCs w:val="24"/>
        </w:rPr>
        <w:t xml:space="preserve">he reliability of the scale scores was high in this sample </w:t>
      </w:r>
      <w:r w:rsidR="0053451E" w:rsidRPr="00A30291">
        <w:rPr>
          <w:rFonts w:ascii="Arial" w:hAnsi="Arial" w:cs="Arial"/>
          <w:sz w:val="24"/>
          <w:szCs w:val="24"/>
        </w:rPr>
        <w:t xml:space="preserve">at </w:t>
      </w:r>
      <w:r w:rsidRPr="00A30291">
        <w:rPr>
          <w:rFonts w:ascii="Arial" w:hAnsi="Arial" w:cs="Arial"/>
          <w:sz w:val="24"/>
          <w:szCs w:val="24"/>
        </w:rPr>
        <w:t>.84.</w:t>
      </w:r>
    </w:p>
    <w:p w14:paraId="40186D49" w14:textId="77777777" w:rsidR="009E6544" w:rsidRPr="00A30291" w:rsidRDefault="009E6544" w:rsidP="0096646B">
      <w:pPr>
        <w:spacing w:line="480" w:lineRule="auto"/>
        <w:rPr>
          <w:rFonts w:ascii="Arial" w:hAnsi="Arial" w:cs="Arial"/>
          <w:b/>
          <w:bCs/>
          <w:i/>
          <w:iCs/>
          <w:sz w:val="24"/>
          <w:szCs w:val="24"/>
        </w:rPr>
      </w:pPr>
      <w:r w:rsidRPr="00A30291">
        <w:rPr>
          <w:rFonts w:ascii="Arial" w:hAnsi="Arial" w:cs="Arial"/>
          <w:b/>
          <w:bCs/>
          <w:i/>
          <w:iCs/>
          <w:sz w:val="24"/>
          <w:szCs w:val="24"/>
        </w:rPr>
        <w:t>Statistical analysis</w:t>
      </w:r>
    </w:p>
    <w:p w14:paraId="04255FC4" w14:textId="36D6DF82" w:rsidR="009E6544" w:rsidRPr="00A30291" w:rsidRDefault="009E6544" w:rsidP="0096646B">
      <w:pPr>
        <w:spacing w:line="480" w:lineRule="auto"/>
        <w:ind w:firstLine="720"/>
        <w:rPr>
          <w:rFonts w:ascii="Arial" w:hAnsi="Arial" w:cs="Arial"/>
          <w:sz w:val="24"/>
          <w:szCs w:val="24"/>
        </w:rPr>
      </w:pPr>
      <w:r w:rsidRPr="00A30291">
        <w:rPr>
          <w:rFonts w:ascii="Arial" w:hAnsi="Arial" w:cs="Arial"/>
          <w:sz w:val="24"/>
          <w:szCs w:val="24"/>
        </w:rPr>
        <w:t xml:space="preserve">The latent structure of the </w:t>
      </w:r>
      <w:r w:rsidR="00156D90" w:rsidRPr="00A30291">
        <w:rPr>
          <w:rFonts w:ascii="Arial" w:hAnsi="Arial" w:cs="Arial"/>
          <w:sz w:val="24"/>
          <w:szCs w:val="24"/>
        </w:rPr>
        <w:t>ICD-TQ</w:t>
      </w:r>
      <w:r w:rsidR="006528A2" w:rsidRPr="00A30291" w:rsidDel="006528A2">
        <w:rPr>
          <w:rFonts w:ascii="Arial" w:hAnsi="Arial" w:cs="Arial"/>
          <w:sz w:val="24"/>
          <w:szCs w:val="24"/>
        </w:rPr>
        <w:t xml:space="preserve"> </w:t>
      </w:r>
      <w:r w:rsidRPr="00A30291">
        <w:rPr>
          <w:rFonts w:ascii="Arial" w:hAnsi="Arial" w:cs="Arial"/>
          <w:sz w:val="24"/>
          <w:szCs w:val="24"/>
        </w:rPr>
        <w:t xml:space="preserve">was tested using confirmatory factor analysis (CFA) based on </w:t>
      </w:r>
      <w:r w:rsidR="006528A2" w:rsidRPr="00A30291">
        <w:rPr>
          <w:rFonts w:ascii="Arial" w:hAnsi="Arial" w:cs="Arial"/>
          <w:sz w:val="24"/>
          <w:szCs w:val="24"/>
        </w:rPr>
        <w:t xml:space="preserve">responses to </w:t>
      </w:r>
      <w:r w:rsidRPr="00A30291">
        <w:rPr>
          <w:rFonts w:ascii="Arial" w:hAnsi="Arial" w:cs="Arial"/>
          <w:sz w:val="24"/>
          <w:szCs w:val="24"/>
        </w:rPr>
        <w:t>the</w:t>
      </w:r>
      <w:r w:rsidR="004C16E4" w:rsidRPr="00A30291">
        <w:rPr>
          <w:rFonts w:ascii="Arial" w:hAnsi="Arial" w:cs="Arial"/>
          <w:sz w:val="24"/>
          <w:szCs w:val="24"/>
        </w:rPr>
        <w:t xml:space="preserve"> full pool of</w:t>
      </w:r>
      <w:r w:rsidRPr="00A30291">
        <w:rPr>
          <w:rFonts w:ascii="Arial" w:hAnsi="Arial" w:cs="Arial"/>
          <w:sz w:val="24"/>
          <w:szCs w:val="24"/>
        </w:rPr>
        <w:t xml:space="preserve"> 2</w:t>
      </w:r>
      <w:r w:rsidR="00E677CD" w:rsidRPr="00A30291">
        <w:rPr>
          <w:rFonts w:ascii="Arial" w:hAnsi="Arial" w:cs="Arial"/>
          <w:sz w:val="24"/>
          <w:szCs w:val="24"/>
        </w:rPr>
        <w:t>3</w:t>
      </w:r>
      <w:r w:rsidRPr="00A30291">
        <w:rPr>
          <w:rFonts w:ascii="Arial" w:hAnsi="Arial" w:cs="Arial"/>
          <w:sz w:val="24"/>
          <w:szCs w:val="24"/>
        </w:rPr>
        <w:t xml:space="preserve"> items. Seven alternative models were specified (see Figure 1) and tested</w:t>
      </w:r>
      <w:r w:rsidR="00A96D95" w:rsidRPr="00A30291">
        <w:rPr>
          <w:rFonts w:ascii="Arial" w:hAnsi="Arial" w:cs="Arial"/>
          <w:sz w:val="24"/>
          <w:szCs w:val="24"/>
        </w:rPr>
        <w:t xml:space="preserve"> as representative of </w:t>
      </w:r>
      <w:r w:rsidR="009132FB" w:rsidRPr="00A30291">
        <w:rPr>
          <w:rFonts w:ascii="Arial" w:hAnsi="Arial" w:cs="Arial"/>
          <w:sz w:val="24"/>
          <w:szCs w:val="24"/>
        </w:rPr>
        <w:t xml:space="preserve">PTSD and </w:t>
      </w:r>
      <w:r w:rsidR="00A96D95" w:rsidRPr="00A30291">
        <w:rPr>
          <w:rFonts w:ascii="Arial" w:hAnsi="Arial" w:cs="Arial"/>
          <w:sz w:val="24"/>
          <w:szCs w:val="24"/>
        </w:rPr>
        <w:t>CPTSD</w:t>
      </w:r>
      <w:r w:rsidR="003F48B2" w:rsidRPr="00A30291">
        <w:rPr>
          <w:rFonts w:ascii="Arial" w:hAnsi="Arial" w:cs="Arial"/>
          <w:sz w:val="24"/>
          <w:szCs w:val="24"/>
        </w:rPr>
        <w:t xml:space="preserve">, four of which </w:t>
      </w:r>
      <w:r w:rsidR="0017114A">
        <w:rPr>
          <w:rFonts w:ascii="Arial" w:hAnsi="Arial" w:cs="Arial"/>
          <w:sz w:val="24"/>
          <w:szCs w:val="24"/>
        </w:rPr>
        <w:t xml:space="preserve">(models 1, 2, 4 &amp; 7 in this study) </w:t>
      </w:r>
      <w:r w:rsidR="003F48B2" w:rsidRPr="00A30291">
        <w:rPr>
          <w:rFonts w:ascii="Arial" w:hAnsi="Arial" w:cs="Arial"/>
          <w:sz w:val="24"/>
          <w:szCs w:val="24"/>
        </w:rPr>
        <w:t>were previously investigated by Hyland et al. (2016)</w:t>
      </w:r>
      <w:r w:rsidRPr="00A30291">
        <w:rPr>
          <w:rFonts w:ascii="Arial" w:hAnsi="Arial" w:cs="Arial"/>
          <w:sz w:val="24"/>
          <w:szCs w:val="24"/>
        </w:rPr>
        <w:t>.</w:t>
      </w:r>
      <w:r w:rsidR="00C675A7" w:rsidRPr="00A30291">
        <w:rPr>
          <w:rFonts w:ascii="Arial" w:hAnsi="Arial" w:cs="Arial"/>
          <w:sz w:val="24"/>
          <w:szCs w:val="24"/>
        </w:rPr>
        <w:t xml:space="preserve"> Overall the aim of testing alternative models was to determine if</w:t>
      </w:r>
      <w:r w:rsidR="009132FB" w:rsidRPr="00A30291">
        <w:rPr>
          <w:rFonts w:ascii="Arial" w:hAnsi="Arial" w:cs="Arial"/>
          <w:sz w:val="24"/>
          <w:szCs w:val="24"/>
        </w:rPr>
        <w:t>:</w:t>
      </w:r>
      <w:r w:rsidR="00C675A7" w:rsidRPr="00A30291">
        <w:rPr>
          <w:rFonts w:ascii="Arial" w:hAnsi="Arial" w:cs="Arial"/>
          <w:sz w:val="24"/>
          <w:szCs w:val="24"/>
        </w:rPr>
        <w:t xml:space="preserve"> (1) PTSD and DSO were distinct dimensions, </w:t>
      </w:r>
      <w:r w:rsidR="00D772C0" w:rsidRPr="00A30291">
        <w:rPr>
          <w:rFonts w:ascii="Arial" w:hAnsi="Arial" w:cs="Arial"/>
          <w:sz w:val="24"/>
          <w:szCs w:val="24"/>
        </w:rPr>
        <w:t>(2) if PTSD was better represented as three correlated dimensions rather than one dimension, (3) if DSO was better represented as three correlated dimensions rather than one dimension, and (4) if there was a hierarchical structure (second-order factors) that explained the associations between the first-order PTSD and DSO dimensions.</w:t>
      </w:r>
      <w:r w:rsidRPr="00A30291">
        <w:rPr>
          <w:rFonts w:ascii="Arial" w:hAnsi="Arial" w:cs="Arial"/>
          <w:sz w:val="24"/>
          <w:szCs w:val="24"/>
        </w:rPr>
        <w:t xml:space="preserve"> Model 1 is a one factor model where all </w:t>
      </w:r>
      <w:r w:rsidR="00156D90" w:rsidRPr="00A30291">
        <w:rPr>
          <w:rFonts w:ascii="Arial" w:hAnsi="Arial" w:cs="Arial"/>
          <w:sz w:val="24"/>
          <w:szCs w:val="24"/>
        </w:rPr>
        <w:t xml:space="preserve">symptoms </w:t>
      </w:r>
      <w:r w:rsidRPr="00A30291">
        <w:rPr>
          <w:rFonts w:ascii="Arial" w:hAnsi="Arial" w:cs="Arial"/>
          <w:sz w:val="24"/>
          <w:szCs w:val="24"/>
        </w:rPr>
        <w:t xml:space="preserve">load on </w:t>
      </w:r>
      <w:r w:rsidR="00841234" w:rsidRPr="00A30291">
        <w:rPr>
          <w:rFonts w:ascii="Arial" w:hAnsi="Arial" w:cs="Arial"/>
          <w:sz w:val="24"/>
          <w:szCs w:val="24"/>
        </w:rPr>
        <w:t>the</w:t>
      </w:r>
      <w:r w:rsidRPr="00A30291">
        <w:rPr>
          <w:rFonts w:ascii="Arial" w:hAnsi="Arial" w:cs="Arial"/>
          <w:sz w:val="24"/>
          <w:szCs w:val="24"/>
        </w:rPr>
        <w:t xml:space="preserve"> single latent variable</w:t>
      </w:r>
      <w:r w:rsidR="00841234" w:rsidRPr="00A30291">
        <w:rPr>
          <w:rFonts w:ascii="Arial" w:hAnsi="Arial" w:cs="Arial"/>
          <w:sz w:val="24"/>
          <w:szCs w:val="24"/>
        </w:rPr>
        <w:t xml:space="preserve"> CPTSD</w:t>
      </w:r>
      <w:r w:rsidRPr="00A30291">
        <w:rPr>
          <w:rFonts w:ascii="Arial" w:hAnsi="Arial" w:cs="Arial"/>
          <w:sz w:val="24"/>
          <w:szCs w:val="24"/>
        </w:rPr>
        <w:t>. Model 2 is a correlated six factor model</w:t>
      </w:r>
      <w:r w:rsidR="009132FB" w:rsidRPr="00A30291">
        <w:rPr>
          <w:rFonts w:ascii="Arial" w:hAnsi="Arial" w:cs="Arial"/>
          <w:sz w:val="24"/>
          <w:szCs w:val="24"/>
        </w:rPr>
        <w:t xml:space="preserve"> (Re, Av, Th, AD, NSC, and DR)</w:t>
      </w:r>
      <w:r w:rsidRPr="00A30291">
        <w:rPr>
          <w:rFonts w:ascii="Arial" w:hAnsi="Arial" w:cs="Arial"/>
          <w:sz w:val="24"/>
          <w:szCs w:val="24"/>
        </w:rPr>
        <w:t xml:space="preserve">. Model 3 replaced the factor correlations in Model 2 with a single second-order factor representing </w:t>
      </w:r>
      <w:r w:rsidR="00841234" w:rsidRPr="00A30291">
        <w:rPr>
          <w:rFonts w:ascii="Arial" w:hAnsi="Arial" w:cs="Arial"/>
          <w:sz w:val="24"/>
          <w:szCs w:val="24"/>
        </w:rPr>
        <w:t>C</w:t>
      </w:r>
      <w:r w:rsidRPr="00A30291">
        <w:rPr>
          <w:rFonts w:ascii="Arial" w:hAnsi="Arial" w:cs="Arial"/>
          <w:sz w:val="24"/>
          <w:szCs w:val="24"/>
        </w:rPr>
        <w:t xml:space="preserve">PTSD. Model 4 </w:t>
      </w:r>
      <w:r w:rsidR="00814999" w:rsidRPr="00A30291">
        <w:rPr>
          <w:rFonts w:ascii="Arial" w:hAnsi="Arial" w:cs="Arial"/>
          <w:sz w:val="24"/>
          <w:szCs w:val="24"/>
        </w:rPr>
        <w:t>(reflecting the ICD-11 proposals</w:t>
      </w:r>
      <w:r w:rsidR="00841234" w:rsidRPr="00A30291">
        <w:rPr>
          <w:rFonts w:ascii="Arial" w:hAnsi="Arial" w:cs="Arial"/>
          <w:sz w:val="24"/>
          <w:szCs w:val="24"/>
        </w:rPr>
        <w:t xml:space="preserve">; </w:t>
      </w:r>
      <w:r w:rsidR="00EC0692" w:rsidRPr="00A30291">
        <w:rPr>
          <w:rFonts w:ascii="Arial" w:hAnsi="Arial" w:cs="Arial"/>
          <w:sz w:val="24"/>
          <w:szCs w:val="24"/>
          <w:lang w:val="en-US"/>
        </w:rPr>
        <w:t>Maercker et al., 2013</w:t>
      </w:r>
      <w:r w:rsidR="00814999" w:rsidRPr="00A30291">
        <w:rPr>
          <w:rFonts w:ascii="Arial" w:hAnsi="Arial" w:cs="Arial"/>
          <w:sz w:val="24"/>
          <w:szCs w:val="24"/>
        </w:rPr>
        <w:t xml:space="preserve">) </w:t>
      </w:r>
      <w:r w:rsidRPr="00A30291">
        <w:rPr>
          <w:rFonts w:ascii="Arial" w:hAnsi="Arial" w:cs="Arial"/>
          <w:sz w:val="24"/>
          <w:szCs w:val="24"/>
        </w:rPr>
        <w:t xml:space="preserve">specified two correlated second-order factors (PTSD and </w:t>
      </w:r>
      <w:r w:rsidR="00A96D95" w:rsidRPr="00A30291">
        <w:rPr>
          <w:rFonts w:ascii="Arial" w:hAnsi="Arial" w:cs="Arial"/>
          <w:sz w:val="24"/>
          <w:szCs w:val="24"/>
        </w:rPr>
        <w:t>DSO</w:t>
      </w:r>
      <w:r w:rsidRPr="00A30291">
        <w:rPr>
          <w:rFonts w:ascii="Arial" w:hAnsi="Arial" w:cs="Arial"/>
          <w:sz w:val="24"/>
          <w:szCs w:val="24"/>
        </w:rPr>
        <w:t xml:space="preserve">) to explain the covariation among the six first-order factors; </w:t>
      </w:r>
      <w:r w:rsidR="00537BAD" w:rsidRPr="00A30291">
        <w:rPr>
          <w:rFonts w:ascii="Arial" w:hAnsi="Arial" w:cs="Arial"/>
          <w:sz w:val="24"/>
          <w:szCs w:val="24"/>
        </w:rPr>
        <w:t>Re</w:t>
      </w:r>
      <w:r w:rsidRPr="00A30291">
        <w:rPr>
          <w:rFonts w:ascii="Arial" w:hAnsi="Arial" w:cs="Arial"/>
          <w:sz w:val="24"/>
          <w:szCs w:val="24"/>
        </w:rPr>
        <w:t xml:space="preserve">, </w:t>
      </w:r>
      <w:r w:rsidR="00537BAD" w:rsidRPr="00A30291">
        <w:rPr>
          <w:rFonts w:ascii="Arial" w:hAnsi="Arial" w:cs="Arial"/>
          <w:sz w:val="24"/>
          <w:szCs w:val="24"/>
        </w:rPr>
        <w:t>Av</w:t>
      </w:r>
      <w:r w:rsidR="008B708E" w:rsidRPr="00A30291">
        <w:rPr>
          <w:rFonts w:ascii="Arial" w:hAnsi="Arial" w:cs="Arial"/>
          <w:sz w:val="24"/>
          <w:szCs w:val="24"/>
        </w:rPr>
        <w:t xml:space="preserve"> </w:t>
      </w:r>
      <w:r w:rsidRPr="00A30291">
        <w:rPr>
          <w:rFonts w:ascii="Arial" w:hAnsi="Arial" w:cs="Arial"/>
          <w:sz w:val="24"/>
          <w:szCs w:val="24"/>
        </w:rPr>
        <w:t xml:space="preserve">and </w:t>
      </w:r>
      <w:r w:rsidR="00537BAD" w:rsidRPr="00A30291">
        <w:rPr>
          <w:rFonts w:ascii="Arial" w:hAnsi="Arial" w:cs="Arial"/>
          <w:sz w:val="24"/>
          <w:szCs w:val="24"/>
        </w:rPr>
        <w:t>Th</w:t>
      </w:r>
      <w:r w:rsidRPr="00A30291">
        <w:rPr>
          <w:rFonts w:ascii="Arial" w:hAnsi="Arial" w:cs="Arial"/>
          <w:sz w:val="24"/>
          <w:szCs w:val="24"/>
        </w:rPr>
        <w:t xml:space="preserve"> loaded on the PTSD factor and </w:t>
      </w:r>
      <w:r w:rsidR="00A426F5" w:rsidRPr="00A30291">
        <w:rPr>
          <w:rFonts w:ascii="Arial" w:hAnsi="Arial" w:cs="Arial"/>
          <w:sz w:val="24"/>
          <w:szCs w:val="24"/>
        </w:rPr>
        <w:t>AD</w:t>
      </w:r>
      <w:r w:rsidRPr="00A30291">
        <w:rPr>
          <w:rFonts w:ascii="Arial" w:hAnsi="Arial" w:cs="Arial"/>
          <w:sz w:val="24"/>
          <w:szCs w:val="24"/>
        </w:rPr>
        <w:t xml:space="preserve">, </w:t>
      </w:r>
      <w:r w:rsidR="00A426F5" w:rsidRPr="00A30291">
        <w:rPr>
          <w:rFonts w:ascii="Arial" w:hAnsi="Arial" w:cs="Arial"/>
          <w:sz w:val="24"/>
          <w:szCs w:val="24"/>
        </w:rPr>
        <w:t>NSC</w:t>
      </w:r>
      <w:r w:rsidRPr="00A30291">
        <w:rPr>
          <w:rFonts w:ascii="Arial" w:hAnsi="Arial" w:cs="Arial"/>
          <w:sz w:val="24"/>
          <w:szCs w:val="24"/>
        </w:rPr>
        <w:t xml:space="preserve"> and </w:t>
      </w:r>
      <w:r w:rsidR="007520CD" w:rsidRPr="00A30291">
        <w:rPr>
          <w:rFonts w:ascii="Arial" w:hAnsi="Arial" w:cs="Arial"/>
          <w:sz w:val="24"/>
          <w:szCs w:val="24"/>
        </w:rPr>
        <w:t>DR</w:t>
      </w:r>
      <w:r w:rsidRPr="00A30291">
        <w:rPr>
          <w:rFonts w:ascii="Arial" w:hAnsi="Arial" w:cs="Arial"/>
          <w:sz w:val="24"/>
          <w:szCs w:val="24"/>
        </w:rPr>
        <w:t xml:space="preserve"> loaded on the </w:t>
      </w:r>
      <w:r w:rsidR="00A96D95" w:rsidRPr="00A30291">
        <w:rPr>
          <w:rFonts w:ascii="Arial" w:hAnsi="Arial" w:cs="Arial"/>
          <w:sz w:val="24"/>
          <w:szCs w:val="24"/>
        </w:rPr>
        <w:t>DSO</w:t>
      </w:r>
      <w:r w:rsidRPr="00A30291">
        <w:rPr>
          <w:rFonts w:ascii="Arial" w:hAnsi="Arial" w:cs="Arial"/>
          <w:sz w:val="24"/>
          <w:szCs w:val="24"/>
        </w:rPr>
        <w:t xml:space="preserve"> factor. Model 5 tested the hypothes</w:t>
      </w:r>
      <w:r w:rsidR="00B11354" w:rsidRPr="00A30291">
        <w:rPr>
          <w:rFonts w:ascii="Arial" w:hAnsi="Arial" w:cs="Arial"/>
          <w:sz w:val="24"/>
          <w:szCs w:val="24"/>
        </w:rPr>
        <w:t>i</w:t>
      </w:r>
      <w:r w:rsidRPr="00A30291">
        <w:rPr>
          <w:rFonts w:ascii="Arial" w:hAnsi="Arial" w:cs="Arial"/>
          <w:sz w:val="24"/>
          <w:szCs w:val="24"/>
        </w:rPr>
        <w:t xml:space="preserve">s that there was no hierarchical structure for the PTSD items but a hierarchical structure for the </w:t>
      </w:r>
      <w:r w:rsidR="00A96D95" w:rsidRPr="00A30291">
        <w:rPr>
          <w:rFonts w:ascii="Arial" w:hAnsi="Arial" w:cs="Arial"/>
          <w:sz w:val="24"/>
          <w:szCs w:val="24"/>
        </w:rPr>
        <w:t>DSO</w:t>
      </w:r>
      <w:r w:rsidRPr="00A30291">
        <w:rPr>
          <w:rFonts w:ascii="Arial" w:hAnsi="Arial" w:cs="Arial"/>
          <w:sz w:val="24"/>
          <w:szCs w:val="24"/>
        </w:rPr>
        <w:t xml:space="preserve"> items, and </w:t>
      </w:r>
      <w:r w:rsidR="00B11354" w:rsidRPr="00A30291">
        <w:rPr>
          <w:rFonts w:ascii="Arial" w:hAnsi="Arial" w:cs="Arial"/>
          <w:sz w:val="24"/>
          <w:szCs w:val="24"/>
        </w:rPr>
        <w:t>Model 6 that there was</w:t>
      </w:r>
      <w:r w:rsidRPr="00A30291">
        <w:rPr>
          <w:rFonts w:ascii="Arial" w:hAnsi="Arial" w:cs="Arial"/>
          <w:sz w:val="24"/>
          <w:szCs w:val="24"/>
        </w:rPr>
        <w:t xml:space="preserve"> no hierarchical structure for the </w:t>
      </w:r>
      <w:r w:rsidR="00A96D95" w:rsidRPr="00A30291">
        <w:rPr>
          <w:rFonts w:ascii="Arial" w:hAnsi="Arial" w:cs="Arial"/>
          <w:sz w:val="24"/>
          <w:szCs w:val="24"/>
        </w:rPr>
        <w:t xml:space="preserve">DSO </w:t>
      </w:r>
      <w:r w:rsidRPr="00A30291">
        <w:rPr>
          <w:rFonts w:ascii="Arial" w:hAnsi="Arial" w:cs="Arial"/>
          <w:sz w:val="24"/>
          <w:szCs w:val="24"/>
        </w:rPr>
        <w:t xml:space="preserve">items but a hierarchical structure for the PTSD items. Model 7 proposed that all the PTSD and </w:t>
      </w:r>
      <w:r w:rsidR="00A96D95" w:rsidRPr="00A30291">
        <w:rPr>
          <w:rFonts w:ascii="Arial" w:hAnsi="Arial" w:cs="Arial"/>
          <w:sz w:val="24"/>
          <w:szCs w:val="24"/>
        </w:rPr>
        <w:t>DSO</w:t>
      </w:r>
      <w:r w:rsidRPr="00A30291">
        <w:rPr>
          <w:rFonts w:ascii="Arial" w:hAnsi="Arial" w:cs="Arial"/>
          <w:sz w:val="24"/>
          <w:szCs w:val="24"/>
        </w:rPr>
        <w:t xml:space="preserve"> items loaded on two correlated first-order factors. For all models the error variances were uncorrelated. </w:t>
      </w:r>
    </w:p>
    <w:p w14:paraId="28D7984E" w14:textId="3CB6AD39" w:rsidR="009E6544" w:rsidRPr="00A30291" w:rsidRDefault="009E6544" w:rsidP="0096646B">
      <w:pPr>
        <w:spacing w:line="480" w:lineRule="auto"/>
        <w:ind w:firstLine="720"/>
        <w:rPr>
          <w:rFonts w:ascii="Arial" w:hAnsi="Arial" w:cs="Arial"/>
          <w:sz w:val="24"/>
          <w:szCs w:val="24"/>
        </w:rPr>
      </w:pPr>
      <w:r w:rsidRPr="00A30291">
        <w:rPr>
          <w:rFonts w:ascii="Arial" w:hAnsi="Arial" w:cs="Arial"/>
          <w:sz w:val="24"/>
          <w:szCs w:val="24"/>
        </w:rPr>
        <w:t xml:space="preserve">Each model was specified and estimated </w:t>
      </w:r>
      <w:r w:rsidR="002747F7" w:rsidRPr="00A30291">
        <w:rPr>
          <w:rFonts w:ascii="Arial" w:hAnsi="Arial" w:cs="Arial"/>
          <w:sz w:val="24"/>
          <w:szCs w:val="24"/>
        </w:rPr>
        <w:t>by</w:t>
      </w:r>
      <w:r w:rsidRPr="00A30291">
        <w:rPr>
          <w:rFonts w:ascii="Arial" w:hAnsi="Arial" w:cs="Arial"/>
          <w:sz w:val="24"/>
          <w:szCs w:val="24"/>
        </w:rPr>
        <w:t xml:space="preserve"> Mplus 7.1 (Muthen &amp; Muthen, 2013) using </w:t>
      </w:r>
      <w:r w:rsidR="002041B8" w:rsidRPr="00A30291">
        <w:rPr>
          <w:rFonts w:ascii="Arial" w:hAnsi="Arial" w:cs="Arial"/>
          <w:sz w:val="24"/>
          <w:szCs w:val="24"/>
        </w:rPr>
        <w:t xml:space="preserve">the </w:t>
      </w:r>
      <w:r w:rsidRPr="00A30291">
        <w:rPr>
          <w:rFonts w:ascii="Arial" w:hAnsi="Arial" w:cs="Arial"/>
          <w:sz w:val="24"/>
          <w:szCs w:val="24"/>
        </w:rPr>
        <w:t xml:space="preserve">robust weighted least squares estimator (WLSMV) based on the polychoric correlation matrix of latent continuous response variables. The WLSMV estimator is the most appropriate statistical treatment of </w:t>
      </w:r>
      <w:r w:rsidR="009C0D20" w:rsidRPr="00A30291">
        <w:rPr>
          <w:rFonts w:ascii="Arial" w:hAnsi="Arial" w:cs="Arial"/>
          <w:sz w:val="24"/>
          <w:szCs w:val="24"/>
        </w:rPr>
        <w:t xml:space="preserve">ordinal </w:t>
      </w:r>
      <w:r w:rsidRPr="00A30291">
        <w:rPr>
          <w:rFonts w:ascii="Arial" w:hAnsi="Arial" w:cs="Arial"/>
          <w:sz w:val="24"/>
          <w:szCs w:val="24"/>
        </w:rPr>
        <w:t>indicators in a CFA context (Brown, 2006). Other methods of analysis, such as maximum likelihood estimation, tend to produce incorrect standard errors, attenuate the relationships between observed variables and produce possible pseudo-factors (Brown, 2006). The WLSMV estimator has been shown to produce correct parameter estimates, standard errors and test statistics (Flora &amp; Curran, 2004).</w:t>
      </w:r>
      <w:r w:rsidR="00870BD7" w:rsidRPr="00A30291">
        <w:rPr>
          <w:rFonts w:ascii="Arial" w:hAnsi="Arial" w:cs="Arial"/>
          <w:sz w:val="24"/>
          <w:szCs w:val="24"/>
        </w:rPr>
        <w:t xml:space="preserve"> The amount of missing data for the ICD-TQ was low, with missing data on </w:t>
      </w:r>
      <w:r w:rsidR="00537BAD" w:rsidRPr="00A30291">
        <w:rPr>
          <w:rFonts w:ascii="Arial" w:hAnsi="Arial" w:cs="Arial"/>
          <w:sz w:val="24"/>
          <w:szCs w:val="24"/>
        </w:rPr>
        <w:t xml:space="preserve">only 6 items ranging from .5 to </w:t>
      </w:r>
      <w:r w:rsidR="00870BD7" w:rsidRPr="00A30291">
        <w:rPr>
          <w:rFonts w:ascii="Arial" w:hAnsi="Arial" w:cs="Arial"/>
          <w:sz w:val="24"/>
          <w:szCs w:val="24"/>
        </w:rPr>
        <w:t xml:space="preserve">1.6%, and this was handled </w:t>
      </w:r>
      <w:r w:rsidR="00916A13" w:rsidRPr="00A30291">
        <w:rPr>
          <w:rFonts w:ascii="Arial" w:hAnsi="Arial" w:cs="Arial"/>
          <w:sz w:val="24"/>
          <w:szCs w:val="24"/>
        </w:rPr>
        <w:t>using pairwise present analysis</w:t>
      </w:r>
      <w:r w:rsidR="00870BD7" w:rsidRPr="00A30291">
        <w:rPr>
          <w:rFonts w:ascii="Arial" w:hAnsi="Arial" w:cs="Arial"/>
          <w:sz w:val="24"/>
          <w:szCs w:val="24"/>
        </w:rPr>
        <w:t xml:space="preserve"> which</w:t>
      </w:r>
      <w:r w:rsidR="00916A13" w:rsidRPr="00A30291">
        <w:rPr>
          <w:rFonts w:ascii="Arial" w:hAnsi="Arial" w:cs="Arial"/>
          <w:sz w:val="24"/>
          <w:szCs w:val="24"/>
        </w:rPr>
        <w:t xml:space="preserve"> the default when the WLSMV estimator is used (Asparouhov &amp; Muthѐn, 2010).</w:t>
      </w:r>
      <w:r w:rsidR="00916A13" w:rsidRPr="00A30291">
        <w:t xml:space="preserve"> </w:t>
      </w:r>
      <w:r w:rsidRPr="00A30291">
        <w:rPr>
          <w:rFonts w:ascii="Arial" w:hAnsi="Arial" w:cs="Arial"/>
          <w:sz w:val="24"/>
          <w:szCs w:val="24"/>
        </w:rPr>
        <w:t xml:space="preserve">Goodness of fit for each model was assessed with a range of fit indices including the chi-square, the comparative fit index (CFI; Bentler, 1990), and the Tucker-Lewis Index (TLI; Tucker &amp; Lewis, 1973). A non-significant </w:t>
      </w:r>
      <w:r w:rsidRPr="00A30291">
        <w:rPr>
          <w:rFonts w:ascii="Arial" w:hAnsi="Arial" w:cs="Arial"/>
          <w:i/>
          <w:iCs/>
          <w:sz w:val="24"/>
          <w:szCs w:val="24"/>
        </w:rPr>
        <w:t>χ</w:t>
      </w:r>
      <w:r w:rsidRPr="00A30291">
        <w:rPr>
          <w:rFonts w:ascii="Arial" w:hAnsi="Arial" w:cs="Arial"/>
          <w:i/>
          <w:iCs/>
          <w:sz w:val="24"/>
          <w:szCs w:val="24"/>
          <w:vertAlign w:val="superscript"/>
        </w:rPr>
        <w:t xml:space="preserve">2 </w:t>
      </w:r>
      <w:r w:rsidRPr="00A30291">
        <w:rPr>
          <w:rFonts w:ascii="Arial" w:hAnsi="Arial" w:cs="Arial"/>
          <w:sz w:val="24"/>
          <w:szCs w:val="24"/>
        </w:rPr>
        <w:t xml:space="preserve">and values greater than .90 for the CFI and TLI were considered to reflect acceptable model fit. Additionally, the Root Mean Square Error of Approximation (RMSEA; Steiger, 1990) </w:t>
      </w:r>
      <w:r w:rsidRPr="00A30291">
        <w:rPr>
          <w:rFonts w:ascii="Arial" w:hAnsi="Arial" w:cs="Arial"/>
          <w:sz w:val="24"/>
          <w:szCs w:val="24"/>
          <w:lang w:val="en-US"/>
        </w:rPr>
        <w:t>was reported, where a value less than .05 indicated close fit and values up to .08 indicated reasonable errors of approximation (Jöreskog</w:t>
      </w:r>
      <w:r w:rsidR="007D3DDE" w:rsidRPr="00A30291">
        <w:rPr>
          <w:rFonts w:ascii="Arial" w:hAnsi="Arial" w:cs="Arial"/>
          <w:sz w:val="24"/>
          <w:szCs w:val="24"/>
          <w:lang w:val="en-US"/>
        </w:rPr>
        <w:t xml:space="preserve"> </w:t>
      </w:r>
      <w:r w:rsidRPr="00A30291">
        <w:rPr>
          <w:rFonts w:ascii="Arial" w:hAnsi="Arial" w:cs="Arial"/>
          <w:sz w:val="24"/>
          <w:szCs w:val="24"/>
          <w:lang w:val="en-US"/>
        </w:rPr>
        <w:t>&amp;</w:t>
      </w:r>
      <w:r w:rsidR="007D3DDE" w:rsidRPr="00A30291">
        <w:rPr>
          <w:rFonts w:ascii="Arial" w:hAnsi="Arial" w:cs="Arial"/>
          <w:sz w:val="24"/>
          <w:szCs w:val="24"/>
          <w:lang w:val="en-US"/>
        </w:rPr>
        <w:t xml:space="preserve"> </w:t>
      </w:r>
      <w:r w:rsidRPr="00A30291">
        <w:rPr>
          <w:rFonts w:ascii="Arial" w:hAnsi="Arial" w:cs="Arial"/>
          <w:sz w:val="24"/>
          <w:szCs w:val="24"/>
          <w:lang w:val="en-US"/>
        </w:rPr>
        <w:t>Sörbom, 1993).</w:t>
      </w:r>
      <w:r w:rsidRPr="00A30291">
        <w:rPr>
          <w:rFonts w:ascii="Arial" w:hAnsi="Arial" w:cs="Arial"/>
          <w:sz w:val="24"/>
          <w:szCs w:val="24"/>
        </w:rPr>
        <w:t xml:space="preserve"> When the best model was identified</w:t>
      </w:r>
      <w:r w:rsidR="002041B8" w:rsidRPr="00A30291">
        <w:rPr>
          <w:rFonts w:ascii="Arial" w:hAnsi="Arial" w:cs="Arial"/>
          <w:sz w:val="24"/>
          <w:szCs w:val="24"/>
        </w:rPr>
        <w:t>,</w:t>
      </w:r>
      <w:r w:rsidRPr="00A30291">
        <w:rPr>
          <w:rFonts w:ascii="Arial" w:hAnsi="Arial" w:cs="Arial"/>
          <w:sz w:val="24"/>
          <w:szCs w:val="24"/>
        </w:rPr>
        <w:t xml:space="preserve"> factor scores were calculated and these were correlated with the </w:t>
      </w:r>
      <w:r w:rsidR="003F11B5" w:rsidRPr="00A30291">
        <w:rPr>
          <w:rFonts w:ascii="Arial" w:hAnsi="Arial" w:cs="Arial"/>
          <w:sz w:val="24"/>
          <w:szCs w:val="24"/>
        </w:rPr>
        <w:t xml:space="preserve">summed scores from the </w:t>
      </w:r>
      <w:r w:rsidRPr="00A30291">
        <w:rPr>
          <w:rFonts w:ascii="Arial" w:hAnsi="Arial" w:cs="Arial"/>
          <w:sz w:val="24"/>
          <w:szCs w:val="24"/>
        </w:rPr>
        <w:t>criterion variables.</w:t>
      </w:r>
      <w:r w:rsidR="00894051" w:rsidRPr="00A30291">
        <w:rPr>
          <w:rFonts w:ascii="Arial" w:hAnsi="Arial" w:cs="Arial"/>
          <w:sz w:val="24"/>
          <w:szCs w:val="24"/>
        </w:rPr>
        <w:t xml:space="preserve"> Composite reliability </w:t>
      </w:r>
      <w:r w:rsidR="005A2BC6" w:rsidRPr="00A30291">
        <w:rPr>
          <w:rFonts w:ascii="Arial" w:hAnsi="Arial" w:cs="Arial"/>
          <w:sz w:val="24"/>
          <w:szCs w:val="24"/>
        </w:rPr>
        <w:t xml:space="preserve">for the preferred model was also calculated. Composite reliability </w:t>
      </w:r>
      <w:r w:rsidR="00894051" w:rsidRPr="00A30291">
        <w:rPr>
          <w:rFonts w:ascii="Arial" w:hAnsi="Arial" w:cs="Arial"/>
          <w:sz w:val="24"/>
          <w:szCs w:val="24"/>
        </w:rPr>
        <w:t>estimates the internal consistency of a set of items without the strict assumptions of tau-equivalence (Raykov, 1997) and allows the reliability of a smaller set of variables to be estimated than is possible with Cronbach’s alpha.</w:t>
      </w:r>
    </w:p>
    <w:p w14:paraId="370D02AA" w14:textId="77777777" w:rsidR="009E6544" w:rsidRPr="00A30291" w:rsidRDefault="009E6544" w:rsidP="0096646B">
      <w:pPr>
        <w:spacing w:line="480" w:lineRule="auto"/>
        <w:rPr>
          <w:rFonts w:ascii="Arial" w:hAnsi="Arial" w:cs="Arial"/>
          <w:b/>
          <w:bCs/>
          <w:sz w:val="24"/>
          <w:szCs w:val="24"/>
        </w:rPr>
      </w:pPr>
      <w:r w:rsidRPr="00A30291">
        <w:rPr>
          <w:rFonts w:ascii="Arial" w:hAnsi="Arial" w:cs="Arial"/>
          <w:b/>
          <w:bCs/>
          <w:sz w:val="24"/>
          <w:szCs w:val="24"/>
        </w:rPr>
        <w:t>Results</w:t>
      </w:r>
    </w:p>
    <w:p w14:paraId="7A4BF5AA" w14:textId="4B9E4B69" w:rsidR="009E6544" w:rsidRPr="00A30291" w:rsidRDefault="009E6544" w:rsidP="00E03FE0">
      <w:pPr>
        <w:spacing w:line="480" w:lineRule="auto"/>
        <w:ind w:firstLine="720"/>
        <w:rPr>
          <w:rFonts w:ascii="Arial" w:hAnsi="Arial" w:cs="Arial"/>
          <w:sz w:val="24"/>
          <w:szCs w:val="24"/>
        </w:rPr>
      </w:pPr>
      <w:r w:rsidRPr="00A30291">
        <w:rPr>
          <w:rFonts w:ascii="Arial" w:hAnsi="Arial" w:cs="Arial"/>
          <w:sz w:val="24"/>
          <w:szCs w:val="24"/>
        </w:rPr>
        <w:t xml:space="preserve">The prevalence of </w:t>
      </w:r>
      <w:r w:rsidR="00574684" w:rsidRPr="00A30291">
        <w:rPr>
          <w:rFonts w:ascii="Arial" w:hAnsi="Arial" w:cs="Arial"/>
          <w:sz w:val="24"/>
          <w:szCs w:val="24"/>
        </w:rPr>
        <w:t xml:space="preserve">ICD-11 </w:t>
      </w:r>
      <w:r w:rsidRPr="00A30291">
        <w:rPr>
          <w:rFonts w:ascii="Arial" w:hAnsi="Arial" w:cs="Arial"/>
          <w:sz w:val="24"/>
          <w:szCs w:val="24"/>
        </w:rPr>
        <w:t>PTSD</w:t>
      </w:r>
      <w:r w:rsidR="00E7526D" w:rsidRPr="00A30291">
        <w:rPr>
          <w:rFonts w:ascii="Arial" w:hAnsi="Arial" w:cs="Arial"/>
          <w:sz w:val="24"/>
          <w:szCs w:val="24"/>
        </w:rPr>
        <w:t xml:space="preserve"> and CPTSD based on the ICD-TQ were </w:t>
      </w:r>
      <w:r w:rsidR="007F5C30">
        <w:rPr>
          <w:rFonts w:ascii="Arial" w:hAnsi="Arial" w:cs="Arial"/>
          <w:sz w:val="24"/>
          <w:szCs w:val="24"/>
        </w:rPr>
        <w:t>37%</w:t>
      </w:r>
      <w:r w:rsidR="000059CB" w:rsidRPr="000059CB">
        <w:rPr>
          <w:rFonts w:ascii="Arial" w:hAnsi="Arial" w:cs="Arial"/>
          <w:sz w:val="24"/>
          <w:szCs w:val="24"/>
        </w:rPr>
        <w:t xml:space="preserve"> and 53.1</w:t>
      </w:r>
      <w:r w:rsidR="00E7526D" w:rsidRPr="000059CB">
        <w:rPr>
          <w:rFonts w:ascii="Arial" w:hAnsi="Arial" w:cs="Arial"/>
          <w:sz w:val="24"/>
          <w:szCs w:val="24"/>
        </w:rPr>
        <w:t>%</w:t>
      </w:r>
      <w:r w:rsidR="00E7526D" w:rsidRPr="00A30291">
        <w:rPr>
          <w:rFonts w:ascii="Arial" w:hAnsi="Arial" w:cs="Arial"/>
          <w:sz w:val="24"/>
          <w:szCs w:val="24"/>
        </w:rPr>
        <w:t xml:space="preserve"> respectively</w:t>
      </w:r>
      <w:r w:rsidRPr="00A30291">
        <w:rPr>
          <w:rFonts w:ascii="Arial" w:hAnsi="Arial" w:cs="Arial"/>
          <w:sz w:val="24"/>
          <w:szCs w:val="24"/>
        </w:rPr>
        <w:t>,</w:t>
      </w:r>
      <w:r w:rsidR="00574684" w:rsidRPr="00A30291">
        <w:rPr>
          <w:rFonts w:ascii="Arial" w:hAnsi="Arial" w:cs="Arial"/>
          <w:sz w:val="24"/>
          <w:szCs w:val="24"/>
        </w:rPr>
        <w:t xml:space="preserve"> and </w:t>
      </w:r>
      <w:r w:rsidRPr="00A30291">
        <w:rPr>
          <w:rFonts w:ascii="Arial" w:hAnsi="Arial" w:cs="Arial"/>
          <w:sz w:val="24"/>
          <w:szCs w:val="24"/>
        </w:rPr>
        <w:t>based on a cut-off score over 38 on the PCL-5</w:t>
      </w:r>
      <w:r w:rsidR="00574684" w:rsidRPr="00A30291">
        <w:rPr>
          <w:rFonts w:ascii="Arial" w:hAnsi="Arial" w:cs="Arial"/>
          <w:sz w:val="24"/>
          <w:szCs w:val="24"/>
        </w:rPr>
        <w:t xml:space="preserve"> the prevalence of DSM-5 PTSD</w:t>
      </w:r>
      <w:r w:rsidRPr="00A30291">
        <w:rPr>
          <w:rFonts w:ascii="Arial" w:hAnsi="Arial" w:cs="Arial"/>
          <w:sz w:val="24"/>
          <w:szCs w:val="24"/>
        </w:rPr>
        <w:t xml:space="preserve"> </w:t>
      </w:r>
      <w:r w:rsidR="00574684" w:rsidRPr="00A30291">
        <w:rPr>
          <w:rFonts w:ascii="Arial" w:hAnsi="Arial" w:cs="Arial"/>
          <w:sz w:val="24"/>
          <w:szCs w:val="24"/>
        </w:rPr>
        <w:t xml:space="preserve">was </w:t>
      </w:r>
      <w:r w:rsidRPr="00A30291">
        <w:rPr>
          <w:rFonts w:ascii="Arial" w:hAnsi="Arial" w:cs="Arial"/>
          <w:sz w:val="24"/>
          <w:szCs w:val="24"/>
        </w:rPr>
        <w:t>8</w:t>
      </w:r>
      <w:r w:rsidR="00E7526D" w:rsidRPr="00A30291">
        <w:rPr>
          <w:rFonts w:ascii="Arial" w:hAnsi="Arial" w:cs="Arial"/>
          <w:sz w:val="24"/>
          <w:szCs w:val="24"/>
        </w:rPr>
        <w:t>8</w:t>
      </w:r>
      <w:r w:rsidRPr="00A30291">
        <w:rPr>
          <w:rFonts w:ascii="Arial" w:hAnsi="Arial" w:cs="Arial"/>
          <w:sz w:val="24"/>
          <w:szCs w:val="24"/>
        </w:rPr>
        <w:t>.</w:t>
      </w:r>
      <w:r w:rsidR="00E7526D" w:rsidRPr="00A30291">
        <w:rPr>
          <w:rFonts w:ascii="Arial" w:hAnsi="Arial" w:cs="Arial"/>
          <w:sz w:val="24"/>
          <w:szCs w:val="24"/>
        </w:rPr>
        <w:t>2</w:t>
      </w:r>
      <w:r w:rsidRPr="00A30291">
        <w:rPr>
          <w:rFonts w:ascii="Arial" w:hAnsi="Arial" w:cs="Arial"/>
          <w:sz w:val="24"/>
          <w:szCs w:val="24"/>
        </w:rPr>
        <w:t>%.</w:t>
      </w:r>
      <w:r w:rsidR="00CF35B7" w:rsidRPr="00A30291">
        <w:rPr>
          <w:rFonts w:ascii="Arial" w:hAnsi="Arial" w:cs="Arial"/>
          <w:sz w:val="24"/>
          <w:szCs w:val="24"/>
        </w:rPr>
        <w:t xml:space="preserve"> </w:t>
      </w:r>
      <w:r w:rsidR="00C675A7" w:rsidRPr="00A30291">
        <w:rPr>
          <w:rFonts w:ascii="Arial" w:hAnsi="Arial" w:cs="Arial"/>
          <w:sz w:val="24"/>
          <w:szCs w:val="24"/>
        </w:rPr>
        <w:t>Based</w:t>
      </w:r>
      <w:r w:rsidR="00CF35B7" w:rsidRPr="00A30291">
        <w:rPr>
          <w:rFonts w:ascii="Arial" w:hAnsi="Arial" w:cs="Arial"/>
          <w:sz w:val="24"/>
          <w:szCs w:val="24"/>
        </w:rPr>
        <w:t xml:space="preserve"> on Cohen’s kappa t</w:t>
      </w:r>
      <w:r w:rsidR="00574684" w:rsidRPr="00A30291">
        <w:rPr>
          <w:rFonts w:ascii="Arial" w:hAnsi="Arial" w:cs="Arial"/>
          <w:sz w:val="24"/>
          <w:szCs w:val="24"/>
        </w:rPr>
        <w:t>he level of agreement was low between D</w:t>
      </w:r>
      <w:r w:rsidR="00CF35B7" w:rsidRPr="00A30291">
        <w:rPr>
          <w:rFonts w:ascii="Arial" w:hAnsi="Arial" w:cs="Arial"/>
          <w:sz w:val="24"/>
          <w:szCs w:val="24"/>
        </w:rPr>
        <w:t>SM-5 PTSD and ICD-11 PTSD (k</w:t>
      </w:r>
      <w:r w:rsidR="00574684" w:rsidRPr="00A30291">
        <w:rPr>
          <w:rFonts w:ascii="Arial" w:hAnsi="Arial" w:cs="Arial"/>
          <w:sz w:val="24"/>
          <w:szCs w:val="24"/>
        </w:rPr>
        <w:t xml:space="preserve"> = .23</w:t>
      </w:r>
      <w:r w:rsidR="00CF35B7" w:rsidRPr="00A30291">
        <w:rPr>
          <w:rFonts w:ascii="Arial" w:hAnsi="Arial" w:cs="Arial"/>
          <w:sz w:val="24"/>
          <w:szCs w:val="24"/>
        </w:rPr>
        <w:t xml:space="preserve">, </w:t>
      </w:r>
      <w:r w:rsidR="00C675A7" w:rsidRPr="00A30291">
        <w:rPr>
          <w:rFonts w:ascii="Arial" w:hAnsi="Arial" w:cs="Arial"/>
          <w:sz w:val="24"/>
          <w:szCs w:val="24"/>
        </w:rPr>
        <w:t>p &lt; .05, 95% CI, .1</w:t>
      </w:r>
      <w:r w:rsidR="00CF35B7" w:rsidRPr="00A30291">
        <w:rPr>
          <w:rFonts w:ascii="Arial" w:hAnsi="Arial" w:cs="Arial"/>
          <w:sz w:val="24"/>
          <w:szCs w:val="24"/>
        </w:rPr>
        <w:t>3 - .31)</w:t>
      </w:r>
      <w:r w:rsidR="004C16E4" w:rsidRPr="00A30291">
        <w:rPr>
          <w:rFonts w:ascii="Arial" w:hAnsi="Arial" w:cs="Arial"/>
          <w:sz w:val="24"/>
          <w:szCs w:val="24"/>
        </w:rPr>
        <w:t>,</w:t>
      </w:r>
      <w:r w:rsidR="00574684" w:rsidRPr="00A30291">
        <w:rPr>
          <w:rFonts w:ascii="Arial" w:hAnsi="Arial" w:cs="Arial"/>
          <w:sz w:val="24"/>
          <w:szCs w:val="24"/>
        </w:rPr>
        <w:t xml:space="preserve"> and</w:t>
      </w:r>
      <w:r w:rsidR="004C16E4" w:rsidRPr="00A30291">
        <w:rPr>
          <w:rFonts w:ascii="Arial" w:hAnsi="Arial" w:cs="Arial"/>
          <w:sz w:val="24"/>
          <w:szCs w:val="24"/>
        </w:rPr>
        <w:t xml:space="preserve"> between </w:t>
      </w:r>
      <w:r w:rsidR="00574684" w:rsidRPr="00A30291">
        <w:rPr>
          <w:rFonts w:ascii="Arial" w:hAnsi="Arial" w:cs="Arial"/>
          <w:sz w:val="24"/>
          <w:szCs w:val="24"/>
        </w:rPr>
        <w:t>DSM-5 PTSD and ICD-11 CPTSD</w:t>
      </w:r>
      <w:r w:rsidRPr="00A30291">
        <w:rPr>
          <w:rFonts w:ascii="Arial" w:hAnsi="Arial" w:cs="Arial"/>
          <w:sz w:val="24"/>
          <w:szCs w:val="24"/>
        </w:rPr>
        <w:t xml:space="preserve"> </w:t>
      </w:r>
      <w:r w:rsidR="00C675A7" w:rsidRPr="00A30291">
        <w:rPr>
          <w:rFonts w:ascii="Arial" w:hAnsi="Arial" w:cs="Arial"/>
          <w:sz w:val="24"/>
          <w:szCs w:val="24"/>
        </w:rPr>
        <w:t>(k</w:t>
      </w:r>
      <w:r w:rsidR="00574684" w:rsidRPr="00A30291">
        <w:rPr>
          <w:rFonts w:ascii="Arial" w:hAnsi="Arial" w:cs="Arial"/>
          <w:sz w:val="24"/>
          <w:szCs w:val="24"/>
        </w:rPr>
        <w:t xml:space="preserve"> = .11</w:t>
      </w:r>
      <w:r w:rsidR="00C675A7" w:rsidRPr="00A30291">
        <w:rPr>
          <w:rFonts w:ascii="Arial" w:hAnsi="Arial" w:cs="Arial"/>
          <w:sz w:val="24"/>
          <w:szCs w:val="24"/>
        </w:rPr>
        <w:t>, p &lt;.05, 95% CI, .07 - .31</w:t>
      </w:r>
      <w:r w:rsidR="00574684" w:rsidRPr="00A30291">
        <w:rPr>
          <w:rFonts w:ascii="Arial" w:hAnsi="Arial" w:cs="Arial"/>
          <w:sz w:val="24"/>
          <w:szCs w:val="24"/>
        </w:rPr>
        <w:t xml:space="preserve">). </w:t>
      </w:r>
      <w:r w:rsidRPr="00A30291">
        <w:rPr>
          <w:rFonts w:ascii="Arial" w:hAnsi="Arial" w:cs="Arial"/>
          <w:sz w:val="24"/>
          <w:szCs w:val="24"/>
        </w:rPr>
        <w:t xml:space="preserve">The participants also reported exposure to multiple traumatic events. The mean number of traumas reported using </w:t>
      </w:r>
      <w:r w:rsidR="00870495" w:rsidRPr="00A30291">
        <w:rPr>
          <w:rFonts w:ascii="Arial" w:hAnsi="Arial" w:cs="Arial"/>
          <w:sz w:val="24"/>
          <w:szCs w:val="24"/>
        </w:rPr>
        <w:t>the Life Events Checklist was 5.00 (SD</w:t>
      </w:r>
      <w:r w:rsidR="00F402B1" w:rsidRPr="00A30291">
        <w:rPr>
          <w:rFonts w:ascii="Arial" w:hAnsi="Arial" w:cs="Arial"/>
          <w:sz w:val="24"/>
          <w:szCs w:val="24"/>
        </w:rPr>
        <w:t xml:space="preserve"> </w:t>
      </w:r>
      <w:r w:rsidR="00870495" w:rsidRPr="00A30291">
        <w:rPr>
          <w:rFonts w:ascii="Arial" w:hAnsi="Arial" w:cs="Arial"/>
          <w:sz w:val="24"/>
          <w:szCs w:val="24"/>
        </w:rPr>
        <w:t>=</w:t>
      </w:r>
      <w:r w:rsidR="00F402B1" w:rsidRPr="00A30291">
        <w:rPr>
          <w:rFonts w:ascii="Arial" w:hAnsi="Arial" w:cs="Arial"/>
          <w:sz w:val="24"/>
          <w:szCs w:val="24"/>
        </w:rPr>
        <w:t xml:space="preserve"> </w:t>
      </w:r>
      <w:r w:rsidR="00870495" w:rsidRPr="00A30291">
        <w:rPr>
          <w:rFonts w:ascii="Arial" w:hAnsi="Arial" w:cs="Arial"/>
          <w:sz w:val="24"/>
          <w:szCs w:val="24"/>
        </w:rPr>
        <w:t>2.48), with only a small number (4.6</w:t>
      </w:r>
      <w:r w:rsidRPr="00A30291">
        <w:rPr>
          <w:rFonts w:ascii="Arial" w:hAnsi="Arial" w:cs="Arial"/>
          <w:sz w:val="24"/>
          <w:szCs w:val="24"/>
        </w:rPr>
        <w:t>%) reporting exposu</w:t>
      </w:r>
      <w:r w:rsidR="003F11B5" w:rsidRPr="00A30291">
        <w:rPr>
          <w:rFonts w:ascii="Arial" w:hAnsi="Arial" w:cs="Arial"/>
          <w:sz w:val="24"/>
          <w:szCs w:val="24"/>
        </w:rPr>
        <w:t xml:space="preserve">re to a single traumatic event. The most commonly reported events were “physical assault” (78.4%), “sexual assault (rape, attempted rape, made to perform any type of sexual act through force or threat of harm”: 57.9%), “assault with a weapon” (50.7%), “transportation accident” (49.2%), and “Other unwanted or uncomfortable sexual experience” (48.2%). </w:t>
      </w:r>
      <w:r w:rsidRPr="00A30291">
        <w:rPr>
          <w:rFonts w:ascii="Arial" w:hAnsi="Arial" w:cs="Arial"/>
          <w:sz w:val="24"/>
          <w:szCs w:val="24"/>
        </w:rPr>
        <w:t xml:space="preserve">Scores from the CTQ indicate that there were also high levels of childhood trauma, particularly emotional abuse and emotional neglect: Mean (SD): </w:t>
      </w:r>
      <w:r w:rsidRPr="00A30291">
        <w:rPr>
          <w:rFonts w:ascii="Arial" w:hAnsi="Arial" w:cs="Arial"/>
          <w:sz w:val="24"/>
          <w:szCs w:val="24"/>
          <w:shd w:val="clear" w:color="auto" w:fill="FFFFFF"/>
        </w:rPr>
        <w:t>Emotional Abuse 14.20 (6.67), Physical Abuse 10.76 (5.89), Sexual Abuse 12.44 (8.07), Emotional Neglect 13.48 (6.22), and Physical Neglect.9.53 (5.01</w:t>
      </w:r>
      <w:r w:rsidRPr="00A30291">
        <w:rPr>
          <w:rFonts w:ascii="Arial" w:hAnsi="Arial" w:cs="Arial"/>
          <w:sz w:val="24"/>
          <w:szCs w:val="24"/>
        </w:rPr>
        <w:t>). Endorsement rates for any item (score &gt; 1) fr</w:t>
      </w:r>
      <w:r w:rsidR="002041B8" w:rsidRPr="00A30291">
        <w:rPr>
          <w:rFonts w:ascii="Arial" w:hAnsi="Arial" w:cs="Arial"/>
          <w:sz w:val="24"/>
          <w:szCs w:val="24"/>
        </w:rPr>
        <w:t>o</w:t>
      </w:r>
      <w:r w:rsidRPr="00A30291">
        <w:rPr>
          <w:rFonts w:ascii="Arial" w:hAnsi="Arial" w:cs="Arial"/>
          <w:sz w:val="24"/>
          <w:szCs w:val="24"/>
        </w:rPr>
        <w:t xml:space="preserve">m the CTQ subscales indicated that any experience of childhood trauma was also high:  </w:t>
      </w:r>
      <w:r w:rsidRPr="00A30291">
        <w:rPr>
          <w:rFonts w:ascii="Arial" w:hAnsi="Arial" w:cs="Arial"/>
          <w:sz w:val="24"/>
          <w:szCs w:val="24"/>
          <w:shd w:val="clear" w:color="auto" w:fill="FFFFFF"/>
        </w:rPr>
        <w:t xml:space="preserve">Emotional Abuse 84.6%, Physical Abuse 63.8%, Sexual Abuse 53.3%, Emotional Neglect 79.8%, and Physical Neglect 68.6%. </w:t>
      </w:r>
      <w:r w:rsidRPr="00A30291">
        <w:rPr>
          <w:rFonts w:ascii="Arial" w:hAnsi="Arial" w:cs="Arial"/>
          <w:sz w:val="24"/>
          <w:szCs w:val="24"/>
        </w:rPr>
        <w:t xml:space="preserve">The fit statistics for the seven models of the </w:t>
      </w:r>
      <w:r w:rsidR="00156D90" w:rsidRPr="00A30291">
        <w:rPr>
          <w:rFonts w:ascii="Arial" w:hAnsi="Arial" w:cs="Arial"/>
          <w:sz w:val="24"/>
          <w:szCs w:val="24"/>
        </w:rPr>
        <w:t>ICD-TQ</w:t>
      </w:r>
      <w:r w:rsidR="006528A2" w:rsidRPr="00A30291" w:rsidDel="006528A2">
        <w:rPr>
          <w:rFonts w:ascii="Arial" w:hAnsi="Arial" w:cs="Arial"/>
          <w:sz w:val="24"/>
          <w:szCs w:val="24"/>
        </w:rPr>
        <w:t xml:space="preserve"> </w:t>
      </w:r>
      <w:r w:rsidRPr="00A30291">
        <w:rPr>
          <w:rFonts w:ascii="Arial" w:hAnsi="Arial" w:cs="Arial"/>
          <w:sz w:val="24"/>
          <w:szCs w:val="24"/>
        </w:rPr>
        <w:t>are presented in Table 1.</w:t>
      </w:r>
    </w:p>
    <w:p w14:paraId="4F1C74D1" w14:textId="77777777" w:rsidR="009E6544" w:rsidRPr="00A30291" w:rsidRDefault="009E6544" w:rsidP="0096646B">
      <w:pPr>
        <w:spacing w:line="480" w:lineRule="auto"/>
        <w:jc w:val="center"/>
        <w:rPr>
          <w:rFonts w:ascii="Arial" w:hAnsi="Arial" w:cs="Arial"/>
          <w:sz w:val="24"/>
          <w:szCs w:val="24"/>
        </w:rPr>
      </w:pPr>
      <w:r w:rsidRPr="00A30291">
        <w:rPr>
          <w:rFonts w:ascii="Arial" w:hAnsi="Arial" w:cs="Arial"/>
          <w:sz w:val="24"/>
          <w:szCs w:val="24"/>
        </w:rPr>
        <w:t>Table 1 about here</w:t>
      </w:r>
    </w:p>
    <w:p w14:paraId="11BA4BB9" w14:textId="20404DC2" w:rsidR="009E6544" w:rsidRPr="00A30291" w:rsidRDefault="009E6544" w:rsidP="001E04FC">
      <w:pPr>
        <w:autoSpaceDE w:val="0"/>
        <w:autoSpaceDN w:val="0"/>
        <w:adjustRightInd w:val="0"/>
        <w:spacing w:after="0" w:line="480" w:lineRule="auto"/>
        <w:rPr>
          <w:rFonts w:ascii="Arial" w:hAnsi="Arial" w:cs="Arial"/>
          <w:sz w:val="24"/>
          <w:szCs w:val="24"/>
        </w:rPr>
      </w:pPr>
      <w:r w:rsidRPr="00A30291">
        <w:rPr>
          <w:rFonts w:ascii="Arial" w:hAnsi="Arial" w:cs="Arial"/>
          <w:sz w:val="24"/>
          <w:szCs w:val="24"/>
        </w:rPr>
        <w:t xml:space="preserve">Although the chi-square statistics were statistically significant this should not lead to the rejection of the models </w:t>
      </w:r>
      <w:r w:rsidR="006C6AC4">
        <w:rPr>
          <w:rFonts w:ascii="Arial" w:hAnsi="Arial" w:cs="Arial"/>
          <w:sz w:val="24"/>
          <w:szCs w:val="24"/>
        </w:rPr>
        <w:t xml:space="preserve">as the power of the </w:t>
      </w:r>
      <w:r w:rsidR="00A24B67" w:rsidRPr="00A30291">
        <w:rPr>
          <w:rFonts w:ascii="Arial" w:hAnsi="Arial" w:cs="Arial"/>
          <w:sz w:val="24"/>
          <w:szCs w:val="24"/>
        </w:rPr>
        <w:t>chi-square</w:t>
      </w:r>
      <w:r w:rsidR="00A24B67">
        <w:rPr>
          <w:rFonts w:ascii="Arial" w:hAnsi="Arial" w:cs="Arial"/>
          <w:sz w:val="24"/>
          <w:szCs w:val="24"/>
        </w:rPr>
        <w:t xml:space="preserve"> is positively related to sample size</w:t>
      </w:r>
      <w:r w:rsidRPr="00A30291">
        <w:rPr>
          <w:rFonts w:ascii="Arial" w:hAnsi="Arial" w:cs="Arial"/>
          <w:sz w:val="24"/>
          <w:szCs w:val="24"/>
        </w:rPr>
        <w:t xml:space="preserve"> (Tanaka, 1987). All models met the criteria for </w:t>
      </w:r>
      <w:r w:rsidR="00814999" w:rsidRPr="00A30291">
        <w:rPr>
          <w:rFonts w:ascii="Arial" w:hAnsi="Arial" w:cs="Arial"/>
          <w:sz w:val="24"/>
          <w:szCs w:val="24"/>
        </w:rPr>
        <w:t xml:space="preserve">an </w:t>
      </w:r>
      <w:r w:rsidRPr="00A30291">
        <w:rPr>
          <w:rFonts w:ascii="Arial" w:hAnsi="Arial" w:cs="Arial"/>
          <w:sz w:val="24"/>
          <w:szCs w:val="24"/>
        </w:rPr>
        <w:t>acceptable model based on the CFI and TLI, but only Models 2, 3, 4 and 5 met the RMSEA criteria. Models 2 and 4 had the lowest RMSEA. These were the best fitting models and the chi-square difference test</w:t>
      </w:r>
      <w:r w:rsidR="004032A4">
        <w:rPr>
          <w:rFonts w:ascii="Arial" w:hAnsi="Arial" w:cs="Arial"/>
          <w:sz w:val="24"/>
          <w:szCs w:val="24"/>
        </w:rPr>
        <w:t>, using the DIFFTEST procedure,</w:t>
      </w:r>
      <w:r w:rsidRPr="00A30291">
        <w:rPr>
          <w:rFonts w:ascii="Arial" w:hAnsi="Arial" w:cs="Arial"/>
          <w:sz w:val="24"/>
          <w:szCs w:val="24"/>
        </w:rPr>
        <w:t xml:space="preserve"> indicated that the models did not differ significantly in terms of fit (</w:t>
      </w:r>
      <w:r w:rsidRPr="00A30291">
        <w:rPr>
          <w:rFonts w:ascii="Arial" w:hAnsi="Arial" w:cs="Arial"/>
          <w:sz w:val="24"/>
          <w:szCs w:val="24"/>
        </w:rPr>
        <w:sym w:font="Symbol" w:char="F044"/>
      </w:r>
      <w:r w:rsidRPr="00A30291">
        <w:rPr>
          <w:rFonts w:ascii="Arial" w:hAnsi="Arial" w:cs="Arial"/>
          <w:sz w:val="24"/>
          <w:szCs w:val="24"/>
        </w:rPr>
        <w:sym w:font="Symbol" w:char="F063"/>
      </w:r>
      <w:r w:rsidRPr="00A30291">
        <w:rPr>
          <w:rFonts w:ascii="Arial" w:hAnsi="Arial" w:cs="Arial"/>
          <w:sz w:val="24"/>
          <w:szCs w:val="24"/>
          <w:vertAlign w:val="superscript"/>
        </w:rPr>
        <w:t xml:space="preserve">2 </w:t>
      </w:r>
      <w:r w:rsidRPr="00A30291">
        <w:rPr>
          <w:rFonts w:ascii="Arial" w:hAnsi="Arial" w:cs="Arial"/>
          <w:sz w:val="24"/>
          <w:szCs w:val="24"/>
        </w:rPr>
        <w:t xml:space="preserve">= 10.602, </w:t>
      </w:r>
      <w:r w:rsidRPr="00A30291">
        <w:rPr>
          <w:rFonts w:ascii="Arial" w:hAnsi="Arial" w:cs="Arial"/>
          <w:sz w:val="24"/>
          <w:szCs w:val="24"/>
        </w:rPr>
        <w:sym w:font="Symbol" w:char="F044"/>
      </w:r>
      <w:r w:rsidRPr="00A30291">
        <w:rPr>
          <w:rFonts w:ascii="Arial" w:hAnsi="Arial" w:cs="Arial"/>
          <w:sz w:val="24"/>
          <w:szCs w:val="24"/>
        </w:rPr>
        <w:t>df = 8, p = .225)</w:t>
      </w:r>
      <w:r w:rsidR="00A031CA">
        <w:rPr>
          <w:rFonts w:ascii="Arial" w:hAnsi="Arial" w:cs="Arial"/>
          <w:sz w:val="24"/>
          <w:szCs w:val="24"/>
        </w:rPr>
        <w:t>. In addition Model 2 had fewer parameters and the difference between the RMSEA</w:t>
      </w:r>
      <w:r w:rsidR="001933EC">
        <w:rPr>
          <w:rFonts w:ascii="Arial" w:hAnsi="Arial" w:cs="Arial"/>
          <w:sz w:val="24"/>
          <w:szCs w:val="24"/>
        </w:rPr>
        <w:t xml:space="preserve"> values was small, indeed the point estimate for each model was within the </w:t>
      </w:r>
      <w:r w:rsidR="00E6026C">
        <w:rPr>
          <w:rFonts w:ascii="Arial" w:hAnsi="Arial" w:cs="Arial"/>
          <w:sz w:val="24"/>
          <w:szCs w:val="24"/>
        </w:rPr>
        <w:t xml:space="preserve">RMSEA </w:t>
      </w:r>
      <w:r w:rsidR="001933EC">
        <w:rPr>
          <w:rFonts w:ascii="Arial" w:hAnsi="Arial" w:cs="Arial"/>
          <w:sz w:val="24"/>
          <w:szCs w:val="24"/>
        </w:rPr>
        <w:t>90% confidence intervals for the other model.</w:t>
      </w:r>
      <w:r w:rsidRPr="00A30291">
        <w:rPr>
          <w:rFonts w:ascii="Arial" w:hAnsi="Arial" w:cs="Arial"/>
          <w:sz w:val="24"/>
          <w:szCs w:val="24"/>
        </w:rPr>
        <w:t xml:space="preserve"> Model 4</w:t>
      </w:r>
      <w:r w:rsidR="00652E20" w:rsidRPr="00A30291">
        <w:rPr>
          <w:rFonts w:ascii="Arial" w:hAnsi="Arial" w:cs="Arial"/>
          <w:sz w:val="24"/>
          <w:szCs w:val="24"/>
        </w:rPr>
        <w:t>, therefore,</w:t>
      </w:r>
      <w:r w:rsidRPr="00A30291">
        <w:rPr>
          <w:rFonts w:ascii="Arial" w:hAnsi="Arial" w:cs="Arial"/>
          <w:sz w:val="24"/>
          <w:szCs w:val="24"/>
        </w:rPr>
        <w:t xml:space="preserve"> should be preferred on the basis of </w:t>
      </w:r>
      <w:r w:rsidR="00E6026C">
        <w:rPr>
          <w:rFonts w:ascii="Arial" w:hAnsi="Arial" w:cs="Arial"/>
          <w:sz w:val="24"/>
          <w:szCs w:val="24"/>
        </w:rPr>
        <w:t xml:space="preserve">model fit, </w:t>
      </w:r>
      <w:r w:rsidRPr="00A30291">
        <w:rPr>
          <w:rFonts w:ascii="Arial" w:hAnsi="Arial" w:cs="Arial"/>
          <w:sz w:val="24"/>
          <w:szCs w:val="24"/>
        </w:rPr>
        <w:t>parsimony</w:t>
      </w:r>
      <w:r w:rsidR="004C16E4" w:rsidRPr="00A30291">
        <w:rPr>
          <w:rFonts w:ascii="Arial" w:hAnsi="Arial" w:cs="Arial"/>
          <w:sz w:val="24"/>
          <w:szCs w:val="24"/>
        </w:rPr>
        <w:t>, and theoretical consistency</w:t>
      </w:r>
      <w:r w:rsidRPr="00A30291">
        <w:rPr>
          <w:rFonts w:ascii="Arial" w:hAnsi="Arial" w:cs="Arial"/>
          <w:sz w:val="24"/>
          <w:szCs w:val="24"/>
        </w:rPr>
        <w:t xml:space="preserve">. </w:t>
      </w:r>
      <w:r w:rsidR="001E04FC" w:rsidRPr="00A30291">
        <w:rPr>
          <w:rFonts w:ascii="Arial" w:hAnsi="Arial" w:cs="Arial"/>
          <w:sz w:val="24"/>
          <w:szCs w:val="24"/>
        </w:rPr>
        <w:t xml:space="preserve">A post hoc power analysis was conducted using a Monte Carlo study (Muthén &amp; Muthén, 2012). The estimates from Model 4 were used as population values, 1,000 replications were used, and the power of each parameter was estimated. All of the factor loading and factor correlation parameters had power greater than .90. </w:t>
      </w:r>
      <w:r w:rsidRPr="00A30291">
        <w:rPr>
          <w:rFonts w:ascii="Arial" w:hAnsi="Arial" w:cs="Arial"/>
          <w:sz w:val="24"/>
          <w:szCs w:val="24"/>
        </w:rPr>
        <w:t>The factor loadings for Model 4 are presented in Table 2.</w:t>
      </w:r>
    </w:p>
    <w:p w14:paraId="3E1B7997" w14:textId="6A4680DE" w:rsidR="00BB1BC3" w:rsidRDefault="00BB1BC3" w:rsidP="00BB1BC3">
      <w:pPr>
        <w:spacing w:line="480" w:lineRule="auto"/>
        <w:ind w:left="2880"/>
        <w:rPr>
          <w:rFonts w:ascii="Arial" w:hAnsi="Arial" w:cs="Arial"/>
          <w:sz w:val="24"/>
          <w:szCs w:val="24"/>
        </w:rPr>
      </w:pPr>
      <w:r>
        <w:rPr>
          <w:rFonts w:ascii="Arial" w:hAnsi="Arial" w:cs="Arial"/>
          <w:sz w:val="24"/>
          <w:szCs w:val="24"/>
          <w:lang w:eastAsia="en-GB"/>
        </w:rPr>
        <w:t xml:space="preserve">        </w:t>
      </w:r>
      <w:r w:rsidRPr="00A30291">
        <w:rPr>
          <w:rFonts w:ascii="Arial" w:hAnsi="Arial" w:cs="Arial"/>
          <w:sz w:val="24"/>
          <w:szCs w:val="24"/>
          <w:lang w:eastAsia="en-GB"/>
        </w:rPr>
        <w:t>Figure 1 about here</w:t>
      </w:r>
    </w:p>
    <w:p w14:paraId="32F7AADC" w14:textId="77777777" w:rsidR="009E6544" w:rsidRPr="00A30291" w:rsidRDefault="009E6544" w:rsidP="0096646B">
      <w:pPr>
        <w:spacing w:line="480" w:lineRule="auto"/>
        <w:jc w:val="center"/>
        <w:rPr>
          <w:rFonts w:ascii="Arial" w:hAnsi="Arial" w:cs="Arial"/>
          <w:sz w:val="24"/>
          <w:szCs w:val="24"/>
        </w:rPr>
      </w:pPr>
      <w:r w:rsidRPr="00A30291">
        <w:rPr>
          <w:rFonts w:ascii="Arial" w:hAnsi="Arial" w:cs="Arial"/>
          <w:sz w:val="24"/>
          <w:szCs w:val="24"/>
        </w:rPr>
        <w:t>Table 2 about here</w:t>
      </w:r>
    </w:p>
    <w:p w14:paraId="7994FF7A" w14:textId="564439FE" w:rsidR="009E6544" w:rsidRPr="00A30291" w:rsidRDefault="009E6544" w:rsidP="005A2BC6">
      <w:pPr>
        <w:spacing w:line="480" w:lineRule="auto"/>
        <w:ind w:firstLine="720"/>
        <w:rPr>
          <w:rFonts w:ascii="Arial" w:hAnsi="Arial" w:cs="Arial"/>
          <w:sz w:val="24"/>
          <w:szCs w:val="24"/>
        </w:rPr>
      </w:pPr>
      <w:r w:rsidRPr="00A30291">
        <w:rPr>
          <w:rFonts w:ascii="Arial" w:hAnsi="Arial" w:cs="Arial"/>
          <w:sz w:val="24"/>
          <w:szCs w:val="24"/>
        </w:rPr>
        <w:t>The second-order factor loadings for the PTSD factor (R</w:t>
      </w:r>
      <w:r w:rsidR="00814999" w:rsidRPr="00A30291">
        <w:rPr>
          <w:rFonts w:ascii="Arial" w:hAnsi="Arial" w:cs="Arial"/>
          <w:sz w:val="24"/>
          <w:szCs w:val="24"/>
        </w:rPr>
        <w:t>e</w:t>
      </w:r>
      <w:r w:rsidR="00E654A0" w:rsidRPr="00A30291">
        <w:rPr>
          <w:rFonts w:ascii="Arial" w:hAnsi="Arial" w:cs="Arial"/>
          <w:sz w:val="24"/>
          <w:szCs w:val="24"/>
        </w:rPr>
        <w:t xml:space="preserve"> </w:t>
      </w:r>
      <w:r w:rsidRPr="00A30291">
        <w:rPr>
          <w:rFonts w:ascii="Arial" w:hAnsi="Arial" w:cs="Arial"/>
          <w:sz w:val="24"/>
          <w:szCs w:val="24"/>
        </w:rPr>
        <w:t>= .8</w:t>
      </w:r>
      <w:r w:rsidR="006528A2" w:rsidRPr="00A30291">
        <w:rPr>
          <w:rFonts w:ascii="Arial" w:hAnsi="Arial" w:cs="Arial"/>
          <w:sz w:val="24"/>
          <w:szCs w:val="24"/>
        </w:rPr>
        <w:t>6</w:t>
      </w:r>
      <w:r w:rsidRPr="00A30291">
        <w:rPr>
          <w:rFonts w:ascii="Arial" w:hAnsi="Arial" w:cs="Arial"/>
          <w:sz w:val="24"/>
          <w:szCs w:val="24"/>
        </w:rPr>
        <w:t>, Av = .72,</w:t>
      </w:r>
      <w:r w:rsidR="001F0164" w:rsidRPr="00A30291">
        <w:rPr>
          <w:rFonts w:ascii="Arial" w:hAnsi="Arial" w:cs="Arial"/>
          <w:sz w:val="24"/>
          <w:szCs w:val="24"/>
        </w:rPr>
        <w:t xml:space="preserve"> </w:t>
      </w:r>
      <w:r w:rsidR="00E654A0" w:rsidRPr="00A30291">
        <w:rPr>
          <w:rFonts w:ascii="Arial" w:hAnsi="Arial" w:cs="Arial"/>
          <w:sz w:val="24"/>
          <w:szCs w:val="24"/>
        </w:rPr>
        <w:t>Th = .</w:t>
      </w:r>
      <w:r w:rsidRPr="00A30291">
        <w:rPr>
          <w:rFonts w:ascii="Arial" w:hAnsi="Arial" w:cs="Arial"/>
          <w:sz w:val="24"/>
          <w:szCs w:val="24"/>
        </w:rPr>
        <w:t xml:space="preserve">71) and the </w:t>
      </w:r>
      <w:r w:rsidR="008D3830" w:rsidRPr="00A30291">
        <w:rPr>
          <w:rFonts w:ascii="Arial" w:hAnsi="Arial" w:cs="Arial"/>
          <w:sz w:val="24"/>
          <w:szCs w:val="24"/>
        </w:rPr>
        <w:t>DSO</w:t>
      </w:r>
      <w:r w:rsidRPr="00A30291">
        <w:rPr>
          <w:rFonts w:ascii="Arial" w:hAnsi="Arial" w:cs="Arial"/>
          <w:sz w:val="24"/>
          <w:szCs w:val="24"/>
        </w:rPr>
        <w:t xml:space="preserve"> factor (</w:t>
      </w:r>
      <w:r w:rsidR="00814999" w:rsidRPr="00A30291">
        <w:rPr>
          <w:rFonts w:ascii="Arial" w:hAnsi="Arial" w:cs="Arial"/>
          <w:sz w:val="24"/>
          <w:szCs w:val="24"/>
        </w:rPr>
        <w:t>AD</w:t>
      </w:r>
      <w:r w:rsidRPr="00A30291">
        <w:rPr>
          <w:rFonts w:ascii="Arial" w:hAnsi="Arial" w:cs="Arial"/>
          <w:sz w:val="24"/>
          <w:szCs w:val="24"/>
        </w:rPr>
        <w:t xml:space="preserve"> = .9</w:t>
      </w:r>
      <w:r w:rsidR="006528A2" w:rsidRPr="00A30291">
        <w:rPr>
          <w:rFonts w:ascii="Arial" w:hAnsi="Arial" w:cs="Arial"/>
          <w:sz w:val="24"/>
          <w:szCs w:val="24"/>
        </w:rPr>
        <w:t>6</w:t>
      </w:r>
      <w:r w:rsidRPr="00A30291">
        <w:rPr>
          <w:rFonts w:ascii="Arial" w:hAnsi="Arial" w:cs="Arial"/>
          <w:sz w:val="24"/>
          <w:szCs w:val="24"/>
        </w:rPr>
        <w:t>, NSC = .</w:t>
      </w:r>
      <w:r w:rsidR="006528A2" w:rsidRPr="00A30291">
        <w:rPr>
          <w:rFonts w:ascii="Arial" w:hAnsi="Arial" w:cs="Arial"/>
          <w:sz w:val="24"/>
          <w:szCs w:val="24"/>
        </w:rPr>
        <w:t>80</w:t>
      </w:r>
      <w:r w:rsidRPr="00A30291">
        <w:rPr>
          <w:rFonts w:ascii="Arial" w:hAnsi="Arial" w:cs="Arial"/>
          <w:sz w:val="24"/>
          <w:szCs w:val="24"/>
        </w:rPr>
        <w:t xml:space="preserve">, </w:t>
      </w:r>
      <w:r w:rsidR="007520CD" w:rsidRPr="00A30291">
        <w:rPr>
          <w:rFonts w:ascii="Arial" w:hAnsi="Arial" w:cs="Arial"/>
          <w:sz w:val="24"/>
          <w:szCs w:val="24"/>
        </w:rPr>
        <w:t>DR</w:t>
      </w:r>
      <w:r w:rsidRPr="00A30291">
        <w:rPr>
          <w:rFonts w:ascii="Arial" w:hAnsi="Arial" w:cs="Arial"/>
          <w:sz w:val="24"/>
          <w:szCs w:val="24"/>
        </w:rPr>
        <w:t xml:space="preserve"> = .88) were all positive, high and statistically significant (p &lt; .05). The correlation between the PTSD and </w:t>
      </w:r>
      <w:r w:rsidR="008D3830" w:rsidRPr="00A30291">
        <w:rPr>
          <w:rFonts w:ascii="Arial" w:hAnsi="Arial" w:cs="Arial"/>
          <w:sz w:val="24"/>
          <w:szCs w:val="24"/>
        </w:rPr>
        <w:t xml:space="preserve">DSO </w:t>
      </w:r>
      <w:r w:rsidRPr="00A30291">
        <w:rPr>
          <w:rFonts w:ascii="Arial" w:hAnsi="Arial" w:cs="Arial"/>
          <w:sz w:val="24"/>
          <w:szCs w:val="24"/>
        </w:rPr>
        <w:t>factor was .7</w:t>
      </w:r>
      <w:r w:rsidR="006528A2" w:rsidRPr="00A30291">
        <w:rPr>
          <w:rFonts w:ascii="Arial" w:hAnsi="Arial" w:cs="Arial"/>
          <w:sz w:val="24"/>
          <w:szCs w:val="24"/>
        </w:rPr>
        <w:t>5</w:t>
      </w:r>
      <w:r w:rsidRPr="00A30291">
        <w:rPr>
          <w:rFonts w:ascii="Arial" w:hAnsi="Arial" w:cs="Arial"/>
          <w:sz w:val="24"/>
          <w:szCs w:val="24"/>
        </w:rPr>
        <w:t xml:space="preserve"> (p &lt; .05).</w:t>
      </w:r>
      <w:r w:rsidR="005A2BC6" w:rsidRPr="00A30291">
        <w:rPr>
          <w:rFonts w:ascii="Arial" w:hAnsi="Arial" w:cs="Arial"/>
          <w:sz w:val="24"/>
          <w:szCs w:val="24"/>
        </w:rPr>
        <w:t xml:space="preserve"> </w:t>
      </w:r>
      <w:r w:rsidRPr="00A30291">
        <w:rPr>
          <w:rFonts w:ascii="Arial" w:hAnsi="Arial" w:cs="Arial"/>
          <w:sz w:val="24"/>
          <w:szCs w:val="24"/>
        </w:rPr>
        <w:t>The estimates of composite reliability derived from the model estimates indicated acceptable levels</w:t>
      </w:r>
      <w:r w:rsidR="004C16E4" w:rsidRPr="00A30291">
        <w:rPr>
          <w:rFonts w:ascii="Arial" w:hAnsi="Arial" w:cs="Arial"/>
          <w:sz w:val="24"/>
          <w:szCs w:val="24"/>
        </w:rPr>
        <w:t xml:space="preserve"> of internal reliability</w:t>
      </w:r>
      <w:r w:rsidRPr="00A30291">
        <w:rPr>
          <w:rFonts w:ascii="Arial" w:hAnsi="Arial" w:cs="Arial"/>
          <w:sz w:val="24"/>
          <w:szCs w:val="24"/>
        </w:rPr>
        <w:t xml:space="preserve"> for all subscales: </w:t>
      </w:r>
      <w:r w:rsidR="00E654A0" w:rsidRPr="00A30291">
        <w:rPr>
          <w:rFonts w:ascii="Arial" w:hAnsi="Arial" w:cs="Arial"/>
          <w:sz w:val="24"/>
          <w:szCs w:val="24"/>
        </w:rPr>
        <w:t>Re</w:t>
      </w:r>
      <w:r w:rsidRPr="00A30291">
        <w:rPr>
          <w:rFonts w:ascii="Arial" w:hAnsi="Arial" w:cs="Arial"/>
          <w:sz w:val="24"/>
          <w:szCs w:val="24"/>
        </w:rPr>
        <w:t xml:space="preserve"> = .75, </w:t>
      </w:r>
      <w:r w:rsidR="00E654A0" w:rsidRPr="00A30291">
        <w:rPr>
          <w:rFonts w:ascii="Arial" w:hAnsi="Arial" w:cs="Arial"/>
          <w:sz w:val="24"/>
          <w:szCs w:val="24"/>
        </w:rPr>
        <w:t>Av</w:t>
      </w:r>
      <w:r w:rsidR="001F0164" w:rsidRPr="00A30291">
        <w:rPr>
          <w:rFonts w:ascii="Arial" w:hAnsi="Arial" w:cs="Arial"/>
          <w:sz w:val="24"/>
          <w:szCs w:val="24"/>
        </w:rPr>
        <w:t xml:space="preserve"> </w:t>
      </w:r>
      <w:r w:rsidRPr="00A30291">
        <w:rPr>
          <w:rFonts w:ascii="Arial" w:hAnsi="Arial" w:cs="Arial"/>
          <w:sz w:val="24"/>
          <w:szCs w:val="24"/>
        </w:rPr>
        <w:t xml:space="preserve">= .72, </w:t>
      </w:r>
      <w:r w:rsidR="00E654A0" w:rsidRPr="00A30291">
        <w:rPr>
          <w:rFonts w:ascii="Arial" w:hAnsi="Arial" w:cs="Arial"/>
          <w:sz w:val="24"/>
          <w:szCs w:val="24"/>
        </w:rPr>
        <w:t>Th</w:t>
      </w:r>
      <w:r w:rsidRPr="00A30291">
        <w:rPr>
          <w:rFonts w:ascii="Arial" w:hAnsi="Arial" w:cs="Arial"/>
          <w:sz w:val="24"/>
          <w:szCs w:val="24"/>
        </w:rPr>
        <w:t xml:space="preserve"> = .86, </w:t>
      </w:r>
      <w:r w:rsidR="001F0164" w:rsidRPr="00A30291">
        <w:rPr>
          <w:rFonts w:ascii="Arial" w:hAnsi="Arial" w:cs="Arial"/>
          <w:sz w:val="24"/>
          <w:szCs w:val="24"/>
        </w:rPr>
        <w:t>AD</w:t>
      </w:r>
      <w:r w:rsidRPr="00A30291">
        <w:rPr>
          <w:rFonts w:ascii="Arial" w:hAnsi="Arial" w:cs="Arial"/>
          <w:sz w:val="24"/>
          <w:szCs w:val="24"/>
        </w:rPr>
        <w:t xml:space="preserve"> = .84, </w:t>
      </w:r>
      <w:r w:rsidR="001F0164" w:rsidRPr="00A30291">
        <w:rPr>
          <w:rFonts w:ascii="Arial" w:hAnsi="Arial" w:cs="Arial"/>
          <w:sz w:val="24"/>
          <w:szCs w:val="24"/>
        </w:rPr>
        <w:t>NSC</w:t>
      </w:r>
      <w:r w:rsidRPr="00A30291">
        <w:rPr>
          <w:rFonts w:ascii="Arial" w:hAnsi="Arial" w:cs="Arial"/>
          <w:sz w:val="24"/>
          <w:szCs w:val="24"/>
        </w:rPr>
        <w:t xml:space="preserve"> = .95</w:t>
      </w:r>
      <w:r w:rsidR="00E654A0" w:rsidRPr="00A30291">
        <w:rPr>
          <w:rFonts w:ascii="Arial" w:hAnsi="Arial" w:cs="Arial"/>
          <w:sz w:val="24"/>
          <w:szCs w:val="24"/>
        </w:rPr>
        <w:t>,</w:t>
      </w:r>
      <w:r w:rsidR="001F0164" w:rsidRPr="00A30291">
        <w:rPr>
          <w:rFonts w:ascii="Arial" w:hAnsi="Arial" w:cs="Arial"/>
          <w:sz w:val="24"/>
          <w:szCs w:val="24"/>
        </w:rPr>
        <w:t xml:space="preserve"> and </w:t>
      </w:r>
      <w:r w:rsidR="007520CD" w:rsidRPr="00A30291">
        <w:rPr>
          <w:rFonts w:ascii="Arial" w:hAnsi="Arial" w:cs="Arial"/>
          <w:sz w:val="24"/>
          <w:szCs w:val="24"/>
        </w:rPr>
        <w:t>DR</w:t>
      </w:r>
      <w:r w:rsidRPr="00A30291">
        <w:rPr>
          <w:rFonts w:ascii="Arial" w:hAnsi="Arial" w:cs="Arial"/>
          <w:sz w:val="24"/>
          <w:szCs w:val="24"/>
        </w:rPr>
        <w:t xml:space="preserve"> = .88.</w:t>
      </w:r>
    </w:p>
    <w:p w14:paraId="6419DBC9" w14:textId="77777777" w:rsidR="009E6544" w:rsidRPr="00A30291" w:rsidRDefault="009E6544" w:rsidP="00E654A0">
      <w:pPr>
        <w:spacing w:line="480" w:lineRule="auto"/>
        <w:ind w:firstLine="720"/>
        <w:rPr>
          <w:rFonts w:ascii="Arial" w:hAnsi="Arial" w:cs="Arial"/>
          <w:sz w:val="24"/>
          <w:szCs w:val="24"/>
        </w:rPr>
      </w:pPr>
      <w:r w:rsidRPr="00A30291">
        <w:rPr>
          <w:rFonts w:ascii="Arial" w:hAnsi="Arial" w:cs="Arial"/>
          <w:sz w:val="24"/>
          <w:szCs w:val="24"/>
        </w:rPr>
        <w:t xml:space="preserve">The correlations between the factor scores derived from Model 4 and the criterion variables are presented in Table 3. </w:t>
      </w:r>
    </w:p>
    <w:p w14:paraId="4F11A096" w14:textId="77777777" w:rsidR="009E6544" w:rsidRPr="00A30291" w:rsidRDefault="009E6544" w:rsidP="00987655">
      <w:pPr>
        <w:spacing w:line="480" w:lineRule="auto"/>
        <w:jc w:val="center"/>
        <w:rPr>
          <w:rFonts w:ascii="Arial" w:hAnsi="Arial" w:cs="Arial"/>
          <w:sz w:val="24"/>
          <w:szCs w:val="24"/>
        </w:rPr>
      </w:pPr>
      <w:r w:rsidRPr="00A30291">
        <w:rPr>
          <w:rFonts w:ascii="Arial" w:hAnsi="Arial" w:cs="Arial"/>
          <w:sz w:val="24"/>
          <w:szCs w:val="24"/>
        </w:rPr>
        <w:t>Table 3 about here</w:t>
      </w:r>
    </w:p>
    <w:p w14:paraId="724A69EA" w14:textId="2B1F4400" w:rsidR="009E6544" w:rsidRPr="00A30291" w:rsidRDefault="009E6544" w:rsidP="008D3D67">
      <w:pPr>
        <w:spacing w:line="480" w:lineRule="auto"/>
        <w:ind w:firstLine="720"/>
        <w:rPr>
          <w:rFonts w:ascii="Arial" w:hAnsi="Arial" w:cs="Arial"/>
          <w:sz w:val="24"/>
          <w:szCs w:val="24"/>
          <w:lang w:eastAsia="en-GB"/>
        </w:rPr>
      </w:pPr>
      <w:r w:rsidRPr="00A30291">
        <w:rPr>
          <w:rFonts w:ascii="Arial" w:hAnsi="Arial" w:cs="Arial"/>
          <w:sz w:val="24"/>
          <w:szCs w:val="24"/>
        </w:rPr>
        <w:t>The correlations between the first order factor scores and the respective PCL subscales were all high, positive and statistically significant and larger than any other correlations among the variables</w:t>
      </w:r>
      <w:r w:rsidR="00F402B1" w:rsidRPr="00A30291">
        <w:rPr>
          <w:rFonts w:ascii="Arial" w:hAnsi="Arial" w:cs="Arial"/>
          <w:sz w:val="24"/>
          <w:szCs w:val="24"/>
        </w:rPr>
        <w:t xml:space="preserve"> (see Table 3)</w:t>
      </w:r>
      <w:r w:rsidRPr="00A30291">
        <w:rPr>
          <w:rFonts w:ascii="Arial" w:hAnsi="Arial" w:cs="Arial"/>
          <w:sz w:val="24"/>
          <w:szCs w:val="24"/>
        </w:rPr>
        <w:t xml:space="preserve">. The correlations between the first order </w:t>
      </w:r>
      <w:r w:rsidR="00AD2A79" w:rsidRPr="00A30291">
        <w:rPr>
          <w:rFonts w:ascii="Arial" w:hAnsi="Arial" w:cs="Arial"/>
          <w:sz w:val="24"/>
          <w:szCs w:val="24"/>
        </w:rPr>
        <w:t>DSO</w:t>
      </w:r>
      <w:r w:rsidRPr="00A30291">
        <w:rPr>
          <w:rFonts w:ascii="Arial" w:hAnsi="Arial" w:cs="Arial"/>
          <w:sz w:val="24"/>
          <w:szCs w:val="24"/>
        </w:rPr>
        <w:t xml:space="preserve"> factor scores and the criterion variables w</w:t>
      </w:r>
      <w:r w:rsidR="00652E20" w:rsidRPr="00A30291">
        <w:rPr>
          <w:rFonts w:ascii="Arial" w:hAnsi="Arial" w:cs="Arial"/>
          <w:sz w:val="24"/>
          <w:szCs w:val="24"/>
        </w:rPr>
        <w:t>ere</w:t>
      </w:r>
      <w:r w:rsidRPr="00A30291">
        <w:rPr>
          <w:rFonts w:ascii="Arial" w:hAnsi="Arial" w:cs="Arial"/>
          <w:sz w:val="24"/>
          <w:szCs w:val="24"/>
        </w:rPr>
        <w:t xml:space="preserve"> as expected</w:t>
      </w:r>
      <w:r w:rsidR="00287D43" w:rsidRPr="00A30291">
        <w:rPr>
          <w:rFonts w:ascii="Arial" w:hAnsi="Arial" w:cs="Arial"/>
          <w:sz w:val="24"/>
          <w:szCs w:val="24"/>
        </w:rPr>
        <w:t>,</w:t>
      </w:r>
      <w:r w:rsidRPr="00A30291">
        <w:rPr>
          <w:rFonts w:ascii="Arial" w:hAnsi="Arial" w:cs="Arial"/>
          <w:sz w:val="24"/>
          <w:szCs w:val="24"/>
        </w:rPr>
        <w:t xml:space="preserve"> with high and statistically significant correlations between </w:t>
      </w:r>
      <w:r w:rsidR="00AD2A79" w:rsidRPr="00A30291">
        <w:rPr>
          <w:rFonts w:ascii="Arial" w:hAnsi="Arial" w:cs="Arial"/>
          <w:sz w:val="24"/>
          <w:szCs w:val="24"/>
        </w:rPr>
        <w:t xml:space="preserve">the </w:t>
      </w:r>
      <w:r w:rsidR="001F0164" w:rsidRPr="00A30291">
        <w:rPr>
          <w:rFonts w:ascii="Arial" w:hAnsi="Arial" w:cs="Arial"/>
          <w:sz w:val="24"/>
          <w:szCs w:val="24"/>
        </w:rPr>
        <w:t>AD</w:t>
      </w:r>
      <w:r w:rsidRPr="00A30291">
        <w:rPr>
          <w:rFonts w:ascii="Arial" w:hAnsi="Arial" w:cs="Arial"/>
          <w:sz w:val="24"/>
          <w:szCs w:val="24"/>
        </w:rPr>
        <w:t xml:space="preserve"> factor and scores on the </w:t>
      </w:r>
      <w:r w:rsidRPr="00A30291">
        <w:rPr>
          <w:rFonts w:ascii="Arial" w:hAnsi="Arial" w:cs="Arial"/>
          <w:sz w:val="24"/>
          <w:szCs w:val="24"/>
          <w:lang w:eastAsia="en-GB"/>
        </w:rPr>
        <w:t>Difficulties in Emotion Regulation Scale (r = .7</w:t>
      </w:r>
      <w:r w:rsidR="006528A2" w:rsidRPr="00A30291">
        <w:rPr>
          <w:rFonts w:ascii="Arial" w:hAnsi="Arial" w:cs="Arial"/>
          <w:sz w:val="24"/>
          <w:szCs w:val="24"/>
          <w:lang w:eastAsia="en-GB"/>
        </w:rPr>
        <w:t>2</w:t>
      </w:r>
      <w:r w:rsidRPr="00A30291">
        <w:rPr>
          <w:rFonts w:ascii="Arial" w:hAnsi="Arial" w:cs="Arial"/>
          <w:sz w:val="24"/>
          <w:szCs w:val="24"/>
          <w:lang w:eastAsia="en-GB"/>
        </w:rPr>
        <w:t xml:space="preserve">), </w:t>
      </w:r>
      <w:r w:rsidR="00AD2A79" w:rsidRPr="00A30291">
        <w:rPr>
          <w:rFonts w:ascii="Arial" w:hAnsi="Arial" w:cs="Arial"/>
          <w:sz w:val="24"/>
          <w:szCs w:val="24"/>
          <w:lang w:eastAsia="en-GB"/>
        </w:rPr>
        <w:t xml:space="preserve">the </w:t>
      </w:r>
      <w:r w:rsidR="001F0164" w:rsidRPr="00A30291">
        <w:rPr>
          <w:rFonts w:ascii="Arial" w:hAnsi="Arial" w:cs="Arial"/>
          <w:sz w:val="24"/>
          <w:szCs w:val="24"/>
          <w:lang w:eastAsia="en-GB"/>
        </w:rPr>
        <w:t>NSC</w:t>
      </w:r>
      <w:r w:rsidRPr="00A30291">
        <w:rPr>
          <w:rFonts w:ascii="Arial" w:hAnsi="Arial" w:cs="Arial"/>
          <w:sz w:val="24"/>
          <w:szCs w:val="24"/>
          <w:lang w:eastAsia="en-GB"/>
        </w:rPr>
        <w:t xml:space="preserve"> </w:t>
      </w:r>
      <w:r w:rsidR="00AD2A79" w:rsidRPr="00A30291">
        <w:rPr>
          <w:rFonts w:ascii="Arial" w:hAnsi="Arial" w:cs="Arial"/>
          <w:sz w:val="24"/>
          <w:szCs w:val="24"/>
          <w:lang w:eastAsia="en-GB"/>
        </w:rPr>
        <w:t xml:space="preserve">factor </w:t>
      </w:r>
      <w:r w:rsidRPr="00A30291">
        <w:rPr>
          <w:rFonts w:ascii="Arial" w:hAnsi="Arial" w:cs="Arial"/>
          <w:sz w:val="24"/>
          <w:szCs w:val="24"/>
          <w:lang w:eastAsia="en-GB"/>
        </w:rPr>
        <w:t xml:space="preserve">and the Rosenberg Self-esteem Scale (r = -.81), and </w:t>
      </w:r>
      <w:r w:rsidR="00AD2A79" w:rsidRPr="00A30291">
        <w:rPr>
          <w:rFonts w:ascii="Arial" w:hAnsi="Arial" w:cs="Arial"/>
          <w:sz w:val="24"/>
          <w:szCs w:val="24"/>
          <w:lang w:eastAsia="en-GB"/>
        </w:rPr>
        <w:t xml:space="preserve">the </w:t>
      </w:r>
      <w:r w:rsidR="007520CD" w:rsidRPr="00A30291">
        <w:rPr>
          <w:rFonts w:ascii="Arial" w:hAnsi="Arial" w:cs="Arial"/>
          <w:sz w:val="24"/>
          <w:szCs w:val="24"/>
          <w:lang w:eastAsia="en-GB"/>
        </w:rPr>
        <w:t>DR</w:t>
      </w:r>
      <w:r w:rsidR="00AD2A79" w:rsidRPr="00A30291">
        <w:rPr>
          <w:rFonts w:ascii="Arial" w:hAnsi="Arial" w:cs="Arial"/>
          <w:sz w:val="24"/>
          <w:szCs w:val="24"/>
          <w:lang w:eastAsia="en-GB"/>
        </w:rPr>
        <w:t xml:space="preserve"> factor</w:t>
      </w:r>
      <w:r w:rsidRPr="00A30291">
        <w:rPr>
          <w:rFonts w:ascii="Arial" w:hAnsi="Arial" w:cs="Arial"/>
          <w:sz w:val="24"/>
          <w:szCs w:val="24"/>
          <w:lang w:eastAsia="en-GB"/>
        </w:rPr>
        <w:t xml:space="preserve"> and the Inventory of Interpersonal Problem</w:t>
      </w:r>
      <w:r w:rsidR="00AD2A79" w:rsidRPr="00A30291">
        <w:rPr>
          <w:rFonts w:ascii="Arial" w:hAnsi="Arial" w:cs="Arial"/>
          <w:sz w:val="24"/>
          <w:szCs w:val="24"/>
          <w:lang w:eastAsia="en-GB"/>
        </w:rPr>
        <w:t>s</w:t>
      </w:r>
      <w:r w:rsidRPr="00A30291">
        <w:rPr>
          <w:rFonts w:ascii="Arial" w:hAnsi="Arial" w:cs="Arial"/>
          <w:sz w:val="24"/>
          <w:szCs w:val="24"/>
          <w:lang w:eastAsia="en-GB"/>
        </w:rPr>
        <w:t xml:space="preserve"> (r = .70). </w:t>
      </w:r>
      <w:r w:rsidR="00F402B1" w:rsidRPr="00A30291">
        <w:rPr>
          <w:rFonts w:ascii="Arial" w:hAnsi="Arial" w:cs="Arial"/>
          <w:sz w:val="24"/>
          <w:szCs w:val="24"/>
          <w:lang w:eastAsia="en-GB"/>
        </w:rPr>
        <w:t>The</w:t>
      </w:r>
      <w:r w:rsidRPr="00A30291">
        <w:rPr>
          <w:rFonts w:ascii="Arial" w:hAnsi="Arial" w:cs="Arial"/>
          <w:sz w:val="24"/>
          <w:szCs w:val="24"/>
          <w:lang w:eastAsia="en-GB"/>
        </w:rPr>
        <w:t xml:space="preserve"> second-order PTSD</w:t>
      </w:r>
      <w:r w:rsidR="00F402B1" w:rsidRPr="00A30291">
        <w:rPr>
          <w:rFonts w:ascii="Arial" w:hAnsi="Arial" w:cs="Arial"/>
          <w:sz w:val="24"/>
          <w:szCs w:val="24"/>
          <w:lang w:eastAsia="en-GB"/>
        </w:rPr>
        <w:t xml:space="preserve"> factor was</w:t>
      </w:r>
      <w:r w:rsidRPr="00A30291">
        <w:rPr>
          <w:rFonts w:ascii="Arial" w:hAnsi="Arial" w:cs="Arial"/>
          <w:sz w:val="24"/>
          <w:szCs w:val="24"/>
          <w:lang w:eastAsia="en-GB"/>
        </w:rPr>
        <w:t xml:space="preserve"> positively correlated with the PCL</w:t>
      </w:r>
      <w:r w:rsidR="00230D1F" w:rsidRPr="00A30291">
        <w:rPr>
          <w:rFonts w:ascii="Arial" w:hAnsi="Arial" w:cs="Arial"/>
          <w:sz w:val="24"/>
          <w:szCs w:val="24"/>
          <w:lang w:eastAsia="en-GB"/>
        </w:rPr>
        <w:t>-5</w:t>
      </w:r>
      <w:r w:rsidRPr="00A30291">
        <w:rPr>
          <w:rFonts w:ascii="Arial" w:hAnsi="Arial" w:cs="Arial"/>
          <w:sz w:val="24"/>
          <w:szCs w:val="24"/>
          <w:lang w:eastAsia="en-GB"/>
        </w:rPr>
        <w:t xml:space="preserve"> subscales</w:t>
      </w:r>
      <w:r w:rsidR="00F402B1" w:rsidRPr="00A30291">
        <w:rPr>
          <w:rFonts w:ascii="Arial" w:hAnsi="Arial" w:cs="Arial"/>
          <w:sz w:val="24"/>
          <w:szCs w:val="24"/>
          <w:lang w:eastAsia="en-GB"/>
        </w:rPr>
        <w:t xml:space="preserve"> of</w:t>
      </w:r>
      <w:r w:rsidRPr="00A30291">
        <w:rPr>
          <w:rFonts w:ascii="Arial" w:hAnsi="Arial" w:cs="Arial"/>
          <w:sz w:val="24"/>
          <w:szCs w:val="24"/>
          <w:lang w:eastAsia="en-GB"/>
        </w:rPr>
        <w:t xml:space="preserve"> </w:t>
      </w:r>
      <w:r w:rsidR="00F402B1" w:rsidRPr="00A30291">
        <w:rPr>
          <w:rFonts w:ascii="Arial" w:hAnsi="Arial" w:cs="Arial"/>
          <w:sz w:val="24"/>
          <w:szCs w:val="24"/>
          <w:lang w:eastAsia="en-GB"/>
        </w:rPr>
        <w:t xml:space="preserve">I (r = .71), Av (r = .53), and Ar (r = </w:t>
      </w:r>
      <w:r w:rsidRPr="00A30291">
        <w:rPr>
          <w:rFonts w:ascii="Arial" w:hAnsi="Arial" w:cs="Arial"/>
          <w:sz w:val="24"/>
          <w:szCs w:val="24"/>
          <w:lang w:eastAsia="en-GB"/>
        </w:rPr>
        <w:t>.7</w:t>
      </w:r>
      <w:r w:rsidR="006528A2" w:rsidRPr="00A30291">
        <w:rPr>
          <w:rFonts w:ascii="Arial" w:hAnsi="Arial" w:cs="Arial"/>
          <w:sz w:val="24"/>
          <w:szCs w:val="24"/>
          <w:lang w:eastAsia="en-GB"/>
        </w:rPr>
        <w:t>4</w:t>
      </w:r>
      <w:r w:rsidRPr="00A30291">
        <w:rPr>
          <w:rFonts w:ascii="Arial" w:hAnsi="Arial" w:cs="Arial"/>
          <w:sz w:val="24"/>
          <w:szCs w:val="24"/>
          <w:lang w:eastAsia="en-GB"/>
        </w:rPr>
        <w:t>) and these correlations were higher than</w:t>
      </w:r>
      <w:r w:rsidR="00F402B1" w:rsidRPr="00A30291">
        <w:rPr>
          <w:rFonts w:ascii="Arial" w:hAnsi="Arial" w:cs="Arial"/>
          <w:sz w:val="24"/>
          <w:szCs w:val="24"/>
          <w:lang w:eastAsia="en-GB"/>
        </w:rPr>
        <w:t xml:space="preserve"> those observed</w:t>
      </w:r>
      <w:r w:rsidRPr="00A30291">
        <w:rPr>
          <w:rFonts w:ascii="Arial" w:hAnsi="Arial" w:cs="Arial"/>
          <w:sz w:val="24"/>
          <w:szCs w:val="24"/>
          <w:lang w:eastAsia="en-GB"/>
        </w:rPr>
        <w:t xml:space="preserve"> for the second-order </w:t>
      </w:r>
      <w:r w:rsidR="008D3830" w:rsidRPr="00A30291">
        <w:rPr>
          <w:rFonts w:ascii="Arial" w:hAnsi="Arial" w:cs="Arial"/>
          <w:sz w:val="24"/>
          <w:szCs w:val="24"/>
          <w:lang w:eastAsia="en-GB"/>
        </w:rPr>
        <w:t>DSO</w:t>
      </w:r>
      <w:r w:rsidRPr="00A30291">
        <w:rPr>
          <w:rFonts w:ascii="Arial" w:hAnsi="Arial" w:cs="Arial"/>
          <w:sz w:val="24"/>
          <w:szCs w:val="24"/>
          <w:lang w:eastAsia="en-GB"/>
        </w:rPr>
        <w:t xml:space="preserve"> factor. Likewise, the second-order </w:t>
      </w:r>
      <w:r w:rsidR="008D3830" w:rsidRPr="00A30291">
        <w:rPr>
          <w:rFonts w:ascii="Arial" w:hAnsi="Arial" w:cs="Arial"/>
          <w:sz w:val="24"/>
          <w:szCs w:val="24"/>
          <w:lang w:eastAsia="en-GB"/>
        </w:rPr>
        <w:t>DSO</w:t>
      </w:r>
      <w:r w:rsidRPr="00A30291">
        <w:rPr>
          <w:rFonts w:ascii="Arial" w:hAnsi="Arial" w:cs="Arial"/>
          <w:sz w:val="24"/>
          <w:szCs w:val="24"/>
          <w:lang w:eastAsia="en-GB"/>
        </w:rPr>
        <w:t xml:space="preserve"> factor scores were more highly correlated with scores from the</w:t>
      </w:r>
      <w:r w:rsidR="00F402B1" w:rsidRPr="00A30291">
        <w:rPr>
          <w:rFonts w:ascii="Arial" w:hAnsi="Arial" w:cs="Arial"/>
          <w:sz w:val="24"/>
          <w:szCs w:val="24"/>
          <w:lang w:eastAsia="en-GB"/>
        </w:rPr>
        <w:t xml:space="preserve"> NACM cluster of the PCL-5 (r = .74), the</w:t>
      </w:r>
      <w:r w:rsidRPr="00A30291">
        <w:rPr>
          <w:rFonts w:ascii="Arial" w:hAnsi="Arial" w:cs="Arial"/>
          <w:sz w:val="24"/>
          <w:szCs w:val="24"/>
          <w:lang w:eastAsia="en-GB"/>
        </w:rPr>
        <w:t xml:space="preserve"> Difficulties in Emotion Regulation Scale (r = .7</w:t>
      </w:r>
      <w:r w:rsidR="006528A2" w:rsidRPr="00A30291">
        <w:rPr>
          <w:rFonts w:ascii="Arial" w:hAnsi="Arial" w:cs="Arial"/>
          <w:sz w:val="24"/>
          <w:szCs w:val="24"/>
          <w:lang w:eastAsia="en-GB"/>
        </w:rPr>
        <w:t>1</w:t>
      </w:r>
      <w:r w:rsidRPr="00A30291">
        <w:rPr>
          <w:rFonts w:ascii="Arial" w:hAnsi="Arial" w:cs="Arial"/>
          <w:sz w:val="24"/>
          <w:szCs w:val="24"/>
          <w:lang w:eastAsia="en-GB"/>
        </w:rPr>
        <w:t>), the Rosenberg Self-esteem Scale (r = -.72), and the Inventory of Interpersonal Problem</w:t>
      </w:r>
      <w:r w:rsidR="00230D1F" w:rsidRPr="00A30291">
        <w:rPr>
          <w:rFonts w:ascii="Arial" w:hAnsi="Arial" w:cs="Arial"/>
          <w:sz w:val="24"/>
          <w:szCs w:val="24"/>
          <w:lang w:eastAsia="en-GB"/>
        </w:rPr>
        <w:t>s</w:t>
      </w:r>
      <w:r w:rsidRPr="00A30291">
        <w:rPr>
          <w:rFonts w:ascii="Arial" w:hAnsi="Arial" w:cs="Arial"/>
          <w:sz w:val="24"/>
          <w:szCs w:val="24"/>
          <w:lang w:eastAsia="en-GB"/>
        </w:rPr>
        <w:t xml:space="preserve"> (r = .7</w:t>
      </w:r>
      <w:r w:rsidR="006528A2" w:rsidRPr="00A30291">
        <w:rPr>
          <w:rFonts w:ascii="Arial" w:hAnsi="Arial" w:cs="Arial"/>
          <w:sz w:val="24"/>
          <w:szCs w:val="24"/>
          <w:lang w:eastAsia="en-GB"/>
        </w:rPr>
        <w:t>3</w:t>
      </w:r>
      <w:r w:rsidRPr="00A30291">
        <w:rPr>
          <w:rFonts w:ascii="Arial" w:hAnsi="Arial" w:cs="Arial"/>
          <w:sz w:val="24"/>
          <w:szCs w:val="24"/>
          <w:lang w:eastAsia="en-GB"/>
        </w:rPr>
        <w:t>) than w</w:t>
      </w:r>
      <w:r w:rsidR="00C1042A" w:rsidRPr="00A30291">
        <w:rPr>
          <w:rFonts w:ascii="Arial" w:hAnsi="Arial" w:cs="Arial"/>
          <w:sz w:val="24"/>
          <w:szCs w:val="24"/>
          <w:lang w:eastAsia="en-GB"/>
        </w:rPr>
        <w:t>ere</w:t>
      </w:r>
      <w:r w:rsidRPr="00A30291">
        <w:rPr>
          <w:rFonts w:ascii="Arial" w:hAnsi="Arial" w:cs="Arial"/>
          <w:sz w:val="24"/>
          <w:szCs w:val="24"/>
          <w:lang w:eastAsia="en-GB"/>
        </w:rPr>
        <w:t xml:space="preserve"> the second-order PTSD factor scores.</w:t>
      </w:r>
      <w:r w:rsidR="00BA35D2" w:rsidRPr="00A30291">
        <w:rPr>
          <w:rFonts w:ascii="Arial" w:hAnsi="Arial" w:cs="Arial"/>
          <w:sz w:val="24"/>
          <w:szCs w:val="24"/>
          <w:lang w:eastAsia="en-GB"/>
        </w:rPr>
        <w:t xml:space="preserve"> </w:t>
      </w:r>
    </w:p>
    <w:p w14:paraId="1E5C25E3" w14:textId="77777777" w:rsidR="009E6544" w:rsidRPr="00A30291" w:rsidRDefault="009E6544">
      <w:pPr>
        <w:rPr>
          <w:rStyle w:val="citation"/>
          <w:rFonts w:ascii="Arial" w:hAnsi="Arial" w:cs="Arial"/>
          <w:b/>
          <w:bCs/>
          <w:sz w:val="24"/>
          <w:szCs w:val="24"/>
        </w:rPr>
      </w:pPr>
      <w:r w:rsidRPr="00A30291">
        <w:rPr>
          <w:rStyle w:val="citation"/>
          <w:rFonts w:ascii="Arial" w:hAnsi="Arial" w:cs="Arial"/>
          <w:b/>
          <w:bCs/>
          <w:sz w:val="24"/>
          <w:szCs w:val="24"/>
        </w:rPr>
        <w:t>Discussion</w:t>
      </w:r>
    </w:p>
    <w:p w14:paraId="4309D973" w14:textId="4D31E96E" w:rsidR="00AD10FE" w:rsidRPr="00A30291" w:rsidRDefault="009E6544" w:rsidP="00C36EF3">
      <w:pPr>
        <w:spacing w:line="480" w:lineRule="auto"/>
        <w:ind w:firstLine="720"/>
        <w:rPr>
          <w:rFonts w:ascii="Arial" w:hAnsi="Arial" w:cs="Arial"/>
          <w:sz w:val="24"/>
          <w:szCs w:val="24"/>
        </w:rPr>
      </w:pPr>
      <w:r w:rsidRPr="00A30291">
        <w:rPr>
          <w:rFonts w:ascii="Arial" w:hAnsi="Arial" w:cs="Arial"/>
          <w:sz w:val="24"/>
          <w:szCs w:val="24"/>
        </w:rPr>
        <w:t xml:space="preserve">The primary aim of this study was to provide initial evidence regarding the </w:t>
      </w:r>
      <w:r w:rsidR="00532167" w:rsidRPr="00A30291">
        <w:rPr>
          <w:rFonts w:ascii="Arial" w:hAnsi="Arial" w:cs="Arial"/>
          <w:sz w:val="24"/>
          <w:szCs w:val="24"/>
        </w:rPr>
        <w:t>factor</w:t>
      </w:r>
      <w:r w:rsidR="003D51FE" w:rsidRPr="00A30291">
        <w:rPr>
          <w:rFonts w:ascii="Arial" w:hAnsi="Arial" w:cs="Arial"/>
          <w:sz w:val="24"/>
          <w:szCs w:val="24"/>
        </w:rPr>
        <w:t>ial</w:t>
      </w:r>
      <w:r w:rsidR="00532167" w:rsidRPr="00A30291">
        <w:rPr>
          <w:rFonts w:ascii="Arial" w:hAnsi="Arial" w:cs="Arial"/>
          <w:sz w:val="24"/>
          <w:szCs w:val="24"/>
        </w:rPr>
        <w:t xml:space="preserve"> structure</w:t>
      </w:r>
      <w:r w:rsidRPr="00A30291">
        <w:rPr>
          <w:rFonts w:ascii="Arial" w:hAnsi="Arial" w:cs="Arial"/>
          <w:sz w:val="24"/>
          <w:szCs w:val="24"/>
        </w:rPr>
        <w:t xml:space="preserve"> </w:t>
      </w:r>
      <w:r w:rsidR="001F0164" w:rsidRPr="00A30291">
        <w:rPr>
          <w:rFonts w:ascii="Arial" w:hAnsi="Arial" w:cs="Arial"/>
          <w:sz w:val="24"/>
          <w:szCs w:val="24"/>
        </w:rPr>
        <w:t xml:space="preserve">of </w:t>
      </w:r>
      <w:r w:rsidRPr="00A30291">
        <w:rPr>
          <w:rFonts w:ascii="Arial" w:hAnsi="Arial" w:cs="Arial"/>
          <w:sz w:val="24"/>
          <w:szCs w:val="24"/>
        </w:rPr>
        <w:t>the newly developed</w:t>
      </w:r>
      <w:r w:rsidR="00AD10FE" w:rsidRPr="00A30291">
        <w:rPr>
          <w:rFonts w:ascii="Arial" w:hAnsi="Arial" w:cs="Arial"/>
          <w:sz w:val="24"/>
          <w:szCs w:val="24"/>
        </w:rPr>
        <w:t>, and preliminary-stage</w:t>
      </w:r>
      <w:r w:rsidRPr="00A30291">
        <w:rPr>
          <w:rFonts w:ascii="Arial" w:hAnsi="Arial" w:cs="Arial"/>
          <w:sz w:val="24"/>
          <w:szCs w:val="24"/>
        </w:rPr>
        <w:t xml:space="preserve"> </w:t>
      </w:r>
      <w:r w:rsidR="00156D90" w:rsidRPr="00A30291">
        <w:rPr>
          <w:rFonts w:ascii="Arial" w:hAnsi="Arial" w:cs="Arial"/>
          <w:sz w:val="24"/>
          <w:szCs w:val="24"/>
        </w:rPr>
        <w:t>ICD-TQ</w:t>
      </w:r>
      <w:r w:rsidRPr="00A30291">
        <w:rPr>
          <w:rFonts w:ascii="Arial" w:hAnsi="Arial" w:cs="Arial"/>
          <w:sz w:val="24"/>
          <w:szCs w:val="24"/>
        </w:rPr>
        <w:t xml:space="preserve"> scale (Cloitre,</w:t>
      </w:r>
      <w:r w:rsidR="00897BED" w:rsidRPr="00A30291">
        <w:rPr>
          <w:rFonts w:ascii="Arial" w:hAnsi="Arial" w:cs="Arial"/>
          <w:sz w:val="24"/>
          <w:szCs w:val="24"/>
        </w:rPr>
        <w:t xml:space="preserve"> Roberts, Bisson, &amp; Brewin, </w:t>
      </w:r>
      <w:r w:rsidR="00AD10FE" w:rsidRPr="00A30291">
        <w:rPr>
          <w:rFonts w:ascii="Arial" w:hAnsi="Arial" w:cs="Arial"/>
          <w:sz w:val="24"/>
          <w:szCs w:val="24"/>
        </w:rPr>
        <w:t>under development</w:t>
      </w:r>
      <w:r w:rsidRPr="00A30291">
        <w:rPr>
          <w:rFonts w:ascii="Arial" w:hAnsi="Arial" w:cs="Arial"/>
          <w:sz w:val="24"/>
          <w:szCs w:val="24"/>
        </w:rPr>
        <w:t xml:space="preserve">). To test the </w:t>
      </w:r>
      <w:r w:rsidR="00897BED" w:rsidRPr="00A30291">
        <w:rPr>
          <w:rFonts w:ascii="Arial" w:hAnsi="Arial" w:cs="Arial"/>
          <w:sz w:val="24"/>
          <w:szCs w:val="24"/>
        </w:rPr>
        <w:t>factorial</w:t>
      </w:r>
      <w:r w:rsidRPr="00A30291">
        <w:rPr>
          <w:rFonts w:ascii="Arial" w:hAnsi="Arial" w:cs="Arial"/>
          <w:sz w:val="24"/>
          <w:szCs w:val="24"/>
        </w:rPr>
        <w:t xml:space="preserve"> validity of the new scale, a series of alternative factor analytic models were specified and tested</w:t>
      </w:r>
      <w:r w:rsidR="00AD10FE" w:rsidRPr="00A30291">
        <w:rPr>
          <w:rFonts w:ascii="Arial" w:hAnsi="Arial" w:cs="Arial"/>
          <w:sz w:val="24"/>
          <w:szCs w:val="24"/>
        </w:rPr>
        <w:t xml:space="preserve"> using a large pool of item indicators</w:t>
      </w:r>
      <w:r w:rsidRPr="00A30291">
        <w:rPr>
          <w:rFonts w:ascii="Arial" w:hAnsi="Arial" w:cs="Arial"/>
          <w:sz w:val="24"/>
          <w:szCs w:val="24"/>
        </w:rPr>
        <w:t xml:space="preserve">. In line with the ICD-11 proposals, it was predicted that a model </w:t>
      </w:r>
      <w:r w:rsidR="003D3C19" w:rsidRPr="00A30291">
        <w:rPr>
          <w:rFonts w:ascii="Arial" w:hAnsi="Arial" w:cs="Arial"/>
          <w:sz w:val="24"/>
          <w:szCs w:val="24"/>
        </w:rPr>
        <w:t xml:space="preserve">for CPTSD </w:t>
      </w:r>
      <w:r w:rsidRPr="00A30291">
        <w:rPr>
          <w:rFonts w:ascii="Arial" w:hAnsi="Arial" w:cs="Arial"/>
          <w:sz w:val="24"/>
          <w:szCs w:val="24"/>
        </w:rPr>
        <w:t>with two</w:t>
      </w:r>
      <w:r w:rsidR="00897BED" w:rsidRPr="00A30291">
        <w:rPr>
          <w:rFonts w:ascii="Arial" w:hAnsi="Arial" w:cs="Arial"/>
          <w:sz w:val="24"/>
          <w:szCs w:val="24"/>
        </w:rPr>
        <w:t xml:space="preserve"> second-order</w:t>
      </w:r>
      <w:r w:rsidRPr="00A30291">
        <w:rPr>
          <w:rFonts w:ascii="Arial" w:hAnsi="Arial" w:cs="Arial"/>
          <w:sz w:val="24"/>
          <w:szCs w:val="24"/>
        </w:rPr>
        <w:t xml:space="preserve"> factors representing PTSD and </w:t>
      </w:r>
      <w:r w:rsidR="008D3830" w:rsidRPr="00A30291">
        <w:rPr>
          <w:rFonts w:ascii="Arial" w:hAnsi="Arial" w:cs="Arial"/>
          <w:sz w:val="24"/>
          <w:szCs w:val="24"/>
        </w:rPr>
        <w:t xml:space="preserve">DSO </w:t>
      </w:r>
      <w:r w:rsidRPr="00A30291">
        <w:rPr>
          <w:rFonts w:ascii="Arial" w:hAnsi="Arial" w:cs="Arial"/>
          <w:sz w:val="24"/>
          <w:szCs w:val="24"/>
        </w:rPr>
        <w:t xml:space="preserve">would </w:t>
      </w:r>
      <w:r w:rsidR="00AD10FE" w:rsidRPr="00A30291">
        <w:rPr>
          <w:rFonts w:ascii="Arial" w:hAnsi="Arial" w:cs="Arial"/>
          <w:sz w:val="24"/>
          <w:szCs w:val="24"/>
        </w:rPr>
        <w:t>provide the best model fit results</w:t>
      </w:r>
      <w:r w:rsidRPr="00A30291">
        <w:rPr>
          <w:rFonts w:ascii="Arial" w:hAnsi="Arial" w:cs="Arial"/>
          <w:sz w:val="24"/>
          <w:szCs w:val="24"/>
        </w:rPr>
        <w:t xml:space="preserve">. This was </w:t>
      </w:r>
      <w:r w:rsidR="00AD10FE" w:rsidRPr="00A30291">
        <w:rPr>
          <w:rFonts w:ascii="Arial" w:hAnsi="Arial" w:cs="Arial"/>
          <w:sz w:val="24"/>
          <w:szCs w:val="24"/>
        </w:rPr>
        <w:t xml:space="preserve">partially </w:t>
      </w:r>
      <w:r w:rsidRPr="00A30291">
        <w:rPr>
          <w:rFonts w:ascii="Arial" w:hAnsi="Arial" w:cs="Arial"/>
          <w:sz w:val="24"/>
          <w:szCs w:val="24"/>
        </w:rPr>
        <w:t>supported as Model 4</w:t>
      </w:r>
      <w:r w:rsidR="00652E20" w:rsidRPr="00A30291">
        <w:rPr>
          <w:rFonts w:ascii="Arial" w:hAnsi="Arial" w:cs="Arial"/>
          <w:sz w:val="24"/>
          <w:szCs w:val="24"/>
        </w:rPr>
        <w:t>,</w:t>
      </w:r>
      <w:r w:rsidRPr="00A30291">
        <w:rPr>
          <w:rFonts w:ascii="Arial" w:hAnsi="Arial" w:cs="Arial"/>
          <w:sz w:val="24"/>
          <w:szCs w:val="24"/>
        </w:rPr>
        <w:t xml:space="preserve"> which specified two correlated second-order factors (PTSD and </w:t>
      </w:r>
      <w:r w:rsidR="008D3830" w:rsidRPr="00A30291">
        <w:rPr>
          <w:rFonts w:ascii="Arial" w:hAnsi="Arial" w:cs="Arial"/>
          <w:sz w:val="24"/>
          <w:szCs w:val="24"/>
        </w:rPr>
        <w:t>DSO</w:t>
      </w:r>
      <w:r w:rsidRPr="00A30291">
        <w:rPr>
          <w:rFonts w:ascii="Arial" w:hAnsi="Arial" w:cs="Arial"/>
          <w:sz w:val="24"/>
          <w:szCs w:val="24"/>
        </w:rPr>
        <w:t>)</w:t>
      </w:r>
      <w:r w:rsidR="001F0164" w:rsidRPr="00A30291">
        <w:rPr>
          <w:rFonts w:ascii="Arial" w:hAnsi="Arial" w:cs="Arial"/>
          <w:sz w:val="24"/>
          <w:szCs w:val="24"/>
        </w:rPr>
        <w:t xml:space="preserve"> </w:t>
      </w:r>
      <w:r w:rsidR="006A6F31" w:rsidRPr="00A30291">
        <w:rPr>
          <w:rFonts w:ascii="Arial" w:hAnsi="Arial" w:cs="Arial"/>
          <w:sz w:val="24"/>
          <w:szCs w:val="24"/>
        </w:rPr>
        <w:t xml:space="preserve">and </w:t>
      </w:r>
      <w:r w:rsidRPr="00A30291">
        <w:rPr>
          <w:rFonts w:ascii="Arial" w:hAnsi="Arial" w:cs="Arial"/>
          <w:sz w:val="24"/>
          <w:szCs w:val="24"/>
        </w:rPr>
        <w:t xml:space="preserve">was found </w:t>
      </w:r>
      <w:r w:rsidR="00652E20" w:rsidRPr="00A30291">
        <w:rPr>
          <w:rFonts w:ascii="Arial" w:hAnsi="Arial" w:cs="Arial"/>
          <w:sz w:val="24"/>
          <w:szCs w:val="24"/>
        </w:rPr>
        <w:t xml:space="preserve">to be </w:t>
      </w:r>
      <w:r w:rsidRPr="00A30291">
        <w:rPr>
          <w:rFonts w:ascii="Arial" w:hAnsi="Arial" w:cs="Arial"/>
          <w:sz w:val="24"/>
          <w:szCs w:val="24"/>
        </w:rPr>
        <w:t>the best fitting model</w:t>
      </w:r>
      <w:r w:rsidR="00AD10FE" w:rsidRPr="00A30291">
        <w:rPr>
          <w:rFonts w:ascii="Arial" w:hAnsi="Arial" w:cs="Arial"/>
          <w:sz w:val="24"/>
          <w:szCs w:val="24"/>
        </w:rPr>
        <w:t>, along with Model 2 which specified six correlated first-order factors</w:t>
      </w:r>
      <w:r w:rsidRPr="00A30291">
        <w:rPr>
          <w:rFonts w:ascii="Arial" w:hAnsi="Arial" w:cs="Arial"/>
          <w:sz w:val="24"/>
          <w:szCs w:val="24"/>
        </w:rPr>
        <w:t>.</w:t>
      </w:r>
      <w:r w:rsidR="00AD10FE" w:rsidRPr="00A30291">
        <w:rPr>
          <w:rFonts w:ascii="Arial" w:hAnsi="Arial" w:cs="Arial"/>
          <w:sz w:val="24"/>
          <w:szCs w:val="24"/>
        </w:rPr>
        <w:t xml:space="preserve"> Mod</w:t>
      </w:r>
      <w:r w:rsidR="00535119">
        <w:rPr>
          <w:rFonts w:ascii="Arial" w:hAnsi="Arial" w:cs="Arial"/>
          <w:sz w:val="24"/>
          <w:szCs w:val="24"/>
        </w:rPr>
        <w:t xml:space="preserve">el 4 was preferred </w:t>
      </w:r>
      <w:r w:rsidR="00AD10FE" w:rsidRPr="00A30291">
        <w:rPr>
          <w:rFonts w:ascii="Arial" w:hAnsi="Arial" w:cs="Arial"/>
          <w:sz w:val="24"/>
          <w:szCs w:val="24"/>
        </w:rPr>
        <w:t xml:space="preserve">given its theoretical consistency and </w:t>
      </w:r>
      <w:r w:rsidR="00535119">
        <w:rPr>
          <w:rFonts w:ascii="Arial" w:hAnsi="Arial" w:cs="Arial"/>
          <w:sz w:val="24"/>
          <w:szCs w:val="24"/>
        </w:rPr>
        <w:t>it was more parsimonious than Model 2.</w:t>
      </w:r>
      <w:r w:rsidR="00AD10FE" w:rsidRPr="00A30291">
        <w:rPr>
          <w:rFonts w:ascii="Arial" w:hAnsi="Arial" w:cs="Arial"/>
          <w:sz w:val="24"/>
          <w:szCs w:val="24"/>
        </w:rPr>
        <w:t xml:space="preserve"> </w:t>
      </w:r>
      <w:r w:rsidRPr="00A30291">
        <w:rPr>
          <w:rFonts w:ascii="Arial" w:hAnsi="Arial" w:cs="Arial"/>
          <w:sz w:val="24"/>
          <w:szCs w:val="24"/>
        </w:rPr>
        <w:t xml:space="preserve">Furthermore, the parameter estimates from </w:t>
      </w:r>
      <w:r w:rsidR="00AD10FE" w:rsidRPr="00A30291">
        <w:rPr>
          <w:rFonts w:ascii="Arial" w:hAnsi="Arial" w:cs="Arial"/>
          <w:sz w:val="24"/>
          <w:szCs w:val="24"/>
        </w:rPr>
        <w:t>Model 4</w:t>
      </w:r>
      <w:r w:rsidRPr="00A30291">
        <w:rPr>
          <w:rFonts w:ascii="Arial" w:hAnsi="Arial" w:cs="Arial"/>
          <w:sz w:val="24"/>
          <w:szCs w:val="24"/>
        </w:rPr>
        <w:t xml:space="preserve"> showed that all factor loadings were high, positive</w:t>
      </w:r>
      <w:r w:rsidR="00AD10FE" w:rsidRPr="00A30291">
        <w:rPr>
          <w:rFonts w:ascii="Arial" w:hAnsi="Arial" w:cs="Arial"/>
          <w:sz w:val="24"/>
          <w:szCs w:val="24"/>
        </w:rPr>
        <w:t>,</w:t>
      </w:r>
      <w:r w:rsidRPr="00A30291">
        <w:rPr>
          <w:rFonts w:ascii="Arial" w:hAnsi="Arial" w:cs="Arial"/>
          <w:sz w:val="24"/>
          <w:szCs w:val="24"/>
        </w:rPr>
        <w:t xml:space="preserve"> and statistically significant and the correlation between the second-order factors was .7</w:t>
      </w:r>
      <w:r w:rsidR="006528A2" w:rsidRPr="00A30291">
        <w:rPr>
          <w:rFonts w:ascii="Arial" w:hAnsi="Arial" w:cs="Arial"/>
          <w:sz w:val="24"/>
          <w:szCs w:val="24"/>
        </w:rPr>
        <w:t>5</w:t>
      </w:r>
      <w:r w:rsidRPr="00A30291">
        <w:rPr>
          <w:rFonts w:ascii="Arial" w:hAnsi="Arial" w:cs="Arial"/>
          <w:sz w:val="24"/>
          <w:szCs w:val="24"/>
        </w:rPr>
        <w:t xml:space="preserve"> which indicates an expecte</w:t>
      </w:r>
      <w:r w:rsidR="00AD10FE" w:rsidRPr="00A30291">
        <w:rPr>
          <w:rFonts w:ascii="Arial" w:hAnsi="Arial" w:cs="Arial"/>
          <w:sz w:val="24"/>
          <w:szCs w:val="24"/>
        </w:rPr>
        <w:t xml:space="preserve">d degree of conceptual overlap. </w:t>
      </w:r>
      <w:r w:rsidR="00C36EF3" w:rsidRPr="00A30291">
        <w:rPr>
          <w:rFonts w:ascii="Arial" w:hAnsi="Arial" w:cs="Arial"/>
          <w:sz w:val="24"/>
          <w:szCs w:val="24"/>
        </w:rPr>
        <w:t>Hyland et al. (2016) also found a high degree of similarity between</w:t>
      </w:r>
      <w:r w:rsidR="00C36EF3">
        <w:rPr>
          <w:rFonts w:ascii="Arial" w:hAnsi="Arial" w:cs="Arial"/>
          <w:sz w:val="24"/>
          <w:szCs w:val="24"/>
        </w:rPr>
        <w:t xml:space="preserve"> the fit of</w:t>
      </w:r>
      <w:r w:rsidR="00C36EF3" w:rsidRPr="00A30291">
        <w:rPr>
          <w:rFonts w:ascii="Arial" w:hAnsi="Arial" w:cs="Arial"/>
          <w:sz w:val="24"/>
          <w:szCs w:val="24"/>
        </w:rPr>
        <w:t xml:space="preserve"> </w:t>
      </w:r>
      <w:r w:rsidR="00C36EF3">
        <w:rPr>
          <w:rFonts w:ascii="Arial" w:hAnsi="Arial" w:cs="Arial"/>
          <w:sz w:val="24"/>
          <w:szCs w:val="24"/>
        </w:rPr>
        <w:t>first and second-order</w:t>
      </w:r>
      <w:r w:rsidR="00C36EF3" w:rsidRPr="00A30291">
        <w:rPr>
          <w:rFonts w:ascii="Arial" w:hAnsi="Arial" w:cs="Arial"/>
          <w:sz w:val="24"/>
          <w:szCs w:val="24"/>
        </w:rPr>
        <w:t xml:space="preserve"> models</w:t>
      </w:r>
      <w:r w:rsidR="00C36EF3">
        <w:rPr>
          <w:rFonts w:ascii="Arial" w:hAnsi="Arial" w:cs="Arial"/>
          <w:sz w:val="24"/>
          <w:szCs w:val="24"/>
        </w:rPr>
        <w:t>, using a smaller number of items that were not designed specifically to measure CPTSD</w:t>
      </w:r>
      <w:r w:rsidR="00C36EF3" w:rsidRPr="00A30291">
        <w:rPr>
          <w:rFonts w:ascii="Arial" w:hAnsi="Arial" w:cs="Arial"/>
          <w:sz w:val="24"/>
          <w:szCs w:val="24"/>
        </w:rPr>
        <w:t xml:space="preserve">, </w:t>
      </w:r>
      <w:r w:rsidR="00C36EF3">
        <w:rPr>
          <w:rFonts w:ascii="Arial" w:hAnsi="Arial" w:cs="Arial"/>
          <w:sz w:val="24"/>
          <w:szCs w:val="24"/>
        </w:rPr>
        <w:t>and the second-order model was again judged to be superior based on parsimony. The consistency of these findings suggests that the conceptualisation of the correlations among the PTSD and DSO factors as second-order factors is possible and useful but not necessary.</w:t>
      </w:r>
    </w:p>
    <w:p w14:paraId="50263CF2" w14:textId="47030338" w:rsidR="009E6544" w:rsidRPr="00A30291" w:rsidRDefault="00CA45DE" w:rsidP="00AD10FE">
      <w:pPr>
        <w:spacing w:line="480" w:lineRule="auto"/>
        <w:ind w:firstLine="720"/>
        <w:rPr>
          <w:rFonts w:ascii="Arial" w:hAnsi="Arial" w:cs="Arial"/>
          <w:sz w:val="24"/>
          <w:szCs w:val="24"/>
        </w:rPr>
      </w:pPr>
      <w:r w:rsidRPr="00A30291">
        <w:rPr>
          <w:rFonts w:ascii="Arial" w:hAnsi="Arial" w:cs="Arial"/>
          <w:sz w:val="24"/>
          <w:szCs w:val="24"/>
        </w:rPr>
        <w:t xml:space="preserve">The patterns of association between the PTSD and DSO first and second-order factors and their correlates provided support for the convergent and divergent validity of the ICD-TQ. Most notably the second-order DSO factor correlated more strongly with the measures of disturbed emotional regulation, negative self-esteem, and impaired relationship functioning than the second-order PTSD factor. </w:t>
      </w:r>
      <w:r w:rsidR="00AD10FE" w:rsidRPr="00A30291">
        <w:rPr>
          <w:rFonts w:ascii="Arial" w:hAnsi="Arial" w:cs="Arial"/>
          <w:sz w:val="24"/>
          <w:szCs w:val="24"/>
        </w:rPr>
        <w:t>A particularly interesting result was that the</w:t>
      </w:r>
      <w:r w:rsidRPr="00A30291">
        <w:rPr>
          <w:rFonts w:ascii="Arial" w:hAnsi="Arial" w:cs="Arial"/>
          <w:sz w:val="24"/>
          <w:szCs w:val="24"/>
        </w:rPr>
        <w:t xml:space="preserve"> DSO factor was more strongly correlated with the NACM symptom cluster from the DSM-5 model of PTSD than was the second-order PTSD factor.</w:t>
      </w:r>
      <w:r w:rsidR="00F974F9" w:rsidRPr="00A30291">
        <w:rPr>
          <w:rFonts w:ascii="Arial" w:hAnsi="Arial" w:cs="Arial"/>
          <w:sz w:val="24"/>
          <w:szCs w:val="24"/>
        </w:rPr>
        <w:t xml:space="preserve"> This finding</w:t>
      </w:r>
      <w:r w:rsidR="001927BE" w:rsidRPr="00A30291">
        <w:rPr>
          <w:rFonts w:ascii="Arial" w:hAnsi="Arial" w:cs="Arial"/>
          <w:sz w:val="24"/>
          <w:szCs w:val="24"/>
        </w:rPr>
        <w:t xml:space="preserve"> suggest that changes made to DSM-5, particularly with regards to the NACM cluster, mean that its symptom profile may be considered to reflect a complex psychological response to traumatic exposure. </w:t>
      </w:r>
      <w:r w:rsidR="00F974F9" w:rsidRPr="00A30291">
        <w:rPr>
          <w:rFonts w:ascii="Arial" w:hAnsi="Arial" w:cs="Arial"/>
          <w:sz w:val="24"/>
          <w:szCs w:val="24"/>
        </w:rPr>
        <w:t>In contrast</w:t>
      </w:r>
      <w:r w:rsidRPr="00A30291">
        <w:rPr>
          <w:rFonts w:ascii="Arial" w:hAnsi="Arial" w:cs="Arial"/>
          <w:sz w:val="24"/>
          <w:szCs w:val="24"/>
        </w:rPr>
        <w:t xml:space="preserve"> the second-order PTSD factor correlated more strongly with the intrusions, avoidance, and arousal clusters from the PCL-5 than did the DSO factor. </w:t>
      </w:r>
      <w:r w:rsidR="009E6544" w:rsidRPr="00A30291">
        <w:rPr>
          <w:rFonts w:ascii="Arial" w:hAnsi="Arial" w:cs="Arial"/>
          <w:sz w:val="24"/>
          <w:szCs w:val="24"/>
        </w:rPr>
        <w:t xml:space="preserve">Finally, the </w:t>
      </w:r>
      <w:r w:rsidR="001927BE" w:rsidRPr="00A30291">
        <w:rPr>
          <w:rFonts w:ascii="Arial" w:hAnsi="Arial" w:cs="Arial"/>
          <w:sz w:val="24"/>
          <w:szCs w:val="24"/>
        </w:rPr>
        <w:t xml:space="preserve">internal </w:t>
      </w:r>
      <w:r w:rsidR="009E6544" w:rsidRPr="00A30291">
        <w:rPr>
          <w:rFonts w:ascii="Arial" w:hAnsi="Arial" w:cs="Arial"/>
          <w:sz w:val="24"/>
          <w:szCs w:val="24"/>
        </w:rPr>
        <w:t xml:space="preserve">reliability of all the subscales was acceptable ranging from .72 to .95. Overall, </w:t>
      </w:r>
      <w:r w:rsidR="001927BE" w:rsidRPr="00A30291">
        <w:rPr>
          <w:rFonts w:ascii="Arial" w:hAnsi="Arial" w:cs="Arial"/>
          <w:sz w:val="24"/>
          <w:szCs w:val="24"/>
        </w:rPr>
        <w:t xml:space="preserve">current results suggest that this first iteration of the ICD-TQ with an expansive item set </w:t>
      </w:r>
      <w:r w:rsidR="001F0164" w:rsidRPr="00A30291">
        <w:rPr>
          <w:rFonts w:ascii="Arial" w:hAnsi="Arial" w:cs="Arial"/>
          <w:sz w:val="24"/>
          <w:szCs w:val="24"/>
        </w:rPr>
        <w:t xml:space="preserve">can adequately </w:t>
      </w:r>
      <w:r w:rsidR="001927BE" w:rsidRPr="00A30291">
        <w:rPr>
          <w:rFonts w:ascii="Arial" w:hAnsi="Arial" w:cs="Arial"/>
          <w:sz w:val="24"/>
          <w:szCs w:val="24"/>
        </w:rPr>
        <w:t>capture the structural features of PTSD and CPTSD, has satisfactory internal reliability, and possess good convergent and discriminant validity.</w:t>
      </w:r>
    </w:p>
    <w:p w14:paraId="49292F8D" w14:textId="1EEDB7BC" w:rsidR="001927BE" w:rsidRPr="00A30291" w:rsidRDefault="007004ED" w:rsidP="00AD10FE">
      <w:pPr>
        <w:spacing w:line="480" w:lineRule="auto"/>
        <w:ind w:firstLine="720"/>
        <w:rPr>
          <w:rFonts w:ascii="Arial" w:hAnsi="Arial" w:cs="Arial"/>
          <w:sz w:val="24"/>
          <w:szCs w:val="24"/>
        </w:rPr>
      </w:pPr>
      <w:r w:rsidRPr="00A30291">
        <w:rPr>
          <w:rFonts w:ascii="Arial" w:hAnsi="Arial" w:cs="Arial"/>
          <w:sz w:val="24"/>
          <w:szCs w:val="24"/>
        </w:rPr>
        <w:t>The ICD-TQ appears to be a promising self-report measure of the ICD-11 diagnoses of PTSD and CPTSD, however important developments for the ICD-TQ are required. Most notably, this involves a refinement of the current pool of symptoms that will ultimately reflect the final set of symptoms included within the published version of the ICD-11. The largest refinement will be associated with the AD symptom cluster as nine items were included in the initial version of the ICD-TQ. The large number of items reflected aspects of both hyper-activation and hypo-activation of emotional regulatory functions, as both forms of affective dysregulation are common following severe traumatic exposure (</w:t>
      </w:r>
      <w:r w:rsidR="001C2BA3" w:rsidRPr="00A30291">
        <w:rPr>
          <w:rFonts w:ascii="Arial" w:hAnsi="Arial" w:cs="Arial"/>
          <w:sz w:val="24"/>
          <w:szCs w:val="24"/>
        </w:rPr>
        <w:t>Dvir, Ford, Hill, &amp; Frazier, 2014). The challenge facing the ICD-11 working group for trauma-related disorders is to determine the specific items that will constitute this symptom cluster. It was noticeable in the results of the current study that the nine items included in the AD clusters demonstrated the weakest factor loadings of the six first-order factors. Only two items possessed factor loadings greater than .70, one item measuring hyper-activation (difficulty calming down) and one-item measuring hypo-activation (difficult feeling pleasure or joy). It is not suggested that these findings point to the most suitable items for inclusion in the ICD-11</w:t>
      </w:r>
      <w:r w:rsidR="002E7A00" w:rsidRPr="00A30291">
        <w:rPr>
          <w:rFonts w:ascii="Arial" w:hAnsi="Arial" w:cs="Arial"/>
          <w:sz w:val="24"/>
          <w:szCs w:val="24"/>
        </w:rPr>
        <w:t xml:space="preserve"> model of CPTSD. Such a conclusion would be misguided given the size and composition of the current clinical sample, however it does suggest that identification of two suitable items to capture the varied forms in which affective dysregulation can present following traumatic exposure may well be challenging. Such a decision therefore should be informed by significant theoretical consideration, and empirical data of extensive and varied nature. </w:t>
      </w:r>
    </w:p>
    <w:p w14:paraId="34440FE8" w14:textId="0B247FC6" w:rsidR="009E6544" w:rsidRPr="00A30291" w:rsidRDefault="009C7D65" w:rsidP="002E7A00">
      <w:pPr>
        <w:spacing w:line="480" w:lineRule="auto"/>
        <w:ind w:firstLine="720"/>
        <w:rPr>
          <w:rFonts w:ascii="Arial" w:hAnsi="Arial" w:cs="Arial"/>
          <w:sz w:val="24"/>
          <w:szCs w:val="24"/>
        </w:rPr>
      </w:pPr>
      <w:r w:rsidRPr="00A30291">
        <w:rPr>
          <w:rFonts w:ascii="Arial" w:hAnsi="Arial" w:cs="Arial"/>
          <w:sz w:val="24"/>
          <w:szCs w:val="24"/>
        </w:rPr>
        <w:t>F</w:t>
      </w:r>
      <w:r w:rsidR="009E6544" w:rsidRPr="00A30291">
        <w:rPr>
          <w:rFonts w:ascii="Arial" w:hAnsi="Arial" w:cs="Arial"/>
          <w:sz w:val="24"/>
          <w:szCs w:val="24"/>
        </w:rPr>
        <w:t xml:space="preserve">urther research is </w:t>
      </w:r>
      <w:r w:rsidRPr="00A30291">
        <w:rPr>
          <w:rFonts w:ascii="Arial" w:hAnsi="Arial" w:cs="Arial"/>
          <w:sz w:val="24"/>
          <w:szCs w:val="24"/>
        </w:rPr>
        <w:t xml:space="preserve">now </w:t>
      </w:r>
      <w:r w:rsidR="009E6544" w:rsidRPr="00A30291">
        <w:rPr>
          <w:rFonts w:ascii="Arial" w:hAnsi="Arial" w:cs="Arial"/>
          <w:sz w:val="24"/>
          <w:szCs w:val="24"/>
        </w:rPr>
        <w:t xml:space="preserve">required to replicate </w:t>
      </w:r>
      <w:r w:rsidR="002E7A00" w:rsidRPr="00A30291">
        <w:rPr>
          <w:rFonts w:ascii="Arial" w:hAnsi="Arial" w:cs="Arial"/>
          <w:sz w:val="24"/>
          <w:szCs w:val="24"/>
        </w:rPr>
        <w:t xml:space="preserve">and extend </w:t>
      </w:r>
      <w:r w:rsidR="009E6544" w:rsidRPr="00A30291">
        <w:rPr>
          <w:rFonts w:ascii="Arial" w:hAnsi="Arial" w:cs="Arial"/>
          <w:sz w:val="24"/>
          <w:szCs w:val="24"/>
        </w:rPr>
        <w:t xml:space="preserve">our findings. Our sample consisted predominantly </w:t>
      </w:r>
      <w:r w:rsidRPr="00A30291">
        <w:rPr>
          <w:rFonts w:ascii="Arial" w:hAnsi="Arial" w:cs="Arial"/>
          <w:sz w:val="24"/>
          <w:szCs w:val="24"/>
        </w:rPr>
        <w:t>o</w:t>
      </w:r>
      <w:r w:rsidR="009E6544" w:rsidRPr="00A30291">
        <w:rPr>
          <w:rFonts w:ascii="Arial" w:hAnsi="Arial" w:cs="Arial"/>
          <w:sz w:val="24"/>
          <w:szCs w:val="24"/>
        </w:rPr>
        <w:t xml:space="preserve">f people who had experienced childhood psychological trauma or </w:t>
      </w:r>
      <w:r w:rsidRPr="00A30291">
        <w:rPr>
          <w:rFonts w:ascii="Arial" w:hAnsi="Arial" w:cs="Arial"/>
          <w:sz w:val="24"/>
          <w:szCs w:val="24"/>
        </w:rPr>
        <w:t>been</w:t>
      </w:r>
      <w:r w:rsidR="009E6544" w:rsidRPr="00A30291">
        <w:rPr>
          <w:rFonts w:ascii="Arial" w:hAnsi="Arial" w:cs="Arial"/>
          <w:sz w:val="24"/>
          <w:szCs w:val="24"/>
        </w:rPr>
        <w:t xml:space="preserve"> multiply traumatised in childhood and adulthood. There is evidence to suggest that childhood and multiple traumatisation </w:t>
      </w:r>
      <w:r w:rsidR="00D95B74" w:rsidRPr="00A30291">
        <w:rPr>
          <w:rFonts w:ascii="Arial" w:hAnsi="Arial" w:cs="Arial"/>
          <w:sz w:val="24"/>
          <w:szCs w:val="24"/>
        </w:rPr>
        <w:t>are</w:t>
      </w:r>
      <w:r w:rsidR="009E6544" w:rsidRPr="00A30291">
        <w:rPr>
          <w:rFonts w:ascii="Arial" w:hAnsi="Arial" w:cs="Arial"/>
          <w:sz w:val="24"/>
          <w:szCs w:val="24"/>
        </w:rPr>
        <w:t xml:space="preserve"> most likely associated with CPTSD (</w:t>
      </w:r>
      <w:r w:rsidR="009E6544" w:rsidRPr="00A30291">
        <w:rPr>
          <w:rFonts w:ascii="Arial" w:hAnsi="Arial" w:cs="Arial"/>
          <w:sz w:val="24"/>
          <w:szCs w:val="24"/>
          <w:lang w:val="en-US"/>
        </w:rPr>
        <w:t>Cloitre</w:t>
      </w:r>
      <w:r w:rsidR="002E7A00" w:rsidRPr="00A30291">
        <w:rPr>
          <w:rFonts w:ascii="Arial" w:hAnsi="Arial" w:cs="Arial"/>
          <w:sz w:val="24"/>
          <w:szCs w:val="24"/>
          <w:lang w:val="en-US"/>
        </w:rPr>
        <w:t xml:space="preserve"> et al.,</w:t>
      </w:r>
      <w:r w:rsidR="009E6544" w:rsidRPr="00A30291">
        <w:rPr>
          <w:rFonts w:ascii="Arial" w:hAnsi="Arial" w:cs="Arial"/>
          <w:sz w:val="24"/>
          <w:szCs w:val="24"/>
          <w:lang w:val="en-US"/>
        </w:rPr>
        <w:t xml:space="preserve"> </w:t>
      </w:r>
      <w:hyperlink r:id="rId14" w:anchor="CIT0009_27344" w:history="1">
        <w:r w:rsidR="009E6544" w:rsidRPr="00A30291">
          <w:rPr>
            <w:rStyle w:val="Hyperlink"/>
            <w:rFonts w:ascii="Arial" w:hAnsi="Arial" w:cs="Arial"/>
            <w:color w:val="auto"/>
            <w:sz w:val="24"/>
            <w:szCs w:val="24"/>
            <w:u w:val="none"/>
            <w:lang w:val="en-US"/>
          </w:rPr>
          <w:t>2013</w:t>
        </w:r>
      </w:hyperlink>
      <w:r w:rsidR="009E6544" w:rsidRPr="00A30291">
        <w:rPr>
          <w:rStyle w:val="Hyperlink"/>
          <w:rFonts w:ascii="Arial" w:hAnsi="Arial" w:cs="Arial"/>
          <w:color w:val="auto"/>
          <w:sz w:val="24"/>
          <w:szCs w:val="24"/>
          <w:u w:val="none"/>
          <w:lang w:val="en-US"/>
        </w:rPr>
        <w:t>). Discriminant validity in distinguishing PTSD and CPTSD as per ICD-11 proposals was acceptable in the present study</w:t>
      </w:r>
      <w:r w:rsidR="002E7A00" w:rsidRPr="00A30291">
        <w:rPr>
          <w:rStyle w:val="Hyperlink"/>
          <w:rFonts w:ascii="Arial" w:hAnsi="Arial" w:cs="Arial"/>
          <w:color w:val="auto"/>
          <w:sz w:val="24"/>
          <w:szCs w:val="24"/>
          <w:u w:val="none"/>
          <w:lang w:val="en-US"/>
        </w:rPr>
        <w:t xml:space="preserve"> n</w:t>
      </w:r>
      <w:r w:rsidR="009E6544" w:rsidRPr="00A30291">
        <w:rPr>
          <w:rStyle w:val="Hyperlink"/>
          <w:rFonts w:ascii="Arial" w:hAnsi="Arial" w:cs="Arial"/>
          <w:color w:val="auto"/>
          <w:sz w:val="24"/>
          <w:szCs w:val="24"/>
          <w:u w:val="none"/>
          <w:lang w:val="en-US"/>
        </w:rPr>
        <w:t xml:space="preserve">evertheless the present study </w:t>
      </w:r>
      <w:r w:rsidRPr="00A30291">
        <w:rPr>
          <w:rStyle w:val="Hyperlink"/>
          <w:rFonts w:ascii="Arial" w:hAnsi="Arial" w:cs="Arial"/>
          <w:color w:val="auto"/>
          <w:sz w:val="24"/>
          <w:szCs w:val="24"/>
          <w:u w:val="none"/>
          <w:lang w:val="en-US"/>
        </w:rPr>
        <w:t>did</w:t>
      </w:r>
      <w:r w:rsidR="009E6544" w:rsidRPr="00A30291">
        <w:rPr>
          <w:rStyle w:val="Hyperlink"/>
          <w:rFonts w:ascii="Arial" w:hAnsi="Arial" w:cs="Arial"/>
          <w:color w:val="auto"/>
          <w:sz w:val="24"/>
          <w:szCs w:val="24"/>
          <w:u w:val="none"/>
          <w:lang w:val="en-US"/>
        </w:rPr>
        <w:t xml:space="preserve"> not consider </w:t>
      </w:r>
      <w:r w:rsidR="009E6544" w:rsidRPr="00A30291">
        <w:rPr>
          <w:rFonts w:ascii="Arial" w:hAnsi="Arial" w:cs="Arial"/>
          <w:sz w:val="24"/>
          <w:szCs w:val="24"/>
        </w:rPr>
        <w:t>comorbidities such as depression, anxiety</w:t>
      </w:r>
      <w:r w:rsidR="00897BED" w:rsidRPr="00A30291">
        <w:rPr>
          <w:rFonts w:ascii="Arial" w:hAnsi="Arial" w:cs="Arial"/>
          <w:sz w:val="24"/>
          <w:szCs w:val="24"/>
        </w:rPr>
        <w:t>,</w:t>
      </w:r>
      <w:r w:rsidR="009E6544" w:rsidRPr="00A30291">
        <w:rPr>
          <w:rFonts w:ascii="Arial" w:hAnsi="Arial" w:cs="Arial"/>
          <w:sz w:val="24"/>
          <w:szCs w:val="24"/>
        </w:rPr>
        <w:t xml:space="preserve"> or substance use</w:t>
      </w:r>
      <w:r w:rsidRPr="00A30291">
        <w:rPr>
          <w:rFonts w:ascii="Arial" w:hAnsi="Arial" w:cs="Arial"/>
          <w:sz w:val="24"/>
          <w:szCs w:val="24"/>
        </w:rPr>
        <w:t>,</w:t>
      </w:r>
      <w:r w:rsidR="009E6544" w:rsidRPr="00A30291">
        <w:rPr>
          <w:rFonts w:ascii="Arial" w:hAnsi="Arial" w:cs="Arial"/>
          <w:sz w:val="24"/>
          <w:szCs w:val="24"/>
        </w:rPr>
        <w:t xml:space="preserve"> leaving the possibility of unrecognized comorbidity affecting the results. </w:t>
      </w:r>
      <w:r w:rsidRPr="00A30291">
        <w:rPr>
          <w:rFonts w:ascii="Arial" w:hAnsi="Arial" w:cs="Arial"/>
          <w:sz w:val="24"/>
          <w:szCs w:val="24"/>
        </w:rPr>
        <w:t>I</w:t>
      </w:r>
      <w:r w:rsidR="009E6544" w:rsidRPr="00A30291">
        <w:rPr>
          <w:rFonts w:ascii="Arial" w:hAnsi="Arial" w:cs="Arial"/>
          <w:sz w:val="24"/>
          <w:szCs w:val="24"/>
        </w:rPr>
        <w:t xml:space="preserve">t </w:t>
      </w:r>
      <w:r w:rsidRPr="00A30291">
        <w:rPr>
          <w:rFonts w:ascii="Arial" w:hAnsi="Arial" w:cs="Arial"/>
          <w:sz w:val="24"/>
          <w:szCs w:val="24"/>
        </w:rPr>
        <w:t>will be important</w:t>
      </w:r>
      <w:r w:rsidR="009E6544" w:rsidRPr="00A30291">
        <w:rPr>
          <w:rFonts w:ascii="Arial" w:hAnsi="Arial" w:cs="Arial"/>
          <w:sz w:val="24"/>
          <w:szCs w:val="24"/>
        </w:rPr>
        <w:t xml:space="preserve"> to explore whether </w:t>
      </w:r>
      <w:r w:rsidRPr="00A30291">
        <w:rPr>
          <w:rFonts w:ascii="Arial" w:hAnsi="Arial" w:cs="Arial"/>
          <w:sz w:val="24"/>
          <w:szCs w:val="24"/>
        </w:rPr>
        <w:t xml:space="preserve">the </w:t>
      </w:r>
      <w:r w:rsidR="00156D90" w:rsidRPr="00A30291">
        <w:rPr>
          <w:rFonts w:ascii="Arial" w:hAnsi="Arial" w:cs="Arial"/>
          <w:sz w:val="24"/>
          <w:szCs w:val="24"/>
        </w:rPr>
        <w:t>ICD-TQ</w:t>
      </w:r>
      <w:r w:rsidR="009E6544" w:rsidRPr="00A30291">
        <w:rPr>
          <w:rFonts w:ascii="Arial" w:hAnsi="Arial" w:cs="Arial"/>
          <w:sz w:val="24"/>
          <w:szCs w:val="24"/>
        </w:rPr>
        <w:t xml:space="preserve"> can distinguish between PTSD or CPTSD and different conditions which are common</w:t>
      </w:r>
      <w:r w:rsidR="00D95B74" w:rsidRPr="00A30291">
        <w:rPr>
          <w:rFonts w:ascii="Arial" w:hAnsi="Arial" w:cs="Arial"/>
          <w:sz w:val="24"/>
          <w:szCs w:val="24"/>
        </w:rPr>
        <w:t>ly</w:t>
      </w:r>
      <w:r w:rsidR="009E6544" w:rsidRPr="00A30291">
        <w:rPr>
          <w:rFonts w:ascii="Arial" w:hAnsi="Arial" w:cs="Arial"/>
          <w:sz w:val="24"/>
          <w:szCs w:val="24"/>
        </w:rPr>
        <w:t xml:space="preserve"> co-morbid </w:t>
      </w:r>
      <w:r w:rsidR="00D95B74" w:rsidRPr="00A30291">
        <w:rPr>
          <w:rFonts w:ascii="Arial" w:hAnsi="Arial" w:cs="Arial"/>
          <w:sz w:val="24"/>
          <w:szCs w:val="24"/>
        </w:rPr>
        <w:t>with PTSD and likely to occur</w:t>
      </w:r>
      <w:r w:rsidR="009E6544" w:rsidRPr="00A30291">
        <w:rPr>
          <w:rFonts w:ascii="Arial" w:hAnsi="Arial" w:cs="Arial"/>
          <w:sz w:val="24"/>
          <w:szCs w:val="24"/>
        </w:rPr>
        <w:t xml:space="preserve"> </w:t>
      </w:r>
      <w:r w:rsidR="00D95B74" w:rsidRPr="00A30291">
        <w:rPr>
          <w:rFonts w:ascii="Arial" w:hAnsi="Arial" w:cs="Arial"/>
          <w:sz w:val="24"/>
          <w:szCs w:val="24"/>
        </w:rPr>
        <w:t xml:space="preserve">independently </w:t>
      </w:r>
      <w:r w:rsidR="009E6544" w:rsidRPr="00A30291">
        <w:rPr>
          <w:rFonts w:ascii="Arial" w:hAnsi="Arial" w:cs="Arial"/>
          <w:sz w:val="24"/>
          <w:szCs w:val="24"/>
        </w:rPr>
        <w:t xml:space="preserve">following exposure to traumatic events (e.g. O’Donnell, Creamer, &amp; Pattison, 2004). </w:t>
      </w:r>
      <w:r w:rsidR="009E6544" w:rsidRPr="00A30291">
        <w:rPr>
          <w:rStyle w:val="Hyperlink"/>
          <w:rFonts w:ascii="Arial" w:hAnsi="Arial" w:cs="Arial"/>
          <w:color w:val="auto"/>
          <w:sz w:val="24"/>
          <w:szCs w:val="24"/>
          <w:u w:val="none"/>
          <w:lang w:val="en-US"/>
        </w:rPr>
        <w:t>Reliability coefficients of the new scale were acceptable but test-retest reliability should also be investigated in future research using both</w:t>
      </w:r>
      <w:r w:rsidR="009E6544" w:rsidRPr="00A30291">
        <w:rPr>
          <w:rFonts w:ascii="Arial" w:hAnsi="Arial" w:cs="Arial"/>
          <w:sz w:val="24"/>
          <w:szCs w:val="24"/>
        </w:rPr>
        <w:t xml:space="preserve"> correlation coefficients and mean change scores</w:t>
      </w:r>
      <w:r w:rsidR="009E6544" w:rsidRPr="00A30291">
        <w:rPr>
          <w:rStyle w:val="Hyperlink"/>
          <w:rFonts w:ascii="Arial" w:hAnsi="Arial" w:cs="Arial"/>
          <w:color w:val="auto"/>
          <w:sz w:val="24"/>
          <w:szCs w:val="24"/>
          <w:u w:val="none"/>
          <w:lang w:val="en-US"/>
        </w:rPr>
        <w:t xml:space="preserve">. Future research should also explore sensitivity in detecting change over time. This is essential to be able to use the scale in treatment outcome studies as well as epidemiological studies aiming to explore the prevalence of ICD-11 PTSD and CPTSD in the general and trauma specific populations. Finally, </w:t>
      </w:r>
      <w:r w:rsidR="009E6544" w:rsidRPr="00A30291">
        <w:rPr>
          <w:rFonts w:ascii="Arial" w:hAnsi="Arial" w:cs="Arial"/>
          <w:sz w:val="24"/>
          <w:szCs w:val="24"/>
        </w:rPr>
        <w:t xml:space="preserve">cut-offs for different trauma populations should be explored as well as the sensitivity of the new scale </w:t>
      </w:r>
      <w:r w:rsidRPr="00A30291">
        <w:rPr>
          <w:rFonts w:ascii="Arial" w:hAnsi="Arial" w:cs="Arial"/>
          <w:sz w:val="24"/>
          <w:szCs w:val="24"/>
        </w:rPr>
        <w:t xml:space="preserve">in </w:t>
      </w:r>
      <w:r w:rsidR="009E6544" w:rsidRPr="00A30291">
        <w:rPr>
          <w:rFonts w:ascii="Arial" w:hAnsi="Arial" w:cs="Arial"/>
          <w:sz w:val="24"/>
          <w:szCs w:val="24"/>
        </w:rPr>
        <w:t xml:space="preserve">detecting PTSD and CPTSD across different populations. </w:t>
      </w:r>
    </w:p>
    <w:p w14:paraId="24C4D30F" w14:textId="7CABBC65" w:rsidR="0052762A" w:rsidRPr="00A30291" w:rsidRDefault="009E6544" w:rsidP="003C4D84">
      <w:pPr>
        <w:spacing w:line="480" w:lineRule="auto"/>
        <w:ind w:firstLine="720"/>
        <w:rPr>
          <w:rFonts w:ascii="Arial" w:hAnsi="Arial" w:cs="Arial"/>
          <w:sz w:val="24"/>
          <w:szCs w:val="24"/>
        </w:rPr>
      </w:pPr>
      <w:r w:rsidRPr="00A30291">
        <w:rPr>
          <w:rFonts w:ascii="Arial" w:hAnsi="Arial" w:cs="Arial"/>
          <w:sz w:val="24"/>
          <w:szCs w:val="24"/>
        </w:rPr>
        <w:t xml:space="preserve">Notwithstanding </w:t>
      </w:r>
      <w:r w:rsidR="009C7D65" w:rsidRPr="00A30291">
        <w:rPr>
          <w:rFonts w:ascii="Arial" w:hAnsi="Arial" w:cs="Arial"/>
          <w:sz w:val="24"/>
          <w:szCs w:val="24"/>
        </w:rPr>
        <w:t>the issues described above</w:t>
      </w:r>
      <w:r w:rsidRPr="00A30291">
        <w:rPr>
          <w:rFonts w:ascii="Arial" w:hAnsi="Arial" w:cs="Arial"/>
          <w:sz w:val="24"/>
          <w:szCs w:val="24"/>
        </w:rPr>
        <w:t xml:space="preserve">, </w:t>
      </w:r>
      <w:r w:rsidR="009C7D65" w:rsidRPr="00A30291">
        <w:rPr>
          <w:rFonts w:ascii="Arial" w:hAnsi="Arial" w:cs="Arial"/>
          <w:sz w:val="24"/>
          <w:szCs w:val="24"/>
        </w:rPr>
        <w:t xml:space="preserve">these </w:t>
      </w:r>
      <w:r w:rsidRPr="00A30291">
        <w:rPr>
          <w:rFonts w:ascii="Arial" w:hAnsi="Arial" w:cs="Arial"/>
          <w:sz w:val="24"/>
          <w:szCs w:val="24"/>
        </w:rPr>
        <w:t>preliminary findings suggest that</w:t>
      </w:r>
      <w:r w:rsidR="009C7D65" w:rsidRPr="00A30291">
        <w:rPr>
          <w:rFonts w:ascii="Arial" w:hAnsi="Arial" w:cs="Arial"/>
          <w:sz w:val="24"/>
          <w:szCs w:val="24"/>
        </w:rPr>
        <w:t xml:space="preserve"> the</w:t>
      </w:r>
      <w:r w:rsidRPr="00A30291">
        <w:rPr>
          <w:rFonts w:ascii="Arial" w:hAnsi="Arial" w:cs="Arial"/>
          <w:sz w:val="24"/>
          <w:szCs w:val="24"/>
        </w:rPr>
        <w:t xml:space="preserve"> </w:t>
      </w:r>
      <w:r w:rsidR="00156D90" w:rsidRPr="00A30291">
        <w:rPr>
          <w:rFonts w:ascii="Arial" w:hAnsi="Arial" w:cs="Arial"/>
          <w:sz w:val="24"/>
          <w:szCs w:val="24"/>
        </w:rPr>
        <w:t>ICD-TQ</w:t>
      </w:r>
      <w:r w:rsidRPr="00A30291">
        <w:rPr>
          <w:rFonts w:ascii="Arial" w:hAnsi="Arial" w:cs="Arial"/>
          <w:sz w:val="24"/>
          <w:szCs w:val="24"/>
        </w:rPr>
        <w:t xml:space="preserve"> </w:t>
      </w:r>
      <w:r w:rsidR="00F7710D" w:rsidRPr="00A30291">
        <w:rPr>
          <w:rFonts w:ascii="Arial" w:hAnsi="Arial" w:cs="Arial"/>
          <w:sz w:val="24"/>
          <w:szCs w:val="24"/>
        </w:rPr>
        <w:t xml:space="preserve">can adequately </w:t>
      </w:r>
      <w:r w:rsidR="002E7A00" w:rsidRPr="00A30291">
        <w:rPr>
          <w:rFonts w:ascii="Arial" w:hAnsi="Arial" w:cs="Arial"/>
          <w:sz w:val="24"/>
          <w:szCs w:val="24"/>
        </w:rPr>
        <w:t>capture</w:t>
      </w:r>
      <w:r w:rsidRPr="00A30291">
        <w:rPr>
          <w:rFonts w:ascii="Arial" w:hAnsi="Arial" w:cs="Arial"/>
          <w:sz w:val="24"/>
          <w:szCs w:val="24"/>
        </w:rPr>
        <w:t xml:space="preserve"> PTSD and CPTSD as per </w:t>
      </w:r>
      <w:r w:rsidR="009C7D65" w:rsidRPr="00A30291">
        <w:rPr>
          <w:rFonts w:ascii="Arial" w:hAnsi="Arial" w:cs="Arial"/>
          <w:sz w:val="24"/>
          <w:szCs w:val="24"/>
        </w:rPr>
        <w:t xml:space="preserve">the </w:t>
      </w:r>
      <w:r w:rsidRPr="00A30291">
        <w:rPr>
          <w:rFonts w:ascii="Arial" w:hAnsi="Arial" w:cs="Arial"/>
          <w:sz w:val="24"/>
          <w:szCs w:val="24"/>
        </w:rPr>
        <w:t>ICD-11 proposals</w:t>
      </w:r>
      <w:r w:rsidR="009C7D65" w:rsidRPr="00A30291">
        <w:rPr>
          <w:rFonts w:ascii="Arial" w:hAnsi="Arial" w:cs="Arial"/>
          <w:sz w:val="24"/>
          <w:szCs w:val="24"/>
        </w:rPr>
        <w:t>, and has the potential to be a useful clinical and research measure</w:t>
      </w:r>
      <w:r w:rsidRPr="00A30291">
        <w:rPr>
          <w:rFonts w:ascii="Arial" w:hAnsi="Arial" w:cs="Arial"/>
          <w:sz w:val="24"/>
          <w:szCs w:val="24"/>
        </w:rPr>
        <w:t>.</w:t>
      </w:r>
      <w:r w:rsidR="00F7710D" w:rsidRPr="00A30291">
        <w:rPr>
          <w:rFonts w:ascii="Arial" w:hAnsi="Arial" w:cs="Arial"/>
          <w:sz w:val="24"/>
          <w:szCs w:val="24"/>
        </w:rPr>
        <w:t xml:space="preserve"> Validation of an appropriate measure for the assessment of CPTSD is essential also considering that the new CPTSD disorder may require alternative clinical interventions other than the available evidence-based methods of treating PTSD (Ford, 2015). </w:t>
      </w:r>
      <w:r w:rsidR="00E955E0" w:rsidRPr="00A30291">
        <w:rPr>
          <w:rFonts w:ascii="Arial" w:hAnsi="Arial" w:cs="Arial"/>
          <w:sz w:val="24"/>
          <w:szCs w:val="24"/>
        </w:rPr>
        <w:t xml:space="preserve">Although </w:t>
      </w:r>
      <w:r w:rsidR="003D3C19" w:rsidRPr="00A30291">
        <w:rPr>
          <w:rFonts w:ascii="Arial" w:hAnsi="Arial" w:cs="Arial"/>
          <w:sz w:val="24"/>
          <w:szCs w:val="24"/>
        </w:rPr>
        <w:t xml:space="preserve">research is </w:t>
      </w:r>
      <w:r w:rsidR="00E955E0" w:rsidRPr="00A30291">
        <w:rPr>
          <w:rFonts w:ascii="Arial" w:hAnsi="Arial" w:cs="Arial"/>
          <w:sz w:val="24"/>
          <w:szCs w:val="24"/>
        </w:rPr>
        <w:t xml:space="preserve">required on the treatment of CPTSD, </w:t>
      </w:r>
      <w:r w:rsidR="003D3C19" w:rsidRPr="00A30291">
        <w:rPr>
          <w:rFonts w:ascii="Arial" w:hAnsi="Arial" w:cs="Arial"/>
          <w:sz w:val="24"/>
          <w:szCs w:val="24"/>
        </w:rPr>
        <w:t xml:space="preserve">the presence of a greater number and greater diversity of symptoms, along with greater functional impairment would suggest that </w:t>
      </w:r>
      <w:r w:rsidR="003D3C19" w:rsidRPr="00A30291">
        <w:rPr>
          <w:rFonts w:ascii="Arial" w:hAnsi="Arial" w:cs="Arial"/>
          <w:sz w:val="24"/>
          <w:szCs w:val="24"/>
          <w:lang w:val="en-US"/>
        </w:rPr>
        <w:t xml:space="preserve">relative to exposure alone treatments, the addition of treatment modules </w:t>
      </w:r>
      <w:r w:rsidR="0039403C" w:rsidRPr="00A30291">
        <w:rPr>
          <w:rFonts w:ascii="Arial" w:hAnsi="Arial" w:cs="Arial"/>
          <w:sz w:val="24"/>
          <w:szCs w:val="24"/>
          <w:lang w:val="en-US"/>
        </w:rPr>
        <w:t xml:space="preserve">components </w:t>
      </w:r>
      <w:r w:rsidR="003D3C19" w:rsidRPr="00A30291">
        <w:rPr>
          <w:rFonts w:ascii="Arial" w:hAnsi="Arial" w:cs="Arial"/>
          <w:sz w:val="24"/>
          <w:szCs w:val="24"/>
          <w:lang w:val="en-US"/>
        </w:rPr>
        <w:t xml:space="preserve">that target the varied symptom clusters </w:t>
      </w:r>
      <w:r w:rsidR="0039403C" w:rsidRPr="00A30291">
        <w:rPr>
          <w:rFonts w:ascii="Arial" w:hAnsi="Arial" w:cs="Arial"/>
          <w:sz w:val="24"/>
          <w:szCs w:val="24"/>
          <w:lang w:val="en-US"/>
        </w:rPr>
        <w:t>(e.g.</w:t>
      </w:r>
      <w:r w:rsidR="002E7A00" w:rsidRPr="00A30291">
        <w:rPr>
          <w:rFonts w:ascii="Arial" w:hAnsi="Arial" w:cs="Arial"/>
          <w:sz w:val="24"/>
          <w:szCs w:val="24"/>
          <w:lang w:val="en-US"/>
        </w:rPr>
        <w:t>,</w:t>
      </w:r>
      <w:r w:rsidR="0039403C" w:rsidRPr="00A30291">
        <w:rPr>
          <w:rFonts w:ascii="Arial" w:hAnsi="Arial" w:cs="Arial"/>
          <w:sz w:val="24"/>
          <w:szCs w:val="24"/>
          <w:lang w:val="en-US"/>
        </w:rPr>
        <w:t xml:space="preserve"> </w:t>
      </w:r>
      <w:r w:rsidR="003D3C19" w:rsidRPr="00A30291">
        <w:rPr>
          <w:rFonts w:ascii="Arial" w:hAnsi="Arial" w:cs="Arial"/>
          <w:sz w:val="24"/>
          <w:szCs w:val="24"/>
          <w:lang w:val="en-US"/>
        </w:rPr>
        <w:t xml:space="preserve">interpersonal problems) might enhance </w:t>
      </w:r>
      <w:r w:rsidR="00320359" w:rsidRPr="00A30291">
        <w:rPr>
          <w:rFonts w:ascii="Arial" w:hAnsi="Arial" w:cs="Arial"/>
          <w:sz w:val="24"/>
          <w:szCs w:val="24"/>
          <w:lang w:val="en-US"/>
        </w:rPr>
        <w:t>treatment outcomes (Cloitre et al, 2011)</w:t>
      </w:r>
      <w:r w:rsidR="0039403C" w:rsidRPr="00A30291">
        <w:rPr>
          <w:rFonts w:ascii="Arial" w:hAnsi="Arial" w:cs="Arial"/>
          <w:sz w:val="24"/>
          <w:szCs w:val="24"/>
          <w:lang w:val="en-US"/>
        </w:rPr>
        <w:t>.</w:t>
      </w:r>
      <w:r w:rsidR="0039403C" w:rsidRPr="00A30291">
        <w:rPr>
          <w:rFonts w:ascii="Arial" w:hAnsi="Arial" w:cs="Arial"/>
          <w:szCs w:val="24"/>
          <w:lang w:val="en-US"/>
        </w:rPr>
        <w:t xml:space="preserve"> </w:t>
      </w:r>
      <w:r w:rsidR="00E955E0" w:rsidRPr="00A30291">
        <w:rPr>
          <w:rFonts w:ascii="Arial" w:hAnsi="Arial" w:cs="Arial"/>
          <w:sz w:val="24"/>
          <w:szCs w:val="24"/>
        </w:rPr>
        <w:t xml:space="preserve">ICD-TQ can </w:t>
      </w:r>
      <w:r w:rsidR="003C4D84" w:rsidRPr="00A30291">
        <w:rPr>
          <w:rFonts w:ascii="Arial" w:hAnsi="Arial" w:cs="Arial"/>
          <w:sz w:val="24"/>
          <w:szCs w:val="24"/>
        </w:rPr>
        <w:t>be used to evaluate the effectiveness of appropriate interventions for the treatment of CPTSD. It can also be used as a tool for the assessment of CPTSD in routine clinical practice.</w:t>
      </w:r>
    </w:p>
    <w:p w14:paraId="05D3638F" w14:textId="77777777" w:rsidR="00897BED" w:rsidRDefault="00897BED" w:rsidP="00817330">
      <w:pPr>
        <w:spacing w:line="480" w:lineRule="auto"/>
        <w:rPr>
          <w:rStyle w:val="citation"/>
          <w:rFonts w:ascii="Arial" w:hAnsi="Arial" w:cs="Arial"/>
          <w:b/>
          <w:bCs/>
          <w:color w:val="303030"/>
          <w:sz w:val="24"/>
          <w:szCs w:val="24"/>
        </w:rPr>
      </w:pPr>
    </w:p>
    <w:p w14:paraId="025551FA" w14:textId="7959EF19" w:rsidR="009E6544" w:rsidRPr="002952E0" w:rsidRDefault="009E6544" w:rsidP="00817330">
      <w:pPr>
        <w:spacing w:line="480" w:lineRule="auto"/>
        <w:rPr>
          <w:rFonts w:ascii="Arial" w:hAnsi="Arial" w:cs="Arial"/>
          <w:b/>
          <w:bCs/>
          <w:color w:val="303030"/>
          <w:sz w:val="24"/>
          <w:szCs w:val="24"/>
        </w:rPr>
      </w:pPr>
      <w:r w:rsidRPr="0078549C">
        <w:rPr>
          <w:rStyle w:val="citation"/>
          <w:rFonts w:ascii="Arial" w:hAnsi="Arial" w:cs="Arial"/>
          <w:b/>
          <w:bCs/>
          <w:color w:val="303030"/>
          <w:sz w:val="24"/>
          <w:szCs w:val="24"/>
        </w:rPr>
        <w:t>References</w:t>
      </w:r>
    </w:p>
    <w:p w14:paraId="60BEB6D0" w14:textId="6987CFDC" w:rsidR="00916A13" w:rsidRPr="00E654A0" w:rsidRDefault="00916A13" w:rsidP="006728E3">
      <w:pPr>
        <w:spacing w:line="480" w:lineRule="auto"/>
        <w:ind w:left="709" w:hanging="709"/>
        <w:rPr>
          <w:rFonts w:ascii="Arial" w:hAnsi="Arial" w:cs="Arial"/>
          <w:sz w:val="24"/>
          <w:szCs w:val="24"/>
        </w:rPr>
      </w:pPr>
      <w:r w:rsidRPr="00E654A0">
        <w:rPr>
          <w:rStyle w:val="element-citation"/>
          <w:rFonts w:ascii="Arial" w:hAnsi="Arial" w:cs="Arial"/>
          <w:color w:val="000000"/>
          <w:sz w:val="24"/>
          <w:szCs w:val="24"/>
          <w:shd w:val="clear" w:color="auto" w:fill="FFFFFF"/>
        </w:rPr>
        <w:t xml:space="preserve">Asparouhov T, Muthén B. </w:t>
      </w:r>
      <w:r w:rsidR="00E76E41" w:rsidRPr="00E654A0">
        <w:rPr>
          <w:rFonts w:ascii="Arial" w:hAnsi="Arial" w:cs="Arial"/>
          <w:color w:val="000000"/>
          <w:sz w:val="24"/>
          <w:szCs w:val="24"/>
          <w:shd w:val="clear" w:color="auto" w:fill="FFFFFF"/>
        </w:rPr>
        <w:t>(2010)</w:t>
      </w:r>
      <w:r w:rsidR="00E76E41" w:rsidRPr="00E654A0">
        <w:rPr>
          <w:rStyle w:val="apple-converted-space"/>
          <w:rFonts w:ascii="Arial" w:hAnsi="Arial" w:cs="Arial"/>
          <w:color w:val="000000"/>
          <w:sz w:val="24"/>
          <w:szCs w:val="24"/>
          <w:shd w:val="clear" w:color="auto" w:fill="FFFFFF"/>
        </w:rPr>
        <w:t> </w:t>
      </w:r>
      <w:r w:rsidRPr="00E654A0">
        <w:rPr>
          <w:rStyle w:val="element-citation"/>
          <w:rFonts w:ascii="Arial" w:hAnsi="Arial" w:cs="Arial"/>
          <w:color w:val="000000"/>
          <w:sz w:val="24"/>
          <w:szCs w:val="24"/>
          <w:shd w:val="clear" w:color="auto" w:fill="FFFFFF"/>
        </w:rPr>
        <w:t>Weighted least squares estimation with missing data.</w:t>
      </w:r>
      <w:r w:rsidRPr="00E654A0">
        <w:rPr>
          <w:rStyle w:val="apple-converted-space"/>
          <w:rFonts w:ascii="Arial" w:hAnsi="Arial" w:cs="Arial"/>
          <w:color w:val="000000"/>
          <w:sz w:val="24"/>
          <w:szCs w:val="24"/>
          <w:shd w:val="clear" w:color="auto" w:fill="FFFFFF"/>
        </w:rPr>
        <w:t> </w:t>
      </w:r>
      <w:r w:rsidRPr="00E654A0">
        <w:rPr>
          <w:rStyle w:val="ref-journal"/>
          <w:rFonts w:ascii="Arial" w:hAnsi="Arial" w:cs="Arial"/>
          <w:color w:val="000000"/>
          <w:sz w:val="24"/>
          <w:szCs w:val="24"/>
          <w:shd w:val="clear" w:color="auto" w:fill="FFFFFF"/>
        </w:rPr>
        <w:t>MplusTechnical Appendix.</w:t>
      </w:r>
      <w:r w:rsidRPr="00E654A0">
        <w:rPr>
          <w:rStyle w:val="apple-converted-space"/>
          <w:rFonts w:ascii="Arial" w:hAnsi="Arial" w:cs="Arial"/>
          <w:color w:val="000000"/>
          <w:sz w:val="24"/>
          <w:szCs w:val="24"/>
          <w:shd w:val="clear" w:color="auto" w:fill="FFFFFF"/>
        </w:rPr>
        <w:t> </w:t>
      </w:r>
      <w:r w:rsidRPr="00E654A0">
        <w:rPr>
          <w:rStyle w:val="element-citation"/>
          <w:rFonts w:ascii="Arial" w:hAnsi="Arial" w:cs="Arial"/>
          <w:color w:val="000000"/>
          <w:sz w:val="24"/>
          <w:szCs w:val="24"/>
          <w:shd w:val="clear" w:color="auto" w:fill="FFFFFF"/>
        </w:rPr>
        <w:t>2010</w:t>
      </w:r>
      <w:r w:rsidRPr="00E654A0">
        <w:rPr>
          <w:rStyle w:val="apple-converted-space"/>
          <w:rFonts w:ascii="Arial" w:hAnsi="Arial" w:cs="Arial"/>
          <w:color w:val="000000"/>
          <w:sz w:val="24"/>
          <w:szCs w:val="24"/>
          <w:shd w:val="clear" w:color="auto" w:fill="FFFFFF"/>
        </w:rPr>
        <w:t> </w:t>
      </w:r>
      <w:r w:rsidRPr="00E654A0">
        <w:rPr>
          <w:rStyle w:val="Emphasis"/>
          <w:rFonts w:ascii="Arial" w:hAnsi="Arial" w:cs="Arial"/>
          <w:color w:val="000000"/>
          <w:sz w:val="24"/>
          <w:szCs w:val="24"/>
          <w:shd w:val="clear" w:color="auto" w:fill="FFFFFF"/>
        </w:rPr>
        <w:t xml:space="preserve">Available at </w:t>
      </w:r>
      <w:hyperlink r:id="rId15" w:history="1">
        <w:r w:rsidRPr="00E654A0">
          <w:rPr>
            <w:rStyle w:val="Hyperlink"/>
            <w:rFonts w:ascii="Arial" w:hAnsi="Arial" w:cs="Arial"/>
            <w:i/>
            <w:iCs/>
            <w:color w:val="642A8F"/>
            <w:sz w:val="24"/>
            <w:szCs w:val="24"/>
            <w:shd w:val="clear" w:color="auto" w:fill="FFFFFF"/>
          </w:rPr>
          <w:t>http://www.statmodel.com/download/GstrucMissingRevision.pdf</w:t>
        </w:r>
      </w:hyperlink>
      <w:r w:rsidRPr="00E654A0">
        <w:rPr>
          <w:rStyle w:val="apple-converted-space"/>
          <w:rFonts w:ascii="Arial" w:hAnsi="Arial" w:cs="Arial"/>
          <w:color w:val="000000"/>
          <w:sz w:val="24"/>
          <w:szCs w:val="24"/>
          <w:shd w:val="clear" w:color="auto" w:fill="FFFFFF"/>
        </w:rPr>
        <w:t> </w:t>
      </w:r>
      <w:r w:rsidRPr="00E654A0">
        <w:rPr>
          <w:rStyle w:val="element-citation"/>
          <w:rFonts w:ascii="Arial" w:hAnsi="Arial" w:cs="Arial"/>
          <w:color w:val="000000"/>
          <w:sz w:val="24"/>
          <w:szCs w:val="24"/>
          <w:shd w:val="clear" w:color="auto" w:fill="FFFFFF"/>
        </w:rPr>
        <w:t>(accessed 7 July 2016)</w:t>
      </w:r>
    </w:p>
    <w:p w14:paraId="7C20A8B8" w14:textId="0A368BC5" w:rsidR="00AD1671"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Bentler, P. M. (1990). Comparative fit indexes in structural models. </w:t>
      </w:r>
      <w:r w:rsidRPr="009F2015">
        <w:rPr>
          <w:rFonts w:ascii="Arial" w:hAnsi="Arial" w:cs="Arial"/>
          <w:i/>
          <w:sz w:val="24"/>
          <w:szCs w:val="24"/>
        </w:rPr>
        <w:t>Psychological Bulletin</w:t>
      </w:r>
      <w:r w:rsidRPr="009F2015">
        <w:rPr>
          <w:rFonts w:ascii="Arial" w:hAnsi="Arial" w:cs="Arial"/>
          <w:sz w:val="24"/>
          <w:szCs w:val="24"/>
        </w:rPr>
        <w:t>, 107(2), 238-246.</w:t>
      </w:r>
    </w:p>
    <w:p w14:paraId="31D42AA7" w14:textId="77777777" w:rsidR="00AD1671"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Bernstein, D. P., </w:t>
      </w:r>
      <w:r w:rsidR="00D95B74" w:rsidRPr="009F2015">
        <w:rPr>
          <w:rFonts w:ascii="Arial" w:hAnsi="Arial" w:cs="Arial"/>
          <w:sz w:val="24"/>
          <w:szCs w:val="24"/>
        </w:rPr>
        <w:t xml:space="preserve">&amp; </w:t>
      </w:r>
      <w:r w:rsidRPr="009F2015">
        <w:rPr>
          <w:rFonts w:ascii="Arial" w:hAnsi="Arial" w:cs="Arial"/>
          <w:sz w:val="24"/>
          <w:szCs w:val="24"/>
        </w:rPr>
        <w:t xml:space="preserve">Fink, L. (1998). </w:t>
      </w:r>
      <w:r w:rsidRPr="009F2015">
        <w:rPr>
          <w:rFonts w:ascii="Arial" w:hAnsi="Arial" w:cs="Arial"/>
          <w:i/>
          <w:sz w:val="24"/>
          <w:szCs w:val="24"/>
        </w:rPr>
        <w:t>Childhood Trauma Questionnaire: A retrospective self-report</w:t>
      </w:r>
      <w:r w:rsidRPr="009F2015">
        <w:rPr>
          <w:rFonts w:ascii="Arial" w:hAnsi="Arial" w:cs="Arial"/>
          <w:sz w:val="24"/>
          <w:szCs w:val="24"/>
        </w:rPr>
        <w:t>: Manual. San Antonio, TX: Psychological Corporation.</w:t>
      </w:r>
    </w:p>
    <w:p w14:paraId="494400FF" w14:textId="77777777" w:rsidR="00AD1671" w:rsidRPr="009F2015" w:rsidRDefault="00271BE0" w:rsidP="006728E3">
      <w:pPr>
        <w:spacing w:line="480" w:lineRule="auto"/>
        <w:ind w:left="709" w:hanging="709"/>
        <w:rPr>
          <w:rFonts w:ascii="Arial" w:hAnsi="Arial" w:cs="Arial"/>
          <w:sz w:val="24"/>
          <w:szCs w:val="24"/>
        </w:rPr>
      </w:pPr>
      <w:r w:rsidRPr="009F2015">
        <w:rPr>
          <w:rFonts w:ascii="Arial" w:hAnsi="Arial" w:cs="Arial"/>
          <w:sz w:val="24"/>
          <w:szCs w:val="24"/>
        </w:rPr>
        <w:t xml:space="preserve">Blevins, C.A., Weathers, F.W., Davis, M.T., Witte, T.K., Domino, J.L. The Posttraumatic Stress Disorder Checklist for DSM-5 (PCL-5): Development and Initial Psychometric Evaluation. </w:t>
      </w:r>
      <w:r w:rsidRPr="009F2015">
        <w:rPr>
          <w:rFonts w:ascii="Arial" w:hAnsi="Arial" w:cs="Arial"/>
          <w:i/>
          <w:sz w:val="24"/>
          <w:szCs w:val="24"/>
        </w:rPr>
        <w:t>Journal of Traumatic Stress</w:t>
      </w:r>
      <w:r w:rsidRPr="009F2015">
        <w:rPr>
          <w:rFonts w:ascii="Arial" w:hAnsi="Arial" w:cs="Arial"/>
          <w:sz w:val="24"/>
          <w:szCs w:val="24"/>
        </w:rPr>
        <w:t>, 28, 489-498.</w:t>
      </w:r>
    </w:p>
    <w:p w14:paraId="026724FB" w14:textId="699CB771" w:rsidR="00AD1671" w:rsidRPr="009F2015" w:rsidRDefault="00271BE0" w:rsidP="006728E3">
      <w:pPr>
        <w:spacing w:line="480" w:lineRule="auto"/>
        <w:ind w:left="709" w:hanging="709"/>
        <w:rPr>
          <w:rFonts w:ascii="Arial" w:hAnsi="Arial" w:cs="Arial"/>
          <w:sz w:val="24"/>
          <w:szCs w:val="24"/>
        </w:rPr>
      </w:pPr>
      <w:r w:rsidRPr="009F2015">
        <w:rPr>
          <w:rFonts w:ascii="Arial" w:hAnsi="Arial" w:cs="Arial"/>
          <w:sz w:val="24"/>
          <w:szCs w:val="24"/>
        </w:rPr>
        <w:t>Bovin, M. J., Marx, B. P., Weathers, F. W., Gallagher,</w:t>
      </w:r>
      <w:r w:rsidR="00AD1671" w:rsidRPr="009F2015">
        <w:rPr>
          <w:rFonts w:ascii="Arial" w:hAnsi="Arial" w:cs="Arial"/>
          <w:sz w:val="24"/>
          <w:szCs w:val="24"/>
        </w:rPr>
        <w:t xml:space="preserve"> M. W., Rodriguez, P., Schnurr,     </w:t>
      </w:r>
      <w:r w:rsidRPr="009F2015">
        <w:rPr>
          <w:rFonts w:ascii="Arial" w:hAnsi="Arial" w:cs="Arial"/>
          <w:sz w:val="24"/>
          <w:szCs w:val="24"/>
        </w:rPr>
        <w:t>P. P., &amp; Keane, T. M. (in press). Psychometric Prope</w:t>
      </w:r>
      <w:r w:rsidR="00AD1671" w:rsidRPr="009F2015">
        <w:rPr>
          <w:rFonts w:ascii="Arial" w:hAnsi="Arial" w:cs="Arial"/>
          <w:sz w:val="24"/>
          <w:szCs w:val="24"/>
        </w:rPr>
        <w:t xml:space="preserve">rties of the PTSD Checklist for </w:t>
      </w:r>
      <w:r w:rsidRPr="009F2015">
        <w:rPr>
          <w:rFonts w:ascii="Arial" w:hAnsi="Arial" w:cs="Arial"/>
          <w:sz w:val="24"/>
          <w:szCs w:val="24"/>
        </w:rPr>
        <w:t>Diagnostic and Statistical Manual of Mental Dis</w:t>
      </w:r>
      <w:r w:rsidR="00AD1671" w:rsidRPr="009F2015">
        <w:rPr>
          <w:rFonts w:ascii="Arial" w:hAnsi="Arial" w:cs="Arial"/>
          <w:sz w:val="24"/>
          <w:szCs w:val="24"/>
        </w:rPr>
        <w:t xml:space="preserve">orders–Fifth Edition (PCL-5) in </w:t>
      </w:r>
      <w:r w:rsidRPr="009F2015">
        <w:rPr>
          <w:rFonts w:ascii="Arial" w:hAnsi="Arial" w:cs="Arial"/>
          <w:sz w:val="24"/>
          <w:szCs w:val="24"/>
        </w:rPr>
        <w:t xml:space="preserve">Veterans. </w:t>
      </w:r>
      <w:r w:rsidRPr="009F2015">
        <w:rPr>
          <w:rFonts w:ascii="Arial" w:hAnsi="Arial" w:cs="Arial"/>
          <w:i/>
          <w:sz w:val="24"/>
          <w:szCs w:val="24"/>
        </w:rPr>
        <w:t>Psychological Assessment</w:t>
      </w:r>
      <w:r w:rsidRPr="009F2015">
        <w:rPr>
          <w:rFonts w:ascii="Arial" w:hAnsi="Arial" w:cs="Arial"/>
          <w:sz w:val="24"/>
          <w:szCs w:val="24"/>
        </w:rPr>
        <w:t>.</w:t>
      </w:r>
    </w:p>
    <w:p w14:paraId="0E8D59A6" w14:textId="6F2321C2"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Briere, J. (2004). </w:t>
      </w:r>
      <w:r w:rsidRPr="009F2015">
        <w:rPr>
          <w:rFonts w:ascii="Arial" w:hAnsi="Arial" w:cs="Arial"/>
          <w:i/>
          <w:sz w:val="24"/>
          <w:szCs w:val="24"/>
        </w:rPr>
        <w:t>Psychological assessment of adult posttraumatic states: Phenomenology, diagnosis, and measurement</w:t>
      </w:r>
      <w:r w:rsidRPr="009F2015">
        <w:rPr>
          <w:rFonts w:ascii="Arial" w:hAnsi="Arial" w:cs="Arial"/>
          <w:sz w:val="24"/>
          <w:szCs w:val="24"/>
        </w:rPr>
        <w:t>. Washington, DC: American Psychological Association.</w:t>
      </w:r>
    </w:p>
    <w:p w14:paraId="5FB5004E"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Brown, T. A. (2006). </w:t>
      </w:r>
      <w:r w:rsidRPr="009F2015">
        <w:rPr>
          <w:rFonts w:ascii="Arial" w:hAnsi="Arial" w:cs="Arial"/>
          <w:i/>
          <w:sz w:val="24"/>
          <w:szCs w:val="24"/>
        </w:rPr>
        <w:t>Confirmatory factor analysis for applied research</w:t>
      </w:r>
      <w:r w:rsidRPr="009F2015">
        <w:rPr>
          <w:rFonts w:ascii="Arial" w:hAnsi="Arial" w:cs="Arial"/>
          <w:sz w:val="24"/>
          <w:szCs w:val="24"/>
        </w:rPr>
        <w:t>. New York: The Guilford Press.</w:t>
      </w:r>
    </w:p>
    <w:p w14:paraId="3DD9A9B8" w14:textId="094954A3"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Cloitre, M., Courtois, C. A., Charuvastra, A., Carapezza, R., Stolbach, B. C., </w:t>
      </w:r>
      <w:r w:rsidR="00E41A3F" w:rsidRPr="009F2015">
        <w:rPr>
          <w:rFonts w:ascii="Arial" w:hAnsi="Arial" w:cs="Arial"/>
          <w:sz w:val="24"/>
          <w:szCs w:val="24"/>
        </w:rPr>
        <w:t xml:space="preserve">&amp; </w:t>
      </w:r>
      <w:r w:rsidRPr="009F2015">
        <w:rPr>
          <w:rFonts w:ascii="Arial" w:hAnsi="Arial" w:cs="Arial"/>
          <w:sz w:val="24"/>
          <w:szCs w:val="24"/>
        </w:rPr>
        <w:t xml:space="preserve">Green, B. L. (2011). Treatment of complex PTSD: results of the ISTSS expert clinician survey on best practices. </w:t>
      </w:r>
      <w:r w:rsidRPr="009F2015">
        <w:rPr>
          <w:rFonts w:ascii="Arial" w:hAnsi="Arial" w:cs="Arial"/>
          <w:i/>
          <w:sz w:val="24"/>
          <w:szCs w:val="24"/>
        </w:rPr>
        <w:t>Journal of Traumatic Stress</w:t>
      </w:r>
      <w:r w:rsidRPr="009F2015">
        <w:rPr>
          <w:rFonts w:ascii="Arial" w:hAnsi="Arial" w:cs="Arial"/>
          <w:sz w:val="24"/>
          <w:szCs w:val="24"/>
        </w:rPr>
        <w:t>, 24(6), 615-27.</w:t>
      </w:r>
    </w:p>
    <w:p w14:paraId="6250DB92" w14:textId="6B2ACB2C"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Cloitre, M., Garvert, D. W., Brewin, C. R., Bryant, R. A., &amp;</w:t>
      </w:r>
      <w:r w:rsidR="00E41A3F" w:rsidRPr="009F2015">
        <w:rPr>
          <w:rFonts w:ascii="Arial" w:hAnsi="Arial" w:cs="Arial"/>
          <w:sz w:val="24"/>
          <w:szCs w:val="24"/>
        </w:rPr>
        <w:t xml:space="preserve"> </w:t>
      </w:r>
      <w:r w:rsidRPr="009F2015">
        <w:rPr>
          <w:rFonts w:ascii="Arial" w:hAnsi="Arial" w:cs="Arial"/>
          <w:sz w:val="24"/>
          <w:szCs w:val="24"/>
        </w:rPr>
        <w:t xml:space="preserve">Maercker, A. (2013). Evidence for proposed ICD-11 PTSD and complex PTSD: A latent profile analysis. </w:t>
      </w:r>
      <w:r w:rsidRPr="009F2015">
        <w:rPr>
          <w:rFonts w:ascii="Arial" w:hAnsi="Arial" w:cs="Arial"/>
          <w:i/>
          <w:sz w:val="24"/>
          <w:szCs w:val="24"/>
        </w:rPr>
        <w:t>European Journal of Psychotraumatology</w:t>
      </w:r>
      <w:r w:rsidRPr="009F2015">
        <w:rPr>
          <w:rFonts w:ascii="Arial" w:hAnsi="Arial" w:cs="Arial"/>
          <w:sz w:val="24"/>
          <w:szCs w:val="24"/>
        </w:rPr>
        <w:t>, 4, 20706.</w:t>
      </w:r>
    </w:p>
    <w:p w14:paraId="3896CECC" w14:textId="3255527D" w:rsidR="007B60E0" w:rsidRDefault="007B60E0" w:rsidP="006728E3">
      <w:pPr>
        <w:spacing w:line="480" w:lineRule="auto"/>
        <w:ind w:left="709" w:hanging="709"/>
        <w:rPr>
          <w:rFonts w:ascii="Arial" w:hAnsi="Arial" w:cs="Arial"/>
          <w:color w:val="000000"/>
          <w:sz w:val="24"/>
          <w:szCs w:val="24"/>
          <w:shd w:val="clear" w:color="auto" w:fill="FFFFFF"/>
        </w:rPr>
      </w:pPr>
      <w:r w:rsidRPr="007B60E0">
        <w:rPr>
          <w:rFonts w:ascii="Arial" w:hAnsi="Arial" w:cs="Arial"/>
          <w:color w:val="000000"/>
          <w:sz w:val="24"/>
          <w:szCs w:val="24"/>
          <w:shd w:val="clear" w:color="auto" w:fill="FFFFFF"/>
        </w:rPr>
        <w:t>Cloitre, M.</w:t>
      </w:r>
      <w:r w:rsidR="003C6F3D">
        <w:rPr>
          <w:rFonts w:ascii="Arial" w:hAnsi="Arial" w:cs="Arial"/>
          <w:color w:val="000000"/>
          <w:sz w:val="24"/>
          <w:szCs w:val="24"/>
          <w:shd w:val="clear" w:color="auto" w:fill="FFFFFF"/>
        </w:rPr>
        <w:t>,</w:t>
      </w:r>
      <w:r w:rsidRPr="007B60E0">
        <w:rPr>
          <w:rFonts w:ascii="Arial" w:hAnsi="Arial" w:cs="Arial"/>
          <w:color w:val="000000"/>
          <w:sz w:val="24"/>
          <w:szCs w:val="24"/>
          <w:shd w:val="clear" w:color="auto" w:fill="FFFFFF"/>
        </w:rPr>
        <w:t xml:space="preserve"> Roberts, N.P.</w:t>
      </w:r>
      <w:r w:rsidR="003C6F3D">
        <w:rPr>
          <w:rFonts w:ascii="Arial" w:hAnsi="Arial" w:cs="Arial"/>
          <w:color w:val="000000"/>
          <w:sz w:val="24"/>
          <w:szCs w:val="24"/>
          <w:shd w:val="clear" w:color="auto" w:fill="FFFFFF"/>
        </w:rPr>
        <w:t>,</w:t>
      </w:r>
      <w:r w:rsidRPr="007B60E0">
        <w:rPr>
          <w:rFonts w:ascii="Arial" w:hAnsi="Arial" w:cs="Arial"/>
          <w:color w:val="000000"/>
          <w:sz w:val="24"/>
          <w:szCs w:val="24"/>
          <w:shd w:val="clear" w:color="auto" w:fill="FFFFFF"/>
        </w:rPr>
        <w:t xml:space="preserve"> Bisson, J.</w:t>
      </w:r>
      <w:r w:rsidR="00F65863">
        <w:rPr>
          <w:rFonts w:ascii="Arial" w:hAnsi="Arial" w:cs="Arial"/>
          <w:color w:val="000000"/>
          <w:sz w:val="24"/>
          <w:szCs w:val="24"/>
          <w:shd w:val="clear" w:color="auto" w:fill="FFFFFF"/>
        </w:rPr>
        <w:t xml:space="preserve"> </w:t>
      </w:r>
      <w:r w:rsidRPr="007B60E0">
        <w:rPr>
          <w:rFonts w:ascii="Arial" w:hAnsi="Arial" w:cs="Arial"/>
          <w:color w:val="000000"/>
          <w:sz w:val="24"/>
          <w:szCs w:val="24"/>
          <w:shd w:val="clear" w:color="auto" w:fill="FFFFFF"/>
        </w:rPr>
        <w:t>I.</w:t>
      </w:r>
      <w:r w:rsidR="003C6F3D">
        <w:rPr>
          <w:rFonts w:ascii="Arial" w:hAnsi="Arial" w:cs="Arial"/>
          <w:color w:val="000000"/>
          <w:sz w:val="24"/>
          <w:szCs w:val="24"/>
          <w:shd w:val="clear" w:color="auto" w:fill="FFFFFF"/>
        </w:rPr>
        <w:t>,</w:t>
      </w:r>
      <w:r w:rsidRPr="007B60E0">
        <w:rPr>
          <w:rFonts w:ascii="Arial" w:hAnsi="Arial" w:cs="Arial"/>
          <w:color w:val="000000"/>
          <w:sz w:val="24"/>
          <w:szCs w:val="24"/>
          <w:shd w:val="clear" w:color="auto" w:fill="FFFFFF"/>
        </w:rPr>
        <w:t xml:space="preserve"> </w:t>
      </w:r>
      <w:r w:rsidR="003C6F3D">
        <w:rPr>
          <w:rFonts w:ascii="Arial" w:hAnsi="Arial" w:cs="Arial"/>
          <w:color w:val="000000"/>
          <w:sz w:val="24"/>
          <w:szCs w:val="24"/>
          <w:shd w:val="clear" w:color="auto" w:fill="FFFFFF"/>
        </w:rPr>
        <w:t xml:space="preserve">&amp; </w:t>
      </w:r>
      <w:r w:rsidRPr="007B60E0">
        <w:rPr>
          <w:rFonts w:ascii="Arial" w:hAnsi="Arial" w:cs="Arial"/>
          <w:color w:val="000000"/>
          <w:sz w:val="24"/>
          <w:szCs w:val="24"/>
          <w:shd w:val="clear" w:color="auto" w:fill="FFFFFF"/>
        </w:rPr>
        <w:t>Brewin, C.</w:t>
      </w:r>
      <w:r w:rsidR="00F65863">
        <w:rPr>
          <w:rFonts w:ascii="Arial" w:hAnsi="Arial" w:cs="Arial"/>
          <w:color w:val="000000"/>
          <w:sz w:val="24"/>
          <w:szCs w:val="24"/>
          <w:shd w:val="clear" w:color="auto" w:fill="FFFFFF"/>
        </w:rPr>
        <w:t xml:space="preserve"> </w:t>
      </w:r>
      <w:r w:rsidRPr="007B60E0">
        <w:rPr>
          <w:rFonts w:ascii="Arial" w:hAnsi="Arial" w:cs="Arial"/>
          <w:color w:val="000000"/>
          <w:sz w:val="24"/>
          <w:szCs w:val="24"/>
          <w:shd w:val="clear" w:color="auto" w:fill="FFFFFF"/>
        </w:rPr>
        <w:t>R. (</w:t>
      </w:r>
      <w:r w:rsidR="00EF5E8B">
        <w:rPr>
          <w:rFonts w:ascii="Arial" w:hAnsi="Arial" w:cs="Arial"/>
          <w:color w:val="000000"/>
          <w:sz w:val="24"/>
          <w:szCs w:val="24"/>
          <w:shd w:val="clear" w:color="auto" w:fill="FFFFFF"/>
        </w:rPr>
        <w:t>under development</w:t>
      </w:r>
      <w:r w:rsidRPr="007B60E0">
        <w:rPr>
          <w:rFonts w:ascii="Arial" w:hAnsi="Arial" w:cs="Arial"/>
          <w:color w:val="000000"/>
          <w:sz w:val="24"/>
          <w:szCs w:val="24"/>
          <w:shd w:val="clear" w:color="auto" w:fill="FFFFFF"/>
        </w:rPr>
        <w:t>). The ICD-11 Trauma Questionnaire (ICD-TQ). Unpublished Measure.</w:t>
      </w:r>
    </w:p>
    <w:p w14:paraId="093D3A2A" w14:textId="75F246E5" w:rsidR="00EF5E8B" w:rsidRDefault="00EF5E8B" w:rsidP="00EF5E8B">
      <w:pPr>
        <w:spacing w:line="480" w:lineRule="auto"/>
        <w:ind w:left="709" w:hanging="709"/>
        <w:rPr>
          <w:rFonts w:ascii="Arial" w:hAnsi="Arial" w:cs="Arial"/>
          <w:color w:val="000000"/>
          <w:sz w:val="24"/>
          <w:szCs w:val="24"/>
          <w:shd w:val="clear" w:color="auto" w:fill="FFFFFF"/>
        </w:rPr>
      </w:pPr>
      <w:r w:rsidRPr="00EF5E8B">
        <w:rPr>
          <w:rFonts w:ascii="Arial" w:hAnsi="Arial" w:cs="Arial"/>
          <w:color w:val="000000"/>
          <w:sz w:val="24"/>
          <w:szCs w:val="24"/>
          <w:shd w:val="clear" w:color="auto" w:fill="FFFFFF"/>
        </w:rPr>
        <w:t xml:space="preserve">Dvir, Y., Ford, J. D., Hill, M., &amp; Frazier, J. A. (2014). Childhood maltreatment, emotional dysregulation, and psychiatric comorbidities. </w:t>
      </w:r>
      <w:r w:rsidRPr="00EF5E8B">
        <w:rPr>
          <w:rFonts w:ascii="Arial" w:hAnsi="Arial" w:cs="Arial"/>
          <w:i/>
          <w:color w:val="000000"/>
          <w:sz w:val="24"/>
          <w:szCs w:val="24"/>
          <w:shd w:val="clear" w:color="auto" w:fill="FFFFFF"/>
        </w:rPr>
        <w:t>Harvard Review of Psychiatry, 22</w:t>
      </w:r>
      <w:r w:rsidRPr="00EF5E8B">
        <w:rPr>
          <w:rFonts w:ascii="Arial" w:hAnsi="Arial" w:cs="Arial"/>
          <w:color w:val="000000"/>
          <w:sz w:val="24"/>
          <w:szCs w:val="24"/>
          <w:shd w:val="clear" w:color="auto" w:fill="FFFFFF"/>
        </w:rPr>
        <w:t>, 149.</w:t>
      </w:r>
    </w:p>
    <w:p w14:paraId="31D2FEAC" w14:textId="4A1F0032" w:rsidR="00E654A0" w:rsidRPr="00E654A0" w:rsidRDefault="005A5274" w:rsidP="006728E3">
      <w:pPr>
        <w:spacing w:line="480" w:lineRule="auto"/>
        <w:ind w:left="709" w:hanging="709"/>
        <w:rPr>
          <w:rFonts w:ascii="Arial" w:hAnsi="Arial" w:cs="Arial"/>
          <w:sz w:val="24"/>
          <w:szCs w:val="24"/>
        </w:rPr>
      </w:pPr>
      <w:r w:rsidRPr="00E654A0">
        <w:rPr>
          <w:rFonts w:ascii="Arial" w:hAnsi="Arial" w:cs="Arial"/>
          <w:sz w:val="24"/>
          <w:szCs w:val="24"/>
        </w:rPr>
        <w:t>Eisinga, R., Grotenhuis, M.</w:t>
      </w:r>
      <w:r w:rsidR="00EF5E8B">
        <w:rPr>
          <w:rFonts w:ascii="Arial" w:hAnsi="Arial" w:cs="Arial"/>
          <w:sz w:val="24"/>
          <w:szCs w:val="24"/>
        </w:rPr>
        <w:t xml:space="preserve"> </w:t>
      </w:r>
      <w:r w:rsidRPr="00E654A0">
        <w:rPr>
          <w:rFonts w:ascii="Arial" w:hAnsi="Arial" w:cs="Arial"/>
          <w:sz w:val="24"/>
          <w:szCs w:val="24"/>
        </w:rPr>
        <w:t xml:space="preserve">T., &amp; Pelzer, B. (2012). </w:t>
      </w:r>
      <w:hyperlink r:id="rId16" w:history="1">
        <w:r w:rsidRPr="00E654A0">
          <w:rPr>
            <w:rStyle w:val="Hyperlink"/>
            <w:rFonts w:ascii="Arial" w:hAnsi="Arial" w:cs="Arial"/>
            <w:color w:val="auto"/>
            <w:sz w:val="24"/>
            <w:szCs w:val="24"/>
            <w:u w:val="none"/>
          </w:rPr>
          <w:t>The reliability of a two-item scale: Pearson, Cronbach, or Spearman-Brown?</w:t>
        </w:r>
      </w:hyperlink>
      <w:r w:rsidRPr="00E654A0">
        <w:rPr>
          <w:rFonts w:ascii="Arial" w:hAnsi="Arial" w:cs="Arial"/>
          <w:i/>
          <w:sz w:val="24"/>
          <w:szCs w:val="24"/>
        </w:rPr>
        <w:t xml:space="preserve"> </w:t>
      </w:r>
      <w:r w:rsidRPr="00E654A0">
        <w:rPr>
          <w:rStyle w:val="jrnl"/>
          <w:rFonts w:ascii="Arial" w:hAnsi="Arial" w:cs="Arial"/>
          <w:i/>
          <w:sz w:val="24"/>
          <w:szCs w:val="24"/>
        </w:rPr>
        <w:t>International Journal of Public Health</w:t>
      </w:r>
      <w:r w:rsidRPr="00E654A0">
        <w:rPr>
          <w:rFonts w:ascii="Arial" w:hAnsi="Arial" w:cs="Arial"/>
          <w:i/>
          <w:sz w:val="24"/>
          <w:szCs w:val="24"/>
        </w:rPr>
        <w:t>, 58</w:t>
      </w:r>
      <w:r w:rsidRPr="00E654A0">
        <w:rPr>
          <w:rFonts w:ascii="Arial" w:hAnsi="Arial" w:cs="Arial"/>
          <w:sz w:val="24"/>
          <w:szCs w:val="24"/>
        </w:rPr>
        <w:t xml:space="preserve">(4), 637-42. doi: 10.1007/s00038-012-0416-3. </w:t>
      </w:r>
    </w:p>
    <w:p w14:paraId="202866C9" w14:textId="0680D53E" w:rsidR="009E6544" w:rsidRDefault="009E6544" w:rsidP="006728E3">
      <w:pPr>
        <w:spacing w:line="480" w:lineRule="auto"/>
        <w:ind w:left="709" w:hanging="709"/>
        <w:rPr>
          <w:rFonts w:ascii="Arial" w:hAnsi="Arial" w:cs="Arial"/>
          <w:sz w:val="24"/>
          <w:szCs w:val="24"/>
        </w:rPr>
      </w:pPr>
      <w:r w:rsidRPr="009F2015">
        <w:rPr>
          <w:rFonts w:ascii="Arial" w:hAnsi="Arial" w:cs="Arial"/>
          <w:sz w:val="24"/>
          <w:szCs w:val="24"/>
        </w:rPr>
        <w:t>Elklit, A., Hyland, P., &amp;</w:t>
      </w:r>
      <w:r w:rsidR="00E41A3F" w:rsidRPr="009F2015">
        <w:rPr>
          <w:rFonts w:ascii="Arial" w:hAnsi="Arial" w:cs="Arial"/>
          <w:sz w:val="24"/>
          <w:szCs w:val="24"/>
        </w:rPr>
        <w:t xml:space="preserve"> </w:t>
      </w:r>
      <w:r w:rsidRPr="009F2015">
        <w:rPr>
          <w:rFonts w:ascii="Arial" w:hAnsi="Arial" w:cs="Arial"/>
          <w:sz w:val="24"/>
          <w:szCs w:val="24"/>
        </w:rPr>
        <w:t xml:space="preserve">Shevlin, M. (2014). Evidence of symptom profiles consistent with posttraumatic stress disorder and complex posttraumatic stress disorder in different trauma samples. </w:t>
      </w:r>
      <w:r w:rsidRPr="009F2015">
        <w:rPr>
          <w:rFonts w:ascii="Arial" w:hAnsi="Arial" w:cs="Arial"/>
          <w:i/>
          <w:sz w:val="24"/>
          <w:szCs w:val="24"/>
        </w:rPr>
        <w:t>European Journal of Psychotraumatology</w:t>
      </w:r>
      <w:r w:rsidRPr="009F2015">
        <w:rPr>
          <w:rFonts w:ascii="Arial" w:hAnsi="Arial" w:cs="Arial"/>
          <w:sz w:val="24"/>
          <w:szCs w:val="24"/>
        </w:rPr>
        <w:t>, 5, 24221.</w:t>
      </w:r>
    </w:p>
    <w:p w14:paraId="20C6F540" w14:textId="33E9282B" w:rsidR="00EF5E8B" w:rsidRPr="00EF5E8B" w:rsidRDefault="00EF5E8B" w:rsidP="00EF5E8B">
      <w:pPr>
        <w:spacing w:line="480" w:lineRule="auto"/>
        <w:ind w:left="709" w:hanging="709"/>
        <w:rPr>
          <w:rFonts w:ascii="Arial" w:hAnsi="Arial" w:cs="Arial"/>
          <w:iCs/>
          <w:sz w:val="24"/>
          <w:szCs w:val="24"/>
        </w:rPr>
      </w:pPr>
      <w:r w:rsidRPr="00EF5E8B">
        <w:rPr>
          <w:rFonts w:ascii="Arial" w:hAnsi="Arial" w:cs="Arial"/>
          <w:iCs/>
          <w:sz w:val="24"/>
          <w:szCs w:val="24"/>
        </w:rPr>
        <w:t>First, M. B., Reed, G. M., Hyman, S. E., &amp; Saxena, S. (201</w:t>
      </w:r>
      <w:r>
        <w:rPr>
          <w:rFonts w:ascii="Arial" w:hAnsi="Arial" w:cs="Arial"/>
          <w:iCs/>
          <w:sz w:val="24"/>
          <w:szCs w:val="24"/>
        </w:rPr>
        <w:t>5). The development of the ICD-</w:t>
      </w:r>
      <w:r w:rsidRPr="00EF5E8B">
        <w:rPr>
          <w:rFonts w:ascii="Arial" w:hAnsi="Arial" w:cs="Arial"/>
          <w:iCs/>
          <w:sz w:val="24"/>
          <w:szCs w:val="24"/>
        </w:rPr>
        <w:t>11 clinical descriptions and diagnostic guideline for men</w:t>
      </w:r>
      <w:r>
        <w:rPr>
          <w:rFonts w:ascii="Arial" w:hAnsi="Arial" w:cs="Arial"/>
          <w:iCs/>
          <w:sz w:val="24"/>
          <w:szCs w:val="24"/>
        </w:rPr>
        <w:t xml:space="preserve">tal and behavioural disorders. </w:t>
      </w:r>
      <w:r w:rsidRPr="00EF5E8B">
        <w:rPr>
          <w:rFonts w:ascii="Arial" w:hAnsi="Arial" w:cs="Arial"/>
          <w:i/>
          <w:iCs/>
          <w:sz w:val="24"/>
          <w:szCs w:val="24"/>
        </w:rPr>
        <w:t>World Psychiatry, 14</w:t>
      </w:r>
      <w:r w:rsidRPr="00EF5E8B">
        <w:rPr>
          <w:rFonts w:ascii="Arial" w:hAnsi="Arial" w:cs="Arial"/>
          <w:iCs/>
          <w:sz w:val="24"/>
          <w:szCs w:val="24"/>
        </w:rPr>
        <w:t>, 82-90. Doi: 10.1002/wps.20189</w:t>
      </w:r>
    </w:p>
    <w:p w14:paraId="48FBF447"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Flora, D. B., &amp; Curran, P. J. (2004). An empirical evaluation of alternative methods of estimation for confirmatory factor analysis with ordinal data. </w:t>
      </w:r>
      <w:r w:rsidRPr="009F2015">
        <w:rPr>
          <w:rFonts w:ascii="Arial" w:hAnsi="Arial" w:cs="Arial"/>
          <w:i/>
          <w:sz w:val="24"/>
          <w:szCs w:val="24"/>
        </w:rPr>
        <w:t>Psychological Methods</w:t>
      </w:r>
      <w:r w:rsidRPr="009F2015">
        <w:rPr>
          <w:rFonts w:ascii="Arial" w:hAnsi="Arial" w:cs="Arial"/>
          <w:sz w:val="24"/>
          <w:szCs w:val="24"/>
        </w:rPr>
        <w:t>, 9(4), 466-491.</w:t>
      </w:r>
    </w:p>
    <w:p w14:paraId="688A6A54" w14:textId="5E9DA3F7" w:rsidR="00F7710D" w:rsidRPr="006728E3" w:rsidRDefault="00F7710D" w:rsidP="006728E3">
      <w:pPr>
        <w:spacing w:line="480" w:lineRule="auto"/>
        <w:ind w:left="709" w:hanging="709"/>
        <w:rPr>
          <w:rFonts w:ascii="Arial" w:hAnsi="Arial" w:cs="Arial"/>
          <w:sz w:val="24"/>
          <w:szCs w:val="24"/>
        </w:rPr>
      </w:pPr>
      <w:r w:rsidRPr="006728E3">
        <w:rPr>
          <w:rFonts w:ascii="Arial" w:hAnsi="Arial" w:cs="Arial"/>
          <w:sz w:val="24"/>
          <w:szCs w:val="24"/>
        </w:rPr>
        <w:t>Ford, J. D. (2015). Complex PTSD: research directions for nosology/assessment, treatment,</w:t>
      </w:r>
      <w:r w:rsidRPr="006728E3">
        <w:rPr>
          <w:rFonts w:ascii="Arial" w:hAnsi="Arial" w:cs="Arial"/>
          <w:sz w:val="24"/>
          <w:szCs w:val="24"/>
        </w:rPr>
        <w:tab/>
        <w:t xml:space="preserve">and public health. </w:t>
      </w:r>
      <w:r w:rsidRPr="006728E3">
        <w:rPr>
          <w:rFonts w:ascii="Arial" w:hAnsi="Arial" w:cs="Arial"/>
          <w:i/>
          <w:sz w:val="24"/>
          <w:szCs w:val="24"/>
        </w:rPr>
        <w:t>European Journal of Psychotraumatology</w:t>
      </w:r>
      <w:r w:rsidRPr="006728E3">
        <w:rPr>
          <w:rFonts w:ascii="Arial" w:hAnsi="Arial" w:cs="Arial"/>
          <w:sz w:val="24"/>
          <w:szCs w:val="24"/>
        </w:rPr>
        <w:t xml:space="preserve">, 6: 27584. Doi: </w:t>
      </w:r>
      <w:r w:rsidRPr="006728E3">
        <w:rPr>
          <w:rFonts w:ascii="Arial" w:hAnsi="Arial" w:cs="Arial"/>
          <w:sz w:val="24"/>
          <w:szCs w:val="24"/>
        </w:rPr>
        <w:tab/>
      </w:r>
      <w:r w:rsidR="00B310F9" w:rsidRPr="006728E3">
        <w:rPr>
          <w:rFonts w:ascii="Arial" w:hAnsi="Arial" w:cs="Arial"/>
          <w:sz w:val="24"/>
          <w:szCs w:val="24"/>
        </w:rPr>
        <w:t>http://dx.doi.org/10.3402/ejpt.v6.27584</w:t>
      </w:r>
    </w:p>
    <w:p w14:paraId="04D717AC" w14:textId="25C360F9" w:rsidR="009E6544" w:rsidRDefault="009E6544" w:rsidP="006728E3">
      <w:pPr>
        <w:spacing w:line="480" w:lineRule="auto"/>
        <w:ind w:left="709" w:hanging="709"/>
        <w:rPr>
          <w:rFonts w:ascii="Arial" w:hAnsi="Arial" w:cs="Arial"/>
          <w:sz w:val="24"/>
          <w:szCs w:val="24"/>
        </w:rPr>
      </w:pPr>
      <w:r w:rsidRPr="009F2015">
        <w:rPr>
          <w:rFonts w:ascii="Arial" w:hAnsi="Arial" w:cs="Arial"/>
          <w:sz w:val="24"/>
          <w:szCs w:val="24"/>
        </w:rPr>
        <w:t>Frueh, B.C., Elhai, J.D., &amp;</w:t>
      </w:r>
      <w:r w:rsidR="00E41A3F" w:rsidRPr="009F2015">
        <w:rPr>
          <w:rFonts w:ascii="Arial" w:hAnsi="Arial" w:cs="Arial"/>
          <w:sz w:val="24"/>
          <w:szCs w:val="24"/>
        </w:rPr>
        <w:t xml:space="preserve"> </w:t>
      </w:r>
      <w:r w:rsidRPr="009F2015">
        <w:rPr>
          <w:rFonts w:ascii="Arial" w:hAnsi="Arial" w:cs="Arial"/>
          <w:sz w:val="24"/>
          <w:szCs w:val="24"/>
        </w:rPr>
        <w:t xml:space="preserve">Kaloupek, D.G. (2004). </w:t>
      </w:r>
      <w:r w:rsidRPr="009F2015">
        <w:rPr>
          <w:rFonts w:ascii="Arial" w:hAnsi="Arial" w:cs="Arial"/>
          <w:i/>
          <w:sz w:val="24"/>
          <w:szCs w:val="24"/>
        </w:rPr>
        <w:t>Unresolved issues</w:t>
      </w:r>
      <w:r w:rsidR="00B55546" w:rsidRPr="009F2015">
        <w:rPr>
          <w:rFonts w:ascii="Arial" w:hAnsi="Arial" w:cs="Arial"/>
          <w:i/>
          <w:sz w:val="24"/>
          <w:szCs w:val="24"/>
        </w:rPr>
        <w:t xml:space="preserve"> </w:t>
      </w:r>
      <w:r w:rsidRPr="009F2015">
        <w:rPr>
          <w:rFonts w:ascii="Arial" w:hAnsi="Arial" w:cs="Arial"/>
          <w:i/>
          <w:sz w:val="24"/>
          <w:szCs w:val="24"/>
        </w:rPr>
        <w:t>in the assessment of trauma exposure and posttraumatic reactions</w:t>
      </w:r>
      <w:r w:rsidRPr="009F2015">
        <w:rPr>
          <w:rFonts w:ascii="Arial" w:hAnsi="Arial" w:cs="Arial"/>
          <w:sz w:val="24"/>
          <w:szCs w:val="24"/>
        </w:rPr>
        <w:t>. In G.M. Rosen (Ed.), Posttraumatic stress disorder: Issues and controversies</w:t>
      </w:r>
      <w:r w:rsidR="00E41A3F" w:rsidRPr="009F2015">
        <w:rPr>
          <w:rFonts w:ascii="Arial" w:hAnsi="Arial" w:cs="Arial"/>
          <w:sz w:val="24"/>
          <w:szCs w:val="24"/>
        </w:rPr>
        <w:t xml:space="preserve"> </w:t>
      </w:r>
      <w:r w:rsidRPr="009F2015">
        <w:rPr>
          <w:rFonts w:ascii="Arial" w:hAnsi="Arial" w:cs="Arial"/>
          <w:sz w:val="24"/>
          <w:szCs w:val="24"/>
        </w:rPr>
        <w:t>(pp. 63–84). New York: Wiley.</w:t>
      </w:r>
    </w:p>
    <w:p w14:paraId="37B50397" w14:textId="431BA86A" w:rsidR="00EF5E8B" w:rsidRPr="00EF5E8B" w:rsidRDefault="00EF5E8B" w:rsidP="00EF5E8B">
      <w:pPr>
        <w:spacing w:line="480" w:lineRule="auto"/>
        <w:ind w:left="709" w:hanging="709"/>
        <w:rPr>
          <w:rFonts w:ascii="Arial" w:hAnsi="Arial" w:cs="Arial"/>
          <w:sz w:val="24"/>
          <w:szCs w:val="24"/>
          <w:lang w:val="en-US"/>
        </w:rPr>
      </w:pPr>
      <w:r w:rsidRPr="00EF5E8B">
        <w:rPr>
          <w:rFonts w:ascii="Arial" w:hAnsi="Arial" w:cs="Arial"/>
          <w:sz w:val="24"/>
          <w:szCs w:val="24"/>
          <w:lang w:val="en-US"/>
        </w:rPr>
        <w:t xml:space="preserve">Gluck, T. M., Knefel, M., Tran, U. S., &amp; Lueger-Schuster, B. (2016). PTSD in ICD-10 and proposed ICD-11 in elderly with childhood trauma: prevalence, factor structure, and symptom profiles. </w:t>
      </w:r>
      <w:r w:rsidRPr="00EF5E8B">
        <w:rPr>
          <w:rFonts w:ascii="Arial" w:hAnsi="Arial" w:cs="Arial"/>
          <w:i/>
          <w:sz w:val="24"/>
          <w:szCs w:val="24"/>
          <w:lang w:val="en-US"/>
        </w:rPr>
        <w:t>European Journal of Psychotraumatology, 7</w:t>
      </w:r>
      <w:r w:rsidRPr="00EF5E8B">
        <w:rPr>
          <w:rFonts w:ascii="Arial" w:hAnsi="Arial" w:cs="Arial"/>
          <w:sz w:val="24"/>
          <w:szCs w:val="24"/>
          <w:lang w:val="en-US"/>
        </w:rPr>
        <w:t>: 29700. doi: 10.3402/ejpt.v7.29700</w:t>
      </w:r>
    </w:p>
    <w:p w14:paraId="4AB3C6B9"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Gratz, K. L., &amp; Roemer, L. (2004). Multidimensional assessment of emotion regulation and dysregulation: Development, factor structure, and initial validation of the difficulties in emotion regulation scale. </w:t>
      </w:r>
      <w:r w:rsidRPr="009F2015">
        <w:rPr>
          <w:rFonts w:ascii="Arial" w:hAnsi="Arial" w:cs="Arial"/>
          <w:i/>
          <w:sz w:val="24"/>
          <w:szCs w:val="24"/>
        </w:rPr>
        <w:t>Journal of Psychopathology and Behavioural Assessment</w:t>
      </w:r>
      <w:r w:rsidRPr="009F2015">
        <w:rPr>
          <w:rFonts w:ascii="Arial" w:hAnsi="Arial" w:cs="Arial"/>
          <w:sz w:val="24"/>
          <w:szCs w:val="24"/>
        </w:rPr>
        <w:t>, 26, 41-54.</w:t>
      </w:r>
    </w:p>
    <w:p w14:paraId="619D609F" w14:textId="77777777" w:rsidR="000749FD" w:rsidRDefault="009E6544" w:rsidP="004B05ED">
      <w:pPr>
        <w:spacing w:line="480" w:lineRule="auto"/>
        <w:ind w:left="709" w:hanging="709"/>
        <w:rPr>
          <w:rFonts w:ascii="Arial" w:hAnsi="Arial" w:cs="Arial"/>
          <w:sz w:val="24"/>
          <w:szCs w:val="24"/>
        </w:rPr>
      </w:pPr>
      <w:r w:rsidRPr="009F2015">
        <w:rPr>
          <w:rFonts w:ascii="Arial" w:hAnsi="Arial" w:cs="Arial"/>
          <w:sz w:val="24"/>
          <w:szCs w:val="24"/>
        </w:rPr>
        <w:t>Gray</w:t>
      </w:r>
      <w:r w:rsidRPr="000749FD">
        <w:rPr>
          <w:rFonts w:ascii="Arial" w:hAnsi="Arial" w:cs="Arial"/>
          <w:sz w:val="24"/>
          <w:szCs w:val="24"/>
        </w:rPr>
        <w:t>, M. J., Litz, B. T., Hsu, J.L., &amp;</w:t>
      </w:r>
      <w:r w:rsidR="00B55546" w:rsidRPr="000749FD">
        <w:rPr>
          <w:rFonts w:ascii="Arial" w:hAnsi="Arial" w:cs="Arial"/>
          <w:sz w:val="24"/>
          <w:szCs w:val="24"/>
        </w:rPr>
        <w:t xml:space="preserve"> </w:t>
      </w:r>
      <w:r w:rsidRPr="000749FD">
        <w:rPr>
          <w:rFonts w:ascii="Arial" w:hAnsi="Arial" w:cs="Arial"/>
          <w:sz w:val="24"/>
          <w:szCs w:val="24"/>
        </w:rPr>
        <w:t xml:space="preserve">Lombardo, T. W. (2014).The psychometric properties of the Life Events Checklist. </w:t>
      </w:r>
      <w:r w:rsidRPr="000749FD">
        <w:rPr>
          <w:rFonts w:ascii="Arial" w:hAnsi="Arial" w:cs="Arial"/>
          <w:i/>
          <w:sz w:val="24"/>
          <w:szCs w:val="24"/>
        </w:rPr>
        <w:t>Assessment</w:t>
      </w:r>
      <w:r w:rsidRPr="000749FD">
        <w:rPr>
          <w:rFonts w:ascii="Arial" w:hAnsi="Arial" w:cs="Arial"/>
          <w:sz w:val="24"/>
          <w:szCs w:val="24"/>
        </w:rPr>
        <w:t>, 11, 330-41.</w:t>
      </w:r>
    </w:p>
    <w:p w14:paraId="5BC00C6C" w14:textId="2D3F9F8B" w:rsidR="0063078E" w:rsidRPr="004B05ED" w:rsidRDefault="0063078E" w:rsidP="004B05ED">
      <w:pPr>
        <w:spacing w:line="480" w:lineRule="auto"/>
        <w:ind w:left="709" w:hanging="709"/>
        <w:rPr>
          <w:rFonts w:ascii="Arial" w:hAnsi="Arial" w:cs="Arial"/>
          <w:sz w:val="24"/>
          <w:szCs w:val="24"/>
        </w:rPr>
      </w:pPr>
      <w:r w:rsidRPr="004B05ED">
        <w:rPr>
          <w:rFonts w:ascii="Arial" w:eastAsia="Times New Roman" w:hAnsi="Arial" w:cs="Arial"/>
          <w:sz w:val="24"/>
          <w:szCs w:val="24"/>
          <w:lang w:val="en-US"/>
        </w:rPr>
        <w:t xml:space="preserve">Keeley, J. W., Reed, G. M., Roberts, M. C., Evans, S. C., Robles, R., Matsumoto, C., ... &amp; Gureje, O. (2016). Disorders specifically associated with stress: A case-controlled field study for ICD-11 mental and behavioural disorders. </w:t>
      </w:r>
      <w:r w:rsidRPr="004B05ED">
        <w:rPr>
          <w:rFonts w:ascii="Arial" w:eastAsia="Times New Roman" w:hAnsi="Arial" w:cs="Arial"/>
          <w:i/>
          <w:iCs/>
          <w:sz w:val="24"/>
          <w:szCs w:val="24"/>
          <w:lang w:val="en-US"/>
        </w:rPr>
        <w:t>International Journal of Clinical and Health Psychology</w:t>
      </w:r>
      <w:r w:rsidRPr="004B05ED">
        <w:rPr>
          <w:rFonts w:ascii="Arial" w:eastAsia="Times New Roman" w:hAnsi="Arial" w:cs="Arial"/>
          <w:sz w:val="24"/>
          <w:szCs w:val="24"/>
          <w:lang w:val="en-US"/>
        </w:rPr>
        <w:t xml:space="preserve">, </w:t>
      </w:r>
      <w:r w:rsidRPr="004B05ED">
        <w:rPr>
          <w:rFonts w:ascii="Arial" w:eastAsia="Times New Roman" w:hAnsi="Arial" w:cs="Arial"/>
          <w:i/>
          <w:iCs/>
          <w:sz w:val="24"/>
          <w:szCs w:val="24"/>
          <w:lang w:val="en-US"/>
        </w:rPr>
        <w:t>16</w:t>
      </w:r>
      <w:r w:rsidRPr="004B05ED">
        <w:rPr>
          <w:rFonts w:ascii="Arial" w:eastAsia="Times New Roman" w:hAnsi="Arial" w:cs="Arial"/>
          <w:sz w:val="24"/>
          <w:szCs w:val="24"/>
          <w:lang w:val="en-US"/>
        </w:rPr>
        <w:t>, 109-127.</w:t>
      </w:r>
    </w:p>
    <w:p w14:paraId="0FBA1F0A" w14:textId="22575874" w:rsid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Jöreskog, K.G. &amp;</w:t>
      </w:r>
      <w:r w:rsidR="00EF5E8B">
        <w:rPr>
          <w:rFonts w:ascii="Arial" w:hAnsi="Arial" w:cs="Arial"/>
          <w:sz w:val="24"/>
          <w:szCs w:val="24"/>
        </w:rPr>
        <w:t xml:space="preserve"> </w:t>
      </w:r>
      <w:r w:rsidRPr="009F2015">
        <w:rPr>
          <w:rFonts w:ascii="Arial" w:hAnsi="Arial" w:cs="Arial"/>
          <w:sz w:val="24"/>
          <w:szCs w:val="24"/>
        </w:rPr>
        <w:t xml:space="preserve">Sörbom, D. (1993).  </w:t>
      </w:r>
      <w:r w:rsidRPr="009F2015">
        <w:rPr>
          <w:rFonts w:ascii="Arial" w:hAnsi="Arial" w:cs="Arial"/>
          <w:i/>
          <w:sz w:val="24"/>
          <w:szCs w:val="24"/>
        </w:rPr>
        <w:t xml:space="preserve">LISREL 8: Structural Equation </w:t>
      </w:r>
      <w:r w:rsidR="009F2015" w:rsidRPr="009F2015">
        <w:rPr>
          <w:rFonts w:ascii="Arial" w:hAnsi="Arial" w:cs="Arial"/>
          <w:i/>
          <w:sz w:val="24"/>
          <w:szCs w:val="24"/>
        </w:rPr>
        <w:t>Modelling</w:t>
      </w:r>
      <w:r w:rsidRPr="009F2015">
        <w:rPr>
          <w:rFonts w:ascii="Arial" w:hAnsi="Arial" w:cs="Arial"/>
          <w:i/>
          <w:sz w:val="24"/>
          <w:szCs w:val="24"/>
        </w:rPr>
        <w:t xml:space="preserve"> with the SIMPLIS Command Language</w:t>
      </w:r>
      <w:r w:rsidRPr="009F2015">
        <w:rPr>
          <w:rFonts w:ascii="Arial" w:hAnsi="Arial" w:cs="Arial"/>
          <w:sz w:val="24"/>
          <w:szCs w:val="24"/>
        </w:rPr>
        <w:t>.  Chicago, Illinois: Scientific Software International.</w:t>
      </w:r>
      <w:r w:rsidR="002B0B88" w:rsidRPr="009F2015">
        <w:rPr>
          <w:rFonts w:ascii="Arial" w:hAnsi="Arial" w:cs="Arial"/>
          <w:sz w:val="24"/>
          <w:szCs w:val="24"/>
        </w:rPr>
        <w:t xml:space="preserve"> </w:t>
      </w:r>
    </w:p>
    <w:p w14:paraId="64DCF145" w14:textId="02C057D8" w:rsidR="00EF5E8B" w:rsidRPr="00EF5E8B" w:rsidRDefault="00EF5E8B" w:rsidP="00EF5E8B">
      <w:pPr>
        <w:spacing w:line="480" w:lineRule="auto"/>
        <w:ind w:left="720" w:hanging="720"/>
        <w:rPr>
          <w:rFonts w:ascii="Arial" w:hAnsi="Arial" w:cs="Arial"/>
          <w:sz w:val="24"/>
          <w:szCs w:val="24"/>
        </w:rPr>
      </w:pPr>
      <w:r w:rsidRPr="00EF5E8B">
        <w:rPr>
          <w:rFonts w:ascii="Arial" w:hAnsi="Arial" w:cs="Arial"/>
          <w:sz w:val="24"/>
          <w:szCs w:val="24"/>
        </w:rPr>
        <w:t xml:space="preserve">Hansen, M., Hyland, P., Armour, C., Shevlin, M., &amp; Elklit, A. (2015). Less is more? Assessing the validity of the ICD-11 model of PTSD across multiple trauma samples. </w:t>
      </w:r>
      <w:r w:rsidRPr="00EF5E8B">
        <w:rPr>
          <w:rFonts w:ascii="Arial" w:hAnsi="Arial" w:cs="Arial"/>
          <w:i/>
          <w:sz w:val="24"/>
          <w:szCs w:val="24"/>
        </w:rPr>
        <w:t>European Journal of Psychotraumatology</w:t>
      </w:r>
      <w:r w:rsidRPr="00EF5E8B">
        <w:rPr>
          <w:rFonts w:ascii="Arial" w:hAnsi="Arial" w:cs="Arial"/>
          <w:sz w:val="24"/>
          <w:szCs w:val="24"/>
        </w:rPr>
        <w:t xml:space="preserve">, 6, 28766 </w:t>
      </w:r>
      <w:hyperlink r:id="rId17" w:history="1">
        <w:r w:rsidRPr="00EF5E8B">
          <w:rPr>
            <w:rStyle w:val="Hyperlink"/>
            <w:rFonts w:ascii="Arial" w:hAnsi="Arial" w:cs="Arial"/>
            <w:sz w:val="24"/>
            <w:szCs w:val="24"/>
          </w:rPr>
          <w:t>http://dx.doi.org/10.3402/ejpt.v6.28766</w:t>
        </w:r>
      </w:hyperlink>
      <w:r w:rsidRPr="00EF5E8B">
        <w:rPr>
          <w:rFonts w:ascii="Arial" w:hAnsi="Arial" w:cs="Arial"/>
          <w:sz w:val="24"/>
          <w:szCs w:val="24"/>
        </w:rPr>
        <w:t xml:space="preserve">. </w:t>
      </w:r>
    </w:p>
    <w:p w14:paraId="6B6D3E97" w14:textId="60F6855A" w:rsidR="008B605F" w:rsidRDefault="008B605F" w:rsidP="008B605F">
      <w:pPr>
        <w:shd w:val="clear" w:color="auto" w:fill="FFFFFF"/>
        <w:spacing w:after="0" w:line="480" w:lineRule="auto"/>
        <w:ind w:left="709" w:hanging="709"/>
        <w:rPr>
          <w:rFonts w:ascii="Arial" w:eastAsia="Times New Roman" w:hAnsi="Arial" w:cs="Arial"/>
          <w:sz w:val="24"/>
          <w:szCs w:val="24"/>
          <w:lang w:eastAsia="en-GB"/>
        </w:rPr>
      </w:pPr>
      <w:r w:rsidRPr="008B605F">
        <w:rPr>
          <w:rFonts w:ascii="Arial" w:eastAsia="Times New Roman" w:hAnsi="Arial" w:cs="Arial"/>
          <w:sz w:val="24"/>
          <w:szCs w:val="24"/>
          <w:lang w:eastAsia="en-GB"/>
        </w:rPr>
        <w:t>Hyland, P., Shevlin, M., Elklit, A., Murphy, J., Vallières, F., Garvert, D. W., &amp; Cloitre, M. (2016). An Assessment of the Construct Validity of the ICD-11 Proposal for Complex</w:t>
      </w:r>
      <w:r>
        <w:rPr>
          <w:rFonts w:ascii="Arial" w:eastAsia="Times New Roman" w:hAnsi="Arial" w:cs="Arial"/>
          <w:sz w:val="24"/>
          <w:szCs w:val="24"/>
          <w:lang w:eastAsia="en-GB"/>
        </w:rPr>
        <w:t xml:space="preserve"> </w:t>
      </w:r>
      <w:r w:rsidRPr="008B605F">
        <w:rPr>
          <w:rFonts w:ascii="Arial" w:eastAsia="Times New Roman" w:hAnsi="Arial" w:cs="Arial"/>
          <w:sz w:val="24"/>
          <w:szCs w:val="24"/>
          <w:lang w:eastAsia="en-GB"/>
        </w:rPr>
        <w:t xml:space="preserve">Posttraumatic Stress Disorder. </w:t>
      </w:r>
      <w:r w:rsidRPr="008B605F">
        <w:rPr>
          <w:rFonts w:ascii="Arial" w:eastAsia="Times New Roman" w:hAnsi="Arial" w:cs="Arial"/>
          <w:i/>
          <w:sz w:val="24"/>
          <w:szCs w:val="24"/>
          <w:lang w:eastAsia="en-GB"/>
        </w:rPr>
        <w:t>Psychological Trauma: Theory, Research, Practice, and Policy</w:t>
      </w:r>
      <w:r w:rsidRPr="008B605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8B605F">
        <w:rPr>
          <w:rFonts w:ascii="Arial" w:eastAsia="Times New Roman" w:hAnsi="Arial" w:cs="Arial"/>
          <w:sz w:val="24"/>
          <w:szCs w:val="24"/>
          <w:lang w:eastAsia="en-GB"/>
        </w:rPr>
        <w:t xml:space="preserve">Advance online publication. http://dx.doi.org/10.1037/tra0000114 </w:t>
      </w:r>
    </w:p>
    <w:p w14:paraId="6C66C0EF" w14:textId="77777777" w:rsidR="008B605F" w:rsidRPr="008B605F" w:rsidRDefault="008B605F" w:rsidP="008B605F">
      <w:pPr>
        <w:shd w:val="clear" w:color="auto" w:fill="FFFFFF"/>
        <w:spacing w:after="0" w:line="240" w:lineRule="auto"/>
        <w:rPr>
          <w:rFonts w:ascii="Arial" w:eastAsia="Times New Roman" w:hAnsi="Arial" w:cs="Arial"/>
          <w:sz w:val="24"/>
          <w:szCs w:val="24"/>
          <w:lang w:eastAsia="en-GB"/>
        </w:rPr>
      </w:pPr>
    </w:p>
    <w:p w14:paraId="662F0DF4" w14:textId="7165C213" w:rsidR="009E6544" w:rsidRPr="009F2015" w:rsidRDefault="00737A0E" w:rsidP="006728E3">
      <w:pPr>
        <w:spacing w:line="480" w:lineRule="auto"/>
        <w:ind w:left="709" w:hanging="709"/>
        <w:rPr>
          <w:rFonts w:ascii="Arial" w:hAnsi="Arial" w:cs="Arial"/>
          <w:sz w:val="24"/>
          <w:szCs w:val="24"/>
        </w:rPr>
      </w:pPr>
      <w:r w:rsidRPr="009F2015">
        <w:rPr>
          <w:rFonts w:ascii="Arial" w:hAnsi="Arial" w:cs="Arial"/>
          <w:sz w:val="24"/>
          <w:szCs w:val="24"/>
        </w:rPr>
        <w:t> </w:t>
      </w:r>
      <w:r w:rsidR="009E6544" w:rsidRPr="009F2015">
        <w:rPr>
          <w:rFonts w:ascii="Arial" w:hAnsi="Arial" w:cs="Arial"/>
          <w:sz w:val="24"/>
          <w:szCs w:val="24"/>
        </w:rPr>
        <w:t xml:space="preserve">Kline, P. (2000). </w:t>
      </w:r>
      <w:r w:rsidR="009E6544" w:rsidRPr="009F2015">
        <w:rPr>
          <w:rFonts w:ascii="Arial" w:hAnsi="Arial" w:cs="Arial"/>
          <w:i/>
          <w:sz w:val="24"/>
          <w:szCs w:val="24"/>
        </w:rPr>
        <w:t>The Handbook of Psychological Testing</w:t>
      </w:r>
      <w:r w:rsidR="009E6544" w:rsidRPr="009F2015">
        <w:rPr>
          <w:rFonts w:ascii="Arial" w:hAnsi="Arial" w:cs="Arial"/>
          <w:sz w:val="24"/>
          <w:szCs w:val="24"/>
        </w:rPr>
        <w:t xml:space="preserve"> (2nd Ed.) London: Routledge.</w:t>
      </w:r>
    </w:p>
    <w:p w14:paraId="36372D4C" w14:textId="01599186"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Knefel, M., Garvert, D. W., Cloitre, M.,&amp;</w:t>
      </w:r>
      <w:r w:rsidR="00B55546" w:rsidRPr="009F2015">
        <w:rPr>
          <w:rFonts w:ascii="Arial" w:hAnsi="Arial" w:cs="Arial"/>
          <w:sz w:val="24"/>
          <w:szCs w:val="24"/>
        </w:rPr>
        <w:t xml:space="preserve"> </w:t>
      </w:r>
      <w:r w:rsidRPr="009F2015">
        <w:rPr>
          <w:rFonts w:ascii="Arial" w:hAnsi="Arial" w:cs="Arial"/>
          <w:sz w:val="24"/>
          <w:szCs w:val="24"/>
        </w:rPr>
        <w:t>Lueger-Schuster, B. (2015). Update to an evaluation of ICD-11 PTSD and complex PTSD criteria in a sample of adult survivors of childhood institutional abuse by Knefel</w:t>
      </w:r>
      <w:r w:rsidR="00B55546" w:rsidRPr="009F2015">
        <w:rPr>
          <w:rFonts w:ascii="Arial" w:hAnsi="Arial" w:cs="Arial"/>
          <w:sz w:val="24"/>
          <w:szCs w:val="24"/>
        </w:rPr>
        <w:t xml:space="preserve"> </w:t>
      </w:r>
      <w:r w:rsidRPr="009F2015">
        <w:rPr>
          <w:rFonts w:ascii="Arial" w:hAnsi="Arial" w:cs="Arial"/>
          <w:sz w:val="24"/>
          <w:szCs w:val="24"/>
        </w:rPr>
        <w:t>&amp;</w:t>
      </w:r>
      <w:r w:rsidR="00B55546" w:rsidRPr="009F2015">
        <w:rPr>
          <w:rFonts w:ascii="Arial" w:hAnsi="Arial" w:cs="Arial"/>
          <w:sz w:val="24"/>
          <w:szCs w:val="24"/>
        </w:rPr>
        <w:t xml:space="preserve"> </w:t>
      </w:r>
      <w:r w:rsidRPr="009F2015">
        <w:rPr>
          <w:rFonts w:ascii="Arial" w:hAnsi="Arial" w:cs="Arial"/>
          <w:sz w:val="24"/>
          <w:szCs w:val="24"/>
        </w:rPr>
        <w:t xml:space="preserve">Lueger-Schuster (2013): A latent profile analysis. </w:t>
      </w:r>
      <w:r w:rsidRPr="009F2015">
        <w:rPr>
          <w:rFonts w:ascii="Arial" w:hAnsi="Arial" w:cs="Arial"/>
          <w:i/>
          <w:sz w:val="24"/>
          <w:szCs w:val="24"/>
        </w:rPr>
        <w:t>European Journal of Psychotraumatology</w:t>
      </w:r>
      <w:r w:rsidRPr="009F2015">
        <w:rPr>
          <w:rFonts w:ascii="Arial" w:hAnsi="Arial" w:cs="Arial"/>
          <w:sz w:val="24"/>
          <w:szCs w:val="24"/>
        </w:rPr>
        <w:t>, 6, 25290.</w:t>
      </w:r>
    </w:p>
    <w:p w14:paraId="6A1E671F"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Maercker, A., Brewin, C. R., Bryant, R. A., Cloitre, M., Reed, G. M., Van Ommeren, M. … Saxena, S. (2013). Proposals for mental disorders specifically associated with stress in the international classification of diseases. </w:t>
      </w:r>
      <w:r w:rsidRPr="009F2015">
        <w:rPr>
          <w:rFonts w:ascii="Arial" w:hAnsi="Arial" w:cs="Arial"/>
          <w:i/>
          <w:sz w:val="24"/>
          <w:szCs w:val="24"/>
        </w:rPr>
        <w:t>Lancet</w:t>
      </w:r>
      <w:r w:rsidRPr="009F2015">
        <w:rPr>
          <w:rFonts w:ascii="Arial" w:hAnsi="Arial" w:cs="Arial"/>
          <w:sz w:val="24"/>
          <w:szCs w:val="24"/>
        </w:rPr>
        <w:t xml:space="preserve">, 381 (9878), 1683-1685. </w:t>
      </w:r>
    </w:p>
    <w:p w14:paraId="2B670F91" w14:textId="184407DD"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Muthén, L. K., &amp;</w:t>
      </w:r>
      <w:r w:rsidR="00B55546" w:rsidRPr="009F2015">
        <w:rPr>
          <w:rFonts w:ascii="Arial" w:hAnsi="Arial" w:cs="Arial"/>
          <w:sz w:val="24"/>
          <w:szCs w:val="24"/>
        </w:rPr>
        <w:t xml:space="preserve"> </w:t>
      </w:r>
      <w:r w:rsidRPr="009F2015">
        <w:rPr>
          <w:rFonts w:ascii="Arial" w:hAnsi="Arial" w:cs="Arial"/>
          <w:sz w:val="24"/>
          <w:szCs w:val="24"/>
        </w:rPr>
        <w:t>Muthén, B. O. (2013). MPlus user’s guide (7th ed.). Los Angeles, CA: Muthén</w:t>
      </w:r>
      <w:r w:rsidR="00B55546" w:rsidRPr="009F2015">
        <w:rPr>
          <w:rFonts w:ascii="Arial" w:hAnsi="Arial" w:cs="Arial"/>
          <w:sz w:val="24"/>
          <w:szCs w:val="24"/>
        </w:rPr>
        <w:t xml:space="preserve"> </w:t>
      </w:r>
      <w:r w:rsidRPr="009F2015">
        <w:rPr>
          <w:rFonts w:ascii="Arial" w:hAnsi="Arial" w:cs="Arial"/>
          <w:sz w:val="24"/>
          <w:szCs w:val="24"/>
        </w:rPr>
        <w:t>&amp;</w:t>
      </w:r>
      <w:r w:rsidR="00B55546" w:rsidRPr="009F2015">
        <w:rPr>
          <w:rFonts w:ascii="Arial" w:hAnsi="Arial" w:cs="Arial"/>
          <w:sz w:val="24"/>
          <w:szCs w:val="24"/>
        </w:rPr>
        <w:t xml:space="preserve"> </w:t>
      </w:r>
      <w:r w:rsidRPr="009F2015">
        <w:rPr>
          <w:rFonts w:ascii="Arial" w:hAnsi="Arial" w:cs="Arial"/>
          <w:sz w:val="24"/>
          <w:szCs w:val="24"/>
        </w:rPr>
        <w:t xml:space="preserve">Muthén. </w:t>
      </w:r>
    </w:p>
    <w:p w14:paraId="2BCCF875" w14:textId="296F0CE4"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O’Donnell, M. L., Creamer, M., &amp;</w:t>
      </w:r>
      <w:r w:rsidR="00B55546" w:rsidRPr="009F2015">
        <w:rPr>
          <w:rFonts w:ascii="Arial" w:hAnsi="Arial" w:cs="Arial"/>
          <w:sz w:val="24"/>
          <w:szCs w:val="24"/>
        </w:rPr>
        <w:t xml:space="preserve"> </w:t>
      </w:r>
      <w:r w:rsidRPr="009F2015">
        <w:rPr>
          <w:rFonts w:ascii="Arial" w:hAnsi="Arial" w:cs="Arial"/>
          <w:sz w:val="24"/>
          <w:szCs w:val="24"/>
        </w:rPr>
        <w:t>Pattison, P. (2004)</w:t>
      </w:r>
      <w:r w:rsidR="00B55546" w:rsidRPr="009F2015">
        <w:rPr>
          <w:rFonts w:ascii="Arial" w:hAnsi="Arial" w:cs="Arial"/>
          <w:sz w:val="24"/>
          <w:szCs w:val="24"/>
        </w:rPr>
        <w:t>.</w:t>
      </w:r>
      <w:r w:rsidRPr="009F2015">
        <w:rPr>
          <w:rFonts w:ascii="Arial" w:hAnsi="Arial" w:cs="Arial"/>
          <w:sz w:val="24"/>
          <w:szCs w:val="24"/>
        </w:rPr>
        <w:t xml:space="preserve"> Posttraumatic </w:t>
      </w:r>
      <w:r w:rsidR="00B55546" w:rsidRPr="009F2015">
        <w:rPr>
          <w:rFonts w:ascii="Arial" w:hAnsi="Arial" w:cs="Arial"/>
          <w:sz w:val="24"/>
          <w:szCs w:val="24"/>
        </w:rPr>
        <w:t>s</w:t>
      </w:r>
      <w:r w:rsidRPr="009F2015">
        <w:rPr>
          <w:rFonts w:ascii="Arial" w:hAnsi="Arial" w:cs="Arial"/>
          <w:sz w:val="24"/>
          <w:szCs w:val="24"/>
        </w:rPr>
        <w:t xml:space="preserve">tress </w:t>
      </w:r>
      <w:r w:rsidR="00B55546" w:rsidRPr="009F2015">
        <w:rPr>
          <w:rFonts w:ascii="Arial" w:hAnsi="Arial" w:cs="Arial"/>
          <w:sz w:val="24"/>
          <w:szCs w:val="24"/>
        </w:rPr>
        <w:t>d</w:t>
      </w:r>
      <w:r w:rsidRPr="009F2015">
        <w:rPr>
          <w:rFonts w:ascii="Arial" w:hAnsi="Arial" w:cs="Arial"/>
          <w:sz w:val="24"/>
          <w:szCs w:val="24"/>
        </w:rPr>
        <w:t xml:space="preserve">isorder and </w:t>
      </w:r>
      <w:r w:rsidR="00B55546" w:rsidRPr="009F2015">
        <w:rPr>
          <w:rFonts w:ascii="Arial" w:hAnsi="Arial" w:cs="Arial"/>
          <w:sz w:val="24"/>
          <w:szCs w:val="24"/>
        </w:rPr>
        <w:t>d</w:t>
      </w:r>
      <w:r w:rsidRPr="009F2015">
        <w:rPr>
          <w:rFonts w:ascii="Arial" w:hAnsi="Arial" w:cs="Arial"/>
          <w:sz w:val="24"/>
          <w:szCs w:val="24"/>
        </w:rPr>
        <w:t xml:space="preserve">epression </w:t>
      </w:r>
      <w:r w:rsidR="00B55546" w:rsidRPr="009F2015">
        <w:rPr>
          <w:rFonts w:ascii="Arial" w:hAnsi="Arial" w:cs="Arial"/>
          <w:sz w:val="24"/>
          <w:szCs w:val="24"/>
        </w:rPr>
        <w:t>f</w:t>
      </w:r>
      <w:r w:rsidRPr="009F2015">
        <w:rPr>
          <w:rFonts w:ascii="Arial" w:hAnsi="Arial" w:cs="Arial"/>
          <w:sz w:val="24"/>
          <w:szCs w:val="24"/>
        </w:rPr>
        <w:t xml:space="preserve">ollowing </w:t>
      </w:r>
      <w:r w:rsidR="00B55546" w:rsidRPr="009F2015">
        <w:rPr>
          <w:rFonts w:ascii="Arial" w:hAnsi="Arial" w:cs="Arial"/>
          <w:sz w:val="24"/>
          <w:szCs w:val="24"/>
        </w:rPr>
        <w:t>t</w:t>
      </w:r>
      <w:r w:rsidRPr="009F2015">
        <w:rPr>
          <w:rFonts w:ascii="Arial" w:hAnsi="Arial" w:cs="Arial"/>
          <w:sz w:val="24"/>
          <w:szCs w:val="24"/>
        </w:rPr>
        <w:t xml:space="preserve">rauma: Understanding </w:t>
      </w:r>
      <w:r w:rsidR="00B55546" w:rsidRPr="009F2015">
        <w:rPr>
          <w:rFonts w:ascii="Arial" w:hAnsi="Arial" w:cs="Arial"/>
          <w:sz w:val="24"/>
          <w:szCs w:val="24"/>
        </w:rPr>
        <w:t>c</w:t>
      </w:r>
      <w:r w:rsidRPr="009F2015">
        <w:rPr>
          <w:rFonts w:ascii="Arial" w:hAnsi="Arial" w:cs="Arial"/>
          <w:sz w:val="24"/>
          <w:szCs w:val="24"/>
        </w:rPr>
        <w:t>omorbidity</w:t>
      </w:r>
      <w:r w:rsidRPr="009F2015">
        <w:rPr>
          <w:rFonts w:ascii="Arial" w:hAnsi="Arial" w:cs="Arial"/>
          <w:i/>
          <w:sz w:val="24"/>
          <w:szCs w:val="24"/>
        </w:rPr>
        <w:t>. American Journal of Psychiatry,</w:t>
      </w:r>
      <w:r w:rsidRPr="009F2015">
        <w:rPr>
          <w:rFonts w:ascii="Arial" w:hAnsi="Arial" w:cs="Arial"/>
          <w:sz w:val="24"/>
          <w:szCs w:val="24"/>
        </w:rPr>
        <w:t xml:space="preserve"> 161(8), 1390 – 1396.</w:t>
      </w:r>
    </w:p>
    <w:p w14:paraId="71645E9E" w14:textId="3669DA01"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Perkonigg, A., Hoffler, M., Wittchen, H. U., Trautmann, S., &amp;</w:t>
      </w:r>
      <w:r w:rsidR="00B55546" w:rsidRPr="009F2015">
        <w:rPr>
          <w:rFonts w:ascii="Arial" w:hAnsi="Arial" w:cs="Arial"/>
          <w:sz w:val="24"/>
          <w:szCs w:val="24"/>
        </w:rPr>
        <w:t xml:space="preserve"> </w:t>
      </w:r>
      <w:r w:rsidRPr="009F2015">
        <w:rPr>
          <w:rFonts w:ascii="Arial" w:hAnsi="Arial" w:cs="Arial"/>
          <w:sz w:val="24"/>
          <w:szCs w:val="24"/>
        </w:rPr>
        <w:t>Maercker, A. (2014, March). Evidence for the ICD-11 definitions of PTSD and complex PTSD among youth and young adults. In Symposium (Chairs: A. Maercker</w:t>
      </w:r>
      <w:r w:rsidR="00B55546" w:rsidRPr="009F2015">
        <w:rPr>
          <w:rFonts w:ascii="Arial" w:hAnsi="Arial" w:cs="Arial"/>
          <w:sz w:val="24"/>
          <w:szCs w:val="24"/>
        </w:rPr>
        <w:t xml:space="preserve"> </w:t>
      </w:r>
      <w:r w:rsidRPr="009F2015">
        <w:rPr>
          <w:rFonts w:ascii="Arial" w:hAnsi="Arial" w:cs="Arial"/>
          <w:sz w:val="24"/>
          <w:szCs w:val="24"/>
        </w:rPr>
        <w:t xml:space="preserve">&amp; B. Lueger-Schuster) PTSD and complex PTSD: Studies on the proposed new definitions of the disorders for ICD-11. </w:t>
      </w:r>
      <w:r w:rsidRPr="009F2015">
        <w:rPr>
          <w:rFonts w:ascii="Arial" w:hAnsi="Arial" w:cs="Arial"/>
          <w:i/>
          <w:sz w:val="24"/>
          <w:szCs w:val="24"/>
        </w:rPr>
        <w:t>The German Speaking Society on Psychotraumatology</w:t>
      </w:r>
      <w:r w:rsidRPr="009F2015">
        <w:rPr>
          <w:rFonts w:ascii="Arial" w:hAnsi="Arial" w:cs="Arial"/>
          <w:sz w:val="24"/>
          <w:szCs w:val="24"/>
        </w:rPr>
        <w:t>. Hamburg, Germany.</w:t>
      </w:r>
    </w:p>
    <w:p w14:paraId="328EC37E"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Raykov, T. (1997). Estimation of composite reliability for congeneric measures. </w:t>
      </w:r>
      <w:r w:rsidRPr="009F2015">
        <w:rPr>
          <w:rFonts w:ascii="Arial" w:hAnsi="Arial" w:cs="Arial"/>
          <w:i/>
          <w:sz w:val="24"/>
          <w:szCs w:val="24"/>
        </w:rPr>
        <w:t>Applied Psychological Measurement</w:t>
      </w:r>
      <w:r w:rsidRPr="009F2015">
        <w:rPr>
          <w:rFonts w:ascii="Arial" w:hAnsi="Arial" w:cs="Arial"/>
          <w:sz w:val="24"/>
          <w:szCs w:val="24"/>
        </w:rPr>
        <w:t>, 21(2), 173-184.</w:t>
      </w:r>
    </w:p>
    <w:p w14:paraId="29EE886D" w14:textId="244E47F1"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Rosenberg, M. (1965). </w:t>
      </w:r>
      <w:r w:rsidRPr="009F2015">
        <w:rPr>
          <w:rFonts w:ascii="Arial" w:hAnsi="Arial" w:cs="Arial"/>
          <w:i/>
          <w:sz w:val="24"/>
          <w:szCs w:val="24"/>
        </w:rPr>
        <w:t>Society and the Adolescent Image</w:t>
      </w:r>
      <w:r w:rsidRPr="009F2015">
        <w:rPr>
          <w:rFonts w:ascii="Arial" w:hAnsi="Arial" w:cs="Arial"/>
          <w:sz w:val="24"/>
          <w:szCs w:val="24"/>
        </w:rPr>
        <w:t>. Princeton: Princeton University Press.</w:t>
      </w:r>
    </w:p>
    <w:p w14:paraId="431E5203"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Soldz, S., Budman, S., Demby, A., &amp; Merry, J. (1995). A short form of the Inventory of Interpersonal Problems Circumplex scales. </w:t>
      </w:r>
      <w:r w:rsidRPr="009F2015">
        <w:rPr>
          <w:rFonts w:ascii="Arial" w:hAnsi="Arial" w:cs="Arial"/>
          <w:i/>
          <w:sz w:val="24"/>
          <w:szCs w:val="24"/>
        </w:rPr>
        <w:t>Assessment</w:t>
      </w:r>
      <w:r w:rsidRPr="009F2015">
        <w:rPr>
          <w:rFonts w:ascii="Arial" w:hAnsi="Arial" w:cs="Arial"/>
          <w:sz w:val="24"/>
          <w:szCs w:val="24"/>
        </w:rPr>
        <w:t>, 2, 53–63.</w:t>
      </w:r>
    </w:p>
    <w:p w14:paraId="7D3D2516"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Steiger, J. H. (1990). Structural model evaluation and modification: An interval estimation approach. </w:t>
      </w:r>
      <w:r w:rsidRPr="009F2015">
        <w:rPr>
          <w:rFonts w:ascii="Arial" w:hAnsi="Arial" w:cs="Arial"/>
          <w:i/>
          <w:sz w:val="24"/>
          <w:szCs w:val="24"/>
        </w:rPr>
        <w:t>Multivariate Behavioural Research</w:t>
      </w:r>
      <w:r w:rsidRPr="009F2015">
        <w:rPr>
          <w:rFonts w:ascii="Arial" w:hAnsi="Arial" w:cs="Arial"/>
          <w:sz w:val="24"/>
          <w:szCs w:val="24"/>
        </w:rPr>
        <w:t>, 25(2), 173-180.</w:t>
      </w:r>
    </w:p>
    <w:p w14:paraId="2DC4C1B1" w14:textId="77777777" w:rsidR="009E6544"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Tanaka, J. S. (1987). “How big is big enough?” Sample size and goodness of fit in structural equation models with latent variables. </w:t>
      </w:r>
      <w:r w:rsidRPr="009F2015">
        <w:rPr>
          <w:rFonts w:ascii="Arial" w:hAnsi="Arial" w:cs="Arial"/>
          <w:i/>
          <w:sz w:val="24"/>
          <w:szCs w:val="24"/>
        </w:rPr>
        <w:t>Child Development</w:t>
      </w:r>
      <w:r w:rsidRPr="009F2015">
        <w:rPr>
          <w:rFonts w:ascii="Arial" w:hAnsi="Arial" w:cs="Arial"/>
          <w:sz w:val="24"/>
          <w:szCs w:val="24"/>
        </w:rPr>
        <w:t>, 58(1), 134-146.</w:t>
      </w:r>
    </w:p>
    <w:p w14:paraId="53AFF962" w14:textId="0E0FEF92" w:rsidR="00EF5E8B" w:rsidRPr="009F2015" w:rsidRDefault="00EF5E8B" w:rsidP="00EF5E8B">
      <w:pPr>
        <w:spacing w:line="480" w:lineRule="auto"/>
        <w:ind w:left="709" w:hanging="709"/>
        <w:rPr>
          <w:rFonts w:ascii="Arial" w:hAnsi="Arial" w:cs="Arial"/>
          <w:sz w:val="24"/>
          <w:szCs w:val="24"/>
        </w:rPr>
      </w:pPr>
      <w:r w:rsidRPr="00EF5E8B">
        <w:rPr>
          <w:rFonts w:ascii="Arial" w:hAnsi="Arial" w:cs="Arial"/>
          <w:sz w:val="24"/>
          <w:szCs w:val="24"/>
        </w:rPr>
        <w:t>Tay, A.</w:t>
      </w:r>
      <w:r>
        <w:rPr>
          <w:rFonts w:ascii="Arial" w:hAnsi="Arial" w:cs="Arial"/>
          <w:sz w:val="24"/>
          <w:szCs w:val="24"/>
        </w:rPr>
        <w:t xml:space="preserve"> </w:t>
      </w:r>
      <w:r w:rsidRPr="00EF5E8B">
        <w:rPr>
          <w:rFonts w:ascii="Arial" w:hAnsi="Arial" w:cs="Arial"/>
          <w:sz w:val="24"/>
          <w:szCs w:val="24"/>
        </w:rPr>
        <w:t xml:space="preserve">K, Rees, S., Steel, Z., Tam, N., Soares, Z., Soares, C., </w:t>
      </w:r>
      <w:r>
        <w:rPr>
          <w:rFonts w:ascii="Arial" w:hAnsi="Arial" w:cs="Arial"/>
          <w:sz w:val="24"/>
          <w:szCs w:val="24"/>
        </w:rPr>
        <w:t xml:space="preserve">&amp; </w:t>
      </w:r>
      <w:r w:rsidRPr="00EF5E8B">
        <w:rPr>
          <w:rFonts w:ascii="Arial" w:hAnsi="Arial" w:cs="Arial"/>
          <w:sz w:val="24"/>
          <w:szCs w:val="24"/>
        </w:rPr>
        <w:t xml:space="preserve">Silove, D. M. (2016). Six-year trajectories of post-traumatic stress and severe psychological distress symptoms and associations with timing of trauma exposure, ongoing adversity and sense of injustice: a latent transition analysis of a community cohort in conflict-affected Timor-Leste. </w:t>
      </w:r>
      <w:r w:rsidRPr="00EF5E8B">
        <w:rPr>
          <w:rFonts w:ascii="Arial" w:hAnsi="Arial" w:cs="Arial"/>
          <w:i/>
          <w:sz w:val="24"/>
          <w:szCs w:val="24"/>
        </w:rPr>
        <w:t>BMJ Open</w:t>
      </w:r>
      <w:r w:rsidRPr="00EF5E8B">
        <w:rPr>
          <w:rFonts w:ascii="Arial" w:hAnsi="Arial" w:cs="Arial"/>
          <w:sz w:val="24"/>
          <w:szCs w:val="24"/>
        </w:rPr>
        <w:t>, Feb 23; 6(2) e010205. doi: 10.1136/bmjopen-2015-010205.</w:t>
      </w:r>
    </w:p>
    <w:p w14:paraId="70477126"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Tucker, L. R., &amp; Lewis, C. (1973). The reliability coefficient for maximum likelihood factor analysis. </w:t>
      </w:r>
      <w:r w:rsidRPr="009F2015">
        <w:rPr>
          <w:rFonts w:ascii="Arial" w:hAnsi="Arial" w:cs="Arial"/>
          <w:i/>
          <w:sz w:val="24"/>
          <w:szCs w:val="24"/>
        </w:rPr>
        <w:t>Psychometrika</w:t>
      </w:r>
      <w:r w:rsidRPr="009F2015">
        <w:rPr>
          <w:rFonts w:ascii="Arial" w:hAnsi="Arial" w:cs="Arial"/>
          <w:sz w:val="24"/>
          <w:szCs w:val="24"/>
        </w:rPr>
        <w:t>, 38(1), 1-10.</w:t>
      </w:r>
    </w:p>
    <w:p w14:paraId="7FCCB470" w14:textId="7E5C14AA" w:rsidR="009E6544" w:rsidRPr="006728E3" w:rsidRDefault="009E6544" w:rsidP="006728E3">
      <w:pPr>
        <w:spacing w:line="480" w:lineRule="auto"/>
        <w:ind w:left="709" w:hanging="709"/>
        <w:rPr>
          <w:rFonts w:ascii="Arial" w:hAnsi="Arial" w:cs="Arial"/>
          <w:sz w:val="24"/>
          <w:szCs w:val="24"/>
        </w:rPr>
      </w:pPr>
      <w:r w:rsidRPr="006728E3">
        <w:rPr>
          <w:rFonts w:ascii="Arial" w:hAnsi="Arial" w:cs="Arial"/>
          <w:sz w:val="24"/>
          <w:szCs w:val="24"/>
        </w:rPr>
        <w:t>Weathers, F. W., Litz, B. T., Keane, T. M., Palmieri, P. A., Marx, B. P., &amp;</w:t>
      </w:r>
      <w:r w:rsidR="00B55546" w:rsidRPr="006728E3">
        <w:rPr>
          <w:rFonts w:ascii="Arial" w:hAnsi="Arial" w:cs="Arial"/>
          <w:sz w:val="24"/>
          <w:szCs w:val="24"/>
        </w:rPr>
        <w:t xml:space="preserve"> </w:t>
      </w:r>
      <w:r w:rsidRPr="006728E3">
        <w:rPr>
          <w:rFonts w:ascii="Arial" w:hAnsi="Arial" w:cs="Arial"/>
          <w:sz w:val="24"/>
          <w:szCs w:val="24"/>
        </w:rPr>
        <w:t xml:space="preserve">Schnurr, P. P. (2013). </w:t>
      </w:r>
      <w:r w:rsidRPr="006728E3">
        <w:rPr>
          <w:rFonts w:ascii="Arial" w:hAnsi="Arial" w:cs="Arial"/>
          <w:i/>
          <w:sz w:val="24"/>
          <w:szCs w:val="24"/>
        </w:rPr>
        <w:t>The PTSD checklist for DSM-5 (PCL-5)</w:t>
      </w:r>
      <w:r w:rsidRPr="006728E3">
        <w:rPr>
          <w:rFonts w:ascii="Arial" w:hAnsi="Arial" w:cs="Arial"/>
          <w:sz w:val="24"/>
          <w:szCs w:val="24"/>
        </w:rPr>
        <w:t xml:space="preserve">. National Center for PTSD </w:t>
      </w:r>
      <w:r w:rsidR="00B310F9" w:rsidRPr="006728E3">
        <w:rPr>
          <w:rFonts w:ascii="Arial" w:hAnsi="Arial" w:cs="Arial"/>
          <w:sz w:val="24"/>
          <w:szCs w:val="24"/>
        </w:rPr>
        <w:t>www.ptsd.va.gov</w:t>
      </w:r>
      <w:r w:rsidRPr="006728E3">
        <w:rPr>
          <w:rFonts w:ascii="Arial" w:hAnsi="Arial" w:cs="Arial"/>
          <w:sz w:val="24"/>
          <w:szCs w:val="24"/>
        </w:rPr>
        <w:t xml:space="preserve">. </w:t>
      </w:r>
    </w:p>
    <w:p w14:paraId="26566CAE" w14:textId="7777777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 xml:space="preserve">Wilson, J.P., &amp; Keane, T.M. (Eds.). (2004). </w:t>
      </w:r>
      <w:r w:rsidRPr="009F2015">
        <w:rPr>
          <w:rFonts w:ascii="Arial" w:hAnsi="Arial" w:cs="Arial"/>
          <w:i/>
          <w:sz w:val="24"/>
          <w:szCs w:val="24"/>
        </w:rPr>
        <w:t>Assessing psychological trauma and PTSD</w:t>
      </w:r>
      <w:r w:rsidRPr="009F2015">
        <w:rPr>
          <w:rFonts w:ascii="Arial" w:hAnsi="Arial" w:cs="Arial"/>
          <w:sz w:val="24"/>
          <w:szCs w:val="24"/>
        </w:rPr>
        <w:t xml:space="preserve"> (2nd ed.). New York: Guilford.</w:t>
      </w:r>
    </w:p>
    <w:p w14:paraId="5C940DC6" w14:textId="128BAA07"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Wolf, E., Miller, M., Kilpatrick, D., Resnick, H., Badour, C. L…. Friedman, M. J. (2015). ICD–11 complex PTSD in U.S. national and veteran samples: Prevalence and structural associations with PTSD.</w:t>
      </w:r>
      <w:r w:rsidR="00B55546" w:rsidRPr="009F2015">
        <w:rPr>
          <w:rFonts w:ascii="Arial" w:hAnsi="Arial" w:cs="Arial"/>
          <w:sz w:val="24"/>
          <w:szCs w:val="24"/>
        </w:rPr>
        <w:t xml:space="preserve"> </w:t>
      </w:r>
      <w:r w:rsidRPr="009F2015">
        <w:rPr>
          <w:rFonts w:ascii="Arial" w:hAnsi="Arial" w:cs="Arial"/>
          <w:i/>
          <w:sz w:val="24"/>
          <w:szCs w:val="24"/>
        </w:rPr>
        <w:t>Clinical Psychological Science</w:t>
      </w:r>
      <w:r w:rsidRPr="009F2015">
        <w:rPr>
          <w:rFonts w:ascii="Arial" w:hAnsi="Arial" w:cs="Arial"/>
          <w:sz w:val="24"/>
          <w:szCs w:val="24"/>
        </w:rPr>
        <w:t>, 3 (2), 215-229.</w:t>
      </w:r>
    </w:p>
    <w:p w14:paraId="36E15878" w14:textId="06739C25" w:rsidR="009E6544" w:rsidRPr="009F2015" w:rsidRDefault="009E6544" w:rsidP="006728E3">
      <w:pPr>
        <w:spacing w:line="480" w:lineRule="auto"/>
        <w:ind w:left="709" w:hanging="709"/>
        <w:rPr>
          <w:rFonts w:ascii="Arial" w:hAnsi="Arial" w:cs="Arial"/>
          <w:sz w:val="24"/>
          <w:szCs w:val="24"/>
        </w:rPr>
      </w:pPr>
      <w:r w:rsidRPr="009F2015">
        <w:rPr>
          <w:rFonts w:ascii="Arial" w:hAnsi="Arial" w:cs="Arial"/>
          <w:sz w:val="24"/>
          <w:szCs w:val="24"/>
        </w:rPr>
        <w:t>Yu, C.</w:t>
      </w:r>
      <w:r w:rsidR="00E654A0">
        <w:rPr>
          <w:rFonts w:ascii="Arial" w:hAnsi="Arial" w:cs="Arial"/>
          <w:sz w:val="24"/>
          <w:szCs w:val="24"/>
        </w:rPr>
        <w:t xml:space="preserve"> </w:t>
      </w:r>
      <w:r w:rsidRPr="009F2015">
        <w:rPr>
          <w:rFonts w:ascii="Arial" w:hAnsi="Arial" w:cs="Arial"/>
          <w:sz w:val="24"/>
          <w:szCs w:val="24"/>
        </w:rPr>
        <w:t>Y. (2002). Doctoral dissertation. </w:t>
      </w:r>
      <w:r w:rsidRPr="009F2015">
        <w:rPr>
          <w:rFonts w:ascii="Arial" w:hAnsi="Arial" w:cs="Arial"/>
          <w:i/>
          <w:sz w:val="24"/>
          <w:szCs w:val="24"/>
        </w:rPr>
        <w:t xml:space="preserve">Evaluating </w:t>
      </w:r>
      <w:r w:rsidR="009F2015" w:rsidRPr="009F2015">
        <w:rPr>
          <w:rFonts w:ascii="Arial" w:hAnsi="Arial" w:cs="Arial"/>
          <w:i/>
          <w:sz w:val="24"/>
          <w:szCs w:val="24"/>
        </w:rPr>
        <w:t>cut-off</w:t>
      </w:r>
      <w:r w:rsidRPr="009F2015">
        <w:rPr>
          <w:rFonts w:ascii="Arial" w:hAnsi="Arial" w:cs="Arial"/>
          <w:i/>
          <w:sz w:val="24"/>
          <w:szCs w:val="24"/>
        </w:rPr>
        <w:t xml:space="preserve"> criteria of model fit indices for latent variable models with binary and continuous outcomes</w:t>
      </w:r>
      <w:r w:rsidRPr="009F2015">
        <w:rPr>
          <w:rFonts w:ascii="Arial" w:hAnsi="Arial" w:cs="Arial"/>
          <w:sz w:val="24"/>
          <w:szCs w:val="24"/>
        </w:rPr>
        <w:t>. Los Angeles: University of California.</w:t>
      </w:r>
    </w:p>
    <w:p w14:paraId="7E0BD0E0" w14:textId="77777777" w:rsidR="009E6544" w:rsidRPr="009F2015" w:rsidRDefault="009E6544" w:rsidP="009F2015">
      <w:pPr>
        <w:spacing w:line="480" w:lineRule="auto"/>
        <w:rPr>
          <w:rFonts w:ascii="Arial" w:hAnsi="Arial" w:cs="Arial"/>
          <w:sz w:val="24"/>
          <w:szCs w:val="24"/>
        </w:rPr>
        <w:sectPr w:rsidR="009E6544" w:rsidRPr="009F2015" w:rsidSect="00086573">
          <w:headerReference w:type="default" r:id="rId18"/>
          <w:footerReference w:type="default" r:id="rId19"/>
          <w:pgSz w:w="11906" w:h="16838"/>
          <w:pgMar w:top="1440" w:right="1440" w:bottom="1440" w:left="1440" w:header="709" w:footer="709" w:gutter="0"/>
          <w:cols w:space="708"/>
          <w:docGrid w:linePitch="360"/>
        </w:sectPr>
      </w:pPr>
    </w:p>
    <w:p w14:paraId="2659270D" w14:textId="27192594" w:rsidR="009E6544" w:rsidRPr="00A008F0" w:rsidRDefault="009E6544" w:rsidP="00E65DFD">
      <w:pPr>
        <w:spacing w:line="480" w:lineRule="auto"/>
        <w:rPr>
          <w:rFonts w:ascii="Arial" w:hAnsi="Arial" w:cs="Arial"/>
          <w:b/>
          <w:bCs/>
          <w:sz w:val="24"/>
          <w:szCs w:val="24"/>
        </w:rPr>
      </w:pPr>
      <w:r w:rsidRPr="00A008F0">
        <w:rPr>
          <w:rFonts w:ascii="Arial" w:hAnsi="Arial" w:cs="Arial"/>
          <w:b/>
          <w:bCs/>
          <w:sz w:val="24"/>
          <w:szCs w:val="24"/>
        </w:rPr>
        <w:t xml:space="preserve">Table 1. Fit Statistics for the Alternative Models of the ICD-11 PTSD </w:t>
      </w:r>
      <w:r w:rsidR="00C24E0A" w:rsidRPr="00A008F0">
        <w:rPr>
          <w:rFonts w:ascii="Arial" w:hAnsi="Arial" w:cs="Arial"/>
          <w:b/>
          <w:bCs/>
          <w:sz w:val="24"/>
          <w:szCs w:val="24"/>
        </w:rPr>
        <w:t>and CPTSD Symptoms</w:t>
      </w:r>
    </w:p>
    <w:tbl>
      <w:tblPr>
        <w:tblpPr w:leftFromText="180" w:rightFromText="180" w:vertAnchor="text" w:tblpY="137"/>
        <w:tblW w:w="10314" w:type="dxa"/>
        <w:tblBorders>
          <w:top w:val="single" w:sz="8" w:space="0" w:color="000000"/>
          <w:bottom w:val="single" w:sz="8" w:space="0" w:color="000000"/>
        </w:tblBorders>
        <w:tblLook w:val="0080" w:firstRow="0" w:lastRow="0" w:firstColumn="1" w:lastColumn="0" w:noHBand="0" w:noVBand="0"/>
      </w:tblPr>
      <w:tblGrid>
        <w:gridCol w:w="1161"/>
        <w:gridCol w:w="2227"/>
        <w:gridCol w:w="3808"/>
        <w:gridCol w:w="1559"/>
        <w:gridCol w:w="1559"/>
      </w:tblGrid>
      <w:tr w:rsidR="00F60D81" w:rsidRPr="00A008F0" w14:paraId="6614E9EE" w14:textId="77777777" w:rsidTr="00F60D81">
        <w:tc>
          <w:tcPr>
            <w:tcW w:w="1161" w:type="dxa"/>
            <w:tcBorders>
              <w:top w:val="single" w:sz="12" w:space="0" w:color="auto"/>
              <w:bottom w:val="single" w:sz="4" w:space="0" w:color="auto"/>
            </w:tcBorders>
          </w:tcPr>
          <w:p w14:paraId="453BD2FF"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 Model</w:t>
            </w:r>
          </w:p>
        </w:tc>
        <w:tc>
          <w:tcPr>
            <w:tcW w:w="2227" w:type="dxa"/>
            <w:tcBorders>
              <w:top w:val="single" w:sz="12" w:space="0" w:color="auto"/>
              <w:bottom w:val="single" w:sz="4" w:space="0" w:color="auto"/>
            </w:tcBorders>
          </w:tcPr>
          <w:p w14:paraId="231A6019"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Chi-square (df)</w:t>
            </w:r>
          </w:p>
        </w:tc>
        <w:tc>
          <w:tcPr>
            <w:tcW w:w="3808" w:type="dxa"/>
            <w:tcBorders>
              <w:top w:val="single" w:sz="12" w:space="0" w:color="auto"/>
              <w:bottom w:val="single" w:sz="4" w:space="0" w:color="auto"/>
            </w:tcBorders>
          </w:tcPr>
          <w:p w14:paraId="45E5624B" w14:textId="69089BDE"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RMSEA (90% CI)</w:t>
            </w:r>
          </w:p>
        </w:tc>
        <w:tc>
          <w:tcPr>
            <w:tcW w:w="1559" w:type="dxa"/>
            <w:tcBorders>
              <w:top w:val="single" w:sz="12" w:space="0" w:color="auto"/>
              <w:bottom w:val="single" w:sz="4" w:space="0" w:color="auto"/>
            </w:tcBorders>
          </w:tcPr>
          <w:p w14:paraId="0BF8AE77"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CFI</w:t>
            </w:r>
          </w:p>
        </w:tc>
        <w:tc>
          <w:tcPr>
            <w:tcW w:w="1559" w:type="dxa"/>
            <w:tcBorders>
              <w:top w:val="single" w:sz="12" w:space="0" w:color="auto"/>
              <w:bottom w:val="single" w:sz="4" w:space="0" w:color="auto"/>
            </w:tcBorders>
          </w:tcPr>
          <w:p w14:paraId="5E49CF30"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TLI</w:t>
            </w:r>
          </w:p>
        </w:tc>
      </w:tr>
      <w:tr w:rsidR="00F60D81" w:rsidRPr="00A008F0" w14:paraId="58C6A3A5" w14:textId="77777777" w:rsidTr="00F60D81">
        <w:tc>
          <w:tcPr>
            <w:tcW w:w="1161" w:type="dxa"/>
            <w:tcBorders>
              <w:top w:val="single" w:sz="4" w:space="0" w:color="auto"/>
            </w:tcBorders>
          </w:tcPr>
          <w:p w14:paraId="4B5F49BE"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1</w:t>
            </w:r>
          </w:p>
        </w:tc>
        <w:tc>
          <w:tcPr>
            <w:tcW w:w="2227" w:type="dxa"/>
            <w:tcBorders>
              <w:top w:val="single" w:sz="4" w:space="0" w:color="auto"/>
            </w:tcBorders>
          </w:tcPr>
          <w:p w14:paraId="219CE8A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867.10 (230)</w:t>
            </w:r>
            <w:r w:rsidRPr="00A008F0">
              <w:rPr>
                <w:rStyle w:val="citation"/>
                <w:rFonts w:ascii="Arial" w:hAnsi="Arial" w:cs="Arial"/>
                <w:sz w:val="24"/>
                <w:szCs w:val="24"/>
              </w:rPr>
              <w:t>*</w:t>
            </w:r>
          </w:p>
        </w:tc>
        <w:tc>
          <w:tcPr>
            <w:tcW w:w="3808" w:type="dxa"/>
            <w:tcBorders>
              <w:top w:val="single" w:sz="4" w:space="0" w:color="auto"/>
            </w:tcBorders>
          </w:tcPr>
          <w:p w14:paraId="1B95EDFE"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.119 (.111-.128)</w:t>
            </w:r>
          </w:p>
        </w:tc>
        <w:tc>
          <w:tcPr>
            <w:tcW w:w="1559" w:type="dxa"/>
            <w:tcBorders>
              <w:top w:val="single" w:sz="4" w:space="0" w:color="auto"/>
            </w:tcBorders>
          </w:tcPr>
          <w:p w14:paraId="61D7D9E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.894</w:t>
            </w:r>
          </w:p>
        </w:tc>
        <w:tc>
          <w:tcPr>
            <w:tcW w:w="1559" w:type="dxa"/>
            <w:tcBorders>
              <w:top w:val="single" w:sz="4" w:space="0" w:color="auto"/>
            </w:tcBorders>
          </w:tcPr>
          <w:p w14:paraId="30CF485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.883</w:t>
            </w:r>
          </w:p>
        </w:tc>
      </w:tr>
      <w:tr w:rsidR="00F60D81" w:rsidRPr="00A008F0" w14:paraId="651ABF4C" w14:textId="77777777" w:rsidTr="00F60D81">
        <w:tc>
          <w:tcPr>
            <w:tcW w:w="1161" w:type="dxa"/>
          </w:tcPr>
          <w:p w14:paraId="5780CF6D"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2</w:t>
            </w:r>
          </w:p>
        </w:tc>
        <w:tc>
          <w:tcPr>
            <w:tcW w:w="2227" w:type="dxa"/>
          </w:tcPr>
          <w:p w14:paraId="03A26450"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401.98 (215)</w:t>
            </w:r>
            <w:r w:rsidRPr="00A008F0">
              <w:rPr>
                <w:rStyle w:val="citation"/>
                <w:rFonts w:ascii="Arial" w:hAnsi="Arial" w:cs="Arial"/>
                <w:sz w:val="24"/>
                <w:szCs w:val="24"/>
              </w:rPr>
              <w:t>*</w:t>
            </w:r>
          </w:p>
        </w:tc>
        <w:tc>
          <w:tcPr>
            <w:tcW w:w="3808" w:type="dxa"/>
          </w:tcPr>
          <w:p w14:paraId="07EF1121"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.067 (.057-.077)</w:t>
            </w:r>
          </w:p>
        </w:tc>
        <w:tc>
          <w:tcPr>
            <w:tcW w:w="1559" w:type="dxa"/>
          </w:tcPr>
          <w:p w14:paraId="7970DE13"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.969</w:t>
            </w:r>
          </w:p>
        </w:tc>
        <w:tc>
          <w:tcPr>
            <w:tcW w:w="1559" w:type="dxa"/>
          </w:tcPr>
          <w:p w14:paraId="7A047CDB"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.963</w:t>
            </w:r>
          </w:p>
        </w:tc>
      </w:tr>
      <w:tr w:rsidR="00F60D81" w:rsidRPr="00A008F0" w14:paraId="59227335" w14:textId="77777777" w:rsidTr="00F60D81">
        <w:tc>
          <w:tcPr>
            <w:tcW w:w="1161" w:type="dxa"/>
          </w:tcPr>
          <w:p w14:paraId="4E29B2CE"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3</w:t>
            </w:r>
          </w:p>
        </w:tc>
        <w:tc>
          <w:tcPr>
            <w:tcW w:w="2227" w:type="dxa"/>
          </w:tcPr>
          <w:p w14:paraId="30BD6DC4"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452.53 (224)</w:t>
            </w:r>
            <w:r w:rsidRPr="00A008F0">
              <w:rPr>
                <w:rStyle w:val="citation"/>
                <w:rFonts w:ascii="Arial" w:hAnsi="Arial" w:cs="Arial"/>
                <w:sz w:val="24"/>
                <w:szCs w:val="24"/>
              </w:rPr>
              <w:t>*</w:t>
            </w:r>
          </w:p>
        </w:tc>
        <w:tc>
          <w:tcPr>
            <w:tcW w:w="3808" w:type="dxa"/>
          </w:tcPr>
          <w:p w14:paraId="6E28C560"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.073 (.063-.082)</w:t>
            </w:r>
          </w:p>
        </w:tc>
        <w:tc>
          <w:tcPr>
            <w:tcW w:w="1559" w:type="dxa"/>
          </w:tcPr>
          <w:p w14:paraId="2D28F787"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.962</w:t>
            </w:r>
          </w:p>
        </w:tc>
        <w:tc>
          <w:tcPr>
            <w:tcW w:w="1559" w:type="dxa"/>
          </w:tcPr>
          <w:p w14:paraId="17ACAF11"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.957</w:t>
            </w:r>
          </w:p>
        </w:tc>
      </w:tr>
      <w:tr w:rsidR="00F60D81" w:rsidRPr="00A008F0" w14:paraId="175A97B1" w14:textId="77777777" w:rsidTr="00F60D81">
        <w:tc>
          <w:tcPr>
            <w:tcW w:w="1161" w:type="dxa"/>
          </w:tcPr>
          <w:p w14:paraId="19AAA235"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4</w:t>
            </w:r>
          </w:p>
        </w:tc>
        <w:tc>
          <w:tcPr>
            <w:tcW w:w="2227" w:type="dxa"/>
          </w:tcPr>
          <w:p w14:paraId="421D789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399.81 (223)</w:t>
            </w:r>
            <w:r w:rsidRPr="00A008F0">
              <w:rPr>
                <w:rStyle w:val="citation"/>
                <w:rFonts w:ascii="Arial" w:hAnsi="Arial" w:cs="Arial"/>
                <w:sz w:val="24"/>
                <w:szCs w:val="24"/>
              </w:rPr>
              <w:t>*</w:t>
            </w:r>
          </w:p>
        </w:tc>
        <w:tc>
          <w:tcPr>
            <w:tcW w:w="3808" w:type="dxa"/>
          </w:tcPr>
          <w:p w14:paraId="7FA7E835"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.064 (.054-.074)</w:t>
            </w:r>
          </w:p>
        </w:tc>
        <w:tc>
          <w:tcPr>
            <w:tcW w:w="1559" w:type="dxa"/>
          </w:tcPr>
          <w:p w14:paraId="678431A9"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.970</w:t>
            </w:r>
          </w:p>
        </w:tc>
        <w:tc>
          <w:tcPr>
            <w:tcW w:w="1559" w:type="dxa"/>
          </w:tcPr>
          <w:p w14:paraId="55721CB3"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.967</w:t>
            </w:r>
          </w:p>
        </w:tc>
      </w:tr>
      <w:tr w:rsidR="00F60D81" w:rsidRPr="00A008F0" w14:paraId="4BE08EA9" w14:textId="77777777" w:rsidTr="00F60D81">
        <w:tc>
          <w:tcPr>
            <w:tcW w:w="1161" w:type="dxa"/>
          </w:tcPr>
          <w:p w14:paraId="097A1C0C"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5</w:t>
            </w:r>
          </w:p>
        </w:tc>
        <w:tc>
          <w:tcPr>
            <w:tcW w:w="2227" w:type="dxa"/>
          </w:tcPr>
          <w:p w14:paraId="2C92BB6C"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458.63 (226)</w:t>
            </w:r>
            <w:r w:rsidRPr="00A008F0">
              <w:rPr>
                <w:rStyle w:val="citation"/>
                <w:rFonts w:ascii="Arial" w:hAnsi="Arial" w:cs="Arial"/>
                <w:sz w:val="24"/>
                <w:szCs w:val="24"/>
              </w:rPr>
              <w:t>*</w:t>
            </w:r>
          </w:p>
        </w:tc>
        <w:tc>
          <w:tcPr>
            <w:tcW w:w="3808" w:type="dxa"/>
          </w:tcPr>
          <w:p w14:paraId="142CE784"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.073 (.063-.082)</w:t>
            </w:r>
          </w:p>
        </w:tc>
        <w:tc>
          <w:tcPr>
            <w:tcW w:w="1559" w:type="dxa"/>
          </w:tcPr>
          <w:p w14:paraId="19BA7F28"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.961</w:t>
            </w:r>
          </w:p>
        </w:tc>
        <w:tc>
          <w:tcPr>
            <w:tcW w:w="1559" w:type="dxa"/>
          </w:tcPr>
          <w:p w14:paraId="22ACF0F5"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.957</w:t>
            </w:r>
          </w:p>
        </w:tc>
      </w:tr>
      <w:tr w:rsidR="00F60D81" w:rsidRPr="00A008F0" w14:paraId="54070369" w14:textId="77777777" w:rsidTr="00F60D81">
        <w:tc>
          <w:tcPr>
            <w:tcW w:w="1161" w:type="dxa"/>
          </w:tcPr>
          <w:p w14:paraId="00CDD046"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6</w:t>
            </w:r>
          </w:p>
        </w:tc>
        <w:tc>
          <w:tcPr>
            <w:tcW w:w="2227" w:type="dxa"/>
          </w:tcPr>
          <w:p w14:paraId="72BBCFF7"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583.60 (224)</w:t>
            </w:r>
            <w:r w:rsidRPr="00A008F0">
              <w:rPr>
                <w:rStyle w:val="citation"/>
                <w:rFonts w:ascii="Arial" w:hAnsi="Arial" w:cs="Arial"/>
                <w:sz w:val="24"/>
                <w:szCs w:val="24"/>
              </w:rPr>
              <w:t>*</w:t>
            </w:r>
          </w:p>
        </w:tc>
        <w:tc>
          <w:tcPr>
            <w:tcW w:w="3808" w:type="dxa"/>
          </w:tcPr>
          <w:p w14:paraId="2A261BF6"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.091 (.082-.100)</w:t>
            </w:r>
          </w:p>
        </w:tc>
        <w:tc>
          <w:tcPr>
            <w:tcW w:w="1559" w:type="dxa"/>
          </w:tcPr>
          <w:p w14:paraId="130B7AAC"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.940</w:t>
            </w:r>
          </w:p>
        </w:tc>
        <w:tc>
          <w:tcPr>
            <w:tcW w:w="1559" w:type="dxa"/>
          </w:tcPr>
          <w:p w14:paraId="3A6DC4D8"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.932</w:t>
            </w:r>
          </w:p>
        </w:tc>
      </w:tr>
      <w:tr w:rsidR="00F60D81" w:rsidRPr="00A008F0" w14:paraId="1A561AA2" w14:textId="77777777" w:rsidTr="00F60D81">
        <w:tc>
          <w:tcPr>
            <w:tcW w:w="1161" w:type="dxa"/>
            <w:tcBorders>
              <w:bottom w:val="single" w:sz="8" w:space="0" w:color="000000"/>
            </w:tcBorders>
          </w:tcPr>
          <w:p w14:paraId="2C1AA425" w14:textId="77777777" w:rsidR="00F60D81" w:rsidRPr="00A008F0" w:rsidRDefault="00F60D81" w:rsidP="00FA6751">
            <w:pPr>
              <w:spacing w:line="480" w:lineRule="auto"/>
              <w:rPr>
                <w:rFonts w:ascii="Arial" w:hAnsi="Arial" w:cs="Arial"/>
                <w:b/>
                <w:bCs/>
                <w:sz w:val="24"/>
                <w:szCs w:val="24"/>
              </w:rPr>
            </w:pPr>
            <w:r w:rsidRPr="00A008F0">
              <w:rPr>
                <w:rFonts w:ascii="Arial" w:hAnsi="Arial" w:cs="Arial"/>
                <w:sz w:val="24"/>
                <w:szCs w:val="24"/>
              </w:rPr>
              <w:t>7</w:t>
            </w:r>
          </w:p>
        </w:tc>
        <w:tc>
          <w:tcPr>
            <w:tcW w:w="2227" w:type="dxa"/>
            <w:tcBorders>
              <w:bottom w:val="single" w:sz="8" w:space="0" w:color="000000"/>
            </w:tcBorders>
          </w:tcPr>
          <w:p w14:paraId="1517E07B"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629.42 (229)</w:t>
            </w:r>
            <w:r w:rsidRPr="00A008F0">
              <w:rPr>
                <w:rStyle w:val="citation"/>
                <w:rFonts w:ascii="Arial" w:hAnsi="Arial" w:cs="Arial"/>
                <w:sz w:val="24"/>
                <w:szCs w:val="24"/>
              </w:rPr>
              <w:t>*</w:t>
            </w:r>
          </w:p>
        </w:tc>
        <w:tc>
          <w:tcPr>
            <w:tcW w:w="3808" w:type="dxa"/>
            <w:tcBorders>
              <w:bottom w:val="single" w:sz="8" w:space="0" w:color="000000"/>
            </w:tcBorders>
          </w:tcPr>
          <w:p w14:paraId="500B9BA2"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.095 (.086-.104)</w:t>
            </w:r>
          </w:p>
        </w:tc>
        <w:tc>
          <w:tcPr>
            <w:tcW w:w="1559" w:type="dxa"/>
            <w:tcBorders>
              <w:bottom w:val="single" w:sz="8" w:space="0" w:color="000000"/>
            </w:tcBorders>
          </w:tcPr>
          <w:p w14:paraId="685E8498"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.933</w:t>
            </w:r>
          </w:p>
        </w:tc>
        <w:tc>
          <w:tcPr>
            <w:tcW w:w="1559" w:type="dxa"/>
            <w:tcBorders>
              <w:bottom w:val="single" w:sz="8" w:space="0" w:color="000000"/>
            </w:tcBorders>
          </w:tcPr>
          <w:p w14:paraId="0D11A6E5" w14:textId="77777777" w:rsidR="00F60D81" w:rsidRPr="00A008F0" w:rsidRDefault="00F60D81" w:rsidP="00FA6751">
            <w:pPr>
              <w:spacing w:line="480" w:lineRule="auto"/>
              <w:jc w:val="center"/>
              <w:rPr>
                <w:rFonts w:ascii="Arial" w:hAnsi="Arial" w:cs="Arial"/>
                <w:sz w:val="24"/>
                <w:szCs w:val="24"/>
              </w:rPr>
            </w:pPr>
            <w:r w:rsidRPr="00A008F0">
              <w:rPr>
                <w:rFonts w:ascii="Arial" w:hAnsi="Arial" w:cs="Arial"/>
                <w:sz w:val="24"/>
                <w:szCs w:val="24"/>
              </w:rPr>
              <w:t>.926</w:t>
            </w:r>
          </w:p>
        </w:tc>
      </w:tr>
    </w:tbl>
    <w:p w14:paraId="74486D39" w14:textId="77777777" w:rsidR="009E6544" w:rsidRPr="00EB0D5A" w:rsidRDefault="009E6544" w:rsidP="00E65DFD">
      <w:pPr>
        <w:spacing w:line="480" w:lineRule="auto"/>
        <w:rPr>
          <w:rFonts w:ascii="Arial" w:hAnsi="Arial" w:cs="Arial"/>
          <w:color w:val="303030"/>
          <w:sz w:val="24"/>
          <w:szCs w:val="24"/>
        </w:rPr>
      </w:pPr>
    </w:p>
    <w:p w14:paraId="199322A3" w14:textId="77777777" w:rsidR="009E6544" w:rsidRPr="00EB0D5A" w:rsidRDefault="009E6544" w:rsidP="00AC2E29">
      <w:pPr>
        <w:spacing w:line="480" w:lineRule="auto"/>
        <w:ind w:firstLine="720"/>
        <w:rPr>
          <w:rFonts w:ascii="Arial" w:hAnsi="Arial" w:cs="Arial"/>
          <w:color w:val="303030"/>
          <w:sz w:val="24"/>
          <w:szCs w:val="24"/>
        </w:rPr>
      </w:pPr>
    </w:p>
    <w:p w14:paraId="3CA495AA" w14:textId="77777777" w:rsidR="009E6544" w:rsidRPr="00EB0D5A" w:rsidRDefault="009E6544" w:rsidP="00AC2E29">
      <w:pPr>
        <w:spacing w:line="480" w:lineRule="auto"/>
        <w:ind w:firstLine="720"/>
        <w:rPr>
          <w:rFonts w:ascii="Arial" w:hAnsi="Arial" w:cs="Arial"/>
          <w:color w:val="303030"/>
          <w:sz w:val="24"/>
          <w:szCs w:val="24"/>
        </w:rPr>
      </w:pPr>
    </w:p>
    <w:p w14:paraId="110E7B6B" w14:textId="77777777" w:rsidR="009E6544" w:rsidRPr="00EB0D5A" w:rsidRDefault="009E6544" w:rsidP="00AC2E29">
      <w:pPr>
        <w:spacing w:line="480" w:lineRule="auto"/>
        <w:ind w:firstLine="720"/>
        <w:rPr>
          <w:rFonts w:ascii="Arial" w:hAnsi="Arial" w:cs="Arial"/>
          <w:color w:val="303030"/>
          <w:sz w:val="24"/>
          <w:szCs w:val="24"/>
        </w:rPr>
      </w:pPr>
    </w:p>
    <w:p w14:paraId="73A1777B" w14:textId="77777777" w:rsidR="009E6544" w:rsidRPr="00EB0D5A" w:rsidRDefault="009E6544" w:rsidP="00AC2E29">
      <w:pPr>
        <w:spacing w:line="480" w:lineRule="auto"/>
        <w:ind w:firstLine="720"/>
        <w:rPr>
          <w:rStyle w:val="citation"/>
          <w:rFonts w:ascii="Arial" w:hAnsi="Arial" w:cs="Arial"/>
          <w:color w:val="303030"/>
          <w:sz w:val="24"/>
          <w:szCs w:val="24"/>
        </w:rPr>
      </w:pPr>
    </w:p>
    <w:p w14:paraId="1471B20E" w14:textId="77777777" w:rsidR="009E6544" w:rsidRPr="00EB0D5A" w:rsidRDefault="009E6544" w:rsidP="00AC2E29">
      <w:pPr>
        <w:spacing w:line="480" w:lineRule="auto"/>
        <w:ind w:firstLine="720"/>
        <w:rPr>
          <w:rStyle w:val="citation"/>
          <w:rFonts w:ascii="Arial" w:hAnsi="Arial" w:cs="Arial"/>
          <w:color w:val="303030"/>
          <w:sz w:val="24"/>
          <w:szCs w:val="24"/>
        </w:rPr>
      </w:pPr>
    </w:p>
    <w:p w14:paraId="68C88D0A" w14:textId="77777777" w:rsidR="009E6544" w:rsidRPr="00EB0D5A" w:rsidRDefault="009E6544" w:rsidP="00AC2E29">
      <w:pPr>
        <w:spacing w:line="480" w:lineRule="auto"/>
        <w:ind w:firstLine="720"/>
        <w:rPr>
          <w:rStyle w:val="citation"/>
          <w:rFonts w:ascii="Arial" w:hAnsi="Arial" w:cs="Arial"/>
          <w:color w:val="303030"/>
          <w:sz w:val="24"/>
          <w:szCs w:val="24"/>
        </w:rPr>
      </w:pPr>
    </w:p>
    <w:p w14:paraId="70D79D2F" w14:textId="77777777" w:rsidR="009E6544" w:rsidRPr="00EB0D5A" w:rsidRDefault="009E6544" w:rsidP="00AC2E29">
      <w:pPr>
        <w:spacing w:line="480" w:lineRule="auto"/>
        <w:ind w:firstLine="720"/>
        <w:rPr>
          <w:rStyle w:val="citation"/>
          <w:rFonts w:ascii="Arial" w:hAnsi="Arial" w:cs="Arial"/>
          <w:color w:val="303030"/>
          <w:sz w:val="24"/>
          <w:szCs w:val="24"/>
        </w:rPr>
      </w:pPr>
    </w:p>
    <w:p w14:paraId="76BF167A" w14:textId="77777777" w:rsidR="00E654A0" w:rsidRDefault="00E654A0" w:rsidP="00E654A0">
      <w:pPr>
        <w:spacing w:line="480" w:lineRule="auto"/>
        <w:rPr>
          <w:rStyle w:val="citation"/>
          <w:rFonts w:ascii="Arial" w:hAnsi="Arial" w:cs="Arial"/>
          <w:color w:val="303030"/>
          <w:sz w:val="24"/>
          <w:szCs w:val="24"/>
        </w:rPr>
      </w:pPr>
    </w:p>
    <w:p w14:paraId="54D60951" w14:textId="32965226" w:rsidR="009E6544" w:rsidRPr="00EB0D5A" w:rsidRDefault="009E6544" w:rsidP="00E654A0">
      <w:pPr>
        <w:spacing w:line="480" w:lineRule="auto"/>
        <w:rPr>
          <w:rFonts w:ascii="Arial" w:hAnsi="Arial" w:cs="Arial"/>
          <w:sz w:val="24"/>
          <w:szCs w:val="24"/>
          <w:lang w:val="en-IE"/>
        </w:rPr>
        <w:sectPr w:rsidR="009E6544" w:rsidRPr="00EB0D5A" w:rsidSect="00B62607">
          <w:pgSz w:w="16838" w:h="11906" w:orient="landscape"/>
          <w:pgMar w:top="1440" w:right="1440" w:bottom="1440" w:left="1440" w:header="709" w:footer="709" w:gutter="0"/>
          <w:cols w:space="708"/>
          <w:docGrid w:linePitch="360"/>
        </w:sectPr>
      </w:pPr>
      <w:r w:rsidRPr="00A008F0">
        <w:rPr>
          <w:rStyle w:val="citation"/>
          <w:rFonts w:ascii="Arial" w:hAnsi="Arial" w:cs="Arial"/>
          <w:sz w:val="24"/>
          <w:szCs w:val="24"/>
        </w:rPr>
        <w:t xml:space="preserve">Note: * p &lt; .05; </w:t>
      </w:r>
      <w:r w:rsidRPr="00A008F0">
        <w:rPr>
          <w:rFonts w:ascii="Arial" w:hAnsi="Arial" w:cs="Arial"/>
          <w:sz w:val="24"/>
          <w:szCs w:val="24"/>
          <w:lang w:val="en-IE"/>
        </w:rPr>
        <w:t>df = degrees of freedom; CFI = Comparative Fit Index; TLI = Tucker Lewis Index;</w:t>
      </w:r>
      <w:r w:rsidR="009C1B59">
        <w:rPr>
          <w:rFonts w:ascii="Arial" w:hAnsi="Arial" w:cs="Arial"/>
          <w:sz w:val="24"/>
          <w:szCs w:val="24"/>
          <w:lang w:val="en-IE"/>
        </w:rPr>
        <w:t xml:space="preserve"> </w:t>
      </w:r>
      <w:r w:rsidRPr="00A008F0">
        <w:rPr>
          <w:rFonts w:ascii="Arial" w:hAnsi="Arial" w:cs="Arial"/>
          <w:sz w:val="24"/>
          <w:szCs w:val="24"/>
          <w:lang w:val="en-IE"/>
        </w:rPr>
        <w:t>RMSEA = Root-Mean-</w:t>
      </w:r>
      <w:r w:rsidRPr="00EB0D5A">
        <w:rPr>
          <w:rFonts w:ascii="Arial" w:hAnsi="Arial" w:cs="Arial"/>
          <w:sz w:val="24"/>
          <w:szCs w:val="24"/>
          <w:lang w:val="en-IE"/>
        </w:rPr>
        <w:t>Square Error</w:t>
      </w:r>
      <w:r w:rsidR="00F60D81">
        <w:rPr>
          <w:rFonts w:ascii="Arial" w:hAnsi="Arial" w:cs="Arial"/>
          <w:sz w:val="24"/>
          <w:szCs w:val="24"/>
          <w:lang w:val="en-IE"/>
        </w:rPr>
        <w:t xml:space="preserve"> of Approximation</w:t>
      </w:r>
      <w:r w:rsidRPr="00EB0D5A">
        <w:rPr>
          <w:rFonts w:ascii="Arial" w:hAnsi="Arial" w:cs="Arial"/>
          <w:sz w:val="24"/>
          <w:szCs w:val="24"/>
          <w:lang w:val="en-IE"/>
        </w:rPr>
        <w:t>.</w:t>
      </w:r>
    </w:p>
    <w:p w14:paraId="32304CD5" w14:textId="0AC37683" w:rsidR="009E6544" w:rsidRPr="00894056" w:rsidRDefault="009E6544" w:rsidP="00B87406">
      <w:pPr>
        <w:spacing w:line="240" w:lineRule="auto"/>
        <w:rPr>
          <w:rFonts w:ascii="Arial" w:hAnsi="Arial" w:cs="Arial"/>
          <w:b/>
          <w:bCs/>
          <w:sz w:val="24"/>
          <w:szCs w:val="24"/>
        </w:rPr>
      </w:pPr>
      <w:r w:rsidRPr="00894056">
        <w:rPr>
          <w:rFonts w:ascii="Arial" w:hAnsi="Arial" w:cs="Arial"/>
          <w:b/>
          <w:bCs/>
          <w:sz w:val="24"/>
          <w:szCs w:val="24"/>
        </w:rPr>
        <w:t xml:space="preserve">Table 2. First-order Factor Loadings for Model 4 of the ICD-11 </w:t>
      </w:r>
      <w:r w:rsidR="00C24E0A">
        <w:rPr>
          <w:rFonts w:ascii="Arial" w:hAnsi="Arial" w:cs="Arial"/>
          <w:b/>
          <w:bCs/>
          <w:sz w:val="24"/>
          <w:szCs w:val="24"/>
        </w:rPr>
        <w:t xml:space="preserve">PTSD and </w:t>
      </w:r>
      <w:r w:rsidRPr="00894056">
        <w:rPr>
          <w:rFonts w:ascii="Arial" w:hAnsi="Arial" w:cs="Arial"/>
          <w:b/>
          <w:bCs/>
          <w:sz w:val="24"/>
          <w:szCs w:val="24"/>
        </w:rPr>
        <w:t>CPTSD S</w:t>
      </w:r>
      <w:r w:rsidR="00C24E0A">
        <w:rPr>
          <w:rFonts w:ascii="Arial" w:hAnsi="Arial" w:cs="Arial"/>
          <w:b/>
          <w:bCs/>
          <w:sz w:val="24"/>
          <w:szCs w:val="24"/>
        </w:rPr>
        <w:t>ymptoms</w:t>
      </w:r>
      <w:r w:rsidRPr="00894056">
        <w:rPr>
          <w:rFonts w:ascii="Arial" w:hAnsi="Arial" w:cs="Arial"/>
          <w:b/>
          <w:bCs/>
          <w:sz w:val="24"/>
          <w:szCs w:val="24"/>
        </w:rPr>
        <w:t>.</w:t>
      </w:r>
    </w:p>
    <w:tbl>
      <w:tblPr>
        <w:tblW w:w="4430" w:type="pct"/>
        <w:tblBorders>
          <w:top w:val="single" w:sz="4" w:space="0" w:color="auto"/>
          <w:bottom w:val="single" w:sz="4" w:space="0" w:color="auto"/>
        </w:tblBorders>
        <w:tblLook w:val="0020" w:firstRow="1" w:lastRow="0" w:firstColumn="0" w:lastColumn="0" w:noHBand="0" w:noVBand="0"/>
      </w:tblPr>
      <w:tblGrid>
        <w:gridCol w:w="960"/>
        <w:gridCol w:w="1204"/>
        <w:gridCol w:w="1205"/>
        <w:gridCol w:w="1205"/>
        <w:gridCol w:w="1204"/>
        <w:gridCol w:w="1205"/>
        <w:gridCol w:w="1205"/>
      </w:tblGrid>
      <w:tr w:rsidR="009E6544" w:rsidRPr="00FA6751" w14:paraId="368E5CB1" w14:textId="77777777">
        <w:trPr>
          <w:trHeight w:val="567"/>
        </w:trPr>
        <w:tc>
          <w:tcPr>
            <w:tcW w:w="586" w:type="pct"/>
            <w:tcBorders>
              <w:top w:val="single" w:sz="12" w:space="0" w:color="auto"/>
              <w:bottom w:val="single" w:sz="4" w:space="0" w:color="auto"/>
            </w:tcBorders>
          </w:tcPr>
          <w:p w14:paraId="02004A25"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Item</w:t>
            </w:r>
          </w:p>
        </w:tc>
        <w:tc>
          <w:tcPr>
            <w:tcW w:w="735" w:type="pct"/>
            <w:tcBorders>
              <w:top w:val="single" w:sz="12" w:space="0" w:color="auto"/>
              <w:bottom w:val="single" w:sz="4" w:space="0" w:color="auto"/>
            </w:tcBorders>
          </w:tcPr>
          <w:p w14:paraId="60291AD9"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RE</w:t>
            </w:r>
          </w:p>
        </w:tc>
        <w:tc>
          <w:tcPr>
            <w:tcW w:w="736" w:type="pct"/>
            <w:tcBorders>
              <w:top w:val="single" w:sz="12" w:space="0" w:color="auto"/>
              <w:bottom w:val="single" w:sz="4" w:space="0" w:color="auto"/>
            </w:tcBorders>
          </w:tcPr>
          <w:p w14:paraId="23F7D386" w14:textId="15B2BF04"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A</w:t>
            </w:r>
            <w:r w:rsidR="009F2015">
              <w:rPr>
                <w:rFonts w:ascii="Arial" w:hAnsi="Arial" w:cs="Arial"/>
                <w:sz w:val="24"/>
                <w:szCs w:val="24"/>
              </w:rPr>
              <w:t>V</w:t>
            </w:r>
          </w:p>
        </w:tc>
        <w:tc>
          <w:tcPr>
            <w:tcW w:w="736" w:type="pct"/>
            <w:tcBorders>
              <w:top w:val="single" w:sz="12" w:space="0" w:color="auto"/>
              <w:bottom w:val="single" w:sz="4" w:space="0" w:color="auto"/>
            </w:tcBorders>
          </w:tcPr>
          <w:p w14:paraId="757A7A3E" w14:textId="7882203A" w:rsidR="009E6544" w:rsidRPr="00EB0D5A" w:rsidRDefault="00171A3B" w:rsidP="00B87406">
            <w:pPr>
              <w:pStyle w:val="NoSpacing"/>
              <w:jc w:val="center"/>
              <w:rPr>
                <w:rFonts w:ascii="Arial" w:hAnsi="Arial" w:cs="Arial"/>
                <w:sz w:val="24"/>
                <w:szCs w:val="24"/>
              </w:rPr>
            </w:pPr>
            <w:r>
              <w:rPr>
                <w:rFonts w:ascii="Arial" w:hAnsi="Arial" w:cs="Arial"/>
                <w:sz w:val="24"/>
                <w:szCs w:val="24"/>
              </w:rPr>
              <w:t>TH</w:t>
            </w:r>
          </w:p>
        </w:tc>
        <w:tc>
          <w:tcPr>
            <w:tcW w:w="735" w:type="pct"/>
            <w:tcBorders>
              <w:top w:val="single" w:sz="12" w:space="0" w:color="auto"/>
              <w:bottom w:val="single" w:sz="4" w:space="0" w:color="auto"/>
            </w:tcBorders>
          </w:tcPr>
          <w:p w14:paraId="76B0900F" w14:textId="5DD48B2D" w:rsidR="009E6544" w:rsidRPr="00EB0D5A" w:rsidRDefault="009F2015" w:rsidP="00B87406">
            <w:pPr>
              <w:pStyle w:val="NoSpacing"/>
              <w:jc w:val="center"/>
              <w:rPr>
                <w:rFonts w:ascii="Arial" w:hAnsi="Arial" w:cs="Arial"/>
                <w:sz w:val="24"/>
                <w:szCs w:val="24"/>
              </w:rPr>
            </w:pPr>
            <w:r>
              <w:rPr>
                <w:rFonts w:ascii="Arial" w:hAnsi="Arial" w:cs="Arial"/>
                <w:sz w:val="24"/>
                <w:szCs w:val="24"/>
              </w:rPr>
              <w:t>AD</w:t>
            </w:r>
          </w:p>
        </w:tc>
        <w:tc>
          <w:tcPr>
            <w:tcW w:w="736" w:type="pct"/>
            <w:tcBorders>
              <w:top w:val="single" w:sz="12" w:space="0" w:color="auto"/>
              <w:bottom w:val="single" w:sz="4" w:space="0" w:color="auto"/>
            </w:tcBorders>
          </w:tcPr>
          <w:p w14:paraId="6E93933F"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NSC</w:t>
            </w:r>
          </w:p>
        </w:tc>
        <w:tc>
          <w:tcPr>
            <w:tcW w:w="736" w:type="pct"/>
            <w:tcBorders>
              <w:top w:val="single" w:sz="12" w:space="0" w:color="auto"/>
              <w:bottom w:val="single" w:sz="4" w:space="0" w:color="auto"/>
            </w:tcBorders>
          </w:tcPr>
          <w:p w14:paraId="2E84C535" w14:textId="07DA6B4D" w:rsidR="009E6544" w:rsidRPr="00EB0D5A" w:rsidRDefault="007520CD" w:rsidP="00B87406">
            <w:pPr>
              <w:pStyle w:val="NoSpacing"/>
              <w:jc w:val="center"/>
              <w:rPr>
                <w:rFonts w:ascii="Arial" w:hAnsi="Arial" w:cs="Arial"/>
                <w:sz w:val="24"/>
                <w:szCs w:val="24"/>
              </w:rPr>
            </w:pPr>
            <w:r>
              <w:rPr>
                <w:rFonts w:ascii="Arial" w:hAnsi="Arial" w:cs="Arial"/>
                <w:sz w:val="24"/>
                <w:szCs w:val="24"/>
              </w:rPr>
              <w:t>DR</w:t>
            </w:r>
          </w:p>
        </w:tc>
      </w:tr>
      <w:tr w:rsidR="009E6544" w:rsidRPr="00FA6751" w14:paraId="6712F1D4" w14:textId="77777777">
        <w:trPr>
          <w:trHeight w:val="567"/>
        </w:trPr>
        <w:tc>
          <w:tcPr>
            <w:tcW w:w="586" w:type="pct"/>
            <w:tcBorders>
              <w:top w:val="single" w:sz="4" w:space="0" w:color="auto"/>
            </w:tcBorders>
            <w:vAlign w:val="center"/>
          </w:tcPr>
          <w:p w14:paraId="0E86D55C"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P1</w:t>
            </w:r>
          </w:p>
        </w:tc>
        <w:tc>
          <w:tcPr>
            <w:tcW w:w="735" w:type="pct"/>
            <w:tcBorders>
              <w:top w:val="single" w:sz="4" w:space="0" w:color="auto"/>
            </w:tcBorders>
            <w:vAlign w:val="center"/>
          </w:tcPr>
          <w:p w14:paraId="65B3E2D7"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.7</w:t>
            </w:r>
            <w:r w:rsidR="006528A2">
              <w:rPr>
                <w:rFonts w:ascii="Arial" w:hAnsi="Arial" w:cs="Arial"/>
                <w:sz w:val="24"/>
                <w:szCs w:val="24"/>
              </w:rPr>
              <w:t>4</w:t>
            </w:r>
          </w:p>
        </w:tc>
        <w:tc>
          <w:tcPr>
            <w:tcW w:w="736" w:type="pct"/>
            <w:tcBorders>
              <w:top w:val="single" w:sz="4" w:space="0" w:color="auto"/>
            </w:tcBorders>
            <w:vAlign w:val="center"/>
          </w:tcPr>
          <w:p w14:paraId="411249B1" w14:textId="77777777" w:rsidR="009E6544" w:rsidRPr="00EB0D5A" w:rsidRDefault="009E6544" w:rsidP="00B87406">
            <w:pPr>
              <w:pStyle w:val="NoSpacing"/>
              <w:jc w:val="center"/>
              <w:rPr>
                <w:rFonts w:ascii="Arial" w:hAnsi="Arial" w:cs="Arial"/>
                <w:sz w:val="24"/>
                <w:szCs w:val="24"/>
              </w:rPr>
            </w:pPr>
          </w:p>
        </w:tc>
        <w:tc>
          <w:tcPr>
            <w:tcW w:w="736" w:type="pct"/>
            <w:tcBorders>
              <w:top w:val="single" w:sz="4" w:space="0" w:color="auto"/>
            </w:tcBorders>
            <w:vAlign w:val="center"/>
          </w:tcPr>
          <w:p w14:paraId="75A1E13E" w14:textId="77777777" w:rsidR="009E6544" w:rsidRPr="00EB0D5A" w:rsidRDefault="009E6544" w:rsidP="00B87406">
            <w:pPr>
              <w:pStyle w:val="NoSpacing"/>
              <w:jc w:val="center"/>
              <w:rPr>
                <w:rFonts w:ascii="Arial" w:hAnsi="Arial" w:cs="Arial"/>
                <w:sz w:val="24"/>
                <w:szCs w:val="24"/>
              </w:rPr>
            </w:pPr>
          </w:p>
        </w:tc>
        <w:tc>
          <w:tcPr>
            <w:tcW w:w="735" w:type="pct"/>
            <w:tcBorders>
              <w:top w:val="single" w:sz="4" w:space="0" w:color="auto"/>
            </w:tcBorders>
            <w:vAlign w:val="center"/>
          </w:tcPr>
          <w:p w14:paraId="5E4AEE79" w14:textId="77777777" w:rsidR="009E6544" w:rsidRPr="00EB0D5A" w:rsidRDefault="009E6544" w:rsidP="00B87406">
            <w:pPr>
              <w:pStyle w:val="NoSpacing"/>
              <w:jc w:val="center"/>
              <w:rPr>
                <w:rFonts w:ascii="Arial" w:hAnsi="Arial" w:cs="Arial"/>
                <w:sz w:val="24"/>
                <w:szCs w:val="24"/>
              </w:rPr>
            </w:pPr>
          </w:p>
        </w:tc>
        <w:tc>
          <w:tcPr>
            <w:tcW w:w="736" w:type="pct"/>
            <w:tcBorders>
              <w:top w:val="single" w:sz="4" w:space="0" w:color="auto"/>
            </w:tcBorders>
            <w:vAlign w:val="center"/>
          </w:tcPr>
          <w:p w14:paraId="7BAB87F9" w14:textId="77777777" w:rsidR="009E6544" w:rsidRPr="00FA6751" w:rsidRDefault="009E6544" w:rsidP="00B87406">
            <w:pPr>
              <w:spacing w:line="240" w:lineRule="auto"/>
              <w:jc w:val="center"/>
              <w:rPr>
                <w:rFonts w:ascii="Arial" w:hAnsi="Arial" w:cs="Arial"/>
                <w:sz w:val="24"/>
                <w:szCs w:val="24"/>
              </w:rPr>
            </w:pPr>
          </w:p>
        </w:tc>
        <w:tc>
          <w:tcPr>
            <w:tcW w:w="736" w:type="pct"/>
            <w:tcBorders>
              <w:top w:val="single" w:sz="4" w:space="0" w:color="auto"/>
            </w:tcBorders>
            <w:vAlign w:val="center"/>
          </w:tcPr>
          <w:p w14:paraId="7E8C4A7F" w14:textId="77777777" w:rsidR="009E6544" w:rsidRPr="00EB0D5A" w:rsidRDefault="009E6544" w:rsidP="00B87406">
            <w:pPr>
              <w:pStyle w:val="NoSpacing"/>
              <w:jc w:val="center"/>
              <w:rPr>
                <w:rFonts w:ascii="Arial" w:hAnsi="Arial" w:cs="Arial"/>
                <w:sz w:val="24"/>
                <w:szCs w:val="24"/>
              </w:rPr>
            </w:pPr>
          </w:p>
        </w:tc>
      </w:tr>
      <w:tr w:rsidR="009E6544" w:rsidRPr="00FA6751" w14:paraId="0741FDD9" w14:textId="77777777">
        <w:trPr>
          <w:trHeight w:val="567"/>
        </w:trPr>
        <w:tc>
          <w:tcPr>
            <w:tcW w:w="586" w:type="pct"/>
            <w:vAlign w:val="center"/>
          </w:tcPr>
          <w:p w14:paraId="5CD4506B"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P2</w:t>
            </w:r>
          </w:p>
        </w:tc>
        <w:tc>
          <w:tcPr>
            <w:tcW w:w="735" w:type="pct"/>
            <w:vAlign w:val="center"/>
          </w:tcPr>
          <w:p w14:paraId="581E031E"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.6</w:t>
            </w:r>
            <w:r w:rsidR="006528A2">
              <w:rPr>
                <w:rFonts w:ascii="Arial" w:hAnsi="Arial" w:cs="Arial"/>
                <w:sz w:val="24"/>
                <w:szCs w:val="24"/>
              </w:rPr>
              <w:t>3</w:t>
            </w:r>
          </w:p>
        </w:tc>
        <w:tc>
          <w:tcPr>
            <w:tcW w:w="736" w:type="pct"/>
            <w:vAlign w:val="center"/>
          </w:tcPr>
          <w:p w14:paraId="126A8578" w14:textId="77777777" w:rsidR="009E6544" w:rsidRPr="00EB0D5A" w:rsidRDefault="009E6544" w:rsidP="00B87406">
            <w:pPr>
              <w:pStyle w:val="NoSpacing"/>
              <w:jc w:val="center"/>
              <w:rPr>
                <w:rFonts w:ascii="Arial" w:hAnsi="Arial" w:cs="Arial"/>
                <w:sz w:val="24"/>
                <w:szCs w:val="24"/>
              </w:rPr>
            </w:pPr>
          </w:p>
        </w:tc>
        <w:tc>
          <w:tcPr>
            <w:tcW w:w="736" w:type="pct"/>
            <w:vAlign w:val="center"/>
          </w:tcPr>
          <w:p w14:paraId="1B8F11D4"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5AABC58F"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AC6ED19"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C828C03" w14:textId="77777777" w:rsidR="009E6544" w:rsidRPr="00EB0D5A" w:rsidRDefault="009E6544" w:rsidP="00B87406">
            <w:pPr>
              <w:pStyle w:val="NoSpacing"/>
              <w:jc w:val="center"/>
              <w:rPr>
                <w:rFonts w:ascii="Arial" w:hAnsi="Arial" w:cs="Arial"/>
                <w:sz w:val="24"/>
                <w:szCs w:val="24"/>
              </w:rPr>
            </w:pPr>
          </w:p>
        </w:tc>
      </w:tr>
      <w:tr w:rsidR="009E6544" w:rsidRPr="00FA6751" w14:paraId="25452C5B" w14:textId="77777777">
        <w:trPr>
          <w:trHeight w:val="567"/>
        </w:trPr>
        <w:tc>
          <w:tcPr>
            <w:tcW w:w="586" w:type="pct"/>
            <w:vAlign w:val="center"/>
          </w:tcPr>
          <w:p w14:paraId="09B42E80"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P3</w:t>
            </w:r>
          </w:p>
        </w:tc>
        <w:tc>
          <w:tcPr>
            <w:tcW w:w="735" w:type="pct"/>
            <w:vAlign w:val="center"/>
          </w:tcPr>
          <w:p w14:paraId="60688E9C"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.7</w:t>
            </w:r>
            <w:r w:rsidR="006528A2">
              <w:rPr>
                <w:rFonts w:ascii="Arial" w:hAnsi="Arial" w:cs="Arial"/>
                <w:sz w:val="24"/>
                <w:szCs w:val="24"/>
              </w:rPr>
              <w:t>5</w:t>
            </w:r>
          </w:p>
        </w:tc>
        <w:tc>
          <w:tcPr>
            <w:tcW w:w="736" w:type="pct"/>
            <w:vAlign w:val="center"/>
          </w:tcPr>
          <w:p w14:paraId="2633D3A9" w14:textId="77777777" w:rsidR="009E6544" w:rsidRPr="00EB0D5A" w:rsidRDefault="009E6544" w:rsidP="00B87406">
            <w:pPr>
              <w:pStyle w:val="NoSpacing"/>
              <w:jc w:val="center"/>
              <w:rPr>
                <w:rFonts w:ascii="Arial" w:hAnsi="Arial" w:cs="Arial"/>
                <w:sz w:val="24"/>
                <w:szCs w:val="24"/>
              </w:rPr>
            </w:pPr>
          </w:p>
        </w:tc>
        <w:tc>
          <w:tcPr>
            <w:tcW w:w="736" w:type="pct"/>
            <w:vAlign w:val="center"/>
          </w:tcPr>
          <w:p w14:paraId="2D4BBDD5"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4DBE5A23"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A94CEA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9C99425" w14:textId="77777777" w:rsidR="009E6544" w:rsidRPr="00EB0D5A" w:rsidRDefault="009E6544" w:rsidP="00B87406">
            <w:pPr>
              <w:pStyle w:val="NoSpacing"/>
              <w:jc w:val="center"/>
              <w:rPr>
                <w:rFonts w:ascii="Arial" w:hAnsi="Arial" w:cs="Arial"/>
                <w:sz w:val="24"/>
                <w:szCs w:val="24"/>
              </w:rPr>
            </w:pPr>
          </w:p>
        </w:tc>
      </w:tr>
      <w:tr w:rsidR="009E6544" w:rsidRPr="00FA6751" w14:paraId="208DB24F" w14:textId="77777777">
        <w:trPr>
          <w:trHeight w:val="567"/>
        </w:trPr>
        <w:tc>
          <w:tcPr>
            <w:tcW w:w="586" w:type="pct"/>
            <w:vAlign w:val="center"/>
          </w:tcPr>
          <w:p w14:paraId="69C35B86"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P4</w:t>
            </w:r>
          </w:p>
        </w:tc>
        <w:tc>
          <w:tcPr>
            <w:tcW w:w="735" w:type="pct"/>
            <w:vAlign w:val="center"/>
          </w:tcPr>
          <w:p w14:paraId="069B13E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6582253"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.70</w:t>
            </w:r>
          </w:p>
        </w:tc>
        <w:tc>
          <w:tcPr>
            <w:tcW w:w="736" w:type="pct"/>
            <w:vAlign w:val="center"/>
          </w:tcPr>
          <w:p w14:paraId="7E29789B"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1804C3D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9D956B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1DF5A07" w14:textId="77777777" w:rsidR="009E6544" w:rsidRPr="00EB0D5A" w:rsidRDefault="009E6544" w:rsidP="00B87406">
            <w:pPr>
              <w:pStyle w:val="NoSpacing"/>
              <w:jc w:val="center"/>
              <w:rPr>
                <w:rFonts w:ascii="Arial" w:hAnsi="Arial" w:cs="Arial"/>
                <w:sz w:val="24"/>
                <w:szCs w:val="24"/>
              </w:rPr>
            </w:pPr>
          </w:p>
        </w:tc>
      </w:tr>
      <w:tr w:rsidR="009E6544" w:rsidRPr="00FA6751" w14:paraId="705A8D07" w14:textId="77777777">
        <w:trPr>
          <w:trHeight w:val="567"/>
        </w:trPr>
        <w:tc>
          <w:tcPr>
            <w:tcW w:w="586" w:type="pct"/>
            <w:vAlign w:val="center"/>
          </w:tcPr>
          <w:p w14:paraId="76FE4C99"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P5</w:t>
            </w:r>
          </w:p>
        </w:tc>
        <w:tc>
          <w:tcPr>
            <w:tcW w:w="735" w:type="pct"/>
            <w:vAlign w:val="center"/>
          </w:tcPr>
          <w:p w14:paraId="14CD89D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C2E9590"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.79</w:t>
            </w:r>
          </w:p>
        </w:tc>
        <w:tc>
          <w:tcPr>
            <w:tcW w:w="736" w:type="pct"/>
            <w:vAlign w:val="center"/>
          </w:tcPr>
          <w:p w14:paraId="122C8A96"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51CD44BA"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AD2822A"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8D862FF" w14:textId="77777777" w:rsidR="009E6544" w:rsidRPr="00EB0D5A" w:rsidRDefault="009E6544" w:rsidP="00B87406">
            <w:pPr>
              <w:pStyle w:val="NoSpacing"/>
              <w:jc w:val="center"/>
              <w:rPr>
                <w:rFonts w:ascii="Arial" w:hAnsi="Arial" w:cs="Arial"/>
                <w:sz w:val="24"/>
                <w:szCs w:val="24"/>
              </w:rPr>
            </w:pPr>
          </w:p>
        </w:tc>
      </w:tr>
      <w:tr w:rsidR="009E6544" w:rsidRPr="00FA6751" w14:paraId="35C8E4C2" w14:textId="77777777">
        <w:trPr>
          <w:trHeight w:val="567"/>
        </w:trPr>
        <w:tc>
          <w:tcPr>
            <w:tcW w:w="586" w:type="pct"/>
            <w:vAlign w:val="center"/>
          </w:tcPr>
          <w:p w14:paraId="5CE12ED1"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P6</w:t>
            </w:r>
          </w:p>
        </w:tc>
        <w:tc>
          <w:tcPr>
            <w:tcW w:w="735" w:type="pct"/>
            <w:vAlign w:val="center"/>
          </w:tcPr>
          <w:p w14:paraId="45CDE9B5"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78BA02C"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28C5C2E"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.7</w:t>
            </w:r>
            <w:r w:rsidR="006528A2">
              <w:rPr>
                <w:rFonts w:ascii="Arial" w:hAnsi="Arial" w:cs="Arial"/>
                <w:sz w:val="24"/>
                <w:szCs w:val="24"/>
              </w:rPr>
              <w:t>6</w:t>
            </w:r>
          </w:p>
        </w:tc>
        <w:tc>
          <w:tcPr>
            <w:tcW w:w="735" w:type="pct"/>
            <w:vAlign w:val="center"/>
          </w:tcPr>
          <w:p w14:paraId="2DB8F9EC"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C58A8D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0519B8A" w14:textId="77777777" w:rsidR="009E6544" w:rsidRPr="00EB0D5A" w:rsidRDefault="009E6544" w:rsidP="00B87406">
            <w:pPr>
              <w:pStyle w:val="NoSpacing"/>
              <w:jc w:val="center"/>
              <w:rPr>
                <w:rFonts w:ascii="Arial" w:hAnsi="Arial" w:cs="Arial"/>
                <w:sz w:val="24"/>
                <w:szCs w:val="24"/>
              </w:rPr>
            </w:pPr>
          </w:p>
        </w:tc>
      </w:tr>
      <w:tr w:rsidR="009E6544" w:rsidRPr="00FA6751" w14:paraId="657E3C78" w14:textId="77777777">
        <w:trPr>
          <w:trHeight w:val="567"/>
        </w:trPr>
        <w:tc>
          <w:tcPr>
            <w:tcW w:w="586" w:type="pct"/>
            <w:vAlign w:val="center"/>
          </w:tcPr>
          <w:p w14:paraId="76FCC854"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P7</w:t>
            </w:r>
          </w:p>
        </w:tc>
        <w:tc>
          <w:tcPr>
            <w:tcW w:w="735" w:type="pct"/>
            <w:vAlign w:val="center"/>
          </w:tcPr>
          <w:p w14:paraId="5A9E4742"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5209BDA"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F07AAC0"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.9</w:t>
            </w:r>
            <w:r w:rsidR="006528A2">
              <w:rPr>
                <w:rFonts w:ascii="Arial" w:hAnsi="Arial" w:cs="Arial"/>
                <w:sz w:val="24"/>
                <w:szCs w:val="24"/>
              </w:rPr>
              <w:t>7</w:t>
            </w:r>
          </w:p>
        </w:tc>
        <w:tc>
          <w:tcPr>
            <w:tcW w:w="735" w:type="pct"/>
            <w:vAlign w:val="center"/>
          </w:tcPr>
          <w:p w14:paraId="742E5632"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0ADC33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525C834" w14:textId="77777777" w:rsidR="009E6544" w:rsidRPr="00EB0D5A" w:rsidRDefault="009E6544" w:rsidP="00B87406">
            <w:pPr>
              <w:pStyle w:val="NoSpacing"/>
              <w:jc w:val="center"/>
              <w:rPr>
                <w:rFonts w:ascii="Arial" w:hAnsi="Arial" w:cs="Arial"/>
                <w:sz w:val="24"/>
                <w:szCs w:val="24"/>
              </w:rPr>
            </w:pPr>
          </w:p>
        </w:tc>
      </w:tr>
      <w:tr w:rsidR="009E6544" w:rsidRPr="00FA6751" w14:paraId="7E7B03E6" w14:textId="77777777">
        <w:trPr>
          <w:trHeight w:val="567"/>
        </w:trPr>
        <w:tc>
          <w:tcPr>
            <w:tcW w:w="586" w:type="pct"/>
            <w:vAlign w:val="center"/>
          </w:tcPr>
          <w:p w14:paraId="36E2AFAC"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w:t>
            </w:r>
          </w:p>
        </w:tc>
        <w:tc>
          <w:tcPr>
            <w:tcW w:w="735" w:type="pct"/>
            <w:vAlign w:val="center"/>
          </w:tcPr>
          <w:p w14:paraId="317A186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407D741"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BD9A14C"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570D9B6D"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.5</w:t>
            </w:r>
            <w:r w:rsidR="006528A2">
              <w:rPr>
                <w:rFonts w:ascii="Arial" w:hAnsi="Arial" w:cs="Arial"/>
                <w:sz w:val="24"/>
                <w:szCs w:val="24"/>
              </w:rPr>
              <w:t>6</w:t>
            </w:r>
          </w:p>
        </w:tc>
        <w:tc>
          <w:tcPr>
            <w:tcW w:w="736" w:type="pct"/>
            <w:vAlign w:val="center"/>
          </w:tcPr>
          <w:p w14:paraId="401094F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730996E" w14:textId="77777777" w:rsidR="009E6544" w:rsidRPr="00EB0D5A" w:rsidRDefault="009E6544" w:rsidP="00B87406">
            <w:pPr>
              <w:pStyle w:val="NoSpacing"/>
              <w:jc w:val="center"/>
              <w:rPr>
                <w:rFonts w:ascii="Arial" w:hAnsi="Arial" w:cs="Arial"/>
                <w:sz w:val="24"/>
                <w:szCs w:val="24"/>
              </w:rPr>
            </w:pPr>
          </w:p>
        </w:tc>
      </w:tr>
      <w:tr w:rsidR="009E6544" w:rsidRPr="00FA6751" w14:paraId="005FDDC8" w14:textId="77777777">
        <w:trPr>
          <w:trHeight w:val="567"/>
        </w:trPr>
        <w:tc>
          <w:tcPr>
            <w:tcW w:w="586" w:type="pct"/>
            <w:vAlign w:val="center"/>
          </w:tcPr>
          <w:p w14:paraId="505180D2"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C2</w:t>
            </w:r>
          </w:p>
        </w:tc>
        <w:tc>
          <w:tcPr>
            <w:tcW w:w="735" w:type="pct"/>
            <w:vAlign w:val="center"/>
          </w:tcPr>
          <w:p w14:paraId="61C7D247"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9DACD67"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A06B990"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1F09BEA7"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w:t>
            </w:r>
            <w:r w:rsidR="006528A2">
              <w:rPr>
                <w:rFonts w:ascii="Arial" w:hAnsi="Arial" w:cs="Arial"/>
                <w:sz w:val="24"/>
                <w:szCs w:val="24"/>
              </w:rPr>
              <w:t>70</w:t>
            </w:r>
          </w:p>
        </w:tc>
        <w:tc>
          <w:tcPr>
            <w:tcW w:w="736" w:type="pct"/>
            <w:vAlign w:val="center"/>
          </w:tcPr>
          <w:p w14:paraId="53E3D16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5E43F5E" w14:textId="77777777" w:rsidR="009E6544" w:rsidRPr="00EB0D5A" w:rsidRDefault="009E6544" w:rsidP="00B87406">
            <w:pPr>
              <w:pStyle w:val="NoSpacing"/>
              <w:jc w:val="center"/>
              <w:rPr>
                <w:rFonts w:ascii="Arial" w:hAnsi="Arial" w:cs="Arial"/>
                <w:sz w:val="24"/>
                <w:szCs w:val="24"/>
              </w:rPr>
            </w:pPr>
          </w:p>
        </w:tc>
      </w:tr>
      <w:tr w:rsidR="009E6544" w:rsidRPr="00FA6751" w14:paraId="4AA2A15F" w14:textId="77777777">
        <w:trPr>
          <w:trHeight w:val="567"/>
        </w:trPr>
        <w:tc>
          <w:tcPr>
            <w:tcW w:w="586" w:type="pct"/>
            <w:vAlign w:val="center"/>
          </w:tcPr>
          <w:p w14:paraId="78CBF2F5"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C3</w:t>
            </w:r>
          </w:p>
        </w:tc>
        <w:tc>
          <w:tcPr>
            <w:tcW w:w="735" w:type="pct"/>
            <w:vAlign w:val="center"/>
          </w:tcPr>
          <w:p w14:paraId="43348EC7"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2562E33"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F37466C"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16958CA8"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.55</w:t>
            </w:r>
          </w:p>
        </w:tc>
        <w:tc>
          <w:tcPr>
            <w:tcW w:w="736" w:type="pct"/>
            <w:vAlign w:val="center"/>
          </w:tcPr>
          <w:p w14:paraId="0241C055"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F7C324E" w14:textId="77777777" w:rsidR="009E6544" w:rsidRPr="00EB0D5A" w:rsidRDefault="009E6544" w:rsidP="00B87406">
            <w:pPr>
              <w:pStyle w:val="NoSpacing"/>
              <w:jc w:val="center"/>
              <w:rPr>
                <w:rFonts w:ascii="Arial" w:hAnsi="Arial" w:cs="Arial"/>
                <w:sz w:val="24"/>
                <w:szCs w:val="24"/>
              </w:rPr>
            </w:pPr>
          </w:p>
        </w:tc>
      </w:tr>
      <w:tr w:rsidR="009E6544" w:rsidRPr="00FA6751" w14:paraId="5DC01CDC" w14:textId="77777777">
        <w:trPr>
          <w:trHeight w:val="567"/>
        </w:trPr>
        <w:tc>
          <w:tcPr>
            <w:tcW w:w="586" w:type="pct"/>
            <w:vAlign w:val="center"/>
          </w:tcPr>
          <w:p w14:paraId="5C158B7B"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C4</w:t>
            </w:r>
          </w:p>
        </w:tc>
        <w:tc>
          <w:tcPr>
            <w:tcW w:w="735" w:type="pct"/>
            <w:vAlign w:val="center"/>
          </w:tcPr>
          <w:p w14:paraId="4194E2F2"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7D3420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E988711"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4C827B6E"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.48</w:t>
            </w:r>
          </w:p>
        </w:tc>
        <w:tc>
          <w:tcPr>
            <w:tcW w:w="736" w:type="pct"/>
            <w:vAlign w:val="center"/>
          </w:tcPr>
          <w:p w14:paraId="44C6062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BE6BBD0" w14:textId="77777777" w:rsidR="009E6544" w:rsidRPr="00EB0D5A" w:rsidRDefault="009E6544" w:rsidP="00B87406">
            <w:pPr>
              <w:pStyle w:val="NoSpacing"/>
              <w:jc w:val="center"/>
              <w:rPr>
                <w:rFonts w:ascii="Arial" w:hAnsi="Arial" w:cs="Arial"/>
                <w:sz w:val="24"/>
                <w:szCs w:val="24"/>
              </w:rPr>
            </w:pPr>
          </w:p>
        </w:tc>
      </w:tr>
      <w:tr w:rsidR="009E6544" w:rsidRPr="00FA6751" w14:paraId="79CDC8F3" w14:textId="77777777">
        <w:trPr>
          <w:trHeight w:val="567"/>
        </w:trPr>
        <w:tc>
          <w:tcPr>
            <w:tcW w:w="586" w:type="pct"/>
            <w:vAlign w:val="center"/>
          </w:tcPr>
          <w:p w14:paraId="2E201F55"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C5</w:t>
            </w:r>
          </w:p>
        </w:tc>
        <w:tc>
          <w:tcPr>
            <w:tcW w:w="735" w:type="pct"/>
            <w:vAlign w:val="center"/>
          </w:tcPr>
          <w:p w14:paraId="215EB993"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A0210FF"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C52E33F"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22E4D536"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.4</w:t>
            </w:r>
            <w:r w:rsidR="006528A2">
              <w:rPr>
                <w:rFonts w:ascii="Arial" w:hAnsi="Arial" w:cs="Arial"/>
                <w:sz w:val="24"/>
                <w:szCs w:val="24"/>
              </w:rPr>
              <w:t>9</w:t>
            </w:r>
          </w:p>
        </w:tc>
        <w:tc>
          <w:tcPr>
            <w:tcW w:w="736" w:type="pct"/>
            <w:vAlign w:val="center"/>
          </w:tcPr>
          <w:p w14:paraId="3FD42C9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9C0857C" w14:textId="77777777" w:rsidR="009E6544" w:rsidRPr="00EB0D5A" w:rsidRDefault="009E6544" w:rsidP="00B87406">
            <w:pPr>
              <w:pStyle w:val="NoSpacing"/>
              <w:jc w:val="center"/>
              <w:rPr>
                <w:rFonts w:ascii="Arial" w:hAnsi="Arial" w:cs="Arial"/>
                <w:sz w:val="24"/>
                <w:szCs w:val="24"/>
              </w:rPr>
            </w:pPr>
          </w:p>
        </w:tc>
      </w:tr>
      <w:tr w:rsidR="009E6544" w:rsidRPr="00FA6751" w14:paraId="544057E0" w14:textId="77777777">
        <w:trPr>
          <w:trHeight w:val="567"/>
        </w:trPr>
        <w:tc>
          <w:tcPr>
            <w:tcW w:w="586" w:type="pct"/>
            <w:vAlign w:val="center"/>
          </w:tcPr>
          <w:p w14:paraId="66A3097C"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C6</w:t>
            </w:r>
          </w:p>
        </w:tc>
        <w:tc>
          <w:tcPr>
            <w:tcW w:w="735" w:type="pct"/>
            <w:vAlign w:val="center"/>
          </w:tcPr>
          <w:p w14:paraId="17AFD9F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0491B7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FAE8190"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04AD3E0B"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.68</w:t>
            </w:r>
          </w:p>
        </w:tc>
        <w:tc>
          <w:tcPr>
            <w:tcW w:w="736" w:type="pct"/>
            <w:vAlign w:val="center"/>
          </w:tcPr>
          <w:p w14:paraId="0531DF7A"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556F6A0" w14:textId="77777777" w:rsidR="009E6544" w:rsidRPr="00EB0D5A" w:rsidRDefault="009E6544" w:rsidP="00B87406">
            <w:pPr>
              <w:pStyle w:val="NoSpacing"/>
              <w:jc w:val="center"/>
              <w:rPr>
                <w:rFonts w:ascii="Arial" w:hAnsi="Arial" w:cs="Arial"/>
                <w:sz w:val="24"/>
                <w:szCs w:val="24"/>
              </w:rPr>
            </w:pPr>
          </w:p>
        </w:tc>
      </w:tr>
      <w:tr w:rsidR="009E6544" w:rsidRPr="00FA6751" w14:paraId="11517D35" w14:textId="77777777">
        <w:trPr>
          <w:trHeight w:val="567"/>
        </w:trPr>
        <w:tc>
          <w:tcPr>
            <w:tcW w:w="586" w:type="pct"/>
            <w:vAlign w:val="center"/>
          </w:tcPr>
          <w:p w14:paraId="437820F7"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C7</w:t>
            </w:r>
          </w:p>
        </w:tc>
        <w:tc>
          <w:tcPr>
            <w:tcW w:w="735" w:type="pct"/>
            <w:vAlign w:val="center"/>
          </w:tcPr>
          <w:p w14:paraId="72956F7B"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69E2B40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9212B36"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48839913"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.7</w:t>
            </w:r>
            <w:r w:rsidR="006528A2">
              <w:rPr>
                <w:rFonts w:ascii="Arial" w:hAnsi="Arial" w:cs="Arial"/>
                <w:sz w:val="24"/>
                <w:szCs w:val="24"/>
              </w:rPr>
              <w:t>7</w:t>
            </w:r>
          </w:p>
        </w:tc>
        <w:tc>
          <w:tcPr>
            <w:tcW w:w="736" w:type="pct"/>
            <w:vAlign w:val="center"/>
          </w:tcPr>
          <w:p w14:paraId="7B943B4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0B3EB2B" w14:textId="77777777" w:rsidR="009E6544" w:rsidRPr="00EB0D5A" w:rsidRDefault="009E6544" w:rsidP="00B87406">
            <w:pPr>
              <w:pStyle w:val="NoSpacing"/>
              <w:jc w:val="center"/>
              <w:rPr>
                <w:rFonts w:ascii="Arial" w:hAnsi="Arial" w:cs="Arial"/>
                <w:sz w:val="24"/>
                <w:szCs w:val="24"/>
              </w:rPr>
            </w:pPr>
          </w:p>
        </w:tc>
      </w:tr>
      <w:tr w:rsidR="009E6544" w:rsidRPr="00FA6751" w14:paraId="059CF6D2" w14:textId="77777777">
        <w:trPr>
          <w:trHeight w:val="567"/>
        </w:trPr>
        <w:tc>
          <w:tcPr>
            <w:tcW w:w="586" w:type="pct"/>
            <w:vAlign w:val="center"/>
          </w:tcPr>
          <w:p w14:paraId="7E3D10A6"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C8</w:t>
            </w:r>
          </w:p>
        </w:tc>
        <w:tc>
          <w:tcPr>
            <w:tcW w:w="735" w:type="pct"/>
            <w:vAlign w:val="center"/>
          </w:tcPr>
          <w:p w14:paraId="07B4B711"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ADFC1B2"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5169E2F"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3FBF46B8"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.63</w:t>
            </w:r>
          </w:p>
        </w:tc>
        <w:tc>
          <w:tcPr>
            <w:tcW w:w="736" w:type="pct"/>
            <w:vAlign w:val="center"/>
          </w:tcPr>
          <w:p w14:paraId="2808CBEC"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483F6B8" w14:textId="77777777" w:rsidR="009E6544" w:rsidRPr="00EB0D5A" w:rsidRDefault="009E6544" w:rsidP="00B87406">
            <w:pPr>
              <w:pStyle w:val="NoSpacing"/>
              <w:jc w:val="center"/>
              <w:rPr>
                <w:rFonts w:ascii="Arial" w:hAnsi="Arial" w:cs="Arial"/>
                <w:sz w:val="24"/>
                <w:szCs w:val="24"/>
              </w:rPr>
            </w:pPr>
          </w:p>
        </w:tc>
      </w:tr>
      <w:tr w:rsidR="009E6544" w:rsidRPr="00FA6751" w14:paraId="070A2138" w14:textId="77777777">
        <w:trPr>
          <w:trHeight w:val="567"/>
        </w:trPr>
        <w:tc>
          <w:tcPr>
            <w:tcW w:w="586" w:type="pct"/>
            <w:vAlign w:val="center"/>
          </w:tcPr>
          <w:p w14:paraId="71B58112"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C9</w:t>
            </w:r>
          </w:p>
        </w:tc>
        <w:tc>
          <w:tcPr>
            <w:tcW w:w="735" w:type="pct"/>
            <w:vAlign w:val="center"/>
          </w:tcPr>
          <w:p w14:paraId="5B2584E0"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9677099"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05774A7"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5622E0B1"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.5</w:t>
            </w:r>
            <w:r w:rsidR="006528A2">
              <w:rPr>
                <w:rFonts w:ascii="Arial" w:hAnsi="Arial" w:cs="Arial"/>
                <w:sz w:val="24"/>
                <w:szCs w:val="24"/>
              </w:rPr>
              <w:t>9</w:t>
            </w:r>
          </w:p>
        </w:tc>
        <w:tc>
          <w:tcPr>
            <w:tcW w:w="736" w:type="pct"/>
            <w:vAlign w:val="center"/>
          </w:tcPr>
          <w:p w14:paraId="1312BEB8"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12B5935" w14:textId="77777777" w:rsidR="009E6544" w:rsidRPr="00EB0D5A" w:rsidRDefault="009E6544" w:rsidP="00B87406">
            <w:pPr>
              <w:pStyle w:val="NoSpacing"/>
              <w:jc w:val="center"/>
              <w:rPr>
                <w:rFonts w:ascii="Arial" w:hAnsi="Arial" w:cs="Arial"/>
                <w:sz w:val="24"/>
                <w:szCs w:val="24"/>
              </w:rPr>
            </w:pPr>
          </w:p>
        </w:tc>
      </w:tr>
      <w:tr w:rsidR="009E6544" w:rsidRPr="00FA6751" w14:paraId="6446AA7C" w14:textId="77777777">
        <w:trPr>
          <w:trHeight w:val="567"/>
        </w:trPr>
        <w:tc>
          <w:tcPr>
            <w:tcW w:w="586" w:type="pct"/>
            <w:vAlign w:val="center"/>
          </w:tcPr>
          <w:p w14:paraId="2AA92874"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C10</w:t>
            </w:r>
          </w:p>
        </w:tc>
        <w:tc>
          <w:tcPr>
            <w:tcW w:w="735" w:type="pct"/>
            <w:vAlign w:val="center"/>
          </w:tcPr>
          <w:p w14:paraId="3681AC1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7B34F1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4EEC8D4"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779B36D1"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892ECE9"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.95</w:t>
            </w:r>
          </w:p>
        </w:tc>
        <w:tc>
          <w:tcPr>
            <w:tcW w:w="736" w:type="pct"/>
            <w:vAlign w:val="center"/>
          </w:tcPr>
          <w:p w14:paraId="57975938" w14:textId="77777777" w:rsidR="009E6544" w:rsidRPr="00EB0D5A" w:rsidRDefault="009E6544" w:rsidP="00B87406">
            <w:pPr>
              <w:pStyle w:val="NoSpacing"/>
              <w:jc w:val="center"/>
              <w:rPr>
                <w:rFonts w:ascii="Arial" w:hAnsi="Arial" w:cs="Arial"/>
                <w:sz w:val="24"/>
                <w:szCs w:val="24"/>
              </w:rPr>
            </w:pPr>
          </w:p>
        </w:tc>
      </w:tr>
      <w:tr w:rsidR="009E6544" w:rsidRPr="00FA6751" w14:paraId="066D8842" w14:textId="77777777">
        <w:trPr>
          <w:trHeight w:val="567"/>
        </w:trPr>
        <w:tc>
          <w:tcPr>
            <w:tcW w:w="586" w:type="pct"/>
            <w:vAlign w:val="center"/>
          </w:tcPr>
          <w:p w14:paraId="06073B88"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C11</w:t>
            </w:r>
          </w:p>
        </w:tc>
        <w:tc>
          <w:tcPr>
            <w:tcW w:w="735" w:type="pct"/>
            <w:vAlign w:val="center"/>
          </w:tcPr>
          <w:p w14:paraId="5E8373C5"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3FD4293"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5F004D3"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73F60391"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FF3C79D"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.97</w:t>
            </w:r>
          </w:p>
        </w:tc>
        <w:tc>
          <w:tcPr>
            <w:tcW w:w="736" w:type="pct"/>
            <w:vAlign w:val="center"/>
          </w:tcPr>
          <w:p w14:paraId="063DA848" w14:textId="77777777" w:rsidR="009E6544" w:rsidRPr="00EB0D5A" w:rsidRDefault="009E6544" w:rsidP="00B87406">
            <w:pPr>
              <w:pStyle w:val="NoSpacing"/>
              <w:jc w:val="center"/>
              <w:rPr>
                <w:rFonts w:ascii="Arial" w:hAnsi="Arial" w:cs="Arial"/>
                <w:sz w:val="24"/>
                <w:szCs w:val="24"/>
              </w:rPr>
            </w:pPr>
          </w:p>
        </w:tc>
      </w:tr>
      <w:tr w:rsidR="009E6544" w:rsidRPr="00FA6751" w14:paraId="49B1EA3B" w14:textId="77777777">
        <w:trPr>
          <w:trHeight w:val="567"/>
        </w:trPr>
        <w:tc>
          <w:tcPr>
            <w:tcW w:w="586" w:type="pct"/>
            <w:vAlign w:val="center"/>
          </w:tcPr>
          <w:p w14:paraId="33110500"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C12</w:t>
            </w:r>
          </w:p>
        </w:tc>
        <w:tc>
          <w:tcPr>
            <w:tcW w:w="735" w:type="pct"/>
            <w:vAlign w:val="center"/>
          </w:tcPr>
          <w:p w14:paraId="2EF98D3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36AC5EDD"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0DC007E0"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1AFAC9B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218FA79"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.8</w:t>
            </w:r>
            <w:r w:rsidR="006528A2">
              <w:rPr>
                <w:rFonts w:ascii="Arial" w:hAnsi="Arial" w:cs="Arial"/>
                <w:sz w:val="24"/>
                <w:szCs w:val="24"/>
              </w:rPr>
              <w:t>8</w:t>
            </w:r>
          </w:p>
        </w:tc>
        <w:tc>
          <w:tcPr>
            <w:tcW w:w="736" w:type="pct"/>
            <w:vAlign w:val="center"/>
          </w:tcPr>
          <w:p w14:paraId="334DC601" w14:textId="77777777" w:rsidR="009E6544" w:rsidRPr="00EB0D5A" w:rsidRDefault="009E6544" w:rsidP="00B87406">
            <w:pPr>
              <w:pStyle w:val="NoSpacing"/>
              <w:jc w:val="center"/>
              <w:rPr>
                <w:rFonts w:ascii="Arial" w:hAnsi="Arial" w:cs="Arial"/>
                <w:sz w:val="24"/>
                <w:szCs w:val="24"/>
              </w:rPr>
            </w:pPr>
          </w:p>
        </w:tc>
      </w:tr>
      <w:tr w:rsidR="009E6544" w:rsidRPr="00FA6751" w14:paraId="7F66B735" w14:textId="77777777">
        <w:trPr>
          <w:trHeight w:val="567"/>
        </w:trPr>
        <w:tc>
          <w:tcPr>
            <w:tcW w:w="586" w:type="pct"/>
            <w:vAlign w:val="center"/>
          </w:tcPr>
          <w:p w14:paraId="4973B96B"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C13</w:t>
            </w:r>
          </w:p>
        </w:tc>
        <w:tc>
          <w:tcPr>
            <w:tcW w:w="735" w:type="pct"/>
            <w:vAlign w:val="center"/>
          </w:tcPr>
          <w:p w14:paraId="779D0B7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5ECEE7DE"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42A21CAB" w14:textId="77777777" w:rsidR="009E6544" w:rsidRPr="00EB0D5A" w:rsidRDefault="009E6544" w:rsidP="00B87406">
            <w:pPr>
              <w:pStyle w:val="NoSpacing"/>
              <w:jc w:val="center"/>
              <w:rPr>
                <w:rFonts w:ascii="Arial" w:hAnsi="Arial" w:cs="Arial"/>
                <w:sz w:val="24"/>
                <w:szCs w:val="24"/>
              </w:rPr>
            </w:pPr>
          </w:p>
        </w:tc>
        <w:tc>
          <w:tcPr>
            <w:tcW w:w="735" w:type="pct"/>
            <w:vAlign w:val="center"/>
          </w:tcPr>
          <w:p w14:paraId="6032B0F9"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13BC2D08" w14:textId="77777777" w:rsidR="009E6544" w:rsidRPr="00FA6751" w:rsidRDefault="009E6544" w:rsidP="00B87406">
            <w:pPr>
              <w:spacing w:line="240" w:lineRule="auto"/>
              <w:jc w:val="center"/>
              <w:rPr>
                <w:rFonts w:ascii="Arial" w:hAnsi="Arial" w:cs="Arial"/>
                <w:sz w:val="24"/>
                <w:szCs w:val="24"/>
              </w:rPr>
            </w:pPr>
            <w:r w:rsidRPr="00FA6751">
              <w:rPr>
                <w:rFonts w:ascii="Arial" w:hAnsi="Arial" w:cs="Arial"/>
                <w:sz w:val="24"/>
                <w:szCs w:val="24"/>
              </w:rPr>
              <w:t>.8</w:t>
            </w:r>
            <w:r w:rsidR="006528A2">
              <w:rPr>
                <w:rFonts w:ascii="Arial" w:hAnsi="Arial" w:cs="Arial"/>
                <w:sz w:val="24"/>
                <w:szCs w:val="24"/>
              </w:rPr>
              <w:t>1</w:t>
            </w:r>
          </w:p>
        </w:tc>
        <w:tc>
          <w:tcPr>
            <w:tcW w:w="736" w:type="pct"/>
            <w:vAlign w:val="center"/>
          </w:tcPr>
          <w:p w14:paraId="351846F3" w14:textId="77777777" w:rsidR="009E6544" w:rsidRPr="00EB0D5A" w:rsidRDefault="009E6544" w:rsidP="00B87406">
            <w:pPr>
              <w:pStyle w:val="NoSpacing"/>
              <w:jc w:val="center"/>
              <w:rPr>
                <w:rFonts w:ascii="Arial" w:hAnsi="Arial" w:cs="Arial"/>
                <w:sz w:val="24"/>
                <w:szCs w:val="24"/>
              </w:rPr>
            </w:pPr>
          </w:p>
        </w:tc>
      </w:tr>
      <w:tr w:rsidR="009E6544" w:rsidRPr="00FA6751" w14:paraId="3E705297" w14:textId="77777777">
        <w:trPr>
          <w:trHeight w:val="567"/>
        </w:trPr>
        <w:tc>
          <w:tcPr>
            <w:tcW w:w="586" w:type="pct"/>
            <w:vAlign w:val="center"/>
          </w:tcPr>
          <w:p w14:paraId="228F71C7"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C14</w:t>
            </w:r>
          </w:p>
        </w:tc>
        <w:tc>
          <w:tcPr>
            <w:tcW w:w="735" w:type="pct"/>
            <w:vAlign w:val="center"/>
          </w:tcPr>
          <w:p w14:paraId="740CAD24"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255B33B8" w14:textId="77777777" w:rsidR="009E6544" w:rsidRPr="00FA6751" w:rsidRDefault="009E6544" w:rsidP="00B87406">
            <w:pPr>
              <w:spacing w:line="240" w:lineRule="auto"/>
              <w:jc w:val="center"/>
              <w:rPr>
                <w:rFonts w:ascii="Arial" w:hAnsi="Arial" w:cs="Arial"/>
                <w:sz w:val="24"/>
                <w:szCs w:val="24"/>
              </w:rPr>
            </w:pPr>
          </w:p>
        </w:tc>
        <w:tc>
          <w:tcPr>
            <w:tcW w:w="736" w:type="pct"/>
          </w:tcPr>
          <w:p w14:paraId="36DBD437" w14:textId="77777777" w:rsidR="009E6544" w:rsidRPr="00EB0D5A" w:rsidRDefault="009E6544" w:rsidP="00B87406">
            <w:pPr>
              <w:pStyle w:val="NoSpacing"/>
              <w:jc w:val="center"/>
              <w:rPr>
                <w:rFonts w:ascii="Arial" w:hAnsi="Arial" w:cs="Arial"/>
                <w:sz w:val="24"/>
                <w:szCs w:val="24"/>
              </w:rPr>
            </w:pPr>
          </w:p>
        </w:tc>
        <w:tc>
          <w:tcPr>
            <w:tcW w:w="735" w:type="pct"/>
          </w:tcPr>
          <w:p w14:paraId="2A690891" w14:textId="77777777" w:rsidR="009E6544" w:rsidRPr="00EB0D5A" w:rsidRDefault="009E6544" w:rsidP="00B87406">
            <w:pPr>
              <w:pStyle w:val="NoSpacing"/>
              <w:jc w:val="center"/>
              <w:rPr>
                <w:rFonts w:ascii="Arial" w:hAnsi="Arial" w:cs="Arial"/>
                <w:sz w:val="24"/>
                <w:szCs w:val="24"/>
              </w:rPr>
            </w:pPr>
          </w:p>
        </w:tc>
        <w:tc>
          <w:tcPr>
            <w:tcW w:w="736" w:type="pct"/>
          </w:tcPr>
          <w:p w14:paraId="1A7A5A33" w14:textId="77777777" w:rsidR="009E6544" w:rsidRPr="00EB0D5A" w:rsidRDefault="009E6544" w:rsidP="00B87406">
            <w:pPr>
              <w:pStyle w:val="NoSpacing"/>
              <w:jc w:val="center"/>
              <w:rPr>
                <w:rFonts w:ascii="Arial" w:hAnsi="Arial" w:cs="Arial"/>
                <w:sz w:val="24"/>
                <w:szCs w:val="24"/>
              </w:rPr>
            </w:pPr>
          </w:p>
        </w:tc>
        <w:tc>
          <w:tcPr>
            <w:tcW w:w="736" w:type="pct"/>
          </w:tcPr>
          <w:p w14:paraId="62E320DB"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.8</w:t>
            </w:r>
            <w:r w:rsidR="006528A2">
              <w:rPr>
                <w:rFonts w:ascii="Arial" w:hAnsi="Arial" w:cs="Arial"/>
                <w:sz w:val="24"/>
                <w:szCs w:val="24"/>
              </w:rPr>
              <w:t>4</w:t>
            </w:r>
          </w:p>
        </w:tc>
      </w:tr>
      <w:tr w:rsidR="009E6544" w:rsidRPr="00FA6751" w14:paraId="5C4118F6" w14:textId="77777777">
        <w:trPr>
          <w:trHeight w:val="567"/>
        </w:trPr>
        <w:tc>
          <w:tcPr>
            <w:tcW w:w="586" w:type="pct"/>
            <w:vAlign w:val="center"/>
          </w:tcPr>
          <w:p w14:paraId="761D4D4F"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C15</w:t>
            </w:r>
          </w:p>
        </w:tc>
        <w:tc>
          <w:tcPr>
            <w:tcW w:w="735" w:type="pct"/>
            <w:vAlign w:val="center"/>
          </w:tcPr>
          <w:p w14:paraId="5D2BC376" w14:textId="77777777" w:rsidR="009E6544" w:rsidRPr="00FA6751" w:rsidRDefault="009E6544" w:rsidP="00B87406">
            <w:pPr>
              <w:spacing w:line="240" w:lineRule="auto"/>
              <w:jc w:val="center"/>
              <w:rPr>
                <w:rFonts w:ascii="Arial" w:hAnsi="Arial" w:cs="Arial"/>
                <w:sz w:val="24"/>
                <w:szCs w:val="24"/>
              </w:rPr>
            </w:pPr>
          </w:p>
        </w:tc>
        <w:tc>
          <w:tcPr>
            <w:tcW w:w="736" w:type="pct"/>
            <w:vAlign w:val="center"/>
          </w:tcPr>
          <w:p w14:paraId="72F67821" w14:textId="77777777" w:rsidR="009E6544" w:rsidRPr="00FA6751" w:rsidRDefault="009E6544" w:rsidP="00B87406">
            <w:pPr>
              <w:spacing w:line="240" w:lineRule="auto"/>
              <w:jc w:val="center"/>
              <w:rPr>
                <w:rFonts w:ascii="Arial" w:hAnsi="Arial" w:cs="Arial"/>
                <w:sz w:val="24"/>
                <w:szCs w:val="24"/>
              </w:rPr>
            </w:pPr>
          </w:p>
        </w:tc>
        <w:tc>
          <w:tcPr>
            <w:tcW w:w="736" w:type="pct"/>
          </w:tcPr>
          <w:p w14:paraId="746B8A43" w14:textId="77777777" w:rsidR="009E6544" w:rsidRPr="00EB0D5A" w:rsidRDefault="009E6544" w:rsidP="00B87406">
            <w:pPr>
              <w:pStyle w:val="NoSpacing"/>
              <w:jc w:val="center"/>
              <w:rPr>
                <w:rFonts w:ascii="Arial" w:hAnsi="Arial" w:cs="Arial"/>
                <w:sz w:val="24"/>
                <w:szCs w:val="24"/>
              </w:rPr>
            </w:pPr>
          </w:p>
        </w:tc>
        <w:tc>
          <w:tcPr>
            <w:tcW w:w="735" w:type="pct"/>
          </w:tcPr>
          <w:p w14:paraId="5CA42B58" w14:textId="77777777" w:rsidR="009E6544" w:rsidRPr="00EB0D5A" w:rsidRDefault="009E6544" w:rsidP="00B87406">
            <w:pPr>
              <w:pStyle w:val="NoSpacing"/>
              <w:jc w:val="center"/>
              <w:rPr>
                <w:rFonts w:ascii="Arial" w:hAnsi="Arial" w:cs="Arial"/>
                <w:sz w:val="24"/>
                <w:szCs w:val="24"/>
              </w:rPr>
            </w:pPr>
          </w:p>
        </w:tc>
        <w:tc>
          <w:tcPr>
            <w:tcW w:w="736" w:type="pct"/>
          </w:tcPr>
          <w:p w14:paraId="211FA450" w14:textId="77777777" w:rsidR="009E6544" w:rsidRPr="00EB0D5A" w:rsidRDefault="009E6544" w:rsidP="00B87406">
            <w:pPr>
              <w:pStyle w:val="NoSpacing"/>
              <w:jc w:val="center"/>
              <w:rPr>
                <w:rFonts w:ascii="Arial" w:hAnsi="Arial" w:cs="Arial"/>
                <w:sz w:val="24"/>
                <w:szCs w:val="24"/>
              </w:rPr>
            </w:pPr>
          </w:p>
        </w:tc>
        <w:tc>
          <w:tcPr>
            <w:tcW w:w="736" w:type="pct"/>
          </w:tcPr>
          <w:p w14:paraId="55EF66A1"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.88</w:t>
            </w:r>
          </w:p>
        </w:tc>
      </w:tr>
      <w:tr w:rsidR="009E6544" w:rsidRPr="00FA6751" w14:paraId="03BB2860" w14:textId="77777777">
        <w:trPr>
          <w:trHeight w:val="567"/>
        </w:trPr>
        <w:tc>
          <w:tcPr>
            <w:tcW w:w="586" w:type="pct"/>
            <w:tcBorders>
              <w:bottom w:val="single" w:sz="12" w:space="0" w:color="auto"/>
            </w:tcBorders>
            <w:vAlign w:val="center"/>
          </w:tcPr>
          <w:p w14:paraId="4867737A" w14:textId="77777777" w:rsidR="009E6544" w:rsidRPr="00EB0D5A" w:rsidRDefault="009E6544" w:rsidP="00B87406">
            <w:pPr>
              <w:pStyle w:val="NoSpacing"/>
              <w:rPr>
                <w:rFonts w:ascii="Arial" w:hAnsi="Arial" w:cs="Arial"/>
                <w:sz w:val="24"/>
                <w:szCs w:val="24"/>
              </w:rPr>
            </w:pPr>
            <w:r w:rsidRPr="00EB0D5A">
              <w:rPr>
                <w:rFonts w:ascii="Arial" w:hAnsi="Arial" w:cs="Arial"/>
                <w:sz w:val="24"/>
                <w:szCs w:val="24"/>
              </w:rPr>
              <w:t>C16</w:t>
            </w:r>
          </w:p>
        </w:tc>
        <w:tc>
          <w:tcPr>
            <w:tcW w:w="735" w:type="pct"/>
            <w:tcBorders>
              <w:bottom w:val="single" w:sz="12" w:space="0" w:color="auto"/>
            </w:tcBorders>
            <w:vAlign w:val="center"/>
          </w:tcPr>
          <w:p w14:paraId="43C5EE8E" w14:textId="77777777" w:rsidR="009E6544" w:rsidRPr="00FA6751" w:rsidRDefault="009E6544" w:rsidP="00B87406">
            <w:pPr>
              <w:spacing w:line="240" w:lineRule="auto"/>
              <w:jc w:val="center"/>
              <w:rPr>
                <w:rFonts w:ascii="Arial" w:hAnsi="Arial" w:cs="Arial"/>
                <w:sz w:val="24"/>
                <w:szCs w:val="24"/>
              </w:rPr>
            </w:pPr>
          </w:p>
        </w:tc>
        <w:tc>
          <w:tcPr>
            <w:tcW w:w="736" w:type="pct"/>
            <w:tcBorders>
              <w:bottom w:val="single" w:sz="12" w:space="0" w:color="auto"/>
            </w:tcBorders>
            <w:vAlign w:val="center"/>
          </w:tcPr>
          <w:p w14:paraId="1B5D9242" w14:textId="77777777" w:rsidR="009E6544" w:rsidRPr="00FA6751" w:rsidRDefault="009E6544" w:rsidP="00B87406">
            <w:pPr>
              <w:spacing w:line="240" w:lineRule="auto"/>
              <w:jc w:val="center"/>
              <w:rPr>
                <w:rFonts w:ascii="Arial" w:hAnsi="Arial" w:cs="Arial"/>
                <w:sz w:val="24"/>
                <w:szCs w:val="24"/>
              </w:rPr>
            </w:pPr>
          </w:p>
        </w:tc>
        <w:tc>
          <w:tcPr>
            <w:tcW w:w="736" w:type="pct"/>
            <w:tcBorders>
              <w:bottom w:val="single" w:sz="12" w:space="0" w:color="auto"/>
            </w:tcBorders>
          </w:tcPr>
          <w:p w14:paraId="6FC0AB31" w14:textId="77777777" w:rsidR="009E6544" w:rsidRPr="00EB0D5A" w:rsidRDefault="009E6544" w:rsidP="00B87406">
            <w:pPr>
              <w:pStyle w:val="NoSpacing"/>
              <w:jc w:val="center"/>
              <w:rPr>
                <w:rFonts w:ascii="Arial" w:hAnsi="Arial" w:cs="Arial"/>
                <w:sz w:val="24"/>
                <w:szCs w:val="24"/>
              </w:rPr>
            </w:pPr>
          </w:p>
        </w:tc>
        <w:tc>
          <w:tcPr>
            <w:tcW w:w="735" w:type="pct"/>
            <w:tcBorders>
              <w:bottom w:val="single" w:sz="12" w:space="0" w:color="auto"/>
            </w:tcBorders>
          </w:tcPr>
          <w:p w14:paraId="4D746000" w14:textId="77777777" w:rsidR="009E6544" w:rsidRPr="00EB0D5A" w:rsidRDefault="009E6544" w:rsidP="00B87406">
            <w:pPr>
              <w:pStyle w:val="NoSpacing"/>
              <w:jc w:val="center"/>
              <w:rPr>
                <w:rFonts w:ascii="Arial" w:hAnsi="Arial" w:cs="Arial"/>
                <w:sz w:val="24"/>
                <w:szCs w:val="24"/>
              </w:rPr>
            </w:pPr>
          </w:p>
        </w:tc>
        <w:tc>
          <w:tcPr>
            <w:tcW w:w="736" w:type="pct"/>
            <w:tcBorders>
              <w:bottom w:val="single" w:sz="12" w:space="0" w:color="auto"/>
            </w:tcBorders>
          </w:tcPr>
          <w:p w14:paraId="0493BABE" w14:textId="77777777" w:rsidR="009E6544" w:rsidRPr="00EB0D5A" w:rsidRDefault="009E6544" w:rsidP="00B87406">
            <w:pPr>
              <w:pStyle w:val="NoSpacing"/>
              <w:jc w:val="center"/>
              <w:rPr>
                <w:rFonts w:ascii="Arial" w:hAnsi="Arial" w:cs="Arial"/>
                <w:sz w:val="24"/>
                <w:szCs w:val="24"/>
              </w:rPr>
            </w:pPr>
          </w:p>
        </w:tc>
        <w:tc>
          <w:tcPr>
            <w:tcW w:w="736" w:type="pct"/>
            <w:tcBorders>
              <w:bottom w:val="single" w:sz="12" w:space="0" w:color="auto"/>
            </w:tcBorders>
          </w:tcPr>
          <w:p w14:paraId="326FBD3A" w14:textId="77777777" w:rsidR="009E6544" w:rsidRPr="00EB0D5A" w:rsidRDefault="009E6544" w:rsidP="00B87406">
            <w:pPr>
              <w:pStyle w:val="NoSpacing"/>
              <w:jc w:val="center"/>
              <w:rPr>
                <w:rFonts w:ascii="Arial" w:hAnsi="Arial" w:cs="Arial"/>
                <w:sz w:val="24"/>
                <w:szCs w:val="24"/>
              </w:rPr>
            </w:pPr>
            <w:r w:rsidRPr="00EB0D5A">
              <w:rPr>
                <w:rFonts w:ascii="Arial" w:hAnsi="Arial" w:cs="Arial"/>
                <w:sz w:val="24"/>
                <w:szCs w:val="24"/>
              </w:rPr>
              <w:t>.</w:t>
            </w:r>
            <w:r w:rsidR="006528A2">
              <w:rPr>
                <w:rFonts w:ascii="Arial" w:hAnsi="Arial" w:cs="Arial"/>
                <w:sz w:val="24"/>
                <w:szCs w:val="24"/>
              </w:rPr>
              <w:t>80</w:t>
            </w:r>
          </w:p>
        </w:tc>
      </w:tr>
    </w:tbl>
    <w:p w14:paraId="3E08973C" w14:textId="77777777" w:rsidR="009E6544" w:rsidRDefault="009E6544" w:rsidP="00EB0D5A">
      <w:pPr>
        <w:spacing w:line="480" w:lineRule="auto"/>
        <w:rPr>
          <w:rFonts w:ascii="Arial" w:hAnsi="Arial" w:cs="Arial"/>
          <w:sz w:val="24"/>
          <w:szCs w:val="24"/>
        </w:rPr>
      </w:pPr>
    </w:p>
    <w:p w14:paraId="6A9EA0A7" w14:textId="46904297" w:rsidR="009E6544" w:rsidRPr="00EB0D5A" w:rsidRDefault="009E6544" w:rsidP="009517E8">
      <w:pPr>
        <w:spacing w:line="480" w:lineRule="auto"/>
        <w:rPr>
          <w:rFonts w:ascii="Arial" w:hAnsi="Arial" w:cs="Arial"/>
          <w:sz w:val="24"/>
          <w:szCs w:val="24"/>
        </w:rPr>
      </w:pPr>
      <w:r w:rsidRPr="00EB0D5A">
        <w:rPr>
          <w:rFonts w:ascii="Arial" w:hAnsi="Arial" w:cs="Arial"/>
          <w:sz w:val="24"/>
          <w:szCs w:val="24"/>
        </w:rPr>
        <w:t xml:space="preserve">Note: All loading statistically significant (p &lt; .05). </w:t>
      </w:r>
      <w:r w:rsidRPr="00EB0D5A">
        <w:rPr>
          <w:rStyle w:val="citation"/>
          <w:rFonts w:ascii="Arial" w:hAnsi="Arial" w:cs="Arial"/>
          <w:color w:val="000000"/>
          <w:sz w:val="24"/>
          <w:szCs w:val="24"/>
        </w:rPr>
        <w:t xml:space="preserve">P1 to </w:t>
      </w:r>
      <w:r>
        <w:rPr>
          <w:rStyle w:val="citation"/>
          <w:rFonts w:ascii="Arial" w:hAnsi="Arial" w:cs="Arial"/>
          <w:color w:val="000000"/>
          <w:sz w:val="24"/>
          <w:szCs w:val="24"/>
        </w:rPr>
        <w:t xml:space="preserve">P7 are the PTSD items and C1 to C16 are the </w:t>
      </w:r>
      <w:r w:rsidR="00B310F9">
        <w:rPr>
          <w:rStyle w:val="citation"/>
          <w:rFonts w:ascii="Arial" w:hAnsi="Arial" w:cs="Arial"/>
          <w:color w:val="000000"/>
          <w:sz w:val="24"/>
          <w:szCs w:val="24"/>
        </w:rPr>
        <w:t>DSO</w:t>
      </w:r>
      <w:r>
        <w:rPr>
          <w:rStyle w:val="citation"/>
          <w:rFonts w:ascii="Arial" w:hAnsi="Arial" w:cs="Arial"/>
          <w:color w:val="000000"/>
          <w:sz w:val="24"/>
          <w:szCs w:val="24"/>
        </w:rPr>
        <w:t xml:space="preserve"> items.</w:t>
      </w:r>
    </w:p>
    <w:p w14:paraId="628607EC" w14:textId="77777777" w:rsidR="009E6544" w:rsidRPr="00EB0D5A" w:rsidRDefault="009E6544" w:rsidP="00EB0D5A">
      <w:pPr>
        <w:spacing w:line="480" w:lineRule="auto"/>
        <w:rPr>
          <w:rStyle w:val="citation"/>
          <w:rFonts w:ascii="Arial" w:hAnsi="Arial" w:cs="Arial"/>
          <w:sz w:val="24"/>
          <w:szCs w:val="24"/>
        </w:rPr>
        <w:sectPr w:rsidR="009E6544" w:rsidRPr="00EB0D5A" w:rsidSect="00B87406">
          <w:pgSz w:w="11906" w:h="16838"/>
          <w:pgMar w:top="1440" w:right="1440" w:bottom="1440" w:left="1440" w:header="709" w:footer="709" w:gutter="0"/>
          <w:cols w:space="708"/>
          <w:docGrid w:linePitch="360"/>
        </w:sectPr>
      </w:pPr>
    </w:p>
    <w:p w14:paraId="4AEAE018" w14:textId="393C6779" w:rsidR="009E6544" w:rsidRPr="00894056" w:rsidRDefault="009E6544" w:rsidP="00E26B57">
      <w:pPr>
        <w:autoSpaceDE w:val="0"/>
        <w:autoSpaceDN w:val="0"/>
        <w:adjustRightInd w:val="0"/>
        <w:spacing w:after="0" w:line="480" w:lineRule="auto"/>
        <w:rPr>
          <w:rFonts w:ascii="Arial" w:hAnsi="Arial" w:cs="Arial"/>
          <w:b/>
          <w:bCs/>
          <w:sz w:val="24"/>
          <w:szCs w:val="24"/>
          <w:lang w:eastAsia="en-GB"/>
        </w:rPr>
      </w:pPr>
      <w:r w:rsidRPr="00894056">
        <w:rPr>
          <w:rFonts w:ascii="Arial" w:hAnsi="Arial" w:cs="Arial"/>
          <w:b/>
          <w:bCs/>
          <w:sz w:val="24"/>
          <w:szCs w:val="24"/>
          <w:lang w:eastAsia="en-GB"/>
        </w:rPr>
        <w:t xml:space="preserve">Table 3. Pearson Correlations </w:t>
      </w:r>
      <w:r w:rsidR="00897BED" w:rsidRPr="00894056">
        <w:rPr>
          <w:rFonts w:ascii="Arial" w:hAnsi="Arial" w:cs="Arial"/>
          <w:b/>
          <w:bCs/>
          <w:sz w:val="24"/>
          <w:szCs w:val="24"/>
          <w:lang w:eastAsia="en-GB"/>
        </w:rPr>
        <w:t>between</w:t>
      </w:r>
      <w:r w:rsidR="00B55546">
        <w:rPr>
          <w:rFonts w:ascii="Arial" w:hAnsi="Arial" w:cs="Arial"/>
          <w:b/>
          <w:bCs/>
          <w:sz w:val="24"/>
          <w:szCs w:val="24"/>
          <w:lang w:eastAsia="en-GB"/>
        </w:rPr>
        <w:t xml:space="preserve"> </w:t>
      </w:r>
      <w:r w:rsidRPr="00894056">
        <w:rPr>
          <w:rFonts w:ascii="Arial" w:hAnsi="Arial" w:cs="Arial"/>
          <w:b/>
          <w:bCs/>
          <w:sz w:val="24"/>
          <w:szCs w:val="24"/>
        </w:rPr>
        <w:t>Model 4 Factor</w:t>
      </w:r>
      <w:r>
        <w:rPr>
          <w:rFonts w:ascii="Arial" w:hAnsi="Arial" w:cs="Arial"/>
          <w:b/>
          <w:bCs/>
          <w:sz w:val="24"/>
          <w:szCs w:val="24"/>
        </w:rPr>
        <w:t xml:space="preserve"> Scores and Criterion Variables</w:t>
      </w:r>
    </w:p>
    <w:tbl>
      <w:tblPr>
        <w:tblpPr w:leftFromText="180" w:rightFromText="180" w:vertAnchor="text" w:tblpY="1"/>
        <w:tblOverlap w:val="never"/>
        <w:tblW w:w="13575" w:type="dxa"/>
        <w:tblBorders>
          <w:top w:val="single" w:sz="12" w:space="0" w:color="008000"/>
          <w:bottom w:val="single" w:sz="12" w:space="0" w:color="008000"/>
        </w:tblBorders>
        <w:tblLayout w:type="fixed"/>
        <w:tblLook w:val="0000" w:firstRow="0" w:lastRow="0" w:firstColumn="0" w:lastColumn="0" w:noHBand="0" w:noVBand="0"/>
      </w:tblPr>
      <w:tblGrid>
        <w:gridCol w:w="1384"/>
        <w:gridCol w:w="2268"/>
        <w:gridCol w:w="1417"/>
        <w:gridCol w:w="1418"/>
        <w:gridCol w:w="1417"/>
        <w:gridCol w:w="1418"/>
        <w:gridCol w:w="1417"/>
        <w:gridCol w:w="1418"/>
        <w:gridCol w:w="1418"/>
      </w:tblGrid>
      <w:tr w:rsidR="00306796" w:rsidRPr="00FA6751" w14:paraId="10EFD739" w14:textId="77777777" w:rsidTr="00BA35D2">
        <w:tc>
          <w:tcPr>
            <w:tcW w:w="1384" w:type="dxa"/>
            <w:tcBorders>
              <w:top w:val="single" w:sz="12" w:space="0" w:color="auto"/>
              <w:bottom w:val="single" w:sz="4" w:space="0" w:color="auto"/>
            </w:tcBorders>
          </w:tcPr>
          <w:p w14:paraId="7A370DC1" w14:textId="77777777" w:rsidR="00306796" w:rsidRPr="00FA6751" w:rsidRDefault="00306796" w:rsidP="00287D43">
            <w:pPr>
              <w:autoSpaceDE w:val="0"/>
              <w:autoSpaceDN w:val="0"/>
              <w:adjustRightInd w:val="0"/>
              <w:spacing w:after="0" w:line="480" w:lineRule="auto"/>
              <w:rPr>
                <w:rFonts w:ascii="Arial" w:hAnsi="Arial" w:cs="Arial"/>
                <w:sz w:val="24"/>
                <w:szCs w:val="24"/>
                <w:lang w:eastAsia="en-GB"/>
              </w:rPr>
            </w:pPr>
          </w:p>
        </w:tc>
        <w:tc>
          <w:tcPr>
            <w:tcW w:w="2268" w:type="dxa"/>
            <w:tcBorders>
              <w:top w:val="single" w:sz="12" w:space="0" w:color="auto"/>
              <w:bottom w:val="single" w:sz="4" w:space="0" w:color="auto"/>
            </w:tcBorders>
          </w:tcPr>
          <w:p w14:paraId="508E201F" w14:textId="77777777" w:rsidR="00BA35D2"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sz w:val="24"/>
                <w:szCs w:val="24"/>
                <w:lang w:eastAsia="en-GB"/>
              </w:rPr>
              <w:t xml:space="preserve">Model 4 </w:t>
            </w:r>
          </w:p>
          <w:p w14:paraId="2FA3E01F" w14:textId="77732431" w:rsidR="00306796" w:rsidRPr="00FA6751"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sz w:val="24"/>
                <w:szCs w:val="24"/>
                <w:lang w:eastAsia="en-GB"/>
              </w:rPr>
              <w:t>Factor scores</w:t>
            </w:r>
          </w:p>
        </w:tc>
        <w:tc>
          <w:tcPr>
            <w:tcW w:w="1417" w:type="dxa"/>
            <w:tcBorders>
              <w:top w:val="single" w:sz="12" w:space="0" w:color="auto"/>
              <w:bottom w:val="single" w:sz="4" w:space="0" w:color="auto"/>
            </w:tcBorders>
          </w:tcPr>
          <w:p w14:paraId="567234A3" w14:textId="77777777" w:rsidR="00BA35D2"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 xml:space="preserve">PCL </w:t>
            </w:r>
          </w:p>
          <w:p w14:paraId="3CD9D237" w14:textId="16B44169" w:rsidR="00306796" w:rsidRPr="00FA6751" w:rsidRDefault="00E654A0">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I</w:t>
            </w:r>
          </w:p>
        </w:tc>
        <w:tc>
          <w:tcPr>
            <w:tcW w:w="1418" w:type="dxa"/>
            <w:tcBorders>
              <w:top w:val="single" w:sz="12" w:space="0" w:color="auto"/>
              <w:bottom w:val="single" w:sz="4" w:space="0" w:color="auto"/>
            </w:tcBorders>
          </w:tcPr>
          <w:p w14:paraId="17407153" w14:textId="77777777" w:rsidR="00BA35D2"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 xml:space="preserve">PCL </w:t>
            </w:r>
          </w:p>
          <w:p w14:paraId="0B62505D" w14:textId="6DFE9CBC"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A</w:t>
            </w:r>
            <w:r w:rsidR="001E04FC">
              <w:rPr>
                <w:rFonts w:ascii="Arial" w:hAnsi="Arial" w:cs="Arial"/>
                <w:color w:val="000000"/>
                <w:sz w:val="24"/>
                <w:szCs w:val="24"/>
                <w:lang w:eastAsia="en-GB"/>
              </w:rPr>
              <w:t>v</w:t>
            </w:r>
          </w:p>
        </w:tc>
        <w:tc>
          <w:tcPr>
            <w:tcW w:w="1417" w:type="dxa"/>
            <w:tcBorders>
              <w:top w:val="single" w:sz="12" w:space="0" w:color="auto"/>
              <w:bottom w:val="single" w:sz="4" w:space="0" w:color="auto"/>
            </w:tcBorders>
          </w:tcPr>
          <w:p w14:paraId="6E08684C" w14:textId="62C547BC"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PCL NACM</w:t>
            </w:r>
          </w:p>
        </w:tc>
        <w:tc>
          <w:tcPr>
            <w:tcW w:w="1418" w:type="dxa"/>
            <w:tcBorders>
              <w:top w:val="single" w:sz="12" w:space="0" w:color="auto"/>
              <w:bottom w:val="single" w:sz="4" w:space="0" w:color="auto"/>
            </w:tcBorders>
          </w:tcPr>
          <w:p w14:paraId="6C46BE65" w14:textId="77777777" w:rsidR="00897BED" w:rsidRDefault="00897BED">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 xml:space="preserve">PCL </w:t>
            </w:r>
          </w:p>
          <w:p w14:paraId="55B1C518" w14:textId="15F61C7E" w:rsidR="00306796" w:rsidRPr="00FA6751" w:rsidRDefault="001E04FC">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Ar</w:t>
            </w:r>
          </w:p>
        </w:tc>
        <w:tc>
          <w:tcPr>
            <w:tcW w:w="1417" w:type="dxa"/>
            <w:tcBorders>
              <w:top w:val="single" w:sz="12" w:space="0" w:color="auto"/>
              <w:bottom w:val="single" w:sz="4" w:space="0" w:color="auto"/>
            </w:tcBorders>
          </w:tcPr>
          <w:p w14:paraId="1FE3043C"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DERS</w:t>
            </w:r>
          </w:p>
        </w:tc>
        <w:tc>
          <w:tcPr>
            <w:tcW w:w="1418" w:type="dxa"/>
            <w:tcBorders>
              <w:top w:val="single" w:sz="12" w:space="0" w:color="auto"/>
              <w:bottom w:val="single" w:sz="4" w:space="0" w:color="auto"/>
            </w:tcBorders>
          </w:tcPr>
          <w:p w14:paraId="63263575"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RSES</w:t>
            </w:r>
          </w:p>
        </w:tc>
        <w:tc>
          <w:tcPr>
            <w:tcW w:w="1418" w:type="dxa"/>
            <w:tcBorders>
              <w:top w:val="single" w:sz="12" w:space="0" w:color="auto"/>
              <w:bottom w:val="single" w:sz="4" w:space="0" w:color="auto"/>
            </w:tcBorders>
          </w:tcPr>
          <w:p w14:paraId="4BDDA42B"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IIP</w:t>
            </w:r>
          </w:p>
        </w:tc>
      </w:tr>
      <w:tr w:rsidR="00306796" w:rsidRPr="00FA6751" w14:paraId="7B8FFFD1" w14:textId="77777777" w:rsidTr="00BA35D2">
        <w:tc>
          <w:tcPr>
            <w:tcW w:w="1384" w:type="dxa"/>
            <w:vMerge w:val="restart"/>
            <w:tcBorders>
              <w:top w:val="single" w:sz="4" w:space="0" w:color="auto"/>
            </w:tcBorders>
          </w:tcPr>
          <w:p w14:paraId="7C314892" w14:textId="71032AC4" w:rsidR="00306796" w:rsidRDefault="00306796" w:rsidP="00B310F9">
            <w:pPr>
              <w:autoSpaceDE w:val="0"/>
              <w:autoSpaceDN w:val="0"/>
              <w:adjustRightInd w:val="0"/>
              <w:spacing w:after="0" w:line="480" w:lineRule="auto"/>
              <w:rPr>
                <w:rFonts w:ascii="Arial" w:hAnsi="Arial" w:cs="Arial"/>
                <w:color w:val="000000"/>
                <w:sz w:val="24"/>
                <w:szCs w:val="24"/>
                <w:lang w:eastAsia="en-GB"/>
              </w:rPr>
            </w:pPr>
            <w:r>
              <w:rPr>
                <w:rFonts w:ascii="Arial" w:hAnsi="Arial" w:cs="Arial"/>
                <w:color w:val="000000"/>
                <w:sz w:val="24"/>
                <w:szCs w:val="24"/>
                <w:lang w:eastAsia="en-GB"/>
              </w:rPr>
              <w:t>1st o</w:t>
            </w:r>
            <w:r w:rsidRPr="00FA6751">
              <w:rPr>
                <w:rFonts w:ascii="Arial" w:hAnsi="Arial" w:cs="Arial"/>
                <w:color w:val="000000"/>
                <w:sz w:val="24"/>
                <w:szCs w:val="24"/>
                <w:lang w:eastAsia="en-GB"/>
              </w:rPr>
              <w:t xml:space="preserve">rder </w:t>
            </w:r>
            <w:r>
              <w:rPr>
                <w:rFonts w:ascii="Arial" w:hAnsi="Arial" w:cs="Arial"/>
                <w:color w:val="000000"/>
                <w:sz w:val="24"/>
                <w:szCs w:val="24"/>
                <w:lang w:eastAsia="en-GB"/>
              </w:rPr>
              <w:t xml:space="preserve"> PTSD</w:t>
            </w:r>
          </w:p>
        </w:tc>
        <w:tc>
          <w:tcPr>
            <w:tcW w:w="2268" w:type="dxa"/>
            <w:tcBorders>
              <w:top w:val="single" w:sz="4" w:space="0" w:color="auto"/>
            </w:tcBorders>
          </w:tcPr>
          <w:p w14:paraId="5C2051C3" w14:textId="5139760A" w:rsidR="00306796" w:rsidRPr="00FA6751"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color w:val="000000"/>
                <w:sz w:val="24"/>
                <w:szCs w:val="24"/>
                <w:lang w:eastAsia="en-GB"/>
              </w:rPr>
              <w:t>R</w:t>
            </w:r>
            <w:r>
              <w:rPr>
                <w:rFonts w:ascii="Arial" w:hAnsi="Arial" w:cs="Arial"/>
                <w:color w:val="000000"/>
                <w:sz w:val="24"/>
                <w:szCs w:val="24"/>
                <w:lang w:eastAsia="en-GB"/>
              </w:rPr>
              <w:t>E</w:t>
            </w:r>
          </w:p>
        </w:tc>
        <w:tc>
          <w:tcPr>
            <w:tcW w:w="1417" w:type="dxa"/>
            <w:tcBorders>
              <w:top w:val="single" w:sz="4" w:space="0" w:color="auto"/>
            </w:tcBorders>
          </w:tcPr>
          <w:p w14:paraId="5EED9E8C"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.81</w:t>
            </w:r>
          </w:p>
        </w:tc>
        <w:tc>
          <w:tcPr>
            <w:tcW w:w="1418" w:type="dxa"/>
            <w:tcBorders>
              <w:top w:val="single" w:sz="4" w:space="0" w:color="auto"/>
            </w:tcBorders>
          </w:tcPr>
          <w:p w14:paraId="5CE85299"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.45</w:t>
            </w:r>
          </w:p>
        </w:tc>
        <w:tc>
          <w:tcPr>
            <w:tcW w:w="1417" w:type="dxa"/>
            <w:tcBorders>
              <w:top w:val="single" w:sz="4" w:space="0" w:color="auto"/>
            </w:tcBorders>
          </w:tcPr>
          <w:p w14:paraId="42E4FEB1" w14:textId="4B858583" w:rsidR="00306796" w:rsidRPr="004818FB"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.56</w:t>
            </w:r>
          </w:p>
        </w:tc>
        <w:tc>
          <w:tcPr>
            <w:tcW w:w="1418" w:type="dxa"/>
            <w:tcBorders>
              <w:top w:val="single" w:sz="4" w:space="0" w:color="auto"/>
            </w:tcBorders>
          </w:tcPr>
          <w:p w14:paraId="57B5AD71" w14:textId="12F2ACBE" w:rsidR="00306796" w:rsidRPr="00FA6751" w:rsidRDefault="00AA5154">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.65</w:t>
            </w:r>
          </w:p>
        </w:tc>
        <w:tc>
          <w:tcPr>
            <w:tcW w:w="1417" w:type="dxa"/>
            <w:tcBorders>
              <w:top w:val="single" w:sz="4" w:space="0" w:color="auto"/>
            </w:tcBorders>
          </w:tcPr>
          <w:p w14:paraId="6FCBBD89"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50</w:t>
            </w:r>
          </w:p>
        </w:tc>
        <w:tc>
          <w:tcPr>
            <w:tcW w:w="1418" w:type="dxa"/>
            <w:tcBorders>
              <w:top w:val="single" w:sz="4" w:space="0" w:color="auto"/>
            </w:tcBorders>
          </w:tcPr>
          <w:p w14:paraId="763329C7"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w:t>
            </w:r>
            <w:r>
              <w:rPr>
                <w:rFonts w:ascii="Arial" w:hAnsi="Arial" w:cs="Arial"/>
                <w:color w:val="000000"/>
                <w:sz w:val="24"/>
                <w:szCs w:val="24"/>
                <w:lang w:eastAsia="en-GB"/>
              </w:rPr>
              <w:t>3</w:t>
            </w:r>
          </w:p>
        </w:tc>
        <w:tc>
          <w:tcPr>
            <w:tcW w:w="1418" w:type="dxa"/>
            <w:tcBorders>
              <w:top w:val="single" w:sz="4" w:space="0" w:color="auto"/>
            </w:tcBorders>
          </w:tcPr>
          <w:p w14:paraId="23D69E9F"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50</w:t>
            </w:r>
          </w:p>
        </w:tc>
      </w:tr>
      <w:tr w:rsidR="00306796" w:rsidRPr="00FA6751" w14:paraId="01178DF6" w14:textId="77777777" w:rsidTr="00BA35D2">
        <w:tc>
          <w:tcPr>
            <w:tcW w:w="1384" w:type="dxa"/>
            <w:vMerge/>
          </w:tcPr>
          <w:p w14:paraId="3F88D223" w14:textId="77777777" w:rsidR="00306796" w:rsidRDefault="00306796" w:rsidP="00287D43">
            <w:pPr>
              <w:autoSpaceDE w:val="0"/>
              <w:autoSpaceDN w:val="0"/>
              <w:adjustRightInd w:val="0"/>
              <w:spacing w:after="0" w:line="480" w:lineRule="auto"/>
              <w:rPr>
                <w:rFonts w:ascii="Arial" w:hAnsi="Arial" w:cs="Arial"/>
                <w:color w:val="000000"/>
                <w:sz w:val="24"/>
                <w:szCs w:val="24"/>
                <w:lang w:eastAsia="en-GB"/>
              </w:rPr>
            </w:pPr>
          </w:p>
        </w:tc>
        <w:tc>
          <w:tcPr>
            <w:tcW w:w="2268" w:type="dxa"/>
          </w:tcPr>
          <w:p w14:paraId="5E55EEC2" w14:textId="4A10AAF3" w:rsidR="00306796" w:rsidRPr="00FA6751"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color w:val="000000"/>
                <w:sz w:val="24"/>
                <w:szCs w:val="24"/>
                <w:lang w:eastAsia="en-GB"/>
              </w:rPr>
              <w:t>A</w:t>
            </w:r>
            <w:r>
              <w:rPr>
                <w:rFonts w:ascii="Arial" w:hAnsi="Arial" w:cs="Arial"/>
                <w:color w:val="000000"/>
                <w:sz w:val="24"/>
                <w:szCs w:val="24"/>
                <w:lang w:eastAsia="en-GB"/>
              </w:rPr>
              <w:t>V</w:t>
            </w:r>
          </w:p>
        </w:tc>
        <w:tc>
          <w:tcPr>
            <w:tcW w:w="1417" w:type="dxa"/>
          </w:tcPr>
          <w:p w14:paraId="21B56FCE"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w:t>
            </w:r>
            <w:r>
              <w:rPr>
                <w:rFonts w:ascii="Arial" w:hAnsi="Arial" w:cs="Arial"/>
                <w:color w:val="000000"/>
                <w:sz w:val="24"/>
                <w:szCs w:val="24"/>
                <w:lang w:eastAsia="en-GB"/>
              </w:rPr>
              <w:t>3</w:t>
            </w:r>
          </w:p>
        </w:tc>
        <w:tc>
          <w:tcPr>
            <w:tcW w:w="1418" w:type="dxa"/>
          </w:tcPr>
          <w:p w14:paraId="488EF7D2"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5</w:t>
            </w:r>
          </w:p>
        </w:tc>
        <w:tc>
          <w:tcPr>
            <w:tcW w:w="1417" w:type="dxa"/>
          </w:tcPr>
          <w:p w14:paraId="681CA2CF" w14:textId="5C5FC5E9"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.52</w:t>
            </w:r>
          </w:p>
        </w:tc>
        <w:tc>
          <w:tcPr>
            <w:tcW w:w="1418" w:type="dxa"/>
          </w:tcPr>
          <w:p w14:paraId="2FC5FFCB" w14:textId="660BA743"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.52</w:t>
            </w:r>
          </w:p>
        </w:tc>
        <w:tc>
          <w:tcPr>
            <w:tcW w:w="1417" w:type="dxa"/>
          </w:tcPr>
          <w:p w14:paraId="59F2D3AE"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.45</w:t>
            </w:r>
          </w:p>
        </w:tc>
        <w:tc>
          <w:tcPr>
            <w:tcW w:w="1418" w:type="dxa"/>
          </w:tcPr>
          <w:p w14:paraId="53AF983F"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-.39</w:t>
            </w:r>
          </w:p>
        </w:tc>
        <w:tc>
          <w:tcPr>
            <w:tcW w:w="1418" w:type="dxa"/>
          </w:tcPr>
          <w:p w14:paraId="12708128"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w:t>
            </w:r>
            <w:r>
              <w:rPr>
                <w:rFonts w:ascii="Arial" w:hAnsi="Arial" w:cs="Arial"/>
                <w:color w:val="000000"/>
                <w:sz w:val="24"/>
                <w:szCs w:val="24"/>
                <w:lang w:eastAsia="en-GB"/>
              </w:rPr>
              <w:t>2</w:t>
            </w:r>
          </w:p>
        </w:tc>
      </w:tr>
      <w:tr w:rsidR="00306796" w:rsidRPr="00FA6751" w14:paraId="750D5602" w14:textId="77777777" w:rsidTr="00BA35D2">
        <w:tc>
          <w:tcPr>
            <w:tcW w:w="1384" w:type="dxa"/>
            <w:vMerge/>
          </w:tcPr>
          <w:p w14:paraId="3414CF40" w14:textId="77777777" w:rsidR="00306796" w:rsidRDefault="00306796" w:rsidP="00287D43">
            <w:pPr>
              <w:autoSpaceDE w:val="0"/>
              <w:autoSpaceDN w:val="0"/>
              <w:adjustRightInd w:val="0"/>
              <w:spacing w:after="0" w:line="480" w:lineRule="auto"/>
              <w:rPr>
                <w:rFonts w:ascii="Arial" w:hAnsi="Arial" w:cs="Arial"/>
                <w:color w:val="000000"/>
                <w:sz w:val="24"/>
                <w:szCs w:val="24"/>
                <w:lang w:eastAsia="en-GB"/>
              </w:rPr>
            </w:pPr>
          </w:p>
        </w:tc>
        <w:tc>
          <w:tcPr>
            <w:tcW w:w="2268" w:type="dxa"/>
          </w:tcPr>
          <w:p w14:paraId="7FADD335" w14:textId="331B5A31"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TH</w:t>
            </w:r>
          </w:p>
        </w:tc>
        <w:tc>
          <w:tcPr>
            <w:tcW w:w="1417" w:type="dxa"/>
          </w:tcPr>
          <w:p w14:paraId="4A8C84FA"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.44</w:t>
            </w:r>
          </w:p>
        </w:tc>
        <w:tc>
          <w:tcPr>
            <w:tcW w:w="1418" w:type="dxa"/>
          </w:tcPr>
          <w:p w14:paraId="0BD63F6B"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.33</w:t>
            </w:r>
          </w:p>
        </w:tc>
        <w:tc>
          <w:tcPr>
            <w:tcW w:w="1417" w:type="dxa"/>
          </w:tcPr>
          <w:p w14:paraId="3F584D58" w14:textId="613854E2"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.45</w:t>
            </w:r>
          </w:p>
        </w:tc>
        <w:tc>
          <w:tcPr>
            <w:tcW w:w="1418" w:type="dxa"/>
          </w:tcPr>
          <w:p w14:paraId="354BA21F" w14:textId="2D9EC780"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.73</w:t>
            </w:r>
          </w:p>
        </w:tc>
        <w:tc>
          <w:tcPr>
            <w:tcW w:w="1417" w:type="dxa"/>
          </w:tcPr>
          <w:p w14:paraId="31974638"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w:t>
            </w:r>
            <w:r>
              <w:rPr>
                <w:rFonts w:ascii="Arial" w:hAnsi="Arial" w:cs="Arial"/>
                <w:color w:val="000000"/>
                <w:sz w:val="24"/>
                <w:szCs w:val="24"/>
                <w:lang w:eastAsia="en-GB"/>
              </w:rPr>
              <w:t>6</w:t>
            </w:r>
          </w:p>
        </w:tc>
        <w:tc>
          <w:tcPr>
            <w:tcW w:w="1418" w:type="dxa"/>
          </w:tcPr>
          <w:p w14:paraId="136DACB6"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-.42</w:t>
            </w:r>
          </w:p>
        </w:tc>
        <w:tc>
          <w:tcPr>
            <w:tcW w:w="1418" w:type="dxa"/>
          </w:tcPr>
          <w:p w14:paraId="718777D7"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40</w:t>
            </w:r>
          </w:p>
        </w:tc>
      </w:tr>
      <w:tr w:rsidR="00306796" w:rsidRPr="00FA6751" w14:paraId="51769642" w14:textId="77777777" w:rsidTr="00BA35D2">
        <w:tc>
          <w:tcPr>
            <w:tcW w:w="1384" w:type="dxa"/>
            <w:vMerge w:val="restart"/>
          </w:tcPr>
          <w:p w14:paraId="7732AE87" w14:textId="3BCFC010" w:rsidR="00306796" w:rsidRDefault="00306796" w:rsidP="00B310F9">
            <w:pPr>
              <w:autoSpaceDE w:val="0"/>
              <w:autoSpaceDN w:val="0"/>
              <w:adjustRightInd w:val="0"/>
              <w:spacing w:after="0" w:line="480" w:lineRule="auto"/>
              <w:rPr>
                <w:rFonts w:ascii="Arial" w:hAnsi="Arial" w:cs="Arial"/>
                <w:color w:val="000000"/>
                <w:sz w:val="24"/>
                <w:szCs w:val="24"/>
                <w:lang w:eastAsia="en-GB"/>
              </w:rPr>
            </w:pPr>
            <w:r>
              <w:rPr>
                <w:rFonts w:ascii="Arial" w:hAnsi="Arial" w:cs="Arial"/>
                <w:color w:val="000000"/>
                <w:sz w:val="24"/>
                <w:szCs w:val="24"/>
                <w:lang w:eastAsia="en-GB"/>
              </w:rPr>
              <w:t>1st o</w:t>
            </w:r>
            <w:r w:rsidRPr="00FA6751">
              <w:rPr>
                <w:rFonts w:ascii="Arial" w:hAnsi="Arial" w:cs="Arial"/>
                <w:color w:val="000000"/>
                <w:sz w:val="24"/>
                <w:szCs w:val="24"/>
                <w:lang w:eastAsia="en-GB"/>
              </w:rPr>
              <w:t xml:space="preserve">rder </w:t>
            </w:r>
            <w:r>
              <w:rPr>
                <w:rFonts w:ascii="Arial" w:hAnsi="Arial" w:cs="Arial"/>
                <w:color w:val="000000"/>
                <w:sz w:val="24"/>
                <w:szCs w:val="24"/>
                <w:lang w:eastAsia="en-GB"/>
              </w:rPr>
              <w:t xml:space="preserve"> DSO</w:t>
            </w:r>
          </w:p>
        </w:tc>
        <w:tc>
          <w:tcPr>
            <w:tcW w:w="2268" w:type="dxa"/>
          </w:tcPr>
          <w:p w14:paraId="1BA981F1" w14:textId="4B980A40"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AD</w:t>
            </w:r>
          </w:p>
        </w:tc>
        <w:tc>
          <w:tcPr>
            <w:tcW w:w="1417" w:type="dxa"/>
          </w:tcPr>
          <w:p w14:paraId="50EAADBA"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.50</w:t>
            </w:r>
          </w:p>
        </w:tc>
        <w:tc>
          <w:tcPr>
            <w:tcW w:w="1418" w:type="dxa"/>
          </w:tcPr>
          <w:p w14:paraId="561794BB"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.39</w:t>
            </w:r>
          </w:p>
        </w:tc>
        <w:tc>
          <w:tcPr>
            <w:tcW w:w="1417" w:type="dxa"/>
          </w:tcPr>
          <w:p w14:paraId="329D1FEE" w14:textId="491D48C1"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.74</w:t>
            </w:r>
          </w:p>
        </w:tc>
        <w:tc>
          <w:tcPr>
            <w:tcW w:w="1418" w:type="dxa"/>
          </w:tcPr>
          <w:p w14:paraId="61B1B3CE" w14:textId="399C0CA0"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.69</w:t>
            </w:r>
          </w:p>
        </w:tc>
        <w:tc>
          <w:tcPr>
            <w:tcW w:w="1417" w:type="dxa"/>
          </w:tcPr>
          <w:p w14:paraId="794BD8EC" w14:textId="07827A8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2</w:t>
            </w:r>
          </w:p>
        </w:tc>
        <w:tc>
          <w:tcPr>
            <w:tcW w:w="1418" w:type="dxa"/>
          </w:tcPr>
          <w:p w14:paraId="6DCDD5EF"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70</w:t>
            </w:r>
          </w:p>
        </w:tc>
        <w:tc>
          <w:tcPr>
            <w:tcW w:w="1418" w:type="dxa"/>
          </w:tcPr>
          <w:p w14:paraId="0C9529F0"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.72</w:t>
            </w:r>
          </w:p>
        </w:tc>
      </w:tr>
      <w:tr w:rsidR="00306796" w:rsidRPr="00FA6751" w14:paraId="1ADB8C8D" w14:textId="77777777" w:rsidTr="00BA35D2">
        <w:tc>
          <w:tcPr>
            <w:tcW w:w="1384" w:type="dxa"/>
            <w:vMerge/>
          </w:tcPr>
          <w:p w14:paraId="3653E4D8" w14:textId="77777777" w:rsidR="00306796" w:rsidRDefault="00306796" w:rsidP="00287D43">
            <w:pPr>
              <w:autoSpaceDE w:val="0"/>
              <w:autoSpaceDN w:val="0"/>
              <w:adjustRightInd w:val="0"/>
              <w:spacing w:after="0" w:line="480" w:lineRule="auto"/>
              <w:rPr>
                <w:rFonts w:ascii="Arial" w:hAnsi="Arial" w:cs="Arial"/>
                <w:color w:val="000000"/>
                <w:sz w:val="24"/>
                <w:szCs w:val="24"/>
                <w:lang w:eastAsia="en-GB"/>
              </w:rPr>
            </w:pPr>
          </w:p>
        </w:tc>
        <w:tc>
          <w:tcPr>
            <w:tcW w:w="2268" w:type="dxa"/>
          </w:tcPr>
          <w:p w14:paraId="4D6F330C" w14:textId="602D3A96"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NSC</w:t>
            </w:r>
          </w:p>
        </w:tc>
        <w:tc>
          <w:tcPr>
            <w:tcW w:w="1417" w:type="dxa"/>
          </w:tcPr>
          <w:p w14:paraId="3E0641BB"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.36</w:t>
            </w:r>
          </w:p>
        </w:tc>
        <w:tc>
          <w:tcPr>
            <w:tcW w:w="1418" w:type="dxa"/>
          </w:tcPr>
          <w:p w14:paraId="11146BC4"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.28</w:t>
            </w:r>
          </w:p>
        </w:tc>
        <w:tc>
          <w:tcPr>
            <w:tcW w:w="1417" w:type="dxa"/>
          </w:tcPr>
          <w:p w14:paraId="0D150C35" w14:textId="037CE81D"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.64</w:t>
            </w:r>
          </w:p>
        </w:tc>
        <w:tc>
          <w:tcPr>
            <w:tcW w:w="1418" w:type="dxa"/>
          </w:tcPr>
          <w:p w14:paraId="577706F5" w14:textId="50DEC414"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.56</w:t>
            </w:r>
          </w:p>
        </w:tc>
        <w:tc>
          <w:tcPr>
            <w:tcW w:w="1417" w:type="dxa"/>
          </w:tcPr>
          <w:p w14:paraId="0C52CD28"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w:t>
            </w:r>
            <w:r>
              <w:rPr>
                <w:rFonts w:ascii="Arial" w:hAnsi="Arial" w:cs="Arial"/>
                <w:color w:val="000000"/>
                <w:sz w:val="24"/>
                <w:szCs w:val="24"/>
                <w:lang w:eastAsia="en-GB"/>
              </w:rPr>
              <w:t>5</w:t>
            </w:r>
          </w:p>
        </w:tc>
        <w:tc>
          <w:tcPr>
            <w:tcW w:w="1418" w:type="dxa"/>
          </w:tcPr>
          <w:p w14:paraId="5F953D70"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-.81</w:t>
            </w:r>
          </w:p>
        </w:tc>
        <w:tc>
          <w:tcPr>
            <w:tcW w:w="1418" w:type="dxa"/>
          </w:tcPr>
          <w:p w14:paraId="7B62DD95"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.65</w:t>
            </w:r>
          </w:p>
        </w:tc>
      </w:tr>
      <w:tr w:rsidR="00306796" w:rsidRPr="00FA6751" w14:paraId="154EF8CC" w14:textId="77777777" w:rsidTr="00BA35D2">
        <w:tc>
          <w:tcPr>
            <w:tcW w:w="1384" w:type="dxa"/>
            <w:vMerge/>
          </w:tcPr>
          <w:p w14:paraId="62D19256" w14:textId="77777777" w:rsidR="00306796" w:rsidRDefault="00306796" w:rsidP="00287D43">
            <w:pPr>
              <w:autoSpaceDE w:val="0"/>
              <w:autoSpaceDN w:val="0"/>
              <w:adjustRightInd w:val="0"/>
              <w:spacing w:after="0" w:line="480" w:lineRule="auto"/>
              <w:rPr>
                <w:rFonts w:ascii="Arial" w:hAnsi="Arial" w:cs="Arial"/>
                <w:color w:val="000000"/>
                <w:sz w:val="24"/>
                <w:szCs w:val="24"/>
                <w:lang w:eastAsia="en-GB"/>
              </w:rPr>
            </w:pPr>
          </w:p>
        </w:tc>
        <w:tc>
          <w:tcPr>
            <w:tcW w:w="2268" w:type="dxa"/>
          </w:tcPr>
          <w:p w14:paraId="73ABB498" w14:textId="61530DB0"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DR</w:t>
            </w:r>
          </w:p>
        </w:tc>
        <w:tc>
          <w:tcPr>
            <w:tcW w:w="1417" w:type="dxa"/>
          </w:tcPr>
          <w:p w14:paraId="1D3C0DFA"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.47</w:t>
            </w:r>
          </w:p>
        </w:tc>
        <w:tc>
          <w:tcPr>
            <w:tcW w:w="1418" w:type="dxa"/>
          </w:tcPr>
          <w:p w14:paraId="23F0F2E2"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.3</w:t>
            </w:r>
            <w:r>
              <w:rPr>
                <w:rFonts w:ascii="Arial" w:hAnsi="Arial" w:cs="Arial"/>
                <w:color w:val="000000"/>
                <w:sz w:val="24"/>
                <w:szCs w:val="24"/>
                <w:lang w:eastAsia="en-GB"/>
              </w:rPr>
              <w:t>8</w:t>
            </w:r>
          </w:p>
        </w:tc>
        <w:tc>
          <w:tcPr>
            <w:tcW w:w="1417" w:type="dxa"/>
          </w:tcPr>
          <w:p w14:paraId="48E0CF63" w14:textId="69E14566"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.70</w:t>
            </w:r>
          </w:p>
        </w:tc>
        <w:tc>
          <w:tcPr>
            <w:tcW w:w="1418" w:type="dxa"/>
          </w:tcPr>
          <w:p w14:paraId="6DA29161" w14:textId="7B82180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.66</w:t>
            </w:r>
          </w:p>
        </w:tc>
        <w:tc>
          <w:tcPr>
            <w:tcW w:w="1417" w:type="dxa"/>
          </w:tcPr>
          <w:p w14:paraId="10B028CF"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w:t>
            </w:r>
            <w:r>
              <w:rPr>
                <w:rFonts w:ascii="Arial" w:hAnsi="Arial" w:cs="Arial"/>
                <w:color w:val="000000"/>
                <w:sz w:val="24"/>
                <w:szCs w:val="24"/>
                <w:lang w:eastAsia="en-GB"/>
              </w:rPr>
              <w:t>1</w:t>
            </w:r>
          </w:p>
        </w:tc>
        <w:tc>
          <w:tcPr>
            <w:tcW w:w="1418" w:type="dxa"/>
          </w:tcPr>
          <w:p w14:paraId="511A3656"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-.63</w:t>
            </w:r>
          </w:p>
        </w:tc>
        <w:tc>
          <w:tcPr>
            <w:tcW w:w="1418" w:type="dxa"/>
          </w:tcPr>
          <w:p w14:paraId="75A3505D"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.70</w:t>
            </w:r>
          </w:p>
        </w:tc>
      </w:tr>
      <w:tr w:rsidR="00306796" w:rsidRPr="00FA6751" w14:paraId="4D86923D" w14:textId="77777777" w:rsidTr="00BA35D2">
        <w:tc>
          <w:tcPr>
            <w:tcW w:w="1384" w:type="dxa"/>
          </w:tcPr>
          <w:p w14:paraId="06315B40" w14:textId="6700E142" w:rsidR="00306796" w:rsidRPr="00FA6751" w:rsidRDefault="00306796" w:rsidP="00287D43">
            <w:pPr>
              <w:autoSpaceDE w:val="0"/>
              <w:autoSpaceDN w:val="0"/>
              <w:adjustRightInd w:val="0"/>
              <w:spacing w:after="0" w:line="480" w:lineRule="auto"/>
              <w:rPr>
                <w:rFonts w:ascii="Arial" w:hAnsi="Arial" w:cs="Arial"/>
                <w:color w:val="000000"/>
                <w:sz w:val="24"/>
                <w:szCs w:val="24"/>
                <w:lang w:eastAsia="en-GB"/>
              </w:rPr>
            </w:pPr>
            <w:r w:rsidRPr="00FA6751">
              <w:rPr>
                <w:rFonts w:ascii="Arial" w:hAnsi="Arial" w:cs="Arial"/>
                <w:color w:val="000000"/>
                <w:sz w:val="24"/>
                <w:szCs w:val="24"/>
                <w:lang w:eastAsia="en-GB"/>
              </w:rPr>
              <w:t>2</w:t>
            </w:r>
            <w:r w:rsidRPr="00FA6751">
              <w:rPr>
                <w:rFonts w:ascii="Arial" w:hAnsi="Arial" w:cs="Arial"/>
                <w:color w:val="000000"/>
                <w:sz w:val="24"/>
                <w:szCs w:val="24"/>
                <w:vertAlign w:val="superscript"/>
                <w:lang w:eastAsia="en-GB"/>
              </w:rPr>
              <w:t>nd</w:t>
            </w:r>
            <w:r w:rsidRPr="00FA6751">
              <w:rPr>
                <w:rFonts w:ascii="Arial" w:hAnsi="Arial" w:cs="Arial"/>
                <w:color w:val="000000"/>
                <w:sz w:val="24"/>
                <w:szCs w:val="24"/>
                <w:lang w:eastAsia="en-GB"/>
              </w:rPr>
              <w:t xml:space="preserve"> Order</w:t>
            </w:r>
          </w:p>
        </w:tc>
        <w:tc>
          <w:tcPr>
            <w:tcW w:w="2268" w:type="dxa"/>
          </w:tcPr>
          <w:p w14:paraId="11AB6B13" w14:textId="1F976601" w:rsidR="00306796" w:rsidRPr="00FA6751" w:rsidRDefault="00306796">
            <w:pPr>
              <w:autoSpaceDE w:val="0"/>
              <w:autoSpaceDN w:val="0"/>
              <w:adjustRightInd w:val="0"/>
              <w:spacing w:after="0" w:line="480" w:lineRule="auto"/>
              <w:rPr>
                <w:rFonts w:ascii="Arial" w:hAnsi="Arial" w:cs="Arial"/>
                <w:sz w:val="24"/>
                <w:szCs w:val="24"/>
                <w:lang w:eastAsia="en-GB"/>
              </w:rPr>
            </w:pPr>
            <w:r w:rsidRPr="00FA6751">
              <w:rPr>
                <w:rFonts w:ascii="Arial" w:hAnsi="Arial" w:cs="Arial"/>
                <w:color w:val="000000"/>
                <w:sz w:val="24"/>
                <w:szCs w:val="24"/>
                <w:lang w:eastAsia="en-GB"/>
              </w:rPr>
              <w:t xml:space="preserve">PTSD </w:t>
            </w:r>
          </w:p>
        </w:tc>
        <w:tc>
          <w:tcPr>
            <w:tcW w:w="1417" w:type="dxa"/>
          </w:tcPr>
          <w:p w14:paraId="78377DE2"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1</w:t>
            </w:r>
          </w:p>
        </w:tc>
        <w:tc>
          <w:tcPr>
            <w:tcW w:w="1418" w:type="dxa"/>
          </w:tcPr>
          <w:p w14:paraId="03E539F8"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.53</w:t>
            </w:r>
          </w:p>
        </w:tc>
        <w:tc>
          <w:tcPr>
            <w:tcW w:w="1417" w:type="dxa"/>
          </w:tcPr>
          <w:p w14:paraId="3022A62F" w14:textId="023041FC"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.64</w:t>
            </w:r>
          </w:p>
        </w:tc>
        <w:tc>
          <w:tcPr>
            <w:tcW w:w="1418" w:type="dxa"/>
          </w:tcPr>
          <w:p w14:paraId="0BEDA41B" w14:textId="7380D2C4"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4</w:t>
            </w:r>
          </w:p>
        </w:tc>
        <w:tc>
          <w:tcPr>
            <w:tcW w:w="1417" w:type="dxa"/>
          </w:tcPr>
          <w:p w14:paraId="36BD5E73"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w:t>
            </w:r>
            <w:r>
              <w:rPr>
                <w:rFonts w:ascii="Arial" w:hAnsi="Arial" w:cs="Arial"/>
                <w:color w:val="000000"/>
                <w:sz w:val="24"/>
                <w:szCs w:val="24"/>
                <w:lang w:eastAsia="en-GB"/>
              </w:rPr>
              <w:t>60</w:t>
            </w:r>
          </w:p>
        </w:tc>
        <w:tc>
          <w:tcPr>
            <w:tcW w:w="1418" w:type="dxa"/>
          </w:tcPr>
          <w:p w14:paraId="19DD35ED"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-.59</w:t>
            </w:r>
          </w:p>
        </w:tc>
        <w:tc>
          <w:tcPr>
            <w:tcW w:w="1418" w:type="dxa"/>
          </w:tcPr>
          <w:p w14:paraId="566A77E6"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.58</w:t>
            </w:r>
          </w:p>
        </w:tc>
      </w:tr>
      <w:tr w:rsidR="00306796" w:rsidRPr="00FA6751" w14:paraId="2FD59C74" w14:textId="77777777" w:rsidTr="00BA35D2">
        <w:tc>
          <w:tcPr>
            <w:tcW w:w="1384" w:type="dxa"/>
            <w:tcBorders>
              <w:bottom w:val="single" w:sz="12" w:space="0" w:color="auto"/>
            </w:tcBorders>
          </w:tcPr>
          <w:p w14:paraId="7092243E" w14:textId="6210C005" w:rsidR="00306796" w:rsidRPr="00FA6751" w:rsidRDefault="00306796" w:rsidP="00287D43">
            <w:pPr>
              <w:autoSpaceDE w:val="0"/>
              <w:autoSpaceDN w:val="0"/>
              <w:adjustRightInd w:val="0"/>
              <w:spacing w:after="0" w:line="480" w:lineRule="auto"/>
              <w:rPr>
                <w:rFonts w:ascii="Arial" w:hAnsi="Arial" w:cs="Arial"/>
                <w:color w:val="000000"/>
                <w:sz w:val="24"/>
                <w:szCs w:val="24"/>
                <w:lang w:eastAsia="en-GB"/>
              </w:rPr>
            </w:pPr>
            <w:r w:rsidRPr="00FA6751">
              <w:rPr>
                <w:rFonts w:ascii="Arial" w:hAnsi="Arial" w:cs="Arial"/>
                <w:color w:val="000000"/>
                <w:sz w:val="24"/>
                <w:szCs w:val="24"/>
                <w:lang w:eastAsia="en-GB"/>
              </w:rPr>
              <w:t>2</w:t>
            </w:r>
            <w:r w:rsidRPr="00FA6751">
              <w:rPr>
                <w:rFonts w:ascii="Arial" w:hAnsi="Arial" w:cs="Arial"/>
                <w:color w:val="000000"/>
                <w:sz w:val="24"/>
                <w:szCs w:val="24"/>
                <w:vertAlign w:val="superscript"/>
                <w:lang w:eastAsia="en-GB"/>
              </w:rPr>
              <w:t>nd</w:t>
            </w:r>
            <w:r w:rsidRPr="00FA6751">
              <w:rPr>
                <w:rFonts w:ascii="Arial" w:hAnsi="Arial" w:cs="Arial"/>
                <w:color w:val="000000"/>
                <w:sz w:val="24"/>
                <w:szCs w:val="24"/>
                <w:lang w:eastAsia="en-GB"/>
              </w:rPr>
              <w:t xml:space="preserve"> Order</w:t>
            </w:r>
          </w:p>
        </w:tc>
        <w:tc>
          <w:tcPr>
            <w:tcW w:w="2268" w:type="dxa"/>
            <w:tcBorders>
              <w:bottom w:val="single" w:sz="12" w:space="0" w:color="auto"/>
            </w:tcBorders>
          </w:tcPr>
          <w:p w14:paraId="3EA50647" w14:textId="3F65CCC3" w:rsidR="00306796" w:rsidRPr="00FA6751" w:rsidRDefault="00306796">
            <w:pPr>
              <w:autoSpaceDE w:val="0"/>
              <w:autoSpaceDN w:val="0"/>
              <w:adjustRightInd w:val="0"/>
              <w:spacing w:after="0" w:line="480" w:lineRule="auto"/>
              <w:rPr>
                <w:rFonts w:ascii="Arial" w:hAnsi="Arial" w:cs="Arial"/>
                <w:sz w:val="24"/>
                <w:szCs w:val="24"/>
                <w:lang w:eastAsia="en-GB"/>
              </w:rPr>
            </w:pPr>
            <w:r>
              <w:rPr>
                <w:rFonts w:ascii="Arial" w:hAnsi="Arial" w:cs="Arial"/>
                <w:color w:val="000000"/>
                <w:sz w:val="24"/>
                <w:szCs w:val="24"/>
                <w:lang w:eastAsia="en-GB"/>
              </w:rPr>
              <w:t>DSO</w:t>
            </w:r>
          </w:p>
        </w:tc>
        <w:tc>
          <w:tcPr>
            <w:tcW w:w="1417" w:type="dxa"/>
            <w:tcBorders>
              <w:bottom w:val="single" w:sz="12" w:space="0" w:color="auto"/>
            </w:tcBorders>
          </w:tcPr>
          <w:p w14:paraId="5BEE9CA5"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.5</w:t>
            </w:r>
            <w:r>
              <w:rPr>
                <w:rFonts w:ascii="Arial" w:hAnsi="Arial" w:cs="Arial"/>
                <w:color w:val="000000"/>
                <w:sz w:val="24"/>
                <w:szCs w:val="24"/>
                <w:lang w:eastAsia="en-GB"/>
              </w:rPr>
              <w:t>2</w:t>
            </w:r>
          </w:p>
        </w:tc>
        <w:tc>
          <w:tcPr>
            <w:tcW w:w="1418" w:type="dxa"/>
            <w:tcBorders>
              <w:bottom w:val="single" w:sz="12" w:space="0" w:color="auto"/>
            </w:tcBorders>
          </w:tcPr>
          <w:p w14:paraId="6BFC5163"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.4</w:t>
            </w:r>
            <w:r>
              <w:rPr>
                <w:rFonts w:ascii="Arial" w:hAnsi="Arial" w:cs="Arial"/>
                <w:color w:val="000000"/>
                <w:sz w:val="24"/>
                <w:szCs w:val="24"/>
                <w:lang w:eastAsia="en-GB"/>
              </w:rPr>
              <w:t>1</w:t>
            </w:r>
          </w:p>
        </w:tc>
        <w:tc>
          <w:tcPr>
            <w:tcW w:w="1417" w:type="dxa"/>
            <w:tcBorders>
              <w:bottom w:val="single" w:sz="12" w:space="0" w:color="auto"/>
            </w:tcBorders>
          </w:tcPr>
          <w:p w14:paraId="1EE18E3C" w14:textId="1060118E" w:rsidR="00306796" w:rsidRPr="00FA6751" w:rsidRDefault="00BA35D2">
            <w:pPr>
              <w:autoSpaceDE w:val="0"/>
              <w:autoSpaceDN w:val="0"/>
              <w:adjustRightInd w:val="0"/>
              <w:spacing w:after="0" w:line="480" w:lineRule="auto"/>
              <w:ind w:left="60" w:right="60"/>
              <w:jc w:val="center"/>
              <w:rPr>
                <w:rFonts w:ascii="Arial" w:hAnsi="Arial" w:cs="Arial"/>
                <w:color w:val="000000"/>
                <w:sz w:val="24"/>
                <w:szCs w:val="24"/>
                <w:lang w:eastAsia="en-GB"/>
              </w:rPr>
            </w:pPr>
            <w:r>
              <w:rPr>
                <w:rFonts w:ascii="Arial" w:hAnsi="Arial" w:cs="Arial"/>
                <w:color w:val="000000"/>
                <w:sz w:val="24"/>
                <w:szCs w:val="24"/>
                <w:lang w:eastAsia="en-GB"/>
              </w:rPr>
              <w:t>.74</w:t>
            </w:r>
          </w:p>
        </w:tc>
        <w:tc>
          <w:tcPr>
            <w:tcW w:w="1418" w:type="dxa"/>
            <w:tcBorders>
              <w:bottom w:val="single" w:sz="12" w:space="0" w:color="auto"/>
            </w:tcBorders>
          </w:tcPr>
          <w:p w14:paraId="49CB2EF0" w14:textId="3C4E3204"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1</w:t>
            </w:r>
          </w:p>
        </w:tc>
        <w:tc>
          <w:tcPr>
            <w:tcW w:w="1417" w:type="dxa"/>
            <w:tcBorders>
              <w:bottom w:val="single" w:sz="12" w:space="0" w:color="auto"/>
            </w:tcBorders>
          </w:tcPr>
          <w:p w14:paraId="12D47D4A"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1</w:t>
            </w:r>
          </w:p>
        </w:tc>
        <w:tc>
          <w:tcPr>
            <w:tcW w:w="1418" w:type="dxa"/>
            <w:tcBorders>
              <w:bottom w:val="single" w:sz="12" w:space="0" w:color="auto"/>
            </w:tcBorders>
          </w:tcPr>
          <w:p w14:paraId="7CD73A06"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-.72</w:t>
            </w:r>
          </w:p>
        </w:tc>
        <w:tc>
          <w:tcPr>
            <w:tcW w:w="1418" w:type="dxa"/>
            <w:tcBorders>
              <w:bottom w:val="single" w:sz="12" w:space="0" w:color="auto"/>
            </w:tcBorders>
          </w:tcPr>
          <w:p w14:paraId="67D9F695" w14:textId="77777777" w:rsidR="00306796" w:rsidRPr="00FA6751" w:rsidRDefault="00306796">
            <w:pPr>
              <w:autoSpaceDE w:val="0"/>
              <w:autoSpaceDN w:val="0"/>
              <w:adjustRightInd w:val="0"/>
              <w:spacing w:after="0" w:line="480" w:lineRule="auto"/>
              <w:ind w:left="60" w:right="60"/>
              <w:jc w:val="center"/>
              <w:rPr>
                <w:rFonts w:ascii="Arial" w:hAnsi="Arial" w:cs="Arial"/>
                <w:color w:val="000000"/>
                <w:sz w:val="24"/>
                <w:szCs w:val="24"/>
                <w:lang w:eastAsia="en-GB"/>
              </w:rPr>
            </w:pPr>
            <w:r w:rsidRPr="00FA6751">
              <w:rPr>
                <w:rFonts w:ascii="Arial" w:hAnsi="Arial" w:cs="Arial"/>
                <w:color w:val="000000"/>
                <w:sz w:val="24"/>
                <w:szCs w:val="24"/>
                <w:lang w:eastAsia="en-GB"/>
              </w:rPr>
              <w:t>.7</w:t>
            </w:r>
            <w:r>
              <w:rPr>
                <w:rFonts w:ascii="Arial" w:hAnsi="Arial" w:cs="Arial"/>
                <w:color w:val="000000"/>
                <w:sz w:val="24"/>
                <w:szCs w:val="24"/>
                <w:lang w:eastAsia="en-GB"/>
              </w:rPr>
              <w:t>3</w:t>
            </w:r>
          </w:p>
        </w:tc>
      </w:tr>
    </w:tbl>
    <w:p w14:paraId="17608A8B" w14:textId="0BFC089C" w:rsidR="009E6544" w:rsidRPr="00EB0D5A" w:rsidRDefault="00BA35D2" w:rsidP="00BA35D2">
      <w:pPr>
        <w:autoSpaceDE w:val="0"/>
        <w:autoSpaceDN w:val="0"/>
        <w:adjustRightInd w:val="0"/>
        <w:spacing w:after="0" w:line="480" w:lineRule="auto"/>
        <w:rPr>
          <w:rFonts w:ascii="Arial" w:hAnsi="Arial" w:cs="Arial"/>
          <w:color w:val="000000"/>
          <w:sz w:val="24"/>
          <w:szCs w:val="24"/>
          <w:lang w:eastAsia="en-GB"/>
        </w:rPr>
      </w:pPr>
      <w:r w:rsidRPr="00EB0D5A">
        <w:rPr>
          <w:rFonts w:ascii="Arial" w:hAnsi="Arial" w:cs="Arial"/>
          <w:sz w:val="24"/>
          <w:szCs w:val="24"/>
          <w:lang w:eastAsia="en-GB"/>
        </w:rPr>
        <w:t xml:space="preserve">Note: All correlations significant (p &lt; .05); </w:t>
      </w:r>
      <w:r w:rsidR="001E04FC">
        <w:rPr>
          <w:rFonts w:ascii="Arial" w:hAnsi="Arial" w:cs="Arial"/>
          <w:color w:val="000000"/>
          <w:sz w:val="24"/>
          <w:szCs w:val="24"/>
          <w:lang w:eastAsia="en-GB"/>
        </w:rPr>
        <w:t>PCL I</w:t>
      </w:r>
      <w:r w:rsidRPr="00EB0D5A">
        <w:rPr>
          <w:rFonts w:ascii="Arial" w:hAnsi="Arial" w:cs="Arial"/>
          <w:color w:val="000000"/>
          <w:sz w:val="24"/>
          <w:szCs w:val="24"/>
          <w:lang w:eastAsia="en-GB"/>
        </w:rPr>
        <w:t xml:space="preserve"> </w:t>
      </w:r>
      <w:r>
        <w:rPr>
          <w:rFonts w:ascii="Arial" w:hAnsi="Arial" w:cs="Arial"/>
          <w:color w:val="000000"/>
          <w:sz w:val="24"/>
          <w:szCs w:val="24"/>
          <w:lang w:eastAsia="en-GB"/>
        </w:rPr>
        <w:t xml:space="preserve">= </w:t>
      </w:r>
      <w:r w:rsidRPr="00EB0D5A">
        <w:rPr>
          <w:rFonts w:ascii="Arial" w:hAnsi="Arial" w:cs="Arial"/>
          <w:color w:val="000000"/>
          <w:sz w:val="24"/>
          <w:szCs w:val="24"/>
          <w:lang w:eastAsia="en-GB"/>
        </w:rPr>
        <w:t xml:space="preserve">PCL </w:t>
      </w:r>
      <w:r w:rsidR="001E04FC">
        <w:rPr>
          <w:rFonts w:ascii="Arial" w:hAnsi="Arial" w:cs="Arial"/>
          <w:color w:val="000000"/>
          <w:sz w:val="24"/>
          <w:szCs w:val="24"/>
          <w:lang w:eastAsia="en-GB"/>
        </w:rPr>
        <w:t>Intrusion</w:t>
      </w:r>
      <w:r w:rsidRPr="00EB0D5A">
        <w:rPr>
          <w:rFonts w:ascii="Arial" w:hAnsi="Arial" w:cs="Arial"/>
          <w:color w:val="000000"/>
          <w:sz w:val="24"/>
          <w:szCs w:val="24"/>
          <w:lang w:eastAsia="en-GB"/>
        </w:rPr>
        <w:t xml:space="preserve"> scores</w:t>
      </w:r>
      <w:r w:rsidR="001E04FC">
        <w:rPr>
          <w:rFonts w:ascii="Arial" w:hAnsi="Arial" w:cs="Arial"/>
          <w:color w:val="000000"/>
          <w:sz w:val="24"/>
          <w:szCs w:val="24"/>
          <w:lang w:eastAsia="en-GB"/>
        </w:rPr>
        <w:t>; PCL Av</w:t>
      </w:r>
      <w:r>
        <w:rPr>
          <w:rFonts w:ascii="Arial" w:hAnsi="Arial" w:cs="Arial"/>
          <w:color w:val="000000"/>
          <w:sz w:val="24"/>
          <w:szCs w:val="24"/>
          <w:lang w:eastAsia="en-GB"/>
        </w:rPr>
        <w:t xml:space="preserve"> = PCL Avoidance scores; PCL NACM = PCL </w:t>
      </w:r>
      <w:r>
        <w:rPr>
          <w:rStyle w:val="apple-converted-space"/>
          <w:rFonts w:ascii="Arial" w:hAnsi="Arial" w:cs="Arial"/>
          <w:sz w:val="24"/>
          <w:szCs w:val="24"/>
          <w:shd w:val="clear" w:color="auto" w:fill="FFFFFF"/>
        </w:rPr>
        <w:t>N</w:t>
      </w:r>
      <w:r w:rsidRPr="00EB0D5A">
        <w:rPr>
          <w:rStyle w:val="apple-converted-space"/>
          <w:rFonts w:ascii="Arial" w:hAnsi="Arial" w:cs="Arial"/>
          <w:sz w:val="24"/>
          <w:szCs w:val="24"/>
          <w:shd w:val="clear" w:color="auto" w:fill="FFFFFF"/>
        </w:rPr>
        <w:t>egative alterations in cognitions and mood</w:t>
      </w:r>
      <w:r w:rsidRPr="00EB0D5A">
        <w:rPr>
          <w:rFonts w:ascii="Arial" w:hAnsi="Arial" w:cs="Arial"/>
          <w:color w:val="000000"/>
          <w:sz w:val="24"/>
          <w:szCs w:val="24"/>
          <w:lang w:eastAsia="en-GB"/>
        </w:rPr>
        <w:t xml:space="preserve"> </w:t>
      </w:r>
      <w:r>
        <w:rPr>
          <w:rFonts w:ascii="Arial" w:hAnsi="Arial" w:cs="Arial"/>
          <w:color w:val="000000"/>
          <w:sz w:val="24"/>
          <w:szCs w:val="24"/>
          <w:lang w:eastAsia="en-GB"/>
        </w:rPr>
        <w:t xml:space="preserve">scores; </w:t>
      </w:r>
      <w:r w:rsidR="009E6544" w:rsidRPr="00EB0D5A">
        <w:rPr>
          <w:rFonts w:ascii="Arial" w:hAnsi="Arial" w:cs="Arial"/>
          <w:color w:val="000000"/>
          <w:sz w:val="24"/>
          <w:szCs w:val="24"/>
          <w:lang w:eastAsia="en-GB"/>
        </w:rPr>
        <w:t xml:space="preserve">PCL </w:t>
      </w:r>
      <w:r w:rsidR="001E04FC">
        <w:rPr>
          <w:rFonts w:ascii="Arial" w:hAnsi="Arial" w:cs="Arial"/>
          <w:color w:val="000000"/>
          <w:sz w:val="24"/>
          <w:szCs w:val="24"/>
          <w:lang w:eastAsia="en-GB"/>
        </w:rPr>
        <w:t>Ar</w:t>
      </w:r>
      <w:r w:rsidR="009E6544" w:rsidRPr="00EB0D5A">
        <w:rPr>
          <w:rFonts w:ascii="Arial" w:hAnsi="Arial" w:cs="Arial"/>
          <w:color w:val="000000"/>
          <w:sz w:val="24"/>
          <w:szCs w:val="24"/>
          <w:lang w:eastAsia="en-GB"/>
        </w:rPr>
        <w:t xml:space="preserve"> = PCL Alterations in arousal and reactivity scores; DERS = </w:t>
      </w:r>
      <w:r>
        <w:rPr>
          <w:rFonts w:ascii="Arial" w:hAnsi="Arial" w:cs="Arial"/>
          <w:color w:val="000000"/>
          <w:sz w:val="24"/>
          <w:szCs w:val="24"/>
          <w:lang w:eastAsia="en-GB"/>
        </w:rPr>
        <w:t>D</w:t>
      </w:r>
      <w:r w:rsidR="009E6544" w:rsidRPr="00EB0D5A">
        <w:rPr>
          <w:rFonts w:ascii="Arial" w:hAnsi="Arial" w:cs="Arial"/>
          <w:color w:val="000000"/>
          <w:sz w:val="24"/>
          <w:szCs w:val="24"/>
          <w:lang w:eastAsia="en-GB"/>
        </w:rPr>
        <w:t>ifficulties in Emotion Regulation Scale total scale score; RSES = Rosenberg Self-esteem Scale; IIP = Inventory of Interpersonal Problem.</w:t>
      </w:r>
    </w:p>
    <w:p w14:paraId="497CFBBB" w14:textId="77777777" w:rsidR="009F2015" w:rsidRDefault="009F2015" w:rsidP="00241120">
      <w:pPr>
        <w:autoSpaceDE w:val="0"/>
        <w:autoSpaceDN w:val="0"/>
        <w:adjustRightInd w:val="0"/>
        <w:spacing w:after="0" w:line="480" w:lineRule="auto"/>
        <w:rPr>
          <w:rFonts w:ascii="Arial" w:hAnsi="Arial" w:cs="Arial"/>
          <w:b/>
          <w:bCs/>
          <w:color w:val="000000"/>
          <w:sz w:val="24"/>
          <w:szCs w:val="24"/>
          <w:lang w:eastAsia="en-GB"/>
        </w:rPr>
      </w:pPr>
    </w:p>
    <w:p w14:paraId="5EE2F075" w14:textId="77777777" w:rsidR="001E04FC" w:rsidRDefault="001E04FC" w:rsidP="002A602D">
      <w:pPr>
        <w:autoSpaceDE w:val="0"/>
        <w:autoSpaceDN w:val="0"/>
        <w:adjustRightInd w:val="0"/>
        <w:spacing w:after="0" w:line="480" w:lineRule="auto"/>
        <w:rPr>
          <w:rFonts w:ascii="Arial" w:hAnsi="Arial" w:cs="Arial"/>
          <w:b/>
          <w:bCs/>
          <w:color w:val="000000"/>
          <w:sz w:val="24"/>
          <w:szCs w:val="24"/>
          <w:lang w:eastAsia="en-GB"/>
        </w:rPr>
      </w:pPr>
    </w:p>
    <w:p w14:paraId="69C20230" w14:textId="52DAD576" w:rsidR="00EC0692" w:rsidRDefault="009E6544" w:rsidP="002A602D">
      <w:pPr>
        <w:autoSpaceDE w:val="0"/>
        <w:autoSpaceDN w:val="0"/>
        <w:adjustRightInd w:val="0"/>
        <w:spacing w:after="0" w:line="480" w:lineRule="auto"/>
        <w:rPr>
          <w:rFonts w:ascii="Arial" w:hAnsi="Arial" w:cs="Arial"/>
          <w:b/>
          <w:sz w:val="24"/>
          <w:szCs w:val="24"/>
        </w:rPr>
      </w:pPr>
      <w:r w:rsidRPr="00894056">
        <w:rPr>
          <w:rFonts w:ascii="Arial" w:hAnsi="Arial" w:cs="Arial"/>
          <w:b/>
          <w:bCs/>
          <w:color w:val="000000"/>
          <w:sz w:val="24"/>
          <w:szCs w:val="24"/>
          <w:lang w:eastAsia="en-GB"/>
        </w:rPr>
        <w:t xml:space="preserve">Figure 1. Alternative Factor Models of </w:t>
      </w:r>
      <w:r w:rsidRPr="001207A5">
        <w:rPr>
          <w:rFonts w:ascii="Arial" w:hAnsi="Arial" w:cs="Arial"/>
          <w:b/>
          <w:bCs/>
          <w:color w:val="000000"/>
          <w:sz w:val="24"/>
          <w:szCs w:val="24"/>
          <w:lang w:eastAsia="en-GB"/>
        </w:rPr>
        <w:t xml:space="preserve">the </w:t>
      </w:r>
      <w:r w:rsidR="001207A5" w:rsidRPr="001207A5">
        <w:rPr>
          <w:rFonts w:ascii="Arial" w:hAnsi="Arial" w:cs="Arial"/>
          <w:b/>
          <w:sz w:val="24"/>
          <w:szCs w:val="24"/>
        </w:rPr>
        <w:t>ICD-TQ</w:t>
      </w:r>
      <w:r w:rsidR="001207A5">
        <w:rPr>
          <w:rFonts w:ascii="Arial" w:hAnsi="Arial" w:cs="Arial"/>
          <w:b/>
          <w:sz w:val="24"/>
          <w:szCs w:val="24"/>
        </w:rPr>
        <w:t>.</w:t>
      </w:r>
    </w:p>
    <w:p w14:paraId="67D9A781" w14:textId="13FF40B7" w:rsidR="002A602D" w:rsidRDefault="002A602D" w:rsidP="002A602D">
      <w:r>
        <w:rPr>
          <w:noProof/>
          <w:lang w:eastAsia="en-GB"/>
        </w:rPr>
        <w:drawing>
          <wp:inline distT="0" distB="0" distL="0" distR="0" wp14:anchorId="16EE019E" wp14:editId="43C0B5DB">
            <wp:extent cx="4306186" cy="242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13496" cy="2427688"/>
                    </a:xfrm>
                    <a:prstGeom prst="rect">
                      <a:avLst/>
                    </a:prstGeom>
                  </pic:spPr>
                </pic:pic>
              </a:graphicData>
            </a:graphic>
          </wp:inline>
        </w:drawing>
      </w:r>
      <w:r w:rsidR="004032A4" w:rsidRPr="004032A4">
        <w:rPr>
          <w:noProof/>
          <w:lang w:eastAsia="en-GB"/>
        </w:rPr>
        <w:t xml:space="preserve"> </w:t>
      </w:r>
      <w:r w:rsidR="004032A4">
        <w:rPr>
          <w:noProof/>
          <w:lang w:eastAsia="en-GB"/>
        </w:rPr>
        <w:drawing>
          <wp:inline distT="0" distB="0" distL="0" distR="0" wp14:anchorId="7EFB9880" wp14:editId="6ED04ADB">
            <wp:extent cx="4486275" cy="2266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92487" cy="2270089"/>
                    </a:xfrm>
                    <a:prstGeom prst="rect">
                      <a:avLst/>
                    </a:prstGeom>
                  </pic:spPr>
                </pic:pic>
              </a:graphicData>
            </a:graphic>
          </wp:inline>
        </w:drawing>
      </w:r>
    </w:p>
    <w:p w14:paraId="11F807C1" w14:textId="77777777" w:rsidR="002A602D" w:rsidRDefault="002A602D" w:rsidP="002A602D"/>
    <w:p w14:paraId="734E22A5" w14:textId="77777777" w:rsidR="002A602D" w:rsidRDefault="002A602D" w:rsidP="002A602D">
      <w:pPr>
        <w:rPr>
          <w:noProof/>
          <w:lang w:eastAsia="en-GB"/>
        </w:rPr>
      </w:pPr>
      <w:r>
        <w:rPr>
          <w:noProof/>
          <w:lang w:eastAsia="en-GB"/>
        </w:rPr>
        <w:drawing>
          <wp:inline distT="0" distB="0" distL="0" distR="0" wp14:anchorId="5C026B47" wp14:editId="63DA6E17">
            <wp:extent cx="4306186" cy="2400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306186" cy="2400413"/>
                    </a:xfrm>
                    <a:prstGeom prst="rect">
                      <a:avLst/>
                    </a:prstGeom>
                  </pic:spPr>
                </pic:pic>
              </a:graphicData>
            </a:graphic>
          </wp:inline>
        </w:drawing>
      </w:r>
      <w:r w:rsidRPr="003C1E1A">
        <w:rPr>
          <w:noProof/>
          <w:lang w:eastAsia="en-GB"/>
        </w:rPr>
        <w:t xml:space="preserve"> </w:t>
      </w:r>
      <w:r>
        <w:rPr>
          <w:noProof/>
          <w:lang w:eastAsia="en-GB"/>
        </w:rPr>
        <w:drawing>
          <wp:inline distT="0" distB="0" distL="0" distR="0" wp14:anchorId="4DBE4664" wp14:editId="179F4299">
            <wp:extent cx="4444407" cy="23178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46041" cy="2318749"/>
                    </a:xfrm>
                    <a:prstGeom prst="rect">
                      <a:avLst/>
                    </a:prstGeom>
                  </pic:spPr>
                </pic:pic>
              </a:graphicData>
            </a:graphic>
          </wp:inline>
        </w:drawing>
      </w:r>
    </w:p>
    <w:p w14:paraId="1794023D" w14:textId="77777777" w:rsidR="002A602D" w:rsidRDefault="002A602D" w:rsidP="002A602D">
      <w:pPr>
        <w:rPr>
          <w:noProof/>
          <w:lang w:eastAsia="en-GB"/>
        </w:rPr>
      </w:pPr>
      <w:r>
        <w:rPr>
          <w:noProof/>
          <w:lang w:eastAsia="en-GB"/>
        </w:rPr>
        <w:drawing>
          <wp:inline distT="0" distB="0" distL="0" distR="0" wp14:anchorId="53CA9A02" wp14:editId="1E8321EF">
            <wp:extent cx="4508205" cy="2796363"/>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08490" cy="2796540"/>
                    </a:xfrm>
                    <a:prstGeom prst="rect">
                      <a:avLst/>
                    </a:prstGeom>
                  </pic:spPr>
                </pic:pic>
              </a:graphicData>
            </a:graphic>
          </wp:inline>
        </w:drawing>
      </w:r>
      <w:r w:rsidRPr="003C1E1A">
        <w:rPr>
          <w:noProof/>
          <w:lang w:eastAsia="en-GB"/>
        </w:rPr>
        <w:t xml:space="preserve"> </w:t>
      </w:r>
      <w:r>
        <w:rPr>
          <w:noProof/>
          <w:lang w:eastAsia="en-GB"/>
        </w:rPr>
        <w:drawing>
          <wp:inline distT="0" distB="0" distL="0" distR="0" wp14:anchorId="27B9942F" wp14:editId="1576980F">
            <wp:extent cx="4231758" cy="279460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247096" cy="2804731"/>
                    </a:xfrm>
                    <a:prstGeom prst="rect">
                      <a:avLst/>
                    </a:prstGeom>
                  </pic:spPr>
                </pic:pic>
              </a:graphicData>
            </a:graphic>
          </wp:inline>
        </w:drawing>
      </w:r>
    </w:p>
    <w:p w14:paraId="2426A006" w14:textId="77777777" w:rsidR="002A602D" w:rsidRDefault="002A602D" w:rsidP="002A602D">
      <w:pPr>
        <w:rPr>
          <w:noProof/>
          <w:lang w:eastAsia="en-GB"/>
        </w:rPr>
      </w:pPr>
    </w:p>
    <w:p w14:paraId="4665A503" w14:textId="77777777" w:rsidR="00897BED" w:rsidRDefault="00841234" w:rsidP="002A602D">
      <w:pPr>
        <w:rPr>
          <w:noProof/>
          <w:lang w:eastAsia="en-GB"/>
        </w:rPr>
      </w:pPr>
      <w:r>
        <w:rPr>
          <w:noProof/>
          <w:lang w:eastAsia="en-GB"/>
        </w:rPr>
        <w:drawing>
          <wp:inline distT="0" distB="0" distL="0" distR="0" wp14:anchorId="44932346" wp14:editId="6BC8BE3D">
            <wp:extent cx="4377667" cy="24765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384345" cy="2480278"/>
                    </a:xfrm>
                    <a:prstGeom prst="rect">
                      <a:avLst/>
                    </a:prstGeom>
                  </pic:spPr>
                </pic:pic>
              </a:graphicData>
            </a:graphic>
          </wp:inline>
        </w:drawing>
      </w:r>
    </w:p>
    <w:p w14:paraId="303BEA88" w14:textId="4574D794" w:rsidR="00EC0692" w:rsidRPr="004032A4" w:rsidRDefault="00EC0692" w:rsidP="002A602D">
      <w:pPr>
        <w:rPr>
          <w:rFonts w:ascii="Arial" w:hAnsi="Arial" w:cs="Arial"/>
          <w:noProof/>
          <w:sz w:val="24"/>
          <w:szCs w:val="24"/>
          <w:lang w:eastAsia="en-GB"/>
        </w:rPr>
      </w:pPr>
      <w:r w:rsidRPr="004032A4">
        <w:rPr>
          <w:rFonts w:ascii="Arial" w:hAnsi="Arial" w:cs="Arial"/>
          <w:noProof/>
          <w:sz w:val="24"/>
          <w:szCs w:val="24"/>
          <w:lang w:eastAsia="en-GB"/>
        </w:rPr>
        <w:t>Note: All possible first-order correlations are represented as the box labelled ‘</w:t>
      </w:r>
      <w:r w:rsidR="004032A4" w:rsidRPr="004032A4">
        <w:rPr>
          <w:rFonts w:ascii="Arial" w:eastAsiaTheme="minorHAnsi" w:hAnsi="Arial" w:cs="Arial"/>
          <w:color w:val="000000" w:themeColor="text1"/>
          <w:sz w:val="24"/>
          <w:szCs w:val="24"/>
        </w:rPr>
        <w:t>All Factor Correlations’</w:t>
      </w:r>
      <w:r w:rsidR="004032A4" w:rsidRPr="004032A4">
        <w:rPr>
          <w:rFonts w:ascii="Arial" w:hAnsi="Arial" w:cs="Arial"/>
          <w:noProof/>
          <w:sz w:val="24"/>
          <w:szCs w:val="24"/>
          <w:lang w:eastAsia="en-GB"/>
        </w:rPr>
        <w:t xml:space="preserve"> </w:t>
      </w:r>
      <w:r w:rsidRPr="004032A4">
        <w:rPr>
          <w:rFonts w:ascii="Arial" w:hAnsi="Arial" w:cs="Arial"/>
          <w:noProof/>
          <w:sz w:val="24"/>
          <w:szCs w:val="24"/>
          <w:lang w:eastAsia="en-GB"/>
        </w:rPr>
        <w:t>to avoid diagramic clutter.</w:t>
      </w:r>
    </w:p>
    <w:sectPr w:rsidR="00EC0692" w:rsidRPr="004032A4" w:rsidSect="0089405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8CD77" w14:textId="77777777" w:rsidR="00317951" w:rsidRDefault="00317951" w:rsidP="009C6C55">
      <w:pPr>
        <w:spacing w:after="0" w:line="240" w:lineRule="auto"/>
      </w:pPr>
      <w:r>
        <w:separator/>
      </w:r>
    </w:p>
  </w:endnote>
  <w:endnote w:type="continuationSeparator" w:id="0">
    <w:p w14:paraId="453E0B3C" w14:textId="77777777" w:rsidR="00317951" w:rsidRDefault="00317951" w:rsidP="009C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658B" w14:textId="6A2DAB88" w:rsidR="002C5B8A" w:rsidRDefault="002C5B8A">
    <w:pPr>
      <w:pStyle w:val="Footer"/>
      <w:jc w:val="right"/>
    </w:pPr>
    <w:r>
      <w:fldChar w:fldCharType="begin"/>
    </w:r>
    <w:r>
      <w:instrText xml:space="preserve"> PAGE   \* MERGEFORMAT </w:instrText>
    </w:r>
    <w:r>
      <w:fldChar w:fldCharType="separate"/>
    </w:r>
    <w:r w:rsidR="008434DF">
      <w:rPr>
        <w:noProof/>
      </w:rPr>
      <w:t>1</w:t>
    </w:r>
    <w:r>
      <w:rPr>
        <w:noProof/>
      </w:rPr>
      <w:fldChar w:fldCharType="end"/>
    </w:r>
  </w:p>
  <w:p w14:paraId="207B5359" w14:textId="77777777" w:rsidR="002C5B8A" w:rsidRDefault="002C5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9305A" w14:textId="77777777" w:rsidR="00317951" w:rsidRDefault="00317951" w:rsidP="009C6C55">
      <w:pPr>
        <w:spacing w:after="0" w:line="240" w:lineRule="auto"/>
      </w:pPr>
      <w:r>
        <w:separator/>
      </w:r>
    </w:p>
  </w:footnote>
  <w:footnote w:type="continuationSeparator" w:id="0">
    <w:p w14:paraId="70F44ABB" w14:textId="77777777" w:rsidR="00317951" w:rsidRDefault="00317951" w:rsidP="009C6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91DE" w14:textId="77777777" w:rsidR="002C5B8A" w:rsidRPr="00E91CBC" w:rsidRDefault="002C5B8A" w:rsidP="00D209DD">
    <w:pPr>
      <w:jc w:val="right"/>
      <w:rPr>
        <w:rFonts w:ascii="Arial" w:hAnsi="Arial" w:cs="Arial"/>
        <w:sz w:val="24"/>
        <w:szCs w:val="24"/>
      </w:rPr>
    </w:pPr>
    <w:r w:rsidRPr="00E91CBC">
      <w:rPr>
        <w:rFonts w:ascii="Arial" w:hAnsi="Arial" w:cs="Arial"/>
        <w:sz w:val="24"/>
        <w:szCs w:val="24"/>
      </w:rPr>
      <w:t>PTSD and CPTSD self-report scale</w:t>
    </w:r>
  </w:p>
  <w:p w14:paraId="7C8ABC0D" w14:textId="77777777" w:rsidR="002C5B8A" w:rsidRDefault="002C5B8A" w:rsidP="00D20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03E5"/>
    <w:multiLevelType w:val="hybridMultilevel"/>
    <w:tmpl w:val="3BB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35BCF"/>
    <w:multiLevelType w:val="multilevel"/>
    <w:tmpl w:val="B07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41A34"/>
    <w:multiLevelType w:val="hybridMultilevel"/>
    <w:tmpl w:val="EE32A8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21"/>
    <w:rsid w:val="000023AD"/>
    <w:rsid w:val="00002A0C"/>
    <w:rsid w:val="000059CB"/>
    <w:rsid w:val="000103C7"/>
    <w:rsid w:val="00012A36"/>
    <w:rsid w:val="00016C31"/>
    <w:rsid w:val="00021829"/>
    <w:rsid w:val="00030F0B"/>
    <w:rsid w:val="00031562"/>
    <w:rsid w:val="000368A9"/>
    <w:rsid w:val="0004031D"/>
    <w:rsid w:val="00040540"/>
    <w:rsid w:val="00040E86"/>
    <w:rsid w:val="000748C7"/>
    <w:rsid w:val="000749FD"/>
    <w:rsid w:val="00077C1F"/>
    <w:rsid w:val="00080530"/>
    <w:rsid w:val="00086573"/>
    <w:rsid w:val="000932F8"/>
    <w:rsid w:val="00093FA1"/>
    <w:rsid w:val="000A0393"/>
    <w:rsid w:val="000A2A22"/>
    <w:rsid w:val="000A77E0"/>
    <w:rsid w:val="000C381A"/>
    <w:rsid w:val="000D0A31"/>
    <w:rsid w:val="000D11FF"/>
    <w:rsid w:val="000F3355"/>
    <w:rsid w:val="00110D0B"/>
    <w:rsid w:val="0011526B"/>
    <w:rsid w:val="00116E78"/>
    <w:rsid w:val="001174C6"/>
    <w:rsid w:val="001207A5"/>
    <w:rsid w:val="0012289F"/>
    <w:rsid w:val="00134E3C"/>
    <w:rsid w:val="001352C4"/>
    <w:rsid w:val="001372DE"/>
    <w:rsid w:val="001407B8"/>
    <w:rsid w:val="00142BE1"/>
    <w:rsid w:val="001474A6"/>
    <w:rsid w:val="00151AAD"/>
    <w:rsid w:val="001531E9"/>
    <w:rsid w:val="00156D90"/>
    <w:rsid w:val="00162DE6"/>
    <w:rsid w:val="00166050"/>
    <w:rsid w:val="00166330"/>
    <w:rsid w:val="00167AD2"/>
    <w:rsid w:val="0017114A"/>
    <w:rsid w:val="00171A3B"/>
    <w:rsid w:val="00175AE0"/>
    <w:rsid w:val="001772E6"/>
    <w:rsid w:val="001927BE"/>
    <w:rsid w:val="001933EC"/>
    <w:rsid w:val="001A16B0"/>
    <w:rsid w:val="001B2ECF"/>
    <w:rsid w:val="001B3AD3"/>
    <w:rsid w:val="001B659D"/>
    <w:rsid w:val="001B65B7"/>
    <w:rsid w:val="001C066A"/>
    <w:rsid w:val="001C2BA3"/>
    <w:rsid w:val="001C6827"/>
    <w:rsid w:val="001C7384"/>
    <w:rsid w:val="001D10F7"/>
    <w:rsid w:val="001D3C82"/>
    <w:rsid w:val="001D3D38"/>
    <w:rsid w:val="001D739A"/>
    <w:rsid w:val="001D74F0"/>
    <w:rsid w:val="001E04FC"/>
    <w:rsid w:val="001E48A5"/>
    <w:rsid w:val="001F0164"/>
    <w:rsid w:val="001F52F3"/>
    <w:rsid w:val="001F743E"/>
    <w:rsid w:val="002040B0"/>
    <w:rsid w:val="002041B8"/>
    <w:rsid w:val="00204D4D"/>
    <w:rsid w:val="00205916"/>
    <w:rsid w:val="002068E0"/>
    <w:rsid w:val="00206CCC"/>
    <w:rsid w:val="0020700E"/>
    <w:rsid w:val="00212A34"/>
    <w:rsid w:val="00212F4B"/>
    <w:rsid w:val="002212FC"/>
    <w:rsid w:val="00230D1F"/>
    <w:rsid w:val="0023151E"/>
    <w:rsid w:val="00241120"/>
    <w:rsid w:val="0025016B"/>
    <w:rsid w:val="00265762"/>
    <w:rsid w:val="002705F9"/>
    <w:rsid w:val="00271BE0"/>
    <w:rsid w:val="002747F7"/>
    <w:rsid w:val="00281FB0"/>
    <w:rsid w:val="00282FF6"/>
    <w:rsid w:val="00286361"/>
    <w:rsid w:val="0028776D"/>
    <w:rsid w:val="00287D43"/>
    <w:rsid w:val="00294FD0"/>
    <w:rsid w:val="002952E0"/>
    <w:rsid w:val="002A602D"/>
    <w:rsid w:val="002A6125"/>
    <w:rsid w:val="002B0B88"/>
    <w:rsid w:val="002C5B8A"/>
    <w:rsid w:val="002D3721"/>
    <w:rsid w:val="002E0709"/>
    <w:rsid w:val="002E303A"/>
    <w:rsid w:val="002E7A00"/>
    <w:rsid w:val="002F3135"/>
    <w:rsid w:val="002F4DFE"/>
    <w:rsid w:val="00304117"/>
    <w:rsid w:val="00305F96"/>
    <w:rsid w:val="00306796"/>
    <w:rsid w:val="00311946"/>
    <w:rsid w:val="003168DF"/>
    <w:rsid w:val="00317951"/>
    <w:rsid w:val="00320359"/>
    <w:rsid w:val="00322E44"/>
    <w:rsid w:val="00337E81"/>
    <w:rsid w:val="00341CCE"/>
    <w:rsid w:val="00344220"/>
    <w:rsid w:val="00346BA4"/>
    <w:rsid w:val="00347EF0"/>
    <w:rsid w:val="00356115"/>
    <w:rsid w:val="003575B1"/>
    <w:rsid w:val="00362725"/>
    <w:rsid w:val="00362ADC"/>
    <w:rsid w:val="003633D8"/>
    <w:rsid w:val="00381092"/>
    <w:rsid w:val="00381D4A"/>
    <w:rsid w:val="003867B6"/>
    <w:rsid w:val="0038768F"/>
    <w:rsid w:val="0039047D"/>
    <w:rsid w:val="00390FD7"/>
    <w:rsid w:val="00391E63"/>
    <w:rsid w:val="0039366F"/>
    <w:rsid w:val="0039403C"/>
    <w:rsid w:val="00394FC9"/>
    <w:rsid w:val="00397D78"/>
    <w:rsid w:val="003A159A"/>
    <w:rsid w:val="003A1E52"/>
    <w:rsid w:val="003A4F25"/>
    <w:rsid w:val="003A5DEC"/>
    <w:rsid w:val="003A6476"/>
    <w:rsid w:val="003B1274"/>
    <w:rsid w:val="003C3A41"/>
    <w:rsid w:val="003C409B"/>
    <w:rsid w:val="003C4AE7"/>
    <w:rsid w:val="003C4D84"/>
    <w:rsid w:val="003C6F3D"/>
    <w:rsid w:val="003D3C19"/>
    <w:rsid w:val="003D51FE"/>
    <w:rsid w:val="003D5F8B"/>
    <w:rsid w:val="003D6BBD"/>
    <w:rsid w:val="003E3D65"/>
    <w:rsid w:val="003E78F7"/>
    <w:rsid w:val="003E7CC2"/>
    <w:rsid w:val="003F11B5"/>
    <w:rsid w:val="003F1965"/>
    <w:rsid w:val="003F318E"/>
    <w:rsid w:val="003F35A9"/>
    <w:rsid w:val="003F48B2"/>
    <w:rsid w:val="003F49D4"/>
    <w:rsid w:val="004007F1"/>
    <w:rsid w:val="00402A46"/>
    <w:rsid w:val="004032A4"/>
    <w:rsid w:val="004319A6"/>
    <w:rsid w:val="00433F4B"/>
    <w:rsid w:val="0043725A"/>
    <w:rsid w:val="00442AC5"/>
    <w:rsid w:val="00443A61"/>
    <w:rsid w:val="00445B5C"/>
    <w:rsid w:val="004533FF"/>
    <w:rsid w:val="00460C27"/>
    <w:rsid w:val="00464FC6"/>
    <w:rsid w:val="00466B11"/>
    <w:rsid w:val="004677BB"/>
    <w:rsid w:val="004707C5"/>
    <w:rsid w:val="00471AC8"/>
    <w:rsid w:val="00471F9B"/>
    <w:rsid w:val="00474FD2"/>
    <w:rsid w:val="004818FB"/>
    <w:rsid w:val="00492AE8"/>
    <w:rsid w:val="00497733"/>
    <w:rsid w:val="00497B7E"/>
    <w:rsid w:val="004A46E7"/>
    <w:rsid w:val="004B0272"/>
    <w:rsid w:val="004B05ED"/>
    <w:rsid w:val="004B5A4B"/>
    <w:rsid w:val="004C16E4"/>
    <w:rsid w:val="004C393C"/>
    <w:rsid w:val="004C45CA"/>
    <w:rsid w:val="004D4184"/>
    <w:rsid w:val="004E2E6A"/>
    <w:rsid w:val="004F0437"/>
    <w:rsid w:val="004F32DF"/>
    <w:rsid w:val="0051095A"/>
    <w:rsid w:val="005118D0"/>
    <w:rsid w:val="005122E8"/>
    <w:rsid w:val="00515C5E"/>
    <w:rsid w:val="00524F8F"/>
    <w:rsid w:val="00526510"/>
    <w:rsid w:val="0052762A"/>
    <w:rsid w:val="0053120B"/>
    <w:rsid w:val="0053167F"/>
    <w:rsid w:val="00532167"/>
    <w:rsid w:val="0053451E"/>
    <w:rsid w:val="00535119"/>
    <w:rsid w:val="00536B73"/>
    <w:rsid w:val="005373F9"/>
    <w:rsid w:val="00537BAD"/>
    <w:rsid w:val="00561CFF"/>
    <w:rsid w:val="00571D29"/>
    <w:rsid w:val="00574684"/>
    <w:rsid w:val="0058701F"/>
    <w:rsid w:val="005913C5"/>
    <w:rsid w:val="0059198E"/>
    <w:rsid w:val="00592517"/>
    <w:rsid w:val="005934A2"/>
    <w:rsid w:val="005A2BC6"/>
    <w:rsid w:val="005A5274"/>
    <w:rsid w:val="005B1F54"/>
    <w:rsid w:val="005B2B37"/>
    <w:rsid w:val="005B7181"/>
    <w:rsid w:val="005C0550"/>
    <w:rsid w:val="005C06DE"/>
    <w:rsid w:val="005D3F08"/>
    <w:rsid w:val="005D40D9"/>
    <w:rsid w:val="005D5C7A"/>
    <w:rsid w:val="005D6307"/>
    <w:rsid w:val="005E1BB6"/>
    <w:rsid w:val="005E35A1"/>
    <w:rsid w:val="005F49EB"/>
    <w:rsid w:val="006054EC"/>
    <w:rsid w:val="00605523"/>
    <w:rsid w:val="00610288"/>
    <w:rsid w:val="00611F29"/>
    <w:rsid w:val="0061568A"/>
    <w:rsid w:val="0061679A"/>
    <w:rsid w:val="00617421"/>
    <w:rsid w:val="00624D60"/>
    <w:rsid w:val="00625ABC"/>
    <w:rsid w:val="00630552"/>
    <w:rsid w:val="0063078E"/>
    <w:rsid w:val="00643BB7"/>
    <w:rsid w:val="0065038B"/>
    <w:rsid w:val="00651CF3"/>
    <w:rsid w:val="006528A2"/>
    <w:rsid w:val="00652E20"/>
    <w:rsid w:val="006537A5"/>
    <w:rsid w:val="00657A46"/>
    <w:rsid w:val="00657F2E"/>
    <w:rsid w:val="006666E1"/>
    <w:rsid w:val="006707A9"/>
    <w:rsid w:val="00671C00"/>
    <w:rsid w:val="006728E3"/>
    <w:rsid w:val="00673A4A"/>
    <w:rsid w:val="006760D4"/>
    <w:rsid w:val="00685F55"/>
    <w:rsid w:val="0068649E"/>
    <w:rsid w:val="00687004"/>
    <w:rsid w:val="006937BE"/>
    <w:rsid w:val="00695CEB"/>
    <w:rsid w:val="006A317A"/>
    <w:rsid w:val="006A45AC"/>
    <w:rsid w:val="006A6771"/>
    <w:rsid w:val="006A6F31"/>
    <w:rsid w:val="006B2324"/>
    <w:rsid w:val="006B4315"/>
    <w:rsid w:val="006B43BD"/>
    <w:rsid w:val="006C239A"/>
    <w:rsid w:val="006C4EB9"/>
    <w:rsid w:val="006C6AC4"/>
    <w:rsid w:val="006D4223"/>
    <w:rsid w:val="006E042A"/>
    <w:rsid w:val="006E1838"/>
    <w:rsid w:val="006E75AB"/>
    <w:rsid w:val="006F2992"/>
    <w:rsid w:val="006F3200"/>
    <w:rsid w:val="006F45A8"/>
    <w:rsid w:val="007004ED"/>
    <w:rsid w:val="00706936"/>
    <w:rsid w:val="00707958"/>
    <w:rsid w:val="00710265"/>
    <w:rsid w:val="00723C6C"/>
    <w:rsid w:val="00730DB0"/>
    <w:rsid w:val="00737A0E"/>
    <w:rsid w:val="00740575"/>
    <w:rsid w:val="007407DD"/>
    <w:rsid w:val="00743053"/>
    <w:rsid w:val="00743B2B"/>
    <w:rsid w:val="007503D4"/>
    <w:rsid w:val="007520CD"/>
    <w:rsid w:val="007578A6"/>
    <w:rsid w:val="007614C6"/>
    <w:rsid w:val="00763079"/>
    <w:rsid w:val="00766DE1"/>
    <w:rsid w:val="007803B0"/>
    <w:rsid w:val="00785032"/>
    <w:rsid w:val="0078549C"/>
    <w:rsid w:val="00785DCE"/>
    <w:rsid w:val="0078722E"/>
    <w:rsid w:val="00793590"/>
    <w:rsid w:val="00796979"/>
    <w:rsid w:val="007A4247"/>
    <w:rsid w:val="007B0D53"/>
    <w:rsid w:val="007B3294"/>
    <w:rsid w:val="007B60E0"/>
    <w:rsid w:val="007C3F73"/>
    <w:rsid w:val="007C4D6A"/>
    <w:rsid w:val="007D0CB2"/>
    <w:rsid w:val="007D3DDE"/>
    <w:rsid w:val="007E2834"/>
    <w:rsid w:val="007E2999"/>
    <w:rsid w:val="007E2B6D"/>
    <w:rsid w:val="007F5C30"/>
    <w:rsid w:val="007F7F55"/>
    <w:rsid w:val="0080097D"/>
    <w:rsid w:val="00802473"/>
    <w:rsid w:val="008112C3"/>
    <w:rsid w:val="00814999"/>
    <w:rsid w:val="00817330"/>
    <w:rsid w:val="00831BB8"/>
    <w:rsid w:val="0083438D"/>
    <w:rsid w:val="0083560A"/>
    <w:rsid w:val="00841234"/>
    <w:rsid w:val="0084326B"/>
    <w:rsid w:val="008434DF"/>
    <w:rsid w:val="00850650"/>
    <w:rsid w:val="00856236"/>
    <w:rsid w:val="0085635F"/>
    <w:rsid w:val="00861C3F"/>
    <w:rsid w:val="00870495"/>
    <w:rsid w:val="00870BD7"/>
    <w:rsid w:val="0087393E"/>
    <w:rsid w:val="008879B6"/>
    <w:rsid w:val="00890C60"/>
    <w:rsid w:val="00894051"/>
    <w:rsid w:val="00894056"/>
    <w:rsid w:val="00897BED"/>
    <w:rsid w:val="008A2B63"/>
    <w:rsid w:val="008A6702"/>
    <w:rsid w:val="008B3025"/>
    <w:rsid w:val="008B577E"/>
    <w:rsid w:val="008B605F"/>
    <w:rsid w:val="008B708E"/>
    <w:rsid w:val="008C44E9"/>
    <w:rsid w:val="008C6894"/>
    <w:rsid w:val="008D0989"/>
    <w:rsid w:val="008D3830"/>
    <w:rsid w:val="008D3D67"/>
    <w:rsid w:val="008D76BA"/>
    <w:rsid w:val="008E12F5"/>
    <w:rsid w:val="008E79DF"/>
    <w:rsid w:val="008F77D2"/>
    <w:rsid w:val="0090674D"/>
    <w:rsid w:val="009132FB"/>
    <w:rsid w:val="00915639"/>
    <w:rsid w:val="00916A13"/>
    <w:rsid w:val="00924E31"/>
    <w:rsid w:val="0093013D"/>
    <w:rsid w:val="00930ED5"/>
    <w:rsid w:val="009322AF"/>
    <w:rsid w:val="009517E8"/>
    <w:rsid w:val="009555A9"/>
    <w:rsid w:val="00955BF6"/>
    <w:rsid w:val="009620A7"/>
    <w:rsid w:val="00963DEB"/>
    <w:rsid w:val="0096646B"/>
    <w:rsid w:val="0097127C"/>
    <w:rsid w:val="009727D7"/>
    <w:rsid w:val="00975475"/>
    <w:rsid w:val="009817A2"/>
    <w:rsid w:val="00982561"/>
    <w:rsid w:val="00987655"/>
    <w:rsid w:val="009909BC"/>
    <w:rsid w:val="009B51EC"/>
    <w:rsid w:val="009C0D20"/>
    <w:rsid w:val="009C1B59"/>
    <w:rsid w:val="009C4C0D"/>
    <w:rsid w:val="009C6C55"/>
    <w:rsid w:val="009C7D65"/>
    <w:rsid w:val="009D1F19"/>
    <w:rsid w:val="009D33FD"/>
    <w:rsid w:val="009D6308"/>
    <w:rsid w:val="009E0493"/>
    <w:rsid w:val="009E09BA"/>
    <w:rsid w:val="009E39DC"/>
    <w:rsid w:val="009E3C4D"/>
    <w:rsid w:val="009E6544"/>
    <w:rsid w:val="009F0A50"/>
    <w:rsid w:val="009F2015"/>
    <w:rsid w:val="009F3210"/>
    <w:rsid w:val="009F4021"/>
    <w:rsid w:val="009F5E1A"/>
    <w:rsid w:val="00A008F0"/>
    <w:rsid w:val="00A031CA"/>
    <w:rsid w:val="00A10577"/>
    <w:rsid w:val="00A111C0"/>
    <w:rsid w:val="00A12871"/>
    <w:rsid w:val="00A161A7"/>
    <w:rsid w:val="00A249F8"/>
    <w:rsid w:val="00A24B67"/>
    <w:rsid w:val="00A30291"/>
    <w:rsid w:val="00A30D6B"/>
    <w:rsid w:val="00A36685"/>
    <w:rsid w:val="00A36C57"/>
    <w:rsid w:val="00A426F5"/>
    <w:rsid w:val="00A44CD1"/>
    <w:rsid w:val="00A5620F"/>
    <w:rsid w:val="00A57B0A"/>
    <w:rsid w:val="00A63B72"/>
    <w:rsid w:val="00A64181"/>
    <w:rsid w:val="00A64AD5"/>
    <w:rsid w:val="00A709E7"/>
    <w:rsid w:val="00A8256B"/>
    <w:rsid w:val="00A82C0B"/>
    <w:rsid w:val="00A92682"/>
    <w:rsid w:val="00A9405D"/>
    <w:rsid w:val="00A96D95"/>
    <w:rsid w:val="00AA5154"/>
    <w:rsid w:val="00AA5821"/>
    <w:rsid w:val="00AA619D"/>
    <w:rsid w:val="00AA72C5"/>
    <w:rsid w:val="00AB44C9"/>
    <w:rsid w:val="00AB4504"/>
    <w:rsid w:val="00AB5F5B"/>
    <w:rsid w:val="00AC0914"/>
    <w:rsid w:val="00AC27B6"/>
    <w:rsid w:val="00AC2E29"/>
    <w:rsid w:val="00AC56D0"/>
    <w:rsid w:val="00AD10FE"/>
    <w:rsid w:val="00AD1671"/>
    <w:rsid w:val="00AD2A79"/>
    <w:rsid w:val="00AD38CF"/>
    <w:rsid w:val="00AE48EA"/>
    <w:rsid w:val="00AE65E3"/>
    <w:rsid w:val="00AF67DD"/>
    <w:rsid w:val="00B04F75"/>
    <w:rsid w:val="00B10117"/>
    <w:rsid w:val="00B1086A"/>
    <w:rsid w:val="00B11354"/>
    <w:rsid w:val="00B3044B"/>
    <w:rsid w:val="00B310F9"/>
    <w:rsid w:val="00B323A1"/>
    <w:rsid w:val="00B553AD"/>
    <w:rsid w:val="00B55546"/>
    <w:rsid w:val="00B5681D"/>
    <w:rsid w:val="00B62607"/>
    <w:rsid w:val="00B81EB4"/>
    <w:rsid w:val="00B842A3"/>
    <w:rsid w:val="00B86E34"/>
    <w:rsid w:val="00B87406"/>
    <w:rsid w:val="00B91BB1"/>
    <w:rsid w:val="00B955A4"/>
    <w:rsid w:val="00BA08E3"/>
    <w:rsid w:val="00BA2453"/>
    <w:rsid w:val="00BA2500"/>
    <w:rsid w:val="00BA35D2"/>
    <w:rsid w:val="00BA727E"/>
    <w:rsid w:val="00BB1BC3"/>
    <w:rsid w:val="00BB3FA1"/>
    <w:rsid w:val="00BB45F9"/>
    <w:rsid w:val="00BC47D8"/>
    <w:rsid w:val="00BC5BD0"/>
    <w:rsid w:val="00BD101B"/>
    <w:rsid w:val="00BD20F1"/>
    <w:rsid w:val="00BE1082"/>
    <w:rsid w:val="00BF4D7E"/>
    <w:rsid w:val="00BF6CDA"/>
    <w:rsid w:val="00BF784C"/>
    <w:rsid w:val="00C00943"/>
    <w:rsid w:val="00C1042A"/>
    <w:rsid w:val="00C15F78"/>
    <w:rsid w:val="00C21086"/>
    <w:rsid w:val="00C22288"/>
    <w:rsid w:val="00C22C8E"/>
    <w:rsid w:val="00C24E0A"/>
    <w:rsid w:val="00C339A0"/>
    <w:rsid w:val="00C35A0C"/>
    <w:rsid w:val="00C36EF3"/>
    <w:rsid w:val="00C528A6"/>
    <w:rsid w:val="00C52DBA"/>
    <w:rsid w:val="00C5716A"/>
    <w:rsid w:val="00C61517"/>
    <w:rsid w:val="00C675A7"/>
    <w:rsid w:val="00C70DAC"/>
    <w:rsid w:val="00C77B2E"/>
    <w:rsid w:val="00C81DD3"/>
    <w:rsid w:val="00C82E18"/>
    <w:rsid w:val="00CA4515"/>
    <w:rsid w:val="00CA45DE"/>
    <w:rsid w:val="00CA553C"/>
    <w:rsid w:val="00CA7CDA"/>
    <w:rsid w:val="00CA7E2A"/>
    <w:rsid w:val="00CB7D11"/>
    <w:rsid w:val="00CD2977"/>
    <w:rsid w:val="00CD71A7"/>
    <w:rsid w:val="00CE5E76"/>
    <w:rsid w:val="00CF35B7"/>
    <w:rsid w:val="00CF711F"/>
    <w:rsid w:val="00CF7F71"/>
    <w:rsid w:val="00D01554"/>
    <w:rsid w:val="00D04EB0"/>
    <w:rsid w:val="00D0653B"/>
    <w:rsid w:val="00D06FB8"/>
    <w:rsid w:val="00D123AA"/>
    <w:rsid w:val="00D209DD"/>
    <w:rsid w:val="00D362C7"/>
    <w:rsid w:val="00D41296"/>
    <w:rsid w:val="00D5221E"/>
    <w:rsid w:val="00D52447"/>
    <w:rsid w:val="00D54A7C"/>
    <w:rsid w:val="00D56280"/>
    <w:rsid w:val="00D56740"/>
    <w:rsid w:val="00D57922"/>
    <w:rsid w:val="00D62031"/>
    <w:rsid w:val="00D675A9"/>
    <w:rsid w:val="00D70D0C"/>
    <w:rsid w:val="00D73A3B"/>
    <w:rsid w:val="00D76DCA"/>
    <w:rsid w:val="00D772C0"/>
    <w:rsid w:val="00D83FF5"/>
    <w:rsid w:val="00D95B74"/>
    <w:rsid w:val="00DA0D22"/>
    <w:rsid w:val="00DB2A0A"/>
    <w:rsid w:val="00DB415E"/>
    <w:rsid w:val="00DB6EE9"/>
    <w:rsid w:val="00DC2CC6"/>
    <w:rsid w:val="00DC2F68"/>
    <w:rsid w:val="00DD04AA"/>
    <w:rsid w:val="00DD063C"/>
    <w:rsid w:val="00DD2066"/>
    <w:rsid w:val="00DD6DEE"/>
    <w:rsid w:val="00DE2F12"/>
    <w:rsid w:val="00DF7141"/>
    <w:rsid w:val="00E03FE0"/>
    <w:rsid w:val="00E05542"/>
    <w:rsid w:val="00E067A3"/>
    <w:rsid w:val="00E17E7F"/>
    <w:rsid w:val="00E23940"/>
    <w:rsid w:val="00E23C68"/>
    <w:rsid w:val="00E26B57"/>
    <w:rsid w:val="00E35D19"/>
    <w:rsid w:val="00E41568"/>
    <w:rsid w:val="00E41A3F"/>
    <w:rsid w:val="00E503E4"/>
    <w:rsid w:val="00E5176A"/>
    <w:rsid w:val="00E600D3"/>
    <w:rsid w:val="00E6026C"/>
    <w:rsid w:val="00E60296"/>
    <w:rsid w:val="00E611CE"/>
    <w:rsid w:val="00E61FDF"/>
    <w:rsid w:val="00E654A0"/>
    <w:rsid w:val="00E65DFD"/>
    <w:rsid w:val="00E677CD"/>
    <w:rsid w:val="00E702BB"/>
    <w:rsid w:val="00E70D87"/>
    <w:rsid w:val="00E7526D"/>
    <w:rsid w:val="00E76E41"/>
    <w:rsid w:val="00E91CBC"/>
    <w:rsid w:val="00E955E0"/>
    <w:rsid w:val="00EA585D"/>
    <w:rsid w:val="00EB0D5A"/>
    <w:rsid w:val="00EB4FCC"/>
    <w:rsid w:val="00EC0188"/>
    <w:rsid w:val="00EC0692"/>
    <w:rsid w:val="00EC4506"/>
    <w:rsid w:val="00EC7E35"/>
    <w:rsid w:val="00ED0D5A"/>
    <w:rsid w:val="00EE04F0"/>
    <w:rsid w:val="00EE04F9"/>
    <w:rsid w:val="00EE689C"/>
    <w:rsid w:val="00EE7539"/>
    <w:rsid w:val="00EF1FF8"/>
    <w:rsid w:val="00EF24CA"/>
    <w:rsid w:val="00EF5E8B"/>
    <w:rsid w:val="00F050F6"/>
    <w:rsid w:val="00F100BB"/>
    <w:rsid w:val="00F11B98"/>
    <w:rsid w:val="00F12DBD"/>
    <w:rsid w:val="00F150D5"/>
    <w:rsid w:val="00F16C0F"/>
    <w:rsid w:val="00F273B2"/>
    <w:rsid w:val="00F32CC3"/>
    <w:rsid w:val="00F4029A"/>
    <w:rsid w:val="00F402B1"/>
    <w:rsid w:val="00F43328"/>
    <w:rsid w:val="00F434BA"/>
    <w:rsid w:val="00F4546A"/>
    <w:rsid w:val="00F4674B"/>
    <w:rsid w:val="00F52A02"/>
    <w:rsid w:val="00F56805"/>
    <w:rsid w:val="00F60D81"/>
    <w:rsid w:val="00F63B18"/>
    <w:rsid w:val="00F65863"/>
    <w:rsid w:val="00F67FAD"/>
    <w:rsid w:val="00F700F1"/>
    <w:rsid w:val="00F723AE"/>
    <w:rsid w:val="00F7710D"/>
    <w:rsid w:val="00F825D8"/>
    <w:rsid w:val="00F863E1"/>
    <w:rsid w:val="00F9455B"/>
    <w:rsid w:val="00F948CF"/>
    <w:rsid w:val="00F974F9"/>
    <w:rsid w:val="00FA6751"/>
    <w:rsid w:val="00FA79F4"/>
    <w:rsid w:val="00FB29D0"/>
    <w:rsid w:val="00FB46CD"/>
    <w:rsid w:val="00FB6222"/>
    <w:rsid w:val="00FC3D36"/>
    <w:rsid w:val="00FC4035"/>
    <w:rsid w:val="00FD4954"/>
    <w:rsid w:val="00FE009E"/>
    <w:rsid w:val="00FE59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222DF"/>
  <w15:docId w15:val="{65B10887-7D24-45D4-AEDA-195CB4AE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44"/>
    <w:pPr>
      <w:spacing w:after="160" w:line="259" w:lineRule="auto"/>
    </w:pPr>
    <w:rPr>
      <w:rFonts w:cs="Calibri"/>
      <w:lang w:eastAsia="en-US"/>
    </w:rPr>
  </w:style>
  <w:style w:type="paragraph" w:styleId="Heading1">
    <w:name w:val="heading 1"/>
    <w:basedOn w:val="Normal"/>
    <w:link w:val="Heading1Char"/>
    <w:uiPriority w:val="9"/>
    <w:qFormat/>
    <w:rsid w:val="00362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ADC"/>
    <w:rPr>
      <w:rFonts w:ascii="Times New Roman" w:hAnsi="Times New Roman" w:cs="Times New Roman"/>
      <w:b/>
      <w:bCs/>
      <w:kern w:val="36"/>
      <w:sz w:val="48"/>
      <w:szCs w:val="48"/>
      <w:lang w:eastAsia="en-GB"/>
    </w:rPr>
  </w:style>
  <w:style w:type="paragraph" w:styleId="ListParagraph">
    <w:name w:val="List Paragraph"/>
    <w:basedOn w:val="Normal"/>
    <w:uiPriority w:val="99"/>
    <w:qFormat/>
    <w:rsid w:val="00356115"/>
    <w:pPr>
      <w:ind w:left="720"/>
      <w:contextualSpacing/>
    </w:pPr>
  </w:style>
  <w:style w:type="character" w:styleId="CommentReference">
    <w:name w:val="annotation reference"/>
    <w:basedOn w:val="DefaultParagraphFont"/>
    <w:uiPriority w:val="99"/>
    <w:semiHidden/>
    <w:rsid w:val="006937BE"/>
    <w:rPr>
      <w:sz w:val="16"/>
      <w:szCs w:val="16"/>
    </w:rPr>
  </w:style>
  <w:style w:type="paragraph" w:styleId="CommentText">
    <w:name w:val="annotation text"/>
    <w:basedOn w:val="Normal"/>
    <w:link w:val="CommentTextChar"/>
    <w:uiPriority w:val="99"/>
    <w:semiHidden/>
    <w:rsid w:val="006937BE"/>
    <w:pPr>
      <w:spacing w:line="240" w:lineRule="auto"/>
    </w:pPr>
    <w:rPr>
      <w:sz w:val="20"/>
      <w:szCs w:val="20"/>
    </w:rPr>
  </w:style>
  <w:style w:type="character" w:customStyle="1" w:styleId="CommentTextChar">
    <w:name w:val="Comment Text Char"/>
    <w:basedOn w:val="DefaultParagraphFont"/>
    <w:link w:val="CommentText"/>
    <w:uiPriority w:val="99"/>
    <w:semiHidden/>
    <w:rsid w:val="006937BE"/>
    <w:rPr>
      <w:sz w:val="20"/>
      <w:szCs w:val="20"/>
    </w:rPr>
  </w:style>
  <w:style w:type="paragraph" w:styleId="CommentSubject">
    <w:name w:val="annotation subject"/>
    <w:basedOn w:val="CommentText"/>
    <w:next w:val="CommentText"/>
    <w:link w:val="CommentSubjectChar"/>
    <w:uiPriority w:val="99"/>
    <w:semiHidden/>
    <w:rsid w:val="006937BE"/>
    <w:rPr>
      <w:b/>
      <w:bCs/>
    </w:rPr>
  </w:style>
  <w:style w:type="character" w:customStyle="1" w:styleId="CommentSubjectChar">
    <w:name w:val="Comment Subject Char"/>
    <w:basedOn w:val="CommentTextChar"/>
    <w:link w:val="CommentSubject"/>
    <w:uiPriority w:val="99"/>
    <w:semiHidden/>
    <w:rsid w:val="006937BE"/>
    <w:rPr>
      <w:b/>
      <w:bCs/>
      <w:sz w:val="20"/>
      <w:szCs w:val="20"/>
    </w:rPr>
  </w:style>
  <w:style w:type="paragraph" w:styleId="BalloonText">
    <w:name w:val="Balloon Text"/>
    <w:basedOn w:val="Normal"/>
    <w:link w:val="BalloonTextChar"/>
    <w:uiPriority w:val="99"/>
    <w:semiHidden/>
    <w:rsid w:val="00693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BE"/>
    <w:rPr>
      <w:rFonts w:ascii="Segoe UI" w:hAnsi="Segoe UI" w:cs="Segoe UI"/>
      <w:sz w:val="18"/>
      <w:szCs w:val="18"/>
    </w:rPr>
  </w:style>
  <w:style w:type="paragraph" w:styleId="Header">
    <w:name w:val="header"/>
    <w:basedOn w:val="Normal"/>
    <w:link w:val="HeaderChar"/>
    <w:uiPriority w:val="99"/>
    <w:rsid w:val="009C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55"/>
  </w:style>
  <w:style w:type="paragraph" w:styleId="Footer">
    <w:name w:val="footer"/>
    <w:basedOn w:val="Normal"/>
    <w:link w:val="FooterChar"/>
    <w:uiPriority w:val="99"/>
    <w:rsid w:val="009C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55"/>
  </w:style>
  <w:style w:type="character" w:customStyle="1" w:styleId="citation">
    <w:name w:val="citation"/>
    <w:basedOn w:val="DefaultParagraphFont"/>
    <w:uiPriority w:val="99"/>
    <w:rsid w:val="00474FD2"/>
  </w:style>
  <w:style w:type="character" w:customStyle="1" w:styleId="apple-converted-space">
    <w:name w:val="apple-converted-space"/>
    <w:basedOn w:val="DefaultParagraphFont"/>
    <w:rsid w:val="00474FD2"/>
  </w:style>
  <w:style w:type="character" w:customStyle="1" w:styleId="ref-journal">
    <w:name w:val="ref-journal"/>
    <w:basedOn w:val="DefaultParagraphFont"/>
    <w:rsid w:val="00474FD2"/>
  </w:style>
  <w:style w:type="table" w:styleId="TableGrid">
    <w:name w:val="Table Grid"/>
    <w:basedOn w:val="TableNormal"/>
    <w:uiPriority w:val="99"/>
    <w:rsid w:val="00B626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B62607"/>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99"/>
    <w:qFormat/>
    <w:rsid w:val="00B87406"/>
    <w:rPr>
      <w:rFonts w:eastAsia="Times New Roman" w:cs="Calibri"/>
      <w:lang w:eastAsia="en-US"/>
    </w:rPr>
  </w:style>
  <w:style w:type="table" w:styleId="TableSimple1">
    <w:name w:val="Table Simple 1"/>
    <w:basedOn w:val="TableNormal"/>
    <w:uiPriority w:val="99"/>
    <w:rsid w:val="00E26B57"/>
    <w:rPr>
      <w:rFonts w:ascii="Times New Roman" w:eastAsia="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Strong">
    <w:name w:val="Strong"/>
    <w:basedOn w:val="DefaultParagraphFont"/>
    <w:uiPriority w:val="99"/>
    <w:qFormat/>
    <w:rsid w:val="003C3A41"/>
    <w:rPr>
      <w:b/>
      <w:bCs/>
    </w:rPr>
  </w:style>
  <w:style w:type="character" w:styleId="Hyperlink">
    <w:name w:val="Hyperlink"/>
    <w:basedOn w:val="DefaultParagraphFont"/>
    <w:uiPriority w:val="99"/>
    <w:rsid w:val="00E91CBC"/>
    <w:rPr>
      <w:color w:val="0000FF"/>
      <w:u w:val="single"/>
    </w:rPr>
  </w:style>
  <w:style w:type="paragraph" w:styleId="NormalWeb">
    <w:name w:val="Normal (Web)"/>
    <w:basedOn w:val="Normal"/>
    <w:uiPriority w:val="99"/>
    <w:semiHidden/>
    <w:rsid w:val="00AA619D"/>
    <w:pPr>
      <w:spacing w:before="240" w:after="240" w:line="240" w:lineRule="auto"/>
    </w:pPr>
    <w:rPr>
      <w:rFonts w:ascii="Times New Roman" w:eastAsia="Times New Roman" w:hAnsi="Times New Roman" w:cs="Times New Roman"/>
      <w:sz w:val="24"/>
      <w:szCs w:val="24"/>
      <w:lang w:eastAsia="en-GB"/>
    </w:rPr>
  </w:style>
  <w:style w:type="character" w:customStyle="1" w:styleId="cit">
    <w:name w:val="cit"/>
    <w:basedOn w:val="DefaultParagraphFont"/>
    <w:uiPriority w:val="99"/>
    <w:rsid w:val="00362ADC"/>
  </w:style>
  <w:style w:type="character" w:customStyle="1" w:styleId="fm-vol-iss-date">
    <w:name w:val="fm-vol-iss-date"/>
    <w:basedOn w:val="DefaultParagraphFont"/>
    <w:uiPriority w:val="99"/>
    <w:rsid w:val="00362ADC"/>
  </w:style>
  <w:style w:type="character" w:customStyle="1" w:styleId="doi1">
    <w:name w:val="doi1"/>
    <w:basedOn w:val="DefaultParagraphFont"/>
    <w:uiPriority w:val="99"/>
    <w:rsid w:val="00362ADC"/>
  </w:style>
  <w:style w:type="character" w:customStyle="1" w:styleId="fm-citation-ids-label">
    <w:name w:val="fm-citation-ids-label"/>
    <w:basedOn w:val="DefaultParagraphFont"/>
    <w:uiPriority w:val="99"/>
    <w:rsid w:val="00362ADC"/>
  </w:style>
  <w:style w:type="character" w:customStyle="1" w:styleId="element-citation">
    <w:name w:val="element-citation"/>
    <w:basedOn w:val="DefaultParagraphFont"/>
    <w:rsid w:val="003D6BBD"/>
  </w:style>
  <w:style w:type="character" w:customStyle="1" w:styleId="ref-vol">
    <w:name w:val="ref-vol"/>
    <w:basedOn w:val="DefaultParagraphFont"/>
    <w:uiPriority w:val="99"/>
    <w:rsid w:val="003D6BBD"/>
  </w:style>
  <w:style w:type="character" w:customStyle="1" w:styleId="nowrap">
    <w:name w:val="nowrap"/>
    <w:basedOn w:val="DefaultParagraphFont"/>
    <w:uiPriority w:val="99"/>
    <w:rsid w:val="003D6BBD"/>
  </w:style>
  <w:style w:type="character" w:customStyle="1" w:styleId="contribdegrees">
    <w:name w:val="contribdegrees"/>
    <w:basedOn w:val="DefaultParagraphFont"/>
    <w:uiPriority w:val="99"/>
    <w:rsid w:val="00DF7141"/>
  </w:style>
  <w:style w:type="character" w:customStyle="1" w:styleId="degreescomma">
    <w:name w:val="degreescomma"/>
    <w:basedOn w:val="DefaultParagraphFont"/>
    <w:uiPriority w:val="99"/>
    <w:rsid w:val="00DF7141"/>
  </w:style>
  <w:style w:type="character" w:customStyle="1" w:styleId="close5">
    <w:name w:val="close5"/>
    <w:basedOn w:val="DefaultParagraphFont"/>
    <w:uiPriority w:val="99"/>
    <w:rsid w:val="00DF7141"/>
    <w:rPr>
      <w:b/>
      <w:bCs/>
      <w:color w:val="333333"/>
      <w:sz w:val="17"/>
      <w:szCs w:val="17"/>
      <w:u w:val="none"/>
      <w:effect w:val="none"/>
      <w:bdr w:val="single" w:sz="12" w:space="2" w:color="AAAAAA" w:frame="1"/>
      <w:shd w:val="clear" w:color="auto" w:fill="FFFFFF"/>
    </w:rPr>
  </w:style>
  <w:style w:type="character" w:customStyle="1" w:styleId="maintitle">
    <w:name w:val="maintitle"/>
    <w:basedOn w:val="DefaultParagraphFont"/>
    <w:rsid w:val="00766DE1"/>
  </w:style>
  <w:style w:type="character" w:styleId="Emphasis">
    <w:name w:val="Emphasis"/>
    <w:basedOn w:val="DefaultParagraphFont"/>
    <w:uiPriority w:val="20"/>
    <w:qFormat/>
    <w:rsid w:val="00766DE1"/>
    <w:rPr>
      <w:i/>
      <w:iCs/>
    </w:rPr>
  </w:style>
  <w:style w:type="paragraph" w:styleId="Revision">
    <w:name w:val="Revision"/>
    <w:hidden/>
    <w:uiPriority w:val="99"/>
    <w:semiHidden/>
    <w:rsid w:val="001F0164"/>
    <w:rPr>
      <w:rFonts w:cs="Calibri"/>
      <w:lang w:eastAsia="en-US"/>
    </w:rPr>
  </w:style>
  <w:style w:type="paragraph" w:customStyle="1" w:styleId="desc">
    <w:name w:val="desc"/>
    <w:basedOn w:val="Normal"/>
    <w:rsid w:val="005A5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rsid w:val="005A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1190">
      <w:bodyDiv w:val="1"/>
      <w:marLeft w:val="0"/>
      <w:marRight w:val="0"/>
      <w:marTop w:val="0"/>
      <w:marBottom w:val="0"/>
      <w:divBdr>
        <w:top w:val="none" w:sz="0" w:space="0" w:color="auto"/>
        <w:left w:val="none" w:sz="0" w:space="0" w:color="auto"/>
        <w:bottom w:val="none" w:sz="0" w:space="0" w:color="auto"/>
        <w:right w:val="none" w:sz="0" w:space="0" w:color="auto"/>
      </w:divBdr>
      <w:divsChild>
        <w:div w:id="2073582209">
          <w:marLeft w:val="0"/>
          <w:marRight w:val="0"/>
          <w:marTop w:val="0"/>
          <w:marBottom w:val="0"/>
          <w:divBdr>
            <w:top w:val="none" w:sz="0" w:space="0" w:color="auto"/>
            <w:left w:val="none" w:sz="0" w:space="0" w:color="auto"/>
            <w:bottom w:val="none" w:sz="0" w:space="0" w:color="auto"/>
            <w:right w:val="none" w:sz="0" w:space="0" w:color="auto"/>
          </w:divBdr>
        </w:div>
        <w:div w:id="400762078">
          <w:marLeft w:val="0"/>
          <w:marRight w:val="0"/>
          <w:marTop w:val="0"/>
          <w:marBottom w:val="0"/>
          <w:divBdr>
            <w:top w:val="none" w:sz="0" w:space="0" w:color="auto"/>
            <w:left w:val="none" w:sz="0" w:space="0" w:color="auto"/>
            <w:bottom w:val="none" w:sz="0" w:space="0" w:color="auto"/>
            <w:right w:val="none" w:sz="0" w:space="0" w:color="auto"/>
          </w:divBdr>
        </w:div>
        <w:div w:id="1836384444">
          <w:marLeft w:val="0"/>
          <w:marRight w:val="0"/>
          <w:marTop w:val="0"/>
          <w:marBottom w:val="0"/>
          <w:divBdr>
            <w:top w:val="none" w:sz="0" w:space="0" w:color="auto"/>
            <w:left w:val="none" w:sz="0" w:space="0" w:color="auto"/>
            <w:bottom w:val="none" w:sz="0" w:space="0" w:color="auto"/>
            <w:right w:val="none" w:sz="0" w:space="0" w:color="auto"/>
          </w:divBdr>
        </w:div>
        <w:div w:id="1155759309">
          <w:marLeft w:val="0"/>
          <w:marRight w:val="0"/>
          <w:marTop w:val="0"/>
          <w:marBottom w:val="0"/>
          <w:divBdr>
            <w:top w:val="none" w:sz="0" w:space="0" w:color="auto"/>
            <w:left w:val="none" w:sz="0" w:space="0" w:color="auto"/>
            <w:bottom w:val="none" w:sz="0" w:space="0" w:color="auto"/>
            <w:right w:val="none" w:sz="0" w:space="0" w:color="auto"/>
          </w:divBdr>
        </w:div>
        <w:div w:id="1687824826">
          <w:marLeft w:val="0"/>
          <w:marRight w:val="0"/>
          <w:marTop w:val="0"/>
          <w:marBottom w:val="0"/>
          <w:divBdr>
            <w:top w:val="none" w:sz="0" w:space="0" w:color="auto"/>
            <w:left w:val="none" w:sz="0" w:space="0" w:color="auto"/>
            <w:bottom w:val="none" w:sz="0" w:space="0" w:color="auto"/>
            <w:right w:val="none" w:sz="0" w:space="0" w:color="auto"/>
          </w:divBdr>
        </w:div>
        <w:div w:id="1412433297">
          <w:marLeft w:val="0"/>
          <w:marRight w:val="0"/>
          <w:marTop w:val="0"/>
          <w:marBottom w:val="0"/>
          <w:divBdr>
            <w:top w:val="none" w:sz="0" w:space="0" w:color="auto"/>
            <w:left w:val="none" w:sz="0" w:space="0" w:color="auto"/>
            <w:bottom w:val="none" w:sz="0" w:space="0" w:color="auto"/>
            <w:right w:val="none" w:sz="0" w:space="0" w:color="auto"/>
          </w:divBdr>
        </w:div>
      </w:divsChild>
    </w:div>
    <w:div w:id="695083733">
      <w:bodyDiv w:val="1"/>
      <w:marLeft w:val="0"/>
      <w:marRight w:val="0"/>
      <w:marTop w:val="0"/>
      <w:marBottom w:val="0"/>
      <w:divBdr>
        <w:top w:val="none" w:sz="0" w:space="0" w:color="auto"/>
        <w:left w:val="none" w:sz="0" w:space="0" w:color="auto"/>
        <w:bottom w:val="none" w:sz="0" w:space="0" w:color="auto"/>
        <w:right w:val="none" w:sz="0" w:space="0" w:color="auto"/>
      </w:divBdr>
      <w:divsChild>
        <w:div w:id="1505582491">
          <w:marLeft w:val="0"/>
          <w:marRight w:val="0"/>
          <w:marTop w:val="0"/>
          <w:marBottom w:val="0"/>
          <w:divBdr>
            <w:top w:val="none" w:sz="0" w:space="0" w:color="auto"/>
            <w:left w:val="none" w:sz="0" w:space="0" w:color="auto"/>
            <w:bottom w:val="none" w:sz="0" w:space="0" w:color="auto"/>
            <w:right w:val="none" w:sz="0" w:space="0" w:color="auto"/>
          </w:divBdr>
        </w:div>
      </w:divsChild>
    </w:div>
    <w:div w:id="1316764353">
      <w:bodyDiv w:val="1"/>
      <w:marLeft w:val="0"/>
      <w:marRight w:val="0"/>
      <w:marTop w:val="0"/>
      <w:marBottom w:val="0"/>
      <w:divBdr>
        <w:top w:val="none" w:sz="0" w:space="0" w:color="auto"/>
        <w:left w:val="none" w:sz="0" w:space="0" w:color="auto"/>
        <w:bottom w:val="none" w:sz="0" w:space="0" w:color="auto"/>
        <w:right w:val="none" w:sz="0" w:space="0" w:color="auto"/>
      </w:divBdr>
      <w:divsChild>
        <w:div w:id="1874226119">
          <w:marLeft w:val="0"/>
          <w:marRight w:val="0"/>
          <w:marTop w:val="0"/>
          <w:marBottom w:val="0"/>
          <w:divBdr>
            <w:top w:val="none" w:sz="0" w:space="0" w:color="auto"/>
            <w:left w:val="none" w:sz="0" w:space="0" w:color="auto"/>
            <w:bottom w:val="none" w:sz="0" w:space="0" w:color="auto"/>
            <w:right w:val="none" w:sz="0" w:space="0" w:color="auto"/>
          </w:divBdr>
          <w:divsChild>
            <w:div w:id="504318470">
              <w:marLeft w:val="0"/>
              <w:marRight w:val="0"/>
              <w:marTop w:val="0"/>
              <w:marBottom w:val="0"/>
              <w:divBdr>
                <w:top w:val="none" w:sz="0" w:space="0" w:color="auto"/>
                <w:left w:val="none" w:sz="0" w:space="0" w:color="auto"/>
                <w:bottom w:val="none" w:sz="0" w:space="0" w:color="auto"/>
                <w:right w:val="none" w:sz="0" w:space="0" w:color="auto"/>
              </w:divBdr>
              <w:divsChild>
                <w:div w:id="1038436945">
                  <w:marLeft w:val="0"/>
                  <w:marRight w:val="0"/>
                  <w:marTop w:val="0"/>
                  <w:marBottom w:val="0"/>
                  <w:divBdr>
                    <w:top w:val="none" w:sz="0" w:space="0" w:color="auto"/>
                    <w:left w:val="none" w:sz="0" w:space="0" w:color="auto"/>
                    <w:bottom w:val="none" w:sz="0" w:space="0" w:color="auto"/>
                    <w:right w:val="none" w:sz="0" w:space="0" w:color="auto"/>
                  </w:divBdr>
                  <w:divsChild>
                    <w:div w:id="436290389">
                      <w:marLeft w:val="0"/>
                      <w:marRight w:val="0"/>
                      <w:marTop w:val="0"/>
                      <w:marBottom w:val="0"/>
                      <w:divBdr>
                        <w:top w:val="none" w:sz="0" w:space="0" w:color="auto"/>
                        <w:left w:val="none" w:sz="0" w:space="0" w:color="auto"/>
                        <w:bottom w:val="none" w:sz="0" w:space="0" w:color="auto"/>
                        <w:right w:val="none" w:sz="0" w:space="0" w:color="auto"/>
                      </w:divBdr>
                      <w:divsChild>
                        <w:div w:id="1713967816">
                          <w:marLeft w:val="0"/>
                          <w:marRight w:val="0"/>
                          <w:marTop w:val="0"/>
                          <w:marBottom w:val="0"/>
                          <w:divBdr>
                            <w:top w:val="none" w:sz="0" w:space="0" w:color="auto"/>
                            <w:left w:val="none" w:sz="0" w:space="0" w:color="auto"/>
                            <w:bottom w:val="none" w:sz="0" w:space="0" w:color="auto"/>
                            <w:right w:val="none" w:sz="0" w:space="0" w:color="auto"/>
                          </w:divBdr>
                          <w:divsChild>
                            <w:div w:id="1695888143">
                              <w:marLeft w:val="0"/>
                              <w:marRight w:val="0"/>
                              <w:marTop w:val="0"/>
                              <w:marBottom w:val="0"/>
                              <w:divBdr>
                                <w:top w:val="none" w:sz="0" w:space="0" w:color="auto"/>
                                <w:left w:val="none" w:sz="0" w:space="0" w:color="auto"/>
                                <w:bottom w:val="none" w:sz="0" w:space="0" w:color="auto"/>
                                <w:right w:val="none" w:sz="0" w:space="0" w:color="auto"/>
                              </w:divBdr>
                              <w:divsChild>
                                <w:div w:id="1066952654">
                                  <w:marLeft w:val="0"/>
                                  <w:marRight w:val="0"/>
                                  <w:marTop w:val="0"/>
                                  <w:marBottom w:val="0"/>
                                  <w:divBdr>
                                    <w:top w:val="none" w:sz="0" w:space="0" w:color="auto"/>
                                    <w:left w:val="none" w:sz="0" w:space="0" w:color="auto"/>
                                    <w:bottom w:val="none" w:sz="0" w:space="0" w:color="auto"/>
                                    <w:right w:val="none" w:sz="0" w:space="0" w:color="auto"/>
                                  </w:divBdr>
                                  <w:divsChild>
                                    <w:div w:id="593976834">
                                      <w:marLeft w:val="0"/>
                                      <w:marRight w:val="0"/>
                                      <w:marTop w:val="0"/>
                                      <w:marBottom w:val="0"/>
                                      <w:divBdr>
                                        <w:top w:val="none" w:sz="0" w:space="0" w:color="auto"/>
                                        <w:left w:val="none" w:sz="0" w:space="0" w:color="auto"/>
                                        <w:bottom w:val="none" w:sz="0" w:space="0" w:color="auto"/>
                                        <w:right w:val="none" w:sz="0" w:space="0" w:color="auto"/>
                                      </w:divBdr>
                                    </w:div>
                                    <w:div w:id="13601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336727">
      <w:bodyDiv w:val="1"/>
      <w:marLeft w:val="0"/>
      <w:marRight w:val="0"/>
      <w:marTop w:val="0"/>
      <w:marBottom w:val="0"/>
      <w:divBdr>
        <w:top w:val="none" w:sz="0" w:space="0" w:color="auto"/>
        <w:left w:val="none" w:sz="0" w:space="0" w:color="auto"/>
        <w:bottom w:val="none" w:sz="0" w:space="0" w:color="auto"/>
        <w:right w:val="none" w:sz="0" w:space="0" w:color="auto"/>
      </w:divBdr>
      <w:divsChild>
        <w:div w:id="1851720824">
          <w:marLeft w:val="0"/>
          <w:marRight w:val="0"/>
          <w:marTop w:val="0"/>
          <w:marBottom w:val="0"/>
          <w:divBdr>
            <w:top w:val="none" w:sz="0" w:space="0" w:color="auto"/>
            <w:left w:val="none" w:sz="0" w:space="0" w:color="auto"/>
            <w:bottom w:val="none" w:sz="0" w:space="0" w:color="auto"/>
            <w:right w:val="none" w:sz="0" w:space="0" w:color="auto"/>
          </w:divBdr>
          <w:divsChild>
            <w:div w:id="405421080">
              <w:marLeft w:val="0"/>
              <w:marRight w:val="0"/>
              <w:marTop w:val="0"/>
              <w:marBottom w:val="0"/>
              <w:divBdr>
                <w:top w:val="none" w:sz="0" w:space="0" w:color="auto"/>
                <w:left w:val="none" w:sz="0" w:space="0" w:color="auto"/>
                <w:bottom w:val="none" w:sz="0" w:space="0" w:color="auto"/>
                <w:right w:val="none" w:sz="0" w:space="0" w:color="auto"/>
              </w:divBdr>
              <w:divsChild>
                <w:div w:id="76827187">
                  <w:marLeft w:val="0"/>
                  <w:marRight w:val="0"/>
                  <w:marTop w:val="0"/>
                  <w:marBottom w:val="0"/>
                  <w:divBdr>
                    <w:top w:val="none" w:sz="0" w:space="0" w:color="auto"/>
                    <w:left w:val="none" w:sz="0" w:space="0" w:color="auto"/>
                    <w:bottom w:val="none" w:sz="0" w:space="0" w:color="auto"/>
                    <w:right w:val="none" w:sz="0" w:space="0" w:color="auto"/>
                  </w:divBdr>
                  <w:divsChild>
                    <w:div w:id="2018146422">
                      <w:marLeft w:val="0"/>
                      <w:marRight w:val="0"/>
                      <w:marTop w:val="0"/>
                      <w:marBottom w:val="0"/>
                      <w:divBdr>
                        <w:top w:val="none" w:sz="0" w:space="0" w:color="auto"/>
                        <w:left w:val="none" w:sz="0" w:space="0" w:color="auto"/>
                        <w:bottom w:val="none" w:sz="0" w:space="0" w:color="auto"/>
                        <w:right w:val="none" w:sz="0" w:space="0" w:color="auto"/>
                      </w:divBdr>
                      <w:divsChild>
                        <w:div w:id="639917596">
                          <w:marLeft w:val="0"/>
                          <w:marRight w:val="0"/>
                          <w:marTop w:val="0"/>
                          <w:marBottom w:val="0"/>
                          <w:divBdr>
                            <w:top w:val="none" w:sz="0" w:space="0" w:color="auto"/>
                            <w:left w:val="none" w:sz="0" w:space="0" w:color="auto"/>
                            <w:bottom w:val="none" w:sz="0" w:space="0" w:color="auto"/>
                            <w:right w:val="none" w:sz="0" w:space="0" w:color="auto"/>
                          </w:divBdr>
                          <w:divsChild>
                            <w:div w:id="1511332570">
                              <w:marLeft w:val="0"/>
                              <w:marRight w:val="0"/>
                              <w:marTop w:val="0"/>
                              <w:marBottom w:val="0"/>
                              <w:divBdr>
                                <w:top w:val="none" w:sz="0" w:space="0" w:color="auto"/>
                                <w:left w:val="none" w:sz="0" w:space="0" w:color="auto"/>
                                <w:bottom w:val="none" w:sz="0" w:space="0" w:color="auto"/>
                                <w:right w:val="none" w:sz="0" w:space="0" w:color="auto"/>
                              </w:divBdr>
                              <w:divsChild>
                                <w:div w:id="1630624867">
                                  <w:marLeft w:val="0"/>
                                  <w:marRight w:val="0"/>
                                  <w:marTop w:val="0"/>
                                  <w:marBottom w:val="0"/>
                                  <w:divBdr>
                                    <w:top w:val="none" w:sz="0" w:space="0" w:color="auto"/>
                                    <w:left w:val="none" w:sz="0" w:space="0" w:color="auto"/>
                                    <w:bottom w:val="none" w:sz="0" w:space="0" w:color="auto"/>
                                    <w:right w:val="none" w:sz="0" w:space="0" w:color="auto"/>
                                  </w:divBdr>
                                  <w:divsChild>
                                    <w:div w:id="602498798">
                                      <w:marLeft w:val="0"/>
                                      <w:marRight w:val="0"/>
                                      <w:marTop w:val="0"/>
                                      <w:marBottom w:val="0"/>
                                      <w:divBdr>
                                        <w:top w:val="none" w:sz="0" w:space="0" w:color="auto"/>
                                        <w:left w:val="none" w:sz="0" w:space="0" w:color="auto"/>
                                        <w:bottom w:val="none" w:sz="0" w:space="0" w:color="auto"/>
                                        <w:right w:val="none" w:sz="0" w:space="0" w:color="auto"/>
                                      </w:divBdr>
                                      <w:divsChild>
                                        <w:div w:id="1951545439">
                                          <w:marLeft w:val="0"/>
                                          <w:marRight w:val="0"/>
                                          <w:marTop w:val="0"/>
                                          <w:marBottom w:val="0"/>
                                          <w:divBdr>
                                            <w:top w:val="none" w:sz="0" w:space="0" w:color="auto"/>
                                            <w:left w:val="none" w:sz="0" w:space="0" w:color="auto"/>
                                            <w:bottom w:val="none" w:sz="0" w:space="0" w:color="auto"/>
                                            <w:right w:val="none" w:sz="0" w:space="0" w:color="auto"/>
                                          </w:divBdr>
                                          <w:divsChild>
                                            <w:div w:id="1176307702">
                                              <w:marLeft w:val="0"/>
                                              <w:marRight w:val="0"/>
                                              <w:marTop w:val="0"/>
                                              <w:marBottom w:val="0"/>
                                              <w:divBdr>
                                                <w:top w:val="none" w:sz="0" w:space="0" w:color="auto"/>
                                                <w:left w:val="none" w:sz="0" w:space="0" w:color="auto"/>
                                                <w:bottom w:val="none" w:sz="0" w:space="0" w:color="auto"/>
                                                <w:right w:val="none" w:sz="0" w:space="0" w:color="auto"/>
                                              </w:divBdr>
                                              <w:divsChild>
                                                <w:div w:id="329715388">
                                                  <w:marLeft w:val="0"/>
                                                  <w:marRight w:val="0"/>
                                                  <w:marTop w:val="0"/>
                                                  <w:marBottom w:val="0"/>
                                                  <w:divBdr>
                                                    <w:top w:val="none" w:sz="0" w:space="0" w:color="auto"/>
                                                    <w:left w:val="none" w:sz="0" w:space="0" w:color="auto"/>
                                                    <w:bottom w:val="none" w:sz="0" w:space="0" w:color="auto"/>
                                                    <w:right w:val="none" w:sz="0" w:space="0" w:color="auto"/>
                                                  </w:divBdr>
                                                  <w:divsChild>
                                                    <w:div w:id="1083726765">
                                                      <w:marLeft w:val="0"/>
                                                      <w:marRight w:val="0"/>
                                                      <w:marTop w:val="0"/>
                                                      <w:marBottom w:val="0"/>
                                                      <w:divBdr>
                                                        <w:top w:val="none" w:sz="0" w:space="0" w:color="auto"/>
                                                        <w:left w:val="none" w:sz="0" w:space="0" w:color="auto"/>
                                                        <w:bottom w:val="none" w:sz="0" w:space="0" w:color="auto"/>
                                                        <w:right w:val="none" w:sz="0" w:space="0" w:color="auto"/>
                                                      </w:divBdr>
                                                      <w:divsChild>
                                                        <w:div w:id="1002587876">
                                                          <w:marLeft w:val="0"/>
                                                          <w:marRight w:val="0"/>
                                                          <w:marTop w:val="0"/>
                                                          <w:marBottom w:val="0"/>
                                                          <w:divBdr>
                                                            <w:top w:val="none" w:sz="0" w:space="0" w:color="auto"/>
                                                            <w:left w:val="none" w:sz="0" w:space="0" w:color="auto"/>
                                                            <w:bottom w:val="none" w:sz="0" w:space="0" w:color="auto"/>
                                                            <w:right w:val="none" w:sz="0" w:space="0" w:color="auto"/>
                                                          </w:divBdr>
                                                          <w:divsChild>
                                                            <w:div w:id="398289452">
                                                              <w:marLeft w:val="0"/>
                                                              <w:marRight w:val="150"/>
                                                              <w:marTop w:val="0"/>
                                                              <w:marBottom w:val="150"/>
                                                              <w:divBdr>
                                                                <w:top w:val="none" w:sz="0" w:space="0" w:color="auto"/>
                                                                <w:left w:val="none" w:sz="0" w:space="0" w:color="auto"/>
                                                                <w:bottom w:val="none" w:sz="0" w:space="0" w:color="auto"/>
                                                                <w:right w:val="none" w:sz="0" w:space="0" w:color="auto"/>
                                                              </w:divBdr>
                                                              <w:divsChild>
                                                                <w:div w:id="2030174479">
                                                                  <w:marLeft w:val="0"/>
                                                                  <w:marRight w:val="0"/>
                                                                  <w:marTop w:val="0"/>
                                                                  <w:marBottom w:val="0"/>
                                                                  <w:divBdr>
                                                                    <w:top w:val="none" w:sz="0" w:space="0" w:color="auto"/>
                                                                    <w:left w:val="none" w:sz="0" w:space="0" w:color="auto"/>
                                                                    <w:bottom w:val="none" w:sz="0" w:space="0" w:color="auto"/>
                                                                    <w:right w:val="none" w:sz="0" w:space="0" w:color="auto"/>
                                                                  </w:divBdr>
                                                                  <w:divsChild>
                                                                    <w:div w:id="1452825970">
                                                                      <w:marLeft w:val="0"/>
                                                                      <w:marRight w:val="0"/>
                                                                      <w:marTop w:val="0"/>
                                                                      <w:marBottom w:val="0"/>
                                                                      <w:divBdr>
                                                                        <w:top w:val="none" w:sz="0" w:space="0" w:color="auto"/>
                                                                        <w:left w:val="none" w:sz="0" w:space="0" w:color="auto"/>
                                                                        <w:bottom w:val="none" w:sz="0" w:space="0" w:color="auto"/>
                                                                        <w:right w:val="none" w:sz="0" w:space="0" w:color="auto"/>
                                                                      </w:divBdr>
                                                                      <w:divsChild>
                                                                        <w:div w:id="979654884">
                                                                          <w:marLeft w:val="0"/>
                                                                          <w:marRight w:val="0"/>
                                                                          <w:marTop w:val="0"/>
                                                                          <w:marBottom w:val="0"/>
                                                                          <w:divBdr>
                                                                            <w:top w:val="none" w:sz="0" w:space="0" w:color="auto"/>
                                                                            <w:left w:val="none" w:sz="0" w:space="0" w:color="auto"/>
                                                                            <w:bottom w:val="none" w:sz="0" w:space="0" w:color="auto"/>
                                                                            <w:right w:val="none" w:sz="0" w:space="0" w:color="auto"/>
                                                                          </w:divBdr>
                                                                          <w:divsChild>
                                                                            <w:div w:id="1909917975">
                                                                              <w:marLeft w:val="0"/>
                                                                              <w:marRight w:val="0"/>
                                                                              <w:marTop w:val="0"/>
                                                                              <w:marBottom w:val="0"/>
                                                                              <w:divBdr>
                                                                                <w:top w:val="none" w:sz="0" w:space="0" w:color="auto"/>
                                                                                <w:left w:val="none" w:sz="0" w:space="0" w:color="auto"/>
                                                                                <w:bottom w:val="none" w:sz="0" w:space="0" w:color="auto"/>
                                                                                <w:right w:val="none" w:sz="0" w:space="0" w:color="auto"/>
                                                                              </w:divBdr>
                                                                              <w:divsChild>
                                                                                <w:div w:id="466045239">
                                                                                  <w:marLeft w:val="0"/>
                                                                                  <w:marRight w:val="0"/>
                                                                                  <w:marTop w:val="0"/>
                                                                                  <w:marBottom w:val="0"/>
                                                                                  <w:divBdr>
                                                                                    <w:top w:val="none" w:sz="0" w:space="0" w:color="auto"/>
                                                                                    <w:left w:val="none" w:sz="0" w:space="0" w:color="auto"/>
                                                                                    <w:bottom w:val="none" w:sz="0" w:space="0" w:color="auto"/>
                                                                                    <w:right w:val="none" w:sz="0" w:space="0" w:color="auto"/>
                                                                                  </w:divBdr>
                                                                                  <w:divsChild>
                                                                                    <w:div w:id="199974009">
                                                                                      <w:marLeft w:val="0"/>
                                                                                      <w:marRight w:val="0"/>
                                                                                      <w:marTop w:val="0"/>
                                                                                      <w:marBottom w:val="0"/>
                                                                                      <w:divBdr>
                                                                                        <w:top w:val="none" w:sz="0" w:space="0" w:color="auto"/>
                                                                                        <w:left w:val="none" w:sz="0" w:space="0" w:color="auto"/>
                                                                                        <w:bottom w:val="none" w:sz="0" w:space="0" w:color="auto"/>
                                                                                        <w:right w:val="none" w:sz="0" w:space="0" w:color="auto"/>
                                                                                      </w:divBdr>
                                                                                    </w:div>
                                                                                    <w:div w:id="1117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699566">
      <w:marLeft w:val="0"/>
      <w:marRight w:val="0"/>
      <w:marTop w:val="0"/>
      <w:marBottom w:val="0"/>
      <w:divBdr>
        <w:top w:val="none" w:sz="0" w:space="0" w:color="auto"/>
        <w:left w:val="none" w:sz="0" w:space="0" w:color="auto"/>
        <w:bottom w:val="none" w:sz="0" w:space="0" w:color="auto"/>
        <w:right w:val="none" w:sz="0" w:space="0" w:color="auto"/>
      </w:divBdr>
    </w:div>
    <w:div w:id="1895699569">
      <w:marLeft w:val="0"/>
      <w:marRight w:val="0"/>
      <w:marTop w:val="0"/>
      <w:marBottom w:val="0"/>
      <w:divBdr>
        <w:top w:val="none" w:sz="0" w:space="0" w:color="auto"/>
        <w:left w:val="none" w:sz="0" w:space="0" w:color="auto"/>
        <w:bottom w:val="none" w:sz="0" w:space="0" w:color="auto"/>
        <w:right w:val="none" w:sz="0" w:space="0" w:color="auto"/>
      </w:divBdr>
    </w:div>
    <w:div w:id="1895699570">
      <w:marLeft w:val="0"/>
      <w:marRight w:val="0"/>
      <w:marTop w:val="0"/>
      <w:marBottom w:val="0"/>
      <w:divBdr>
        <w:top w:val="none" w:sz="0" w:space="0" w:color="auto"/>
        <w:left w:val="none" w:sz="0" w:space="0" w:color="auto"/>
        <w:bottom w:val="none" w:sz="0" w:space="0" w:color="auto"/>
        <w:right w:val="none" w:sz="0" w:space="0" w:color="auto"/>
      </w:divBdr>
    </w:div>
    <w:div w:id="1895699575">
      <w:marLeft w:val="0"/>
      <w:marRight w:val="0"/>
      <w:marTop w:val="0"/>
      <w:marBottom w:val="0"/>
      <w:divBdr>
        <w:top w:val="none" w:sz="0" w:space="0" w:color="auto"/>
        <w:left w:val="none" w:sz="0" w:space="0" w:color="auto"/>
        <w:bottom w:val="none" w:sz="0" w:space="0" w:color="auto"/>
        <w:right w:val="none" w:sz="0" w:space="0" w:color="auto"/>
      </w:divBdr>
    </w:div>
    <w:div w:id="1895699579">
      <w:marLeft w:val="0"/>
      <w:marRight w:val="0"/>
      <w:marTop w:val="0"/>
      <w:marBottom w:val="0"/>
      <w:divBdr>
        <w:top w:val="none" w:sz="0" w:space="0" w:color="auto"/>
        <w:left w:val="none" w:sz="0" w:space="0" w:color="auto"/>
        <w:bottom w:val="none" w:sz="0" w:space="0" w:color="auto"/>
        <w:right w:val="none" w:sz="0" w:space="0" w:color="auto"/>
      </w:divBdr>
    </w:div>
    <w:div w:id="1895699586">
      <w:marLeft w:val="0"/>
      <w:marRight w:val="0"/>
      <w:marTop w:val="0"/>
      <w:marBottom w:val="0"/>
      <w:divBdr>
        <w:top w:val="none" w:sz="0" w:space="0" w:color="auto"/>
        <w:left w:val="none" w:sz="0" w:space="0" w:color="auto"/>
        <w:bottom w:val="none" w:sz="0" w:space="0" w:color="auto"/>
        <w:right w:val="none" w:sz="0" w:space="0" w:color="auto"/>
      </w:divBdr>
    </w:div>
    <w:div w:id="1895699589">
      <w:marLeft w:val="0"/>
      <w:marRight w:val="0"/>
      <w:marTop w:val="0"/>
      <w:marBottom w:val="0"/>
      <w:divBdr>
        <w:top w:val="none" w:sz="0" w:space="0" w:color="auto"/>
        <w:left w:val="none" w:sz="0" w:space="0" w:color="auto"/>
        <w:bottom w:val="none" w:sz="0" w:space="0" w:color="auto"/>
        <w:right w:val="none" w:sz="0" w:space="0" w:color="auto"/>
      </w:divBdr>
      <w:divsChild>
        <w:div w:id="1895699631">
          <w:marLeft w:val="0"/>
          <w:marRight w:val="0"/>
          <w:marTop w:val="0"/>
          <w:marBottom w:val="0"/>
          <w:divBdr>
            <w:top w:val="none" w:sz="0" w:space="0" w:color="auto"/>
            <w:left w:val="none" w:sz="0" w:space="0" w:color="auto"/>
            <w:bottom w:val="none" w:sz="0" w:space="0" w:color="auto"/>
            <w:right w:val="none" w:sz="0" w:space="0" w:color="auto"/>
          </w:divBdr>
          <w:divsChild>
            <w:div w:id="1895699628">
              <w:marLeft w:val="0"/>
              <w:marRight w:val="0"/>
              <w:marTop w:val="0"/>
              <w:marBottom w:val="0"/>
              <w:divBdr>
                <w:top w:val="none" w:sz="0" w:space="0" w:color="auto"/>
                <w:left w:val="none" w:sz="0" w:space="0" w:color="auto"/>
                <w:bottom w:val="none" w:sz="0" w:space="0" w:color="auto"/>
                <w:right w:val="none" w:sz="0" w:space="0" w:color="auto"/>
              </w:divBdr>
              <w:divsChild>
                <w:div w:id="1895699576">
                  <w:marLeft w:val="0"/>
                  <w:marRight w:val="0"/>
                  <w:marTop w:val="0"/>
                  <w:marBottom w:val="0"/>
                  <w:divBdr>
                    <w:top w:val="none" w:sz="0" w:space="0" w:color="auto"/>
                    <w:left w:val="none" w:sz="0" w:space="0" w:color="auto"/>
                    <w:bottom w:val="none" w:sz="0" w:space="0" w:color="auto"/>
                    <w:right w:val="none" w:sz="0" w:space="0" w:color="auto"/>
                  </w:divBdr>
                  <w:divsChild>
                    <w:div w:id="1895699590">
                      <w:marLeft w:val="0"/>
                      <w:marRight w:val="0"/>
                      <w:marTop w:val="0"/>
                      <w:marBottom w:val="0"/>
                      <w:divBdr>
                        <w:top w:val="none" w:sz="0" w:space="0" w:color="auto"/>
                        <w:left w:val="none" w:sz="0" w:space="0" w:color="auto"/>
                        <w:bottom w:val="none" w:sz="0" w:space="0" w:color="auto"/>
                        <w:right w:val="none" w:sz="0" w:space="0" w:color="auto"/>
                      </w:divBdr>
                      <w:divsChild>
                        <w:div w:id="1895699614">
                          <w:marLeft w:val="0"/>
                          <w:marRight w:val="0"/>
                          <w:marTop w:val="0"/>
                          <w:marBottom w:val="0"/>
                          <w:divBdr>
                            <w:top w:val="none" w:sz="0" w:space="0" w:color="auto"/>
                            <w:left w:val="none" w:sz="0" w:space="0" w:color="auto"/>
                            <w:bottom w:val="none" w:sz="0" w:space="0" w:color="auto"/>
                            <w:right w:val="none" w:sz="0" w:space="0" w:color="auto"/>
                          </w:divBdr>
                          <w:divsChild>
                            <w:div w:id="1895699654">
                              <w:marLeft w:val="0"/>
                              <w:marRight w:val="0"/>
                              <w:marTop w:val="0"/>
                              <w:marBottom w:val="0"/>
                              <w:divBdr>
                                <w:top w:val="none" w:sz="0" w:space="0" w:color="auto"/>
                                <w:left w:val="none" w:sz="0" w:space="0" w:color="auto"/>
                                <w:bottom w:val="none" w:sz="0" w:space="0" w:color="auto"/>
                                <w:right w:val="none" w:sz="0" w:space="0" w:color="auto"/>
                              </w:divBdr>
                              <w:divsChild>
                                <w:div w:id="1895699596">
                                  <w:marLeft w:val="0"/>
                                  <w:marRight w:val="0"/>
                                  <w:marTop w:val="0"/>
                                  <w:marBottom w:val="0"/>
                                  <w:divBdr>
                                    <w:top w:val="none" w:sz="0" w:space="0" w:color="auto"/>
                                    <w:left w:val="none" w:sz="0" w:space="0" w:color="auto"/>
                                    <w:bottom w:val="none" w:sz="0" w:space="0" w:color="auto"/>
                                    <w:right w:val="none" w:sz="0" w:space="0" w:color="auto"/>
                                  </w:divBdr>
                                  <w:divsChild>
                                    <w:div w:id="1895699607">
                                      <w:marLeft w:val="0"/>
                                      <w:marRight w:val="0"/>
                                      <w:marTop w:val="0"/>
                                      <w:marBottom w:val="0"/>
                                      <w:divBdr>
                                        <w:top w:val="none" w:sz="0" w:space="0" w:color="auto"/>
                                        <w:left w:val="none" w:sz="0" w:space="0" w:color="auto"/>
                                        <w:bottom w:val="none" w:sz="0" w:space="0" w:color="auto"/>
                                        <w:right w:val="none" w:sz="0" w:space="0" w:color="auto"/>
                                      </w:divBdr>
                                      <w:divsChild>
                                        <w:div w:id="1895699632">
                                          <w:marLeft w:val="0"/>
                                          <w:marRight w:val="0"/>
                                          <w:marTop w:val="0"/>
                                          <w:marBottom w:val="0"/>
                                          <w:divBdr>
                                            <w:top w:val="none" w:sz="0" w:space="0" w:color="auto"/>
                                            <w:left w:val="none" w:sz="0" w:space="0" w:color="auto"/>
                                            <w:bottom w:val="none" w:sz="0" w:space="0" w:color="auto"/>
                                            <w:right w:val="none" w:sz="0" w:space="0" w:color="auto"/>
                                          </w:divBdr>
                                          <w:divsChild>
                                            <w:div w:id="1895699584">
                                              <w:marLeft w:val="0"/>
                                              <w:marRight w:val="0"/>
                                              <w:marTop w:val="0"/>
                                              <w:marBottom w:val="0"/>
                                              <w:divBdr>
                                                <w:top w:val="none" w:sz="0" w:space="0" w:color="auto"/>
                                                <w:left w:val="none" w:sz="0" w:space="0" w:color="auto"/>
                                                <w:bottom w:val="none" w:sz="0" w:space="0" w:color="auto"/>
                                                <w:right w:val="none" w:sz="0" w:space="0" w:color="auto"/>
                                              </w:divBdr>
                                              <w:divsChild>
                                                <w:div w:id="1895699571">
                                                  <w:marLeft w:val="0"/>
                                                  <w:marRight w:val="0"/>
                                                  <w:marTop w:val="0"/>
                                                  <w:marBottom w:val="0"/>
                                                  <w:divBdr>
                                                    <w:top w:val="none" w:sz="0" w:space="0" w:color="auto"/>
                                                    <w:left w:val="none" w:sz="0" w:space="0" w:color="auto"/>
                                                    <w:bottom w:val="none" w:sz="0" w:space="0" w:color="auto"/>
                                                    <w:right w:val="none" w:sz="0" w:space="0" w:color="auto"/>
                                                  </w:divBdr>
                                                  <w:divsChild>
                                                    <w:div w:id="1895699601">
                                                      <w:marLeft w:val="0"/>
                                                      <w:marRight w:val="0"/>
                                                      <w:marTop w:val="0"/>
                                                      <w:marBottom w:val="0"/>
                                                      <w:divBdr>
                                                        <w:top w:val="none" w:sz="0" w:space="0" w:color="auto"/>
                                                        <w:left w:val="none" w:sz="0" w:space="0" w:color="auto"/>
                                                        <w:bottom w:val="none" w:sz="0" w:space="0" w:color="auto"/>
                                                        <w:right w:val="none" w:sz="0" w:space="0" w:color="auto"/>
                                                      </w:divBdr>
                                                      <w:divsChild>
                                                        <w:div w:id="1895699634">
                                                          <w:marLeft w:val="0"/>
                                                          <w:marRight w:val="0"/>
                                                          <w:marTop w:val="0"/>
                                                          <w:marBottom w:val="0"/>
                                                          <w:divBdr>
                                                            <w:top w:val="none" w:sz="0" w:space="0" w:color="auto"/>
                                                            <w:left w:val="none" w:sz="0" w:space="0" w:color="auto"/>
                                                            <w:bottom w:val="none" w:sz="0" w:space="0" w:color="auto"/>
                                                            <w:right w:val="none" w:sz="0" w:space="0" w:color="auto"/>
                                                          </w:divBdr>
                                                        </w:div>
                                                      </w:divsChild>
                                                    </w:div>
                                                    <w:div w:id="1895699618">
                                                      <w:marLeft w:val="0"/>
                                                      <w:marRight w:val="0"/>
                                                      <w:marTop w:val="0"/>
                                                      <w:marBottom w:val="0"/>
                                                      <w:divBdr>
                                                        <w:top w:val="none" w:sz="0" w:space="0" w:color="auto"/>
                                                        <w:left w:val="none" w:sz="0" w:space="0" w:color="auto"/>
                                                        <w:bottom w:val="none" w:sz="0" w:space="0" w:color="auto"/>
                                                        <w:right w:val="none" w:sz="0" w:space="0" w:color="auto"/>
                                                      </w:divBdr>
                                                      <w:divsChild>
                                                        <w:div w:id="1895699617">
                                                          <w:marLeft w:val="0"/>
                                                          <w:marRight w:val="0"/>
                                                          <w:marTop w:val="0"/>
                                                          <w:marBottom w:val="0"/>
                                                          <w:divBdr>
                                                            <w:top w:val="none" w:sz="0" w:space="0" w:color="auto"/>
                                                            <w:left w:val="none" w:sz="0" w:space="0" w:color="auto"/>
                                                            <w:bottom w:val="none" w:sz="0" w:space="0" w:color="auto"/>
                                                            <w:right w:val="none" w:sz="0" w:space="0" w:color="auto"/>
                                                          </w:divBdr>
                                                          <w:divsChild>
                                                            <w:div w:id="1895699627">
                                                              <w:marLeft w:val="0"/>
                                                              <w:marRight w:val="0"/>
                                                              <w:marTop w:val="0"/>
                                                              <w:marBottom w:val="0"/>
                                                              <w:divBdr>
                                                                <w:top w:val="none" w:sz="0" w:space="0" w:color="auto"/>
                                                                <w:left w:val="none" w:sz="0" w:space="0" w:color="auto"/>
                                                                <w:bottom w:val="none" w:sz="0" w:space="0" w:color="auto"/>
                                                                <w:right w:val="none" w:sz="0" w:space="0" w:color="auto"/>
                                                              </w:divBdr>
                                                              <w:divsChild>
                                                                <w:div w:id="1895699652">
                                                                  <w:marLeft w:val="0"/>
                                                                  <w:marRight w:val="0"/>
                                                                  <w:marTop w:val="0"/>
                                                                  <w:marBottom w:val="0"/>
                                                                  <w:divBdr>
                                                                    <w:top w:val="none" w:sz="0" w:space="0" w:color="auto"/>
                                                                    <w:left w:val="none" w:sz="0" w:space="0" w:color="auto"/>
                                                                    <w:bottom w:val="none" w:sz="0" w:space="0" w:color="auto"/>
                                                                    <w:right w:val="none" w:sz="0" w:space="0" w:color="auto"/>
                                                                  </w:divBdr>
                                                                  <w:divsChild>
                                                                    <w:div w:id="1895699613">
                                                                      <w:marLeft w:val="0"/>
                                                                      <w:marRight w:val="0"/>
                                                                      <w:marTop w:val="0"/>
                                                                      <w:marBottom w:val="0"/>
                                                                      <w:divBdr>
                                                                        <w:top w:val="none" w:sz="0" w:space="0" w:color="auto"/>
                                                                        <w:left w:val="none" w:sz="0" w:space="0" w:color="auto"/>
                                                                        <w:bottom w:val="none" w:sz="0" w:space="0" w:color="auto"/>
                                                                        <w:right w:val="none" w:sz="0" w:space="0" w:color="auto"/>
                                                                      </w:divBdr>
                                                                    </w:div>
                                                                    <w:div w:id="1895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641">
                                                              <w:marLeft w:val="0"/>
                                                              <w:marRight w:val="0"/>
                                                              <w:marTop w:val="0"/>
                                                              <w:marBottom w:val="0"/>
                                                              <w:divBdr>
                                                                <w:top w:val="none" w:sz="0" w:space="0" w:color="auto"/>
                                                                <w:left w:val="none" w:sz="0" w:space="0" w:color="auto"/>
                                                                <w:bottom w:val="none" w:sz="0" w:space="0" w:color="auto"/>
                                                                <w:right w:val="none" w:sz="0" w:space="0" w:color="auto"/>
                                                              </w:divBdr>
                                                              <w:divsChild>
                                                                <w:div w:id="1895699591">
                                                                  <w:marLeft w:val="0"/>
                                                                  <w:marRight w:val="0"/>
                                                                  <w:marTop w:val="0"/>
                                                                  <w:marBottom w:val="0"/>
                                                                  <w:divBdr>
                                                                    <w:top w:val="none" w:sz="0" w:space="0" w:color="auto"/>
                                                                    <w:left w:val="none" w:sz="0" w:space="0" w:color="auto"/>
                                                                    <w:bottom w:val="none" w:sz="0" w:space="0" w:color="auto"/>
                                                                    <w:right w:val="none" w:sz="0" w:space="0" w:color="auto"/>
                                                                  </w:divBdr>
                                                                  <w:divsChild>
                                                                    <w:div w:id="18956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5699594">
      <w:marLeft w:val="0"/>
      <w:marRight w:val="0"/>
      <w:marTop w:val="0"/>
      <w:marBottom w:val="0"/>
      <w:divBdr>
        <w:top w:val="none" w:sz="0" w:space="0" w:color="auto"/>
        <w:left w:val="none" w:sz="0" w:space="0" w:color="auto"/>
        <w:bottom w:val="none" w:sz="0" w:space="0" w:color="auto"/>
        <w:right w:val="none" w:sz="0" w:space="0" w:color="auto"/>
      </w:divBdr>
      <w:divsChild>
        <w:div w:id="1895699580">
          <w:marLeft w:val="0"/>
          <w:marRight w:val="0"/>
          <w:marTop w:val="0"/>
          <w:marBottom w:val="0"/>
          <w:divBdr>
            <w:top w:val="none" w:sz="0" w:space="0" w:color="auto"/>
            <w:left w:val="none" w:sz="0" w:space="0" w:color="auto"/>
            <w:bottom w:val="none" w:sz="0" w:space="0" w:color="auto"/>
            <w:right w:val="none" w:sz="0" w:space="0" w:color="auto"/>
          </w:divBdr>
        </w:div>
        <w:div w:id="1895699602">
          <w:marLeft w:val="0"/>
          <w:marRight w:val="0"/>
          <w:marTop w:val="0"/>
          <w:marBottom w:val="0"/>
          <w:divBdr>
            <w:top w:val="none" w:sz="0" w:space="0" w:color="auto"/>
            <w:left w:val="none" w:sz="0" w:space="0" w:color="auto"/>
            <w:bottom w:val="none" w:sz="0" w:space="0" w:color="auto"/>
            <w:right w:val="none" w:sz="0" w:space="0" w:color="auto"/>
          </w:divBdr>
        </w:div>
        <w:div w:id="1895699649">
          <w:marLeft w:val="0"/>
          <w:marRight w:val="0"/>
          <w:marTop w:val="0"/>
          <w:marBottom w:val="0"/>
          <w:divBdr>
            <w:top w:val="none" w:sz="0" w:space="0" w:color="auto"/>
            <w:left w:val="none" w:sz="0" w:space="0" w:color="auto"/>
            <w:bottom w:val="none" w:sz="0" w:space="0" w:color="auto"/>
            <w:right w:val="none" w:sz="0" w:space="0" w:color="auto"/>
          </w:divBdr>
        </w:div>
      </w:divsChild>
    </w:div>
    <w:div w:id="1895699609">
      <w:marLeft w:val="0"/>
      <w:marRight w:val="0"/>
      <w:marTop w:val="0"/>
      <w:marBottom w:val="0"/>
      <w:divBdr>
        <w:top w:val="none" w:sz="0" w:space="0" w:color="auto"/>
        <w:left w:val="none" w:sz="0" w:space="0" w:color="auto"/>
        <w:bottom w:val="none" w:sz="0" w:space="0" w:color="auto"/>
        <w:right w:val="none" w:sz="0" w:space="0" w:color="auto"/>
      </w:divBdr>
    </w:div>
    <w:div w:id="1895699611">
      <w:marLeft w:val="0"/>
      <w:marRight w:val="0"/>
      <w:marTop w:val="0"/>
      <w:marBottom w:val="0"/>
      <w:divBdr>
        <w:top w:val="none" w:sz="0" w:space="0" w:color="auto"/>
        <w:left w:val="none" w:sz="0" w:space="0" w:color="auto"/>
        <w:bottom w:val="none" w:sz="0" w:space="0" w:color="auto"/>
        <w:right w:val="none" w:sz="0" w:space="0" w:color="auto"/>
      </w:divBdr>
      <w:divsChild>
        <w:div w:id="1895699642">
          <w:marLeft w:val="1200"/>
          <w:marRight w:val="1200"/>
          <w:marTop w:val="0"/>
          <w:marBottom w:val="0"/>
          <w:divBdr>
            <w:top w:val="none" w:sz="0" w:space="0" w:color="auto"/>
            <w:left w:val="none" w:sz="0" w:space="0" w:color="auto"/>
            <w:bottom w:val="none" w:sz="0" w:space="0" w:color="auto"/>
            <w:right w:val="none" w:sz="0" w:space="0" w:color="auto"/>
          </w:divBdr>
          <w:divsChild>
            <w:div w:id="1895699630">
              <w:marLeft w:val="10"/>
              <w:marRight w:val="0"/>
              <w:marTop w:val="450"/>
              <w:marBottom w:val="0"/>
              <w:divBdr>
                <w:top w:val="none" w:sz="0" w:space="0" w:color="auto"/>
                <w:left w:val="none" w:sz="0" w:space="0" w:color="auto"/>
                <w:bottom w:val="none" w:sz="0" w:space="0" w:color="auto"/>
                <w:right w:val="none" w:sz="0" w:space="0" w:color="auto"/>
              </w:divBdr>
              <w:divsChild>
                <w:div w:id="189569964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95699635">
      <w:marLeft w:val="0"/>
      <w:marRight w:val="0"/>
      <w:marTop w:val="0"/>
      <w:marBottom w:val="0"/>
      <w:divBdr>
        <w:top w:val="none" w:sz="0" w:space="0" w:color="auto"/>
        <w:left w:val="none" w:sz="0" w:space="0" w:color="auto"/>
        <w:bottom w:val="none" w:sz="0" w:space="0" w:color="auto"/>
        <w:right w:val="none" w:sz="0" w:space="0" w:color="auto"/>
      </w:divBdr>
    </w:div>
    <w:div w:id="1895699644">
      <w:marLeft w:val="0"/>
      <w:marRight w:val="0"/>
      <w:marTop w:val="0"/>
      <w:marBottom w:val="0"/>
      <w:divBdr>
        <w:top w:val="none" w:sz="0" w:space="0" w:color="auto"/>
        <w:left w:val="none" w:sz="0" w:space="0" w:color="auto"/>
        <w:bottom w:val="none" w:sz="0" w:space="0" w:color="auto"/>
        <w:right w:val="none" w:sz="0" w:space="0" w:color="auto"/>
      </w:divBdr>
      <w:divsChild>
        <w:div w:id="1895699624">
          <w:marLeft w:val="0"/>
          <w:marRight w:val="0"/>
          <w:marTop w:val="100"/>
          <w:marBottom w:val="100"/>
          <w:divBdr>
            <w:top w:val="none" w:sz="0" w:space="0" w:color="auto"/>
            <w:left w:val="none" w:sz="0" w:space="0" w:color="auto"/>
            <w:bottom w:val="none" w:sz="0" w:space="0" w:color="auto"/>
            <w:right w:val="none" w:sz="0" w:space="0" w:color="auto"/>
          </w:divBdr>
          <w:divsChild>
            <w:div w:id="1895699567">
              <w:marLeft w:val="0"/>
              <w:marRight w:val="0"/>
              <w:marTop w:val="0"/>
              <w:marBottom w:val="0"/>
              <w:divBdr>
                <w:top w:val="none" w:sz="0" w:space="0" w:color="auto"/>
                <w:left w:val="none" w:sz="0" w:space="0" w:color="auto"/>
                <w:bottom w:val="none" w:sz="0" w:space="0" w:color="auto"/>
                <w:right w:val="none" w:sz="0" w:space="0" w:color="auto"/>
              </w:divBdr>
              <w:divsChild>
                <w:div w:id="1895699608">
                  <w:marLeft w:val="105"/>
                  <w:marRight w:val="105"/>
                  <w:marTop w:val="105"/>
                  <w:marBottom w:val="105"/>
                  <w:divBdr>
                    <w:top w:val="none" w:sz="0" w:space="0" w:color="auto"/>
                    <w:left w:val="none" w:sz="0" w:space="0" w:color="auto"/>
                    <w:bottom w:val="none" w:sz="0" w:space="0" w:color="auto"/>
                    <w:right w:val="none" w:sz="0" w:space="0" w:color="auto"/>
                  </w:divBdr>
                  <w:divsChild>
                    <w:div w:id="1895699619">
                      <w:marLeft w:val="0"/>
                      <w:marRight w:val="0"/>
                      <w:marTop w:val="0"/>
                      <w:marBottom w:val="0"/>
                      <w:divBdr>
                        <w:top w:val="none" w:sz="0" w:space="0" w:color="auto"/>
                        <w:left w:val="none" w:sz="0" w:space="0" w:color="auto"/>
                        <w:bottom w:val="none" w:sz="0" w:space="0" w:color="auto"/>
                        <w:right w:val="none" w:sz="0" w:space="0" w:color="auto"/>
                      </w:divBdr>
                      <w:divsChild>
                        <w:div w:id="1895699626">
                          <w:marLeft w:val="0"/>
                          <w:marRight w:val="0"/>
                          <w:marTop w:val="0"/>
                          <w:marBottom w:val="0"/>
                          <w:divBdr>
                            <w:top w:val="none" w:sz="0" w:space="0" w:color="auto"/>
                            <w:left w:val="none" w:sz="0" w:space="0" w:color="auto"/>
                            <w:bottom w:val="none" w:sz="0" w:space="0" w:color="auto"/>
                            <w:right w:val="none" w:sz="0" w:space="0" w:color="auto"/>
                          </w:divBdr>
                          <w:divsChild>
                            <w:div w:id="1895699583">
                              <w:marLeft w:val="0"/>
                              <w:marRight w:val="0"/>
                              <w:marTop w:val="0"/>
                              <w:marBottom w:val="0"/>
                              <w:divBdr>
                                <w:top w:val="none" w:sz="0" w:space="0" w:color="auto"/>
                                <w:left w:val="none" w:sz="0" w:space="0" w:color="auto"/>
                                <w:bottom w:val="none" w:sz="0" w:space="0" w:color="auto"/>
                                <w:right w:val="none" w:sz="0" w:space="0" w:color="auto"/>
                              </w:divBdr>
                              <w:divsChild>
                                <w:div w:id="1895699597">
                                  <w:marLeft w:val="0"/>
                                  <w:marRight w:val="0"/>
                                  <w:marTop w:val="0"/>
                                  <w:marBottom w:val="0"/>
                                  <w:divBdr>
                                    <w:top w:val="none" w:sz="0" w:space="0" w:color="auto"/>
                                    <w:left w:val="none" w:sz="0" w:space="0" w:color="auto"/>
                                    <w:bottom w:val="none" w:sz="0" w:space="0" w:color="auto"/>
                                    <w:right w:val="none" w:sz="0" w:space="0" w:color="auto"/>
                                  </w:divBdr>
                                  <w:divsChild>
                                    <w:div w:id="1895699639">
                                      <w:marLeft w:val="105"/>
                                      <w:marRight w:val="105"/>
                                      <w:marTop w:val="105"/>
                                      <w:marBottom w:val="105"/>
                                      <w:divBdr>
                                        <w:top w:val="none" w:sz="0" w:space="0" w:color="auto"/>
                                        <w:left w:val="none" w:sz="0" w:space="0" w:color="auto"/>
                                        <w:bottom w:val="none" w:sz="0" w:space="0" w:color="auto"/>
                                        <w:right w:val="none" w:sz="0" w:space="0" w:color="auto"/>
                                      </w:divBdr>
                                      <w:divsChild>
                                        <w:div w:id="1895699573">
                                          <w:marLeft w:val="0"/>
                                          <w:marRight w:val="0"/>
                                          <w:marTop w:val="0"/>
                                          <w:marBottom w:val="0"/>
                                          <w:divBdr>
                                            <w:top w:val="none" w:sz="0" w:space="0" w:color="auto"/>
                                            <w:left w:val="none" w:sz="0" w:space="0" w:color="auto"/>
                                            <w:bottom w:val="none" w:sz="0" w:space="0" w:color="auto"/>
                                            <w:right w:val="none" w:sz="0" w:space="0" w:color="auto"/>
                                          </w:divBdr>
                                          <w:divsChild>
                                            <w:div w:id="1895699651">
                                              <w:marLeft w:val="0"/>
                                              <w:marRight w:val="0"/>
                                              <w:marTop w:val="0"/>
                                              <w:marBottom w:val="0"/>
                                              <w:divBdr>
                                                <w:top w:val="none" w:sz="0" w:space="0" w:color="auto"/>
                                                <w:left w:val="none" w:sz="0" w:space="0" w:color="auto"/>
                                                <w:bottom w:val="none" w:sz="0" w:space="0" w:color="auto"/>
                                                <w:right w:val="none" w:sz="0" w:space="0" w:color="auto"/>
                                              </w:divBdr>
                                              <w:divsChild>
                                                <w:div w:id="1895699568">
                                                  <w:marLeft w:val="0"/>
                                                  <w:marRight w:val="0"/>
                                                  <w:marTop w:val="0"/>
                                                  <w:marBottom w:val="0"/>
                                                  <w:divBdr>
                                                    <w:top w:val="none" w:sz="0" w:space="0" w:color="auto"/>
                                                    <w:left w:val="none" w:sz="0" w:space="0" w:color="auto"/>
                                                    <w:bottom w:val="none" w:sz="0" w:space="0" w:color="auto"/>
                                                    <w:right w:val="none" w:sz="0" w:space="0" w:color="auto"/>
                                                  </w:divBdr>
                                                  <w:divsChild>
                                                    <w:div w:id="1895699640">
                                                      <w:marLeft w:val="0"/>
                                                      <w:marRight w:val="0"/>
                                                      <w:marTop w:val="0"/>
                                                      <w:marBottom w:val="0"/>
                                                      <w:divBdr>
                                                        <w:top w:val="none" w:sz="0" w:space="0" w:color="auto"/>
                                                        <w:left w:val="none" w:sz="0" w:space="0" w:color="auto"/>
                                                        <w:bottom w:val="none" w:sz="0" w:space="0" w:color="auto"/>
                                                        <w:right w:val="none" w:sz="0" w:space="0" w:color="auto"/>
                                                      </w:divBdr>
                                                      <w:divsChild>
                                                        <w:div w:id="1895699563">
                                                          <w:marLeft w:val="0"/>
                                                          <w:marRight w:val="0"/>
                                                          <w:marTop w:val="0"/>
                                                          <w:marBottom w:val="0"/>
                                                          <w:divBdr>
                                                            <w:top w:val="none" w:sz="0" w:space="0" w:color="auto"/>
                                                            <w:left w:val="none" w:sz="0" w:space="0" w:color="auto"/>
                                                            <w:bottom w:val="none" w:sz="0" w:space="0" w:color="auto"/>
                                                            <w:right w:val="none" w:sz="0" w:space="0" w:color="auto"/>
                                                          </w:divBdr>
                                                          <w:divsChild>
                                                            <w:div w:id="1895699629">
                                                              <w:marLeft w:val="105"/>
                                                              <w:marRight w:val="105"/>
                                                              <w:marTop w:val="105"/>
                                                              <w:marBottom w:val="105"/>
                                                              <w:divBdr>
                                                                <w:top w:val="none" w:sz="0" w:space="0" w:color="auto"/>
                                                                <w:left w:val="none" w:sz="0" w:space="0" w:color="auto"/>
                                                                <w:bottom w:val="none" w:sz="0" w:space="0" w:color="auto"/>
                                                                <w:right w:val="none" w:sz="0" w:space="0" w:color="auto"/>
                                                              </w:divBdr>
                                                              <w:divsChild>
                                                                <w:div w:id="1895699599">
                                                                  <w:marLeft w:val="0"/>
                                                                  <w:marRight w:val="0"/>
                                                                  <w:marTop w:val="0"/>
                                                                  <w:marBottom w:val="0"/>
                                                                  <w:divBdr>
                                                                    <w:top w:val="none" w:sz="0" w:space="0" w:color="auto"/>
                                                                    <w:left w:val="none" w:sz="0" w:space="0" w:color="auto"/>
                                                                    <w:bottom w:val="none" w:sz="0" w:space="0" w:color="auto"/>
                                                                    <w:right w:val="none" w:sz="0" w:space="0" w:color="auto"/>
                                                                  </w:divBdr>
                                                                  <w:divsChild>
                                                                    <w:div w:id="1895699620">
                                                                      <w:marLeft w:val="0"/>
                                                                      <w:marRight w:val="0"/>
                                                                      <w:marTop w:val="0"/>
                                                                      <w:marBottom w:val="0"/>
                                                                      <w:divBdr>
                                                                        <w:top w:val="none" w:sz="0" w:space="0" w:color="auto"/>
                                                                        <w:left w:val="none" w:sz="0" w:space="0" w:color="auto"/>
                                                                        <w:bottom w:val="none" w:sz="0" w:space="0" w:color="auto"/>
                                                                        <w:right w:val="none" w:sz="0" w:space="0" w:color="auto"/>
                                                                      </w:divBdr>
                                                                      <w:divsChild>
                                                                        <w:div w:id="1895699623">
                                                                          <w:marLeft w:val="0"/>
                                                                          <w:marRight w:val="0"/>
                                                                          <w:marTop w:val="120"/>
                                                                          <w:marBottom w:val="0"/>
                                                                          <w:divBdr>
                                                                            <w:top w:val="none" w:sz="0" w:space="0" w:color="auto"/>
                                                                            <w:left w:val="none" w:sz="0" w:space="0" w:color="auto"/>
                                                                            <w:bottom w:val="none" w:sz="0" w:space="0" w:color="auto"/>
                                                                            <w:right w:val="none" w:sz="0" w:space="0" w:color="auto"/>
                                                                          </w:divBdr>
                                                                          <w:divsChild>
                                                                            <w:div w:id="1895699572">
                                                                              <w:marLeft w:val="0"/>
                                                                              <w:marRight w:val="0"/>
                                                                              <w:marTop w:val="0"/>
                                                                              <w:marBottom w:val="450"/>
                                                                              <w:divBdr>
                                                                                <w:top w:val="none" w:sz="0" w:space="0" w:color="auto"/>
                                                                                <w:left w:val="none" w:sz="0" w:space="0" w:color="auto"/>
                                                                                <w:bottom w:val="none" w:sz="0" w:space="0" w:color="auto"/>
                                                                                <w:right w:val="none" w:sz="0" w:space="0" w:color="auto"/>
                                                                              </w:divBdr>
                                                                            </w:div>
                                                                            <w:div w:id="1895699588">
                                                                              <w:marLeft w:val="0"/>
                                                                              <w:marRight w:val="0"/>
                                                                              <w:marTop w:val="0"/>
                                                                              <w:marBottom w:val="285"/>
                                                                              <w:divBdr>
                                                                                <w:top w:val="none" w:sz="0" w:space="0" w:color="auto"/>
                                                                                <w:left w:val="none" w:sz="0" w:space="0" w:color="auto"/>
                                                                                <w:bottom w:val="none" w:sz="0" w:space="0" w:color="auto"/>
                                                                                <w:right w:val="none" w:sz="0" w:space="0" w:color="auto"/>
                                                                              </w:divBdr>
                                                                              <w:divsChild>
                                                                                <w:div w:id="1895699574">
                                                                                  <w:marLeft w:val="0"/>
                                                                                  <w:marRight w:val="0"/>
                                                                                  <w:marTop w:val="0"/>
                                                                                  <w:marBottom w:val="0"/>
                                                                                  <w:divBdr>
                                                                                    <w:top w:val="none" w:sz="0" w:space="0" w:color="auto"/>
                                                                                    <w:left w:val="none" w:sz="0" w:space="0" w:color="auto"/>
                                                                                    <w:bottom w:val="none" w:sz="0" w:space="0" w:color="auto"/>
                                                                                    <w:right w:val="none" w:sz="0" w:space="0" w:color="auto"/>
                                                                                  </w:divBdr>
                                                                                  <w:divsChild>
                                                                                    <w:div w:id="1895699565">
                                                                                      <w:marLeft w:val="0"/>
                                                                                      <w:marRight w:val="0"/>
                                                                                      <w:marTop w:val="0"/>
                                                                                      <w:marBottom w:val="0"/>
                                                                                      <w:divBdr>
                                                                                        <w:top w:val="single" w:sz="12" w:space="5" w:color="CCCCCC"/>
                                                                                        <w:left w:val="single" w:sz="12" w:space="5" w:color="CCCCCC"/>
                                                                                        <w:bottom w:val="single" w:sz="12" w:space="5" w:color="CCCCCC"/>
                                                                                        <w:right w:val="single" w:sz="12" w:space="5" w:color="CCCCCC"/>
                                                                                      </w:divBdr>
                                                                                      <w:divsChild>
                                                                                        <w:div w:id="1895699593">
                                                                                          <w:marLeft w:val="0"/>
                                                                                          <w:marRight w:val="0"/>
                                                                                          <w:marTop w:val="0"/>
                                                                                          <w:marBottom w:val="0"/>
                                                                                          <w:divBdr>
                                                                                            <w:top w:val="none" w:sz="0" w:space="0" w:color="auto"/>
                                                                                            <w:left w:val="none" w:sz="0" w:space="0" w:color="auto"/>
                                                                                            <w:bottom w:val="none" w:sz="0" w:space="0" w:color="auto"/>
                                                                                            <w:right w:val="none" w:sz="0" w:space="0" w:color="auto"/>
                                                                                          </w:divBdr>
                                                                                        </w:div>
                                                                                        <w:div w:id="1895699653">
                                                                                          <w:marLeft w:val="-135"/>
                                                                                          <w:marRight w:val="-135"/>
                                                                                          <w:marTop w:val="0"/>
                                                                                          <w:marBottom w:val="0"/>
                                                                                          <w:divBdr>
                                                                                            <w:top w:val="none" w:sz="0" w:space="0" w:color="auto"/>
                                                                                            <w:left w:val="none" w:sz="0" w:space="0" w:color="auto"/>
                                                                                            <w:bottom w:val="none" w:sz="0" w:space="0" w:color="auto"/>
                                                                                            <w:right w:val="none" w:sz="0" w:space="0" w:color="auto"/>
                                                                                          </w:divBdr>
                                                                                        </w:div>
                                                                                      </w:divsChild>
                                                                                    </w:div>
                                                                                    <w:div w:id="1895699577">
                                                                                      <w:marLeft w:val="0"/>
                                                                                      <w:marRight w:val="0"/>
                                                                                      <w:marTop w:val="0"/>
                                                                                      <w:marBottom w:val="0"/>
                                                                                      <w:divBdr>
                                                                                        <w:top w:val="single" w:sz="12" w:space="5" w:color="CCCCCC"/>
                                                                                        <w:left w:val="single" w:sz="12" w:space="5" w:color="CCCCCC"/>
                                                                                        <w:bottom w:val="single" w:sz="12" w:space="5" w:color="CCCCCC"/>
                                                                                        <w:right w:val="single" w:sz="12" w:space="5" w:color="CCCCCC"/>
                                                                                      </w:divBdr>
                                                                                      <w:divsChild>
                                                                                        <w:div w:id="1895699606">
                                                                                          <w:marLeft w:val="-135"/>
                                                                                          <w:marRight w:val="-135"/>
                                                                                          <w:marTop w:val="0"/>
                                                                                          <w:marBottom w:val="0"/>
                                                                                          <w:divBdr>
                                                                                            <w:top w:val="none" w:sz="0" w:space="0" w:color="auto"/>
                                                                                            <w:left w:val="none" w:sz="0" w:space="0" w:color="auto"/>
                                                                                            <w:bottom w:val="none" w:sz="0" w:space="0" w:color="auto"/>
                                                                                            <w:right w:val="none" w:sz="0" w:space="0" w:color="auto"/>
                                                                                          </w:divBdr>
                                                                                        </w:div>
                                                                                        <w:div w:id="18956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699647">
      <w:marLeft w:val="0"/>
      <w:marRight w:val="0"/>
      <w:marTop w:val="0"/>
      <w:marBottom w:val="0"/>
      <w:divBdr>
        <w:top w:val="none" w:sz="0" w:space="0" w:color="auto"/>
        <w:left w:val="none" w:sz="0" w:space="0" w:color="auto"/>
        <w:bottom w:val="none" w:sz="0" w:space="0" w:color="auto"/>
        <w:right w:val="none" w:sz="0" w:space="0" w:color="auto"/>
      </w:divBdr>
      <w:divsChild>
        <w:div w:id="1895699633">
          <w:marLeft w:val="1200"/>
          <w:marRight w:val="1200"/>
          <w:marTop w:val="0"/>
          <w:marBottom w:val="0"/>
          <w:divBdr>
            <w:top w:val="none" w:sz="0" w:space="0" w:color="auto"/>
            <w:left w:val="none" w:sz="0" w:space="0" w:color="auto"/>
            <w:bottom w:val="none" w:sz="0" w:space="0" w:color="auto"/>
            <w:right w:val="none" w:sz="0" w:space="0" w:color="auto"/>
          </w:divBdr>
          <w:divsChild>
            <w:div w:id="1895699616">
              <w:marLeft w:val="10"/>
              <w:marRight w:val="0"/>
              <w:marTop w:val="450"/>
              <w:marBottom w:val="0"/>
              <w:divBdr>
                <w:top w:val="none" w:sz="0" w:space="0" w:color="auto"/>
                <w:left w:val="none" w:sz="0" w:space="0" w:color="auto"/>
                <w:bottom w:val="none" w:sz="0" w:space="0" w:color="auto"/>
                <w:right w:val="none" w:sz="0" w:space="0" w:color="auto"/>
              </w:divBdr>
              <w:divsChild>
                <w:div w:id="18956996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95699650">
      <w:marLeft w:val="0"/>
      <w:marRight w:val="0"/>
      <w:marTop w:val="0"/>
      <w:marBottom w:val="0"/>
      <w:divBdr>
        <w:top w:val="none" w:sz="0" w:space="0" w:color="auto"/>
        <w:left w:val="none" w:sz="0" w:space="0" w:color="auto"/>
        <w:bottom w:val="none" w:sz="0" w:space="0" w:color="auto"/>
        <w:right w:val="none" w:sz="0" w:space="0" w:color="auto"/>
      </w:divBdr>
      <w:divsChild>
        <w:div w:id="1895699604">
          <w:marLeft w:val="0"/>
          <w:marRight w:val="0"/>
          <w:marTop w:val="0"/>
          <w:marBottom w:val="0"/>
          <w:divBdr>
            <w:top w:val="none" w:sz="0" w:space="0" w:color="auto"/>
            <w:left w:val="none" w:sz="0" w:space="0" w:color="auto"/>
            <w:bottom w:val="none" w:sz="0" w:space="0" w:color="auto"/>
            <w:right w:val="none" w:sz="0" w:space="0" w:color="auto"/>
          </w:divBdr>
          <w:divsChild>
            <w:div w:id="1895699582">
              <w:marLeft w:val="0"/>
              <w:marRight w:val="0"/>
              <w:marTop w:val="0"/>
              <w:marBottom w:val="0"/>
              <w:divBdr>
                <w:top w:val="none" w:sz="0" w:space="0" w:color="auto"/>
                <w:left w:val="none" w:sz="0" w:space="0" w:color="auto"/>
                <w:bottom w:val="none" w:sz="0" w:space="0" w:color="auto"/>
                <w:right w:val="none" w:sz="0" w:space="0" w:color="auto"/>
              </w:divBdr>
              <w:divsChild>
                <w:div w:id="1895699600">
                  <w:marLeft w:val="0"/>
                  <w:marRight w:val="0"/>
                  <w:marTop w:val="0"/>
                  <w:marBottom w:val="0"/>
                  <w:divBdr>
                    <w:top w:val="none" w:sz="0" w:space="0" w:color="auto"/>
                    <w:left w:val="none" w:sz="0" w:space="0" w:color="auto"/>
                    <w:bottom w:val="none" w:sz="0" w:space="0" w:color="auto"/>
                    <w:right w:val="none" w:sz="0" w:space="0" w:color="auto"/>
                  </w:divBdr>
                  <w:divsChild>
                    <w:div w:id="1895699636">
                      <w:marLeft w:val="0"/>
                      <w:marRight w:val="0"/>
                      <w:marTop w:val="0"/>
                      <w:marBottom w:val="0"/>
                      <w:divBdr>
                        <w:top w:val="none" w:sz="0" w:space="0" w:color="auto"/>
                        <w:left w:val="none" w:sz="0" w:space="0" w:color="auto"/>
                        <w:bottom w:val="none" w:sz="0" w:space="0" w:color="auto"/>
                        <w:right w:val="none" w:sz="0" w:space="0" w:color="auto"/>
                      </w:divBdr>
                      <w:divsChild>
                        <w:div w:id="1895699603">
                          <w:marLeft w:val="0"/>
                          <w:marRight w:val="0"/>
                          <w:marTop w:val="0"/>
                          <w:marBottom w:val="0"/>
                          <w:divBdr>
                            <w:top w:val="none" w:sz="0" w:space="0" w:color="auto"/>
                            <w:left w:val="none" w:sz="0" w:space="0" w:color="auto"/>
                            <w:bottom w:val="none" w:sz="0" w:space="0" w:color="auto"/>
                            <w:right w:val="none" w:sz="0" w:space="0" w:color="auto"/>
                          </w:divBdr>
                          <w:divsChild>
                            <w:div w:id="1895699621">
                              <w:marLeft w:val="0"/>
                              <w:marRight w:val="0"/>
                              <w:marTop w:val="0"/>
                              <w:marBottom w:val="0"/>
                              <w:divBdr>
                                <w:top w:val="none" w:sz="0" w:space="0" w:color="auto"/>
                                <w:left w:val="none" w:sz="0" w:space="0" w:color="auto"/>
                                <w:bottom w:val="none" w:sz="0" w:space="0" w:color="auto"/>
                                <w:right w:val="none" w:sz="0" w:space="0" w:color="auto"/>
                              </w:divBdr>
                              <w:divsChild>
                                <w:div w:id="1895699637">
                                  <w:marLeft w:val="0"/>
                                  <w:marRight w:val="0"/>
                                  <w:marTop w:val="0"/>
                                  <w:marBottom w:val="0"/>
                                  <w:divBdr>
                                    <w:top w:val="none" w:sz="0" w:space="0" w:color="auto"/>
                                    <w:left w:val="none" w:sz="0" w:space="0" w:color="auto"/>
                                    <w:bottom w:val="none" w:sz="0" w:space="0" w:color="auto"/>
                                    <w:right w:val="none" w:sz="0" w:space="0" w:color="auto"/>
                                  </w:divBdr>
                                  <w:divsChild>
                                    <w:div w:id="1895699578">
                                      <w:marLeft w:val="0"/>
                                      <w:marRight w:val="0"/>
                                      <w:marTop w:val="0"/>
                                      <w:marBottom w:val="0"/>
                                      <w:divBdr>
                                        <w:top w:val="none" w:sz="0" w:space="0" w:color="auto"/>
                                        <w:left w:val="none" w:sz="0" w:space="0" w:color="auto"/>
                                        <w:bottom w:val="none" w:sz="0" w:space="0" w:color="auto"/>
                                        <w:right w:val="none" w:sz="0" w:space="0" w:color="auto"/>
                                      </w:divBdr>
                                      <w:divsChild>
                                        <w:div w:id="1895699622">
                                          <w:marLeft w:val="0"/>
                                          <w:marRight w:val="0"/>
                                          <w:marTop w:val="0"/>
                                          <w:marBottom w:val="0"/>
                                          <w:divBdr>
                                            <w:top w:val="none" w:sz="0" w:space="0" w:color="auto"/>
                                            <w:left w:val="none" w:sz="0" w:space="0" w:color="auto"/>
                                            <w:bottom w:val="none" w:sz="0" w:space="0" w:color="auto"/>
                                            <w:right w:val="none" w:sz="0" w:space="0" w:color="auto"/>
                                          </w:divBdr>
                                          <w:divsChild>
                                            <w:div w:id="1895699655">
                                              <w:marLeft w:val="0"/>
                                              <w:marRight w:val="0"/>
                                              <w:marTop w:val="0"/>
                                              <w:marBottom w:val="0"/>
                                              <w:divBdr>
                                                <w:top w:val="none" w:sz="0" w:space="0" w:color="auto"/>
                                                <w:left w:val="none" w:sz="0" w:space="0" w:color="auto"/>
                                                <w:bottom w:val="none" w:sz="0" w:space="0" w:color="auto"/>
                                                <w:right w:val="none" w:sz="0" w:space="0" w:color="auto"/>
                                              </w:divBdr>
                                              <w:divsChild>
                                                <w:div w:id="1895699564">
                                                  <w:marLeft w:val="0"/>
                                                  <w:marRight w:val="0"/>
                                                  <w:marTop w:val="0"/>
                                                  <w:marBottom w:val="0"/>
                                                  <w:divBdr>
                                                    <w:top w:val="none" w:sz="0" w:space="0" w:color="auto"/>
                                                    <w:left w:val="none" w:sz="0" w:space="0" w:color="auto"/>
                                                    <w:bottom w:val="none" w:sz="0" w:space="0" w:color="auto"/>
                                                    <w:right w:val="none" w:sz="0" w:space="0" w:color="auto"/>
                                                  </w:divBdr>
                                                  <w:divsChild>
                                                    <w:div w:id="1895699587">
                                                      <w:marLeft w:val="0"/>
                                                      <w:marRight w:val="0"/>
                                                      <w:marTop w:val="0"/>
                                                      <w:marBottom w:val="0"/>
                                                      <w:divBdr>
                                                        <w:top w:val="none" w:sz="0" w:space="0" w:color="auto"/>
                                                        <w:left w:val="none" w:sz="0" w:space="0" w:color="auto"/>
                                                        <w:bottom w:val="none" w:sz="0" w:space="0" w:color="auto"/>
                                                        <w:right w:val="none" w:sz="0" w:space="0" w:color="auto"/>
                                                      </w:divBdr>
                                                      <w:divsChild>
                                                        <w:div w:id="1895699605">
                                                          <w:marLeft w:val="0"/>
                                                          <w:marRight w:val="0"/>
                                                          <w:marTop w:val="0"/>
                                                          <w:marBottom w:val="0"/>
                                                          <w:divBdr>
                                                            <w:top w:val="none" w:sz="0" w:space="0" w:color="auto"/>
                                                            <w:left w:val="none" w:sz="0" w:space="0" w:color="auto"/>
                                                            <w:bottom w:val="none" w:sz="0" w:space="0" w:color="auto"/>
                                                            <w:right w:val="none" w:sz="0" w:space="0" w:color="auto"/>
                                                          </w:divBdr>
                                                        </w:div>
                                                      </w:divsChild>
                                                    </w:div>
                                                    <w:div w:id="1895699625">
                                                      <w:marLeft w:val="0"/>
                                                      <w:marRight w:val="0"/>
                                                      <w:marTop w:val="0"/>
                                                      <w:marBottom w:val="0"/>
                                                      <w:divBdr>
                                                        <w:top w:val="none" w:sz="0" w:space="0" w:color="auto"/>
                                                        <w:left w:val="none" w:sz="0" w:space="0" w:color="auto"/>
                                                        <w:bottom w:val="none" w:sz="0" w:space="0" w:color="auto"/>
                                                        <w:right w:val="none" w:sz="0" w:space="0" w:color="auto"/>
                                                      </w:divBdr>
                                                      <w:divsChild>
                                                        <w:div w:id="1895699646">
                                                          <w:marLeft w:val="0"/>
                                                          <w:marRight w:val="0"/>
                                                          <w:marTop w:val="0"/>
                                                          <w:marBottom w:val="0"/>
                                                          <w:divBdr>
                                                            <w:top w:val="none" w:sz="0" w:space="0" w:color="auto"/>
                                                            <w:left w:val="none" w:sz="0" w:space="0" w:color="auto"/>
                                                            <w:bottom w:val="none" w:sz="0" w:space="0" w:color="auto"/>
                                                            <w:right w:val="none" w:sz="0" w:space="0" w:color="auto"/>
                                                          </w:divBdr>
                                                          <w:divsChild>
                                                            <w:div w:id="1895699585">
                                                              <w:marLeft w:val="0"/>
                                                              <w:marRight w:val="0"/>
                                                              <w:marTop w:val="0"/>
                                                              <w:marBottom w:val="0"/>
                                                              <w:divBdr>
                                                                <w:top w:val="none" w:sz="0" w:space="0" w:color="auto"/>
                                                                <w:left w:val="none" w:sz="0" w:space="0" w:color="auto"/>
                                                                <w:bottom w:val="none" w:sz="0" w:space="0" w:color="auto"/>
                                                                <w:right w:val="none" w:sz="0" w:space="0" w:color="auto"/>
                                                              </w:divBdr>
                                                              <w:divsChild>
                                                                <w:div w:id="1895699598">
                                                                  <w:marLeft w:val="0"/>
                                                                  <w:marRight w:val="0"/>
                                                                  <w:marTop w:val="0"/>
                                                                  <w:marBottom w:val="0"/>
                                                                  <w:divBdr>
                                                                    <w:top w:val="none" w:sz="0" w:space="0" w:color="auto"/>
                                                                    <w:left w:val="none" w:sz="0" w:space="0" w:color="auto"/>
                                                                    <w:bottom w:val="none" w:sz="0" w:space="0" w:color="auto"/>
                                                                    <w:right w:val="none" w:sz="0" w:space="0" w:color="auto"/>
                                                                  </w:divBdr>
                                                                  <w:divsChild>
                                                                    <w:div w:id="1895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648">
                                                              <w:marLeft w:val="0"/>
                                                              <w:marRight w:val="0"/>
                                                              <w:marTop w:val="0"/>
                                                              <w:marBottom w:val="0"/>
                                                              <w:divBdr>
                                                                <w:top w:val="none" w:sz="0" w:space="0" w:color="auto"/>
                                                                <w:left w:val="none" w:sz="0" w:space="0" w:color="auto"/>
                                                                <w:bottom w:val="none" w:sz="0" w:space="0" w:color="auto"/>
                                                                <w:right w:val="none" w:sz="0" w:space="0" w:color="auto"/>
                                                              </w:divBdr>
                                                              <w:divsChild>
                                                                <w:div w:id="1895699643">
                                                                  <w:marLeft w:val="0"/>
                                                                  <w:marRight w:val="0"/>
                                                                  <w:marTop w:val="0"/>
                                                                  <w:marBottom w:val="0"/>
                                                                  <w:divBdr>
                                                                    <w:top w:val="none" w:sz="0" w:space="0" w:color="auto"/>
                                                                    <w:left w:val="none" w:sz="0" w:space="0" w:color="auto"/>
                                                                    <w:bottom w:val="none" w:sz="0" w:space="0" w:color="auto"/>
                                                                    <w:right w:val="none" w:sz="0" w:space="0" w:color="auto"/>
                                                                  </w:divBdr>
                                                                  <w:divsChild>
                                                                    <w:div w:id="1895699581">
                                                                      <w:marLeft w:val="0"/>
                                                                      <w:marRight w:val="0"/>
                                                                      <w:marTop w:val="0"/>
                                                                      <w:marBottom w:val="0"/>
                                                                      <w:divBdr>
                                                                        <w:top w:val="none" w:sz="0" w:space="0" w:color="auto"/>
                                                                        <w:left w:val="none" w:sz="0" w:space="0" w:color="auto"/>
                                                                        <w:bottom w:val="none" w:sz="0" w:space="0" w:color="auto"/>
                                                                        <w:right w:val="none" w:sz="0" w:space="0" w:color="auto"/>
                                                                      </w:divBdr>
                                                                    </w:div>
                                                                    <w:div w:id="1895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7631109">
      <w:bodyDiv w:val="1"/>
      <w:marLeft w:val="0"/>
      <w:marRight w:val="0"/>
      <w:marTop w:val="0"/>
      <w:marBottom w:val="0"/>
      <w:divBdr>
        <w:top w:val="none" w:sz="0" w:space="0" w:color="auto"/>
        <w:left w:val="none" w:sz="0" w:space="0" w:color="auto"/>
        <w:bottom w:val="none" w:sz="0" w:space="0" w:color="auto"/>
        <w:right w:val="none" w:sz="0" w:space="0" w:color="auto"/>
      </w:divBdr>
    </w:div>
    <w:div w:id="20113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ratzias@napier.ac.uk" TargetMode="External"/><Relationship Id="rId13" Type="http://schemas.openxmlformats.org/officeDocument/2006/relationships/hyperlink" Target="http://www.ejpt.net/index.php/ejpt/article/view/27344" TargetMode="External"/><Relationship Id="rId18" Type="http://schemas.openxmlformats.org/officeDocument/2006/relationships/header" Target="header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ejpt.net/index.php/ejpt/article/view/27344" TargetMode="External"/><Relationship Id="rId17" Type="http://schemas.openxmlformats.org/officeDocument/2006/relationships/hyperlink" Target="http://dx.doi.org/10.3402/ejpt.v6.28766"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ncbi.nlm.nih.gov/pubmed/2308967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pt.net/index.php/ejpt/article/view/27344"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statmodel.com/download/GstrucMissingRevision.pdf"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ejpt.net/index.php/ejpt/article/view/2734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jpt.net/index.php/ejpt/article/view/27344" TargetMode="External"/><Relationship Id="rId14" Type="http://schemas.openxmlformats.org/officeDocument/2006/relationships/hyperlink" Target="http://www.ejpt.net/index.php/ejpt/article/view/27344"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0943-4714-4335-89E9-66C5D9F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6900</Words>
  <Characters>39335</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Title</vt:lpstr>
    </vt:vector>
  </TitlesOfParts>
  <Company>staff.nci.col</Company>
  <LinksUpToDate>false</LinksUpToDate>
  <CharactersWithSpaces>46143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Philip Hyland</dc:creator>
  <cp:lastModifiedBy>Gibson, Lyn</cp:lastModifiedBy>
  <cp:revision>2</cp:revision>
  <cp:lastPrinted>2016-07-15T15:26:00Z</cp:lastPrinted>
  <dcterms:created xsi:type="dcterms:W3CDTF">2016-10-24T10:45:00Z</dcterms:created>
  <dcterms:modified xsi:type="dcterms:W3CDTF">2016-10-24T10:45:00Z</dcterms:modified>
</cp:coreProperties>
</file>