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37333" w14:textId="4F598BFB" w:rsidR="00C67B77" w:rsidRPr="003C6BCB" w:rsidRDefault="003C6BCB" w:rsidP="00E876AE">
      <w:pPr>
        <w:pStyle w:val="Heading2"/>
        <w:rPr>
          <w:highlight w:val="yellow"/>
        </w:rPr>
      </w:pPr>
      <w:bookmarkStart w:id="0" w:name="_Toc232240781"/>
      <w:r w:rsidRPr="003C6BCB">
        <w:rPr>
          <w:highlight w:val="yellow"/>
        </w:rPr>
        <w:t xml:space="preserve">Revised </w:t>
      </w:r>
      <w:r w:rsidR="00C67B77" w:rsidRPr="003C6BCB">
        <w:rPr>
          <w:highlight w:val="yellow"/>
        </w:rPr>
        <w:t>Title</w:t>
      </w:r>
    </w:p>
    <w:p w14:paraId="4FD73050" w14:textId="1A9F1EB6" w:rsidR="00C67B77" w:rsidRDefault="00C67B77" w:rsidP="002B6F41">
      <w:r w:rsidRPr="003C6BCB">
        <w:rPr>
          <w:b/>
          <w:highlight w:val="yellow"/>
        </w:rPr>
        <w:t>Interventions for maintaining nasogastric feeding after stroke: an integrative review of effectiveness and acceptability</w:t>
      </w:r>
    </w:p>
    <w:p w14:paraId="6569E24A" w14:textId="77777777" w:rsidR="00C67B77" w:rsidRPr="002B6F41" w:rsidRDefault="00C67B77" w:rsidP="002B6F41"/>
    <w:p w14:paraId="64402A77" w14:textId="77777777" w:rsidR="00F13F5C" w:rsidRPr="00411046" w:rsidRDefault="00F13F5C" w:rsidP="00E876AE">
      <w:pPr>
        <w:pStyle w:val="Heading2"/>
      </w:pPr>
      <w:r w:rsidRPr="00411046">
        <w:t>Abstract</w:t>
      </w:r>
      <w:bookmarkStart w:id="1" w:name="_GoBack"/>
      <w:bookmarkEnd w:id="1"/>
    </w:p>
    <w:p w14:paraId="0CAA1689" w14:textId="77777777" w:rsidR="00F13F5C" w:rsidRPr="00411046" w:rsidRDefault="00F13F5C" w:rsidP="00F13F5C">
      <w:pPr>
        <w:spacing w:line="480" w:lineRule="auto"/>
        <w:rPr>
          <w:rFonts w:cs="Arial"/>
          <w:b/>
          <w:szCs w:val="24"/>
        </w:rPr>
      </w:pPr>
      <w:r w:rsidRPr="00411046">
        <w:rPr>
          <w:rFonts w:cs="Arial"/>
          <w:b/>
          <w:szCs w:val="24"/>
        </w:rPr>
        <w:t>Aims and objectives</w:t>
      </w:r>
    </w:p>
    <w:p w14:paraId="742F508C" w14:textId="29A2DD76" w:rsidR="00F13F5C" w:rsidRPr="00411046" w:rsidRDefault="00F13F5C" w:rsidP="00F13F5C">
      <w:pPr>
        <w:spacing w:line="480" w:lineRule="auto"/>
        <w:rPr>
          <w:rFonts w:eastAsia="MS Mincho" w:cs="Arial"/>
          <w:szCs w:val="24"/>
        </w:rPr>
      </w:pPr>
      <w:r>
        <w:rPr>
          <w:rFonts w:eastAsia="MS Mincho" w:cs="Arial"/>
          <w:szCs w:val="24"/>
        </w:rPr>
        <w:t>To investigate th</w:t>
      </w:r>
      <w:r w:rsidRPr="00411046">
        <w:rPr>
          <w:rFonts w:eastAsia="MS Mincho" w:cs="Arial"/>
          <w:szCs w:val="24"/>
        </w:rPr>
        <w:t xml:space="preserve">e effectiveness and </w:t>
      </w:r>
      <w:r w:rsidRPr="003C6BCB">
        <w:rPr>
          <w:rFonts w:eastAsia="MS Mincho" w:cs="Arial"/>
          <w:szCs w:val="24"/>
          <w:highlight w:val="yellow"/>
        </w:rPr>
        <w:t xml:space="preserve">acceptability of </w:t>
      </w:r>
      <w:r w:rsidR="005019D8" w:rsidRPr="003C6BCB">
        <w:rPr>
          <w:rFonts w:eastAsia="MS Mincho" w:cs="Arial"/>
          <w:szCs w:val="24"/>
          <w:highlight w:val="yellow"/>
        </w:rPr>
        <w:t>interventions</w:t>
      </w:r>
      <w:r w:rsidRPr="003C6BCB">
        <w:rPr>
          <w:rFonts w:eastAsia="MS Mincho" w:cs="Arial"/>
          <w:szCs w:val="24"/>
          <w:highlight w:val="yellow"/>
        </w:rPr>
        <w:t xml:space="preserve"> for </w:t>
      </w:r>
      <w:r w:rsidR="0069394E" w:rsidRPr="003C6BCB">
        <w:rPr>
          <w:rFonts w:eastAsia="MS Mincho" w:cs="Arial"/>
          <w:szCs w:val="24"/>
          <w:highlight w:val="yellow"/>
        </w:rPr>
        <w:t xml:space="preserve">maintaining </w:t>
      </w:r>
      <w:r w:rsidRPr="003C6BCB">
        <w:rPr>
          <w:rFonts w:eastAsia="MS Mincho" w:cs="Arial"/>
          <w:szCs w:val="24"/>
          <w:highlight w:val="yellow"/>
        </w:rPr>
        <w:t xml:space="preserve">nasogastric tubes </w:t>
      </w:r>
      <w:r w:rsidR="0069394E" w:rsidRPr="003C6BCB">
        <w:rPr>
          <w:rFonts w:eastAsia="MS Mincho" w:cs="Arial"/>
          <w:szCs w:val="24"/>
          <w:highlight w:val="yellow"/>
        </w:rPr>
        <w:t>(NGT)</w:t>
      </w:r>
      <w:r w:rsidR="0069394E" w:rsidRPr="00E876AE">
        <w:rPr>
          <w:rFonts w:eastAsia="MS Mincho" w:cs="Arial"/>
          <w:szCs w:val="24"/>
        </w:rPr>
        <w:t xml:space="preserve"> </w:t>
      </w:r>
      <w:r w:rsidRPr="00E876AE">
        <w:rPr>
          <w:rFonts w:eastAsia="MS Mincho" w:cs="Arial"/>
          <w:szCs w:val="24"/>
        </w:rPr>
        <w:t>in adult stro</w:t>
      </w:r>
      <w:r w:rsidRPr="00411046">
        <w:rPr>
          <w:rFonts w:eastAsia="MS Mincho" w:cs="Arial"/>
          <w:szCs w:val="24"/>
        </w:rPr>
        <w:t>ke patients.</w:t>
      </w:r>
    </w:p>
    <w:p w14:paraId="5631EF56" w14:textId="77777777" w:rsidR="00F13F5C" w:rsidRPr="00411046" w:rsidRDefault="00F13F5C" w:rsidP="00E876AE">
      <w:pPr>
        <w:pStyle w:val="Heading2"/>
      </w:pPr>
      <w:r w:rsidRPr="00411046">
        <w:t>Background</w:t>
      </w:r>
    </w:p>
    <w:p w14:paraId="54B7A669" w14:textId="54CD1763" w:rsidR="00F13F5C" w:rsidRPr="00411046" w:rsidRDefault="0094688D" w:rsidP="00F13F5C">
      <w:pPr>
        <w:spacing w:line="480" w:lineRule="auto"/>
        <w:rPr>
          <w:rFonts w:cs="Arial"/>
          <w:szCs w:val="24"/>
        </w:rPr>
      </w:pPr>
      <w:r w:rsidRPr="003C6BCB">
        <w:rPr>
          <w:rFonts w:cs="Arial"/>
          <w:szCs w:val="24"/>
          <w:highlight w:val="yellow"/>
        </w:rPr>
        <w:t>Internationally, incidence of Cerebral Vascular Disease (CVD) continues to increase</w:t>
      </w:r>
      <w:r w:rsidRPr="00E876AE">
        <w:rPr>
          <w:rFonts w:cs="Arial"/>
          <w:szCs w:val="24"/>
        </w:rPr>
        <w:t xml:space="preserve"> </w:t>
      </w:r>
      <w:r w:rsidR="00F13F5C" w:rsidRPr="00411046">
        <w:rPr>
          <w:rFonts w:cs="Arial"/>
          <w:szCs w:val="24"/>
        </w:rPr>
        <w:t xml:space="preserve">and stroke is the largest cause of complex disability in adults. Dysphagia </w:t>
      </w:r>
      <w:r>
        <w:rPr>
          <w:rFonts w:cs="Arial"/>
          <w:szCs w:val="24"/>
        </w:rPr>
        <w:t>is</w:t>
      </w:r>
      <w:r w:rsidR="00F13F5C" w:rsidRPr="00411046">
        <w:rPr>
          <w:rFonts w:cs="Arial"/>
          <w:szCs w:val="24"/>
        </w:rPr>
        <w:t xml:space="preserve"> common following a stroke </w:t>
      </w:r>
      <w:r>
        <w:rPr>
          <w:rFonts w:cs="Arial"/>
          <w:szCs w:val="24"/>
        </w:rPr>
        <w:t>which</w:t>
      </w:r>
      <w:r w:rsidR="00F13F5C" w:rsidRPr="00411046">
        <w:rPr>
          <w:rFonts w:cs="Arial"/>
          <w:szCs w:val="24"/>
        </w:rPr>
        <w:t xml:space="preserve"> necessitate</w:t>
      </w:r>
      <w:r>
        <w:rPr>
          <w:rFonts w:cs="Arial"/>
          <w:szCs w:val="24"/>
        </w:rPr>
        <w:t>s</w:t>
      </w:r>
      <w:r w:rsidR="00F13F5C" w:rsidRPr="00411046">
        <w:rPr>
          <w:rFonts w:cs="Arial"/>
          <w:szCs w:val="24"/>
        </w:rPr>
        <w:t xml:space="preserve"> feeding </w:t>
      </w:r>
      <w:r w:rsidR="00F13F5C">
        <w:rPr>
          <w:rFonts w:cs="Arial"/>
          <w:szCs w:val="24"/>
        </w:rPr>
        <w:t>via a</w:t>
      </w:r>
      <w:r>
        <w:rPr>
          <w:rFonts w:cs="Arial"/>
          <w:szCs w:val="24"/>
        </w:rPr>
        <w:t xml:space="preserve"> </w:t>
      </w:r>
      <w:r w:rsidR="00F13F5C">
        <w:rPr>
          <w:rFonts w:cs="Arial"/>
          <w:szCs w:val="24"/>
        </w:rPr>
        <w:t>NGT</w:t>
      </w:r>
      <w:r w:rsidR="00F13F5C" w:rsidRPr="00411046">
        <w:rPr>
          <w:rFonts w:cs="Arial"/>
          <w:szCs w:val="24"/>
        </w:rPr>
        <w:t>.</w:t>
      </w:r>
      <w:r>
        <w:rPr>
          <w:rFonts w:cs="Arial"/>
          <w:szCs w:val="24"/>
        </w:rPr>
        <w:t xml:space="preserve"> NGT </w:t>
      </w:r>
      <w:r w:rsidR="00F13F5C" w:rsidRPr="00411046">
        <w:rPr>
          <w:rFonts w:cs="Arial"/>
          <w:szCs w:val="24"/>
        </w:rPr>
        <w:t xml:space="preserve">are not well tolerated by </w:t>
      </w:r>
      <w:r w:rsidR="00C67B77">
        <w:rPr>
          <w:rFonts w:cs="Arial"/>
          <w:szCs w:val="24"/>
        </w:rPr>
        <w:t xml:space="preserve">stroke patients </w:t>
      </w:r>
      <w:r w:rsidR="00F13F5C" w:rsidRPr="00411046">
        <w:rPr>
          <w:rFonts w:cs="Arial"/>
          <w:szCs w:val="24"/>
        </w:rPr>
        <w:t xml:space="preserve">and may be frequently dislodged. </w:t>
      </w:r>
      <w:r>
        <w:rPr>
          <w:rFonts w:cs="Arial"/>
          <w:szCs w:val="24"/>
        </w:rPr>
        <w:t>Hence</w:t>
      </w:r>
      <w:r w:rsidRPr="003C6BCB">
        <w:rPr>
          <w:rFonts w:cs="Arial"/>
          <w:szCs w:val="24"/>
          <w:highlight w:val="yellow"/>
        </w:rPr>
        <w:t>, i</w:t>
      </w:r>
      <w:r w:rsidR="00F13F5C" w:rsidRPr="003C6BCB">
        <w:rPr>
          <w:rFonts w:cs="Arial"/>
          <w:szCs w:val="24"/>
          <w:highlight w:val="yellow"/>
        </w:rPr>
        <w:t xml:space="preserve">nterventions such as </w:t>
      </w:r>
      <w:r w:rsidR="00956CED" w:rsidRPr="003C6BCB">
        <w:rPr>
          <w:rFonts w:cs="Arial"/>
          <w:szCs w:val="24"/>
          <w:highlight w:val="yellow"/>
        </w:rPr>
        <w:t xml:space="preserve">tape, the </w:t>
      </w:r>
      <w:r w:rsidR="00F13F5C" w:rsidRPr="003C6BCB">
        <w:rPr>
          <w:rFonts w:cs="Arial"/>
          <w:szCs w:val="24"/>
          <w:highlight w:val="yellow"/>
        </w:rPr>
        <w:t>nasal bridle/loop (NL) or hand mittens (HM) may be used to m</w:t>
      </w:r>
      <w:r w:rsidR="00956CED" w:rsidRPr="003C6BCB">
        <w:rPr>
          <w:rFonts w:cs="Arial"/>
          <w:szCs w:val="24"/>
          <w:highlight w:val="yellow"/>
        </w:rPr>
        <w:t>aintain NGT position</w:t>
      </w:r>
      <w:r w:rsidR="00F13F5C" w:rsidRPr="003C6BCB">
        <w:rPr>
          <w:rFonts w:cs="Arial"/>
          <w:szCs w:val="24"/>
          <w:highlight w:val="yellow"/>
        </w:rPr>
        <w:t>.</w:t>
      </w:r>
      <w:r w:rsidRPr="003C6BCB">
        <w:rPr>
          <w:rFonts w:cs="Arial"/>
          <w:szCs w:val="24"/>
          <w:highlight w:val="yellow"/>
        </w:rPr>
        <w:t xml:space="preserve">  However, evidence around the effectiveness and acceptability of these interventions has not been reviewed and synthesised.</w:t>
      </w:r>
      <w:r>
        <w:rPr>
          <w:rFonts w:cs="Arial"/>
          <w:szCs w:val="24"/>
        </w:rPr>
        <w:t xml:space="preserve"> </w:t>
      </w:r>
      <w:r w:rsidR="00F13F5C" w:rsidRPr="00411046">
        <w:rPr>
          <w:rFonts w:cs="Arial"/>
          <w:szCs w:val="24"/>
        </w:rPr>
        <w:t xml:space="preserve"> </w:t>
      </w:r>
    </w:p>
    <w:p w14:paraId="2477E0C3" w14:textId="77777777" w:rsidR="00F13F5C" w:rsidRDefault="00F13F5C" w:rsidP="00F13F5C">
      <w:pPr>
        <w:spacing w:line="480" w:lineRule="auto"/>
        <w:rPr>
          <w:rFonts w:cs="Arial"/>
          <w:b/>
          <w:szCs w:val="24"/>
        </w:rPr>
      </w:pPr>
      <w:r w:rsidRPr="00411046">
        <w:rPr>
          <w:rFonts w:cs="Arial"/>
          <w:b/>
          <w:szCs w:val="24"/>
        </w:rPr>
        <w:t>Design</w:t>
      </w:r>
    </w:p>
    <w:p w14:paraId="25F671C8" w14:textId="77777777" w:rsidR="00F13F5C" w:rsidRPr="001904AE" w:rsidRDefault="00F13F5C" w:rsidP="00F13F5C">
      <w:pPr>
        <w:spacing w:line="480" w:lineRule="auto"/>
        <w:rPr>
          <w:rFonts w:cs="Arial"/>
          <w:szCs w:val="24"/>
        </w:rPr>
      </w:pPr>
      <w:r>
        <w:rPr>
          <w:rFonts w:cs="Arial"/>
          <w:szCs w:val="24"/>
        </w:rPr>
        <w:t>Integrative literature review.</w:t>
      </w:r>
    </w:p>
    <w:p w14:paraId="7A77D06E" w14:textId="77777777" w:rsidR="00F13F5C" w:rsidRPr="00411046" w:rsidRDefault="00F13F5C" w:rsidP="00F13F5C">
      <w:pPr>
        <w:spacing w:line="480" w:lineRule="auto"/>
        <w:rPr>
          <w:rFonts w:cs="Arial"/>
          <w:szCs w:val="24"/>
        </w:rPr>
      </w:pPr>
      <w:r w:rsidRPr="00411046">
        <w:rPr>
          <w:rFonts w:cs="Arial"/>
          <w:b/>
          <w:szCs w:val="24"/>
        </w:rPr>
        <w:t>Method</w:t>
      </w:r>
      <w:r w:rsidRPr="00411046">
        <w:rPr>
          <w:rFonts w:cs="Arial"/>
          <w:szCs w:val="24"/>
        </w:rPr>
        <w:t xml:space="preserve"> </w:t>
      </w:r>
    </w:p>
    <w:p w14:paraId="618416CD" w14:textId="77777777" w:rsidR="00F13F5C" w:rsidRDefault="00F13F5C" w:rsidP="00F13F5C">
      <w:pPr>
        <w:spacing w:line="480" w:lineRule="auto"/>
        <w:rPr>
          <w:rFonts w:cs="Arial"/>
          <w:szCs w:val="24"/>
        </w:rPr>
      </w:pPr>
      <w:r>
        <w:rPr>
          <w:rFonts w:cs="Arial"/>
          <w:szCs w:val="24"/>
        </w:rPr>
        <w:t>Database searches in</w:t>
      </w:r>
      <w:r w:rsidRPr="00411046">
        <w:rPr>
          <w:rFonts w:cs="Arial"/>
          <w:szCs w:val="24"/>
        </w:rPr>
        <w:t xml:space="preserve"> MEDLINE, </w:t>
      </w:r>
      <w:r>
        <w:rPr>
          <w:rFonts w:cs="Arial"/>
          <w:szCs w:val="24"/>
        </w:rPr>
        <w:t xml:space="preserve">PubMed, </w:t>
      </w:r>
      <w:r w:rsidRPr="00411046">
        <w:rPr>
          <w:rFonts w:cs="Arial"/>
          <w:szCs w:val="24"/>
        </w:rPr>
        <w:t>CINAHL</w:t>
      </w:r>
      <w:r>
        <w:rPr>
          <w:rFonts w:cs="Arial"/>
          <w:szCs w:val="24"/>
        </w:rPr>
        <w:t xml:space="preserve">, Scopus, Cochrane </w:t>
      </w:r>
      <w:r w:rsidRPr="00411046">
        <w:rPr>
          <w:rFonts w:cs="Arial"/>
          <w:szCs w:val="24"/>
        </w:rPr>
        <w:t>and EMBASE</w:t>
      </w:r>
      <w:r>
        <w:rPr>
          <w:rFonts w:cs="Arial"/>
          <w:szCs w:val="24"/>
        </w:rPr>
        <w:t>; manual reference list searches.</w:t>
      </w:r>
    </w:p>
    <w:p w14:paraId="236BA6A4" w14:textId="77777777" w:rsidR="00F13F5C" w:rsidRPr="00411046" w:rsidRDefault="00F13F5C" w:rsidP="00F13F5C">
      <w:pPr>
        <w:spacing w:line="480" w:lineRule="auto"/>
        <w:rPr>
          <w:rFonts w:cs="Arial"/>
          <w:b/>
          <w:szCs w:val="24"/>
        </w:rPr>
      </w:pPr>
      <w:r w:rsidRPr="00411046">
        <w:rPr>
          <w:rFonts w:cs="Arial"/>
          <w:b/>
          <w:szCs w:val="24"/>
        </w:rPr>
        <w:t>Results</w:t>
      </w:r>
    </w:p>
    <w:p w14:paraId="73E4B831" w14:textId="6B53C22C" w:rsidR="00F13F5C" w:rsidRPr="00411046" w:rsidRDefault="0094688D" w:rsidP="00F13F5C">
      <w:pPr>
        <w:spacing w:line="480" w:lineRule="auto"/>
        <w:rPr>
          <w:rFonts w:cs="Arial"/>
          <w:szCs w:val="24"/>
        </w:rPr>
      </w:pPr>
      <w:r w:rsidRPr="003C6BCB">
        <w:rPr>
          <w:rFonts w:cs="Arial"/>
          <w:szCs w:val="24"/>
          <w:highlight w:val="yellow"/>
        </w:rPr>
        <w:t xml:space="preserve">Seven studies met </w:t>
      </w:r>
      <w:r w:rsidR="00F13F5C" w:rsidRPr="003C6BCB">
        <w:rPr>
          <w:rFonts w:cs="Arial"/>
          <w:szCs w:val="24"/>
          <w:highlight w:val="yellow"/>
        </w:rPr>
        <w:t>the eligibility criteria</w:t>
      </w:r>
      <w:r w:rsidRPr="003C6BCB">
        <w:rPr>
          <w:rFonts w:cs="Arial"/>
          <w:szCs w:val="24"/>
          <w:highlight w:val="yellow"/>
        </w:rPr>
        <w:t xml:space="preserve"> and were included in the review.  </w:t>
      </w:r>
      <w:r w:rsidR="00B5766F" w:rsidRPr="003C6BCB">
        <w:rPr>
          <w:rFonts w:eastAsia="MS Mincho" w:cs="Arial"/>
          <w:szCs w:val="24"/>
          <w:highlight w:val="yellow"/>
        </w:rPr>
        <w:t xml:space="preserve">Evidence for the effectiveness of NL and HM to maintain NGT position in patients after a </w:t>
      </w:r>
      <w:r w:rsidR="00B5766F" w:rsidRPr="003C6BCB">
        <w:rPr>
          <w:rFonts w:eastAsia="MS Mincho" w:cs="Arial"/>
          <w:szCs w:val="24"/>
          <w:highlight w:val="yellow"/>
        </w:rPr>
        <w:lastRenderedPageBreak/>
        <w:t xml:space="preserve">stroke is spare and methodologically poor, and especially limited around HM use.  </w:t>
      </w:r>
      <w:r w:rsidRPr="003C6BCB">
        <w:rPr>
          <w:rFonts w:cs="Arial"/>
          <w:szCs w:val="24"/>
          <w:highlight w:val="yellow"/>
        </w:rPr>
        <w:t>There is insufficient evidence about the acceptability of</w:t>
      </w:r>
      <w:r w:rsidR="00C67B77" w:rsidRPr="003C6BCB">
        <w:rPr>
          <w:rFonts w:cs="Arial"/>
          <w:szCs w:val="24"/>
          <w:highlight w:val="yellow"/>
        </w:rPr>
        <w:t xml:space="preserve"> </w:t>
      </w:r>
      <w:r w:rsidR="00B5766F" w:rsidRPr="003C6BCB">
        <w:rPr>
          <w:rFonts w:cs="Arial"/>
          <w:szCs w:val="24"/>
          <w:highlight w:val="yellow"/>
        </w:rPr>
        <w:t xml:space="preserve">both </w:t>
      </w:r>
      <w:r w:rsidR="00C67B77" w:rsidRPr="003C6BCB">
        <w:rPr>
          <w:rFonts w:cs="Arial"/>
          <w:szCs w:val="24"/>
          <w:highlight w:val="yellow"/>
        </w:rPr>
        <w:t>NL and HM among stroke patients.</w:t>
      </w:r>
    </w:p>
    <w:p w14:paraId="18CAE9AA" w14:textId="77777777" w:rsidR="00F13F5C" w:rsidRPr="00870D72" w:rsidRDefault="00F13F5C" w:rsidP="00F13F5C">
      <w:pPr>
        <w:spacing w:line="480" w:lineRule="auto"/>
        <w:rPr>
          <w:b/>
        </w:rPr>
      </w:pPr>
      <w:r w:rsidRPr="00870D72">
        <w:rPr>
          <w:b/>
        </w:rPr>
        <w:t>Conclusion</w:t>
      </w:r>
    </w:p>
    <w:p w14:paraId="3B72E3D8" w14:textId="1F69F3CA" w:rsidR="00F13F5C" w:rsidRPr="00870D72" w:rsidRDefault="00574044" w:rsidP="00F13F5C">
      <w:pPr>
        <w:spacing w:line="480" w:lineRule="auto"/>
      </w:pPr>
      <w:r w:rsidRPr="003C6BCB">
        <w:rPr>
          <w:highlight w:val="yellow"/>
        </w:rPr>
        <w:t xml:space="preserve">Current clinical practice is underpinned by assumptions around the </w:t>
      </w:r>
      <w:r w:rsidR="00C4232C" w:rsidRPr="003C6BCB">
        <w:rPr>
          <w:highlight w:val="yellow"/>
        </w:rPr>
        <w:t>acceptability</w:t>
      </w:r>
      <w:r w:rsidRPr="003C6BCB">
        <w:rPr>
          <w:highlight w:val="yellow"/>
        </w:rPr>
        <w:t xml:space="preserve"> of </w:t>
      </w:r>
      <w:r w:rsidR="00C4232C" w:rsidRPr="003C6BCB">
        <w:rPr>
          <w:highlight w:val="yellow"/>
        </w:rPr>
        <w:t>NL and HM</w:t>
      </w:r>
      <w:r w:rsidRPr="003C6BCB">
        <w:rPr>
          <w:highlight w:val="yellow"/>
        </w:rPr>
        <w:t xml:space="preserve"> to secure NGTs.  This </w:t>
      </w:r>
      <w:r w:rsidR="00C4232C" w:rsidRPr="003C6BCB">
        <w:rPr>
          <w:highlight w:val="yellow"/>
        </w:rPr>
        <w:t>results</w:t>
      </w:r>
      <w:r w:rsidRPr="003C6BCB">
        <w:rPr>
          <w:highlight w:val="yellow"/>
        </w:rPr>
        <w:t xml:space="preserve"> in reliance on consensu</w:t>
      </w:r>
      <w:r w:rsidR="00C4232C" w:rsidRPr="003C6BCB">
        <w:rPr>
          <w:highlight w:val="yellow"/>
        </w:rPr>
        <w:t>al</w:t>
      </w:r>
      <w:r w:rsidRPr="003C6BCB">
        <w:rPr>
          <w:highlight w:val="yellow"/>
        </w:rPr>
        <w:t xml:space="preserve"> </w:t>
      </w:r>
      <w:r w:rsidR="00C4232C" w:rsidRPr="003C6BCB">
        <w:rPr>
          <w:highlight w:val="yellow"/>
        </w:rPr>
        <w:t xml:space="preserve">judgement between </w:t>
      </w:r>
      <w:r w:rsidRPr="003C6BCB">
        <w:rPr>
          <w:highlight w:val="yellow"/>
        </w:rPr>
        <w:t>professional</w:t>
      </w:r>
      <w:r w:rsidR="00C4232C" w:rsidRPr="003C6BCB">
        <w:rPr>
          <w:highlight w:val="yellow"/>
        </w:rPr>
        <w:t>, patients and their families</w:t>
      </w:r>
      <w:r w:rsidRPr="003C6BCB">
        <w:rPr>
          <w:highlight w:val="yellow"/>
        </w:rPr>
        <w:t xml:space="preserve"> to guide </w:t>
      </w:r>
      <w:r w:rsidR="00C4232C" w:rsidRPr="003C6BCB">
        <w:rPr>
          <w:highlight w:val="yellow"/>
        </w:rPr>
        <w:t>their use</w:t>
      </w:r>
      <w:r w:rsidRPr="003C6BCB">
        <w:rPr>
          <w:highlight w:val="yellow"/>
        </w:rPr>
        <w:t xml:space="preserve"> among </w:t>
      </w:r>
      <w:r w:rsidR="00C4232C" w:rsidRPr="003C6BCB">
        <w:rPr>
          <w:highlight w:val="yellow"/>
        </w:rPr>
        <w:t>individuals with dysphagia after stroke</w:t>
      </w:r>
      <w:r w:rsidRPr="003C6BCB">
        <w:rPr>
          <w:highlight w:val="yellow"/>
        </w:rPr>
        <w:t>.  Further research is required to assess the effectiveness</w:t>
      </w:r>
      <w:r w:rsidR="00B5766F" w:rsidRPr="003C6BCB">
        <w:rPr>
          <w:highlight w:val="yellow"/>
        </w:rPr>
        <w:t xml:space="preserve"> of HM</w:t>
      </w:r>
      <w:r w:rsidRPr="003C6BCB">
        <w:rPr>
          <w:highlight w:val="yellow"/>
        </w:rPr>
        <w:t xml:space="preserve"> </w:t>
      </w:r>
      <w:r w:rsidR="00B5766F" w:rsidRPr="003C6BCB">
        <w:rPr>
          <w:highlight w:val="yellow"/>
        </w:rPr>
        <w:t xml:space="preserve">and </w:t>
      </w:r>
      <w:r w:rsidRPr="003C6BCB">
        <w:rPr>
          <w:highlight w:val="yellow"/>
        </w:rPr>
        <w:t>acceptability of both NL and HM among stroke patients</w:t>
      </w:r>
      <w:r w:rsidR="0003758D" w:rsidRPr="003C6BCB">
        <w:rPr>
          <w:highlight w:val="yellow"/>
        </w:rPr>
        <w:t xml:space="preserve"> to inform guideline development</w:t>
      </w:r>
      <w:r w:rsidRPr="003C6BCB">
        <w:rPr>
          <w:highlight w:val="yellow"/>
        </w:rPr>
        <w:t>.</w:t>
      </w:r>
    </w:p>
    <w:p w14:paraId="419B9B14" w14:textId="77777777" w:rsidR="00F13F5C" w:rsidRDefault="00F13F5C" w:rsidP="00F13F5C">
      <w:pPr>
        <w:spacing w:line="480" w:lineRule="auto"/>
        <w:rPr>
          <w:rFonts w:cs="Arial"/>
          <w:b/>
          <w:szCs w:val="24"/>
        </w:rPr>
      </w:pPr>
    </w:p>
    <w:p w14:paraId="09991E4B" w14:textId="77777777" w:rsidR="00F13F5C" w:rsidRDefault="00F13F5C" w:rsidP="00F13F5C">
      <w:pPr>
        <w:spacing w:line="480" w:lineRule="auto"/>
        <w:rPr>
          <w:rFonts w:cs="Arial"/>
          <w:b/>
          <w:szCs w:val="24"/>
        </w:rPr>
      </w:pPr>
      <w:r w:rsidRPr="00411046">
        <w:rPr>
          <w:rFonts w:cs="Arial"/>
          <w:b/>
          <w:szCs w:val="24"/>
        </w:rPr>
        <w:t>Relevance to Clinical Practice</w:t>
      </w:r>
    </w:p>
    <w:p w14:paraId="5245BE6D" w14:textId="77777777" w:rsidR="00E876AE" w:rsidRDefault="0075643B" w:rsidP="00E876AE">
      <w:pPr>
        <w:spacing w:line="480" w:lineRule="auto"/>
      </w:pPr>
      <w:r w:rsidRPr="003C6BCB">
        <w:rPr>
          <w:highlight w:val="yellow"/>
        </w:rPr>
        <w:t>Given the lack of evidence on the acceptability of HM and NL among stroke patients to inform evidence-based guidelines and protocols, healthcare professionals should reach consensus on their use by exercising clinical judgment and through consultation with patients (if possible) and their families.</w:t>
      </w:r>
    </w:p>
    <w:p w14:paraId="24158034" w14:textId="77777777" w:rsidR="00E876AE" w:rsidRDefault="00E876AE" w:rsidP="00E876AE">
      <w:pPr>
        <w:spacing w:line="480" w:lineRule="auto"/>
      </w:pPr>
    </w:p>
    <w:p w14:paraId="6169900B" w14:textId="77777777" w:rsidR="00E876AE" w:rsidRDefault="00F13F5C" w:rsidP="00E876AE">
      <w:pPr>
        <w:spacing w:line="480" w:lineRule="auto"/>
        <w:rPr>
          <w:b/>
        </w:rPr>
      </w:pPr>
      <w:r w:rsidRPr="00E876AE">
        <w:rPr>
          <w:b/>
        </w:rPr>
        <w:t xml:space="preserve">Summary – What does this paper contribute to the wider global clinical community? </w:t>
      </w:r>
    </w:p>
    <w:p w14:paraId="55CF6A1B" w14:textId="77777777" w:rsidR="00E876AE" w:rsidRPr="00E876AE" w:rsidRDefault="00BD4BC6" w:rsidP="00E876AE">
      <w:pPr>
        <w:pStyle w:val="ListParagraph"/>
        <w:numPr>
          <w:ilvl w:val="0"/>
          <w:numId w:val="14"/>
        </w:numPr>
        <w:spacing w:line="480" w:lineRule="auto"/>
        <w:rPr>
          <w:rFonts w:cs="Arial"/>
          <w:b/>
          <w:szCs w:val="24"/>
        </w:rPr>
      </w:pPr>
      <w:r w:rsidRPr="00DF0ACE">
        <w:t>Given the lack of evidence on the acceptability of HM and NL among stroke patients to inform evidence-based guidelines and protocols, healthcare professionals should reach consensus on their use by exercising clinical judgment and through consultation with patients (if possible) and their families.</w:t>
      </w:r>
    </w:p>
    <w:p w14:paraId="4A12B47A" w14:textId="05C01D6A" w:rsidR="00F13F5C" w:rsidRPr="00E876AE" w:rsidRDefault="00BD4BC6" w:rsidP="00E876AE">
      <w:pPr>
        <w:pStyle w:val="ListParagraph"/>
        <w:numPr>
          <w:ilvl w:val="0"/>
          <w:numId w:val="14"/>
        </w:numPr>
        <w:spacing w:line="480" w:lineRule="auto"/>
        <w:rPr>
          <w:rFonts w:cs="Arial"/>
          <w:b/>
          <w:szCs w:val="24"/>
        </w:rPr>
      </w:pPr>
      <w:r w:rsidRPr="003C6BCB">
        <w:rPr>
          <w:highlight w:val="yellow"/>
        </w:rPr>
        <w:lastRenderedPageBreak/>
        <w:t>The u</w:t>
      </w:r>
      <w:r w:rsidR="00F13F5C" w:rsidRPr="003C6BCB">
        <w:rPr>
          <w:highlight w:val="yellow"/>
        </w:rPr>
        <w:t xml:space="preserve">se of </w:t>
      </w:r>
      <w:r w:rsidR="0075643B" w:rsidRPr="003C6BCB">
        <w:rPr>
          <w:highlight w:val="yellow"/>
        </w:rPr>
        <w:t>HM and NL</w:t>
      </w:r>
      <w:r w:rsidR="00E876AE">
        <w:t>,</w:t>
      </w:r>
      <w:r w:rsidR="00F13F5C">
        <w:t xml:space="preserve"> which </w:t>
      </w:r>
      <w:r>
        <w:t xml:space="preserve">may </w:t>
      </w:r>
      <w:r w:rsidR="00F13F5C">
        <w:t>restrict patients’ freedom of choice</w:t>
      </w:r>
      <w:r w:rsidR="00E876AE">
        <w:t>,</w:t>
      </w:r>
      <w:r w:rsidR="00F13F5C">
        <w:t xml:space="preserve"> require</w:t>
      </w:r>
      <w:r>
        <w:t>s</w:t>
      </w:r>
      <w:r w:rsidR="00F13F5C">
        <w:t xml:space="preserve"> careful and comprehensive evaluation to identify risks and benefits.</w:t>
      </w:r>
    </w:p>
    <w:p w14:paraId="4AA28D21" w14:textId="06473C1A" w:rsidR="00F13F5C" w:rsidRPr="00195010" w:rsidRDefault="00F13F5C" w:rsidP="00F13F5C">
      <w:pPr>
        <w:pStyle w:val="ListParagraph"/>
        <w:numPr>
          <w:ilvl w:val="0"/>
          <w:numId w:val="9"/>
        </w:numPr>
        <w:spacing w:line="480" w:lineRule="auto"/>
        <w:ind w:left="714" w:hanging="357"/>
      </w:pPr>
      <w:r w:rsidRPr="003C6BCB">
        <w:rPr>
          <w:highlight w:val="yellow"/>
        </w:rPr>
        <w:t xml:space="preserve">Application of </w:t>
      </w:r>
      <w:r w:rsidR="0075643B" w:rsidRPr="003C6BCB">
        <w:rPr>
          <w:highlight w:val="yellow"/>
        </w:rPr>
        <w:t>HM and NL</w:t>
      </w:r>
      <w:r w:rsidRPr="003C6BCB">
        <w:rPr>
          <w:highlight w:val="yellow"/>
        </w:rPr>
        <w:t xml:space="preserve"> with vulnerable adults </w:t>
      </w:r>
      <w:r w:rsidR="0075643B" w:rsidRPr="003C6BCB">
        <w:rPr>
          <w:highlight w:val="yellow"/>
        </w:rPr>
        <w:t xml:space="preserve">needs to </w:t>
      </w:r>
      <w:r w:rsidRPr="003C6BCB">
        <w:rPr>
          <w:highlight w:val="yellow"/>
        </w:rPr>
        <w:t xml:space="preserve">be examined </w:t>
      </w:r>
      <w:r w:rsidR="00574038" w:rsidRPr="003C6BCB">
        <w:rPr>
          <w:highlight w:val="yellow"/>
        </w:rPr>
        <w:t xml:space="preserve">further </w:t>
      </w:r>
      <w:r w:rsidRPr="003C6BCB">
        <w:rPr>
          <w:highlight w:val="yellow"/>
        </w:rPr>
        <w:t xml:space="preserve">in </w:t>
      </w:r>
      <w:r w:rsidR="00574038" w:rsidRPr="003C6BCB">
        <w:rPr>
          <w:highlight w:val="yellow"/>
        </w:rPr>
        <w:t xml:space="preserve">view of </w:t>
      </w:r>
      <w:r w:rsidRPr="003C6BCB">
        <w:rPr>
          <w:highlight w:val="yellow"/>
        </w:rPr>
        <w:t>current legal and ethical principles in order to determine ‘best interests’</w:t>
      </w:r>
      <w:r>
        <w:t>.</w:t>
      </w:r>
    </w:p>
    <w:p w14:paraId="590CF88A" w14:textId="77777777" w:rsidR="00F13F5C" w:rsidRDefault="00F13F5C" w:rsidP="00F13F5C">
      <w:pPr>
        <w:spacing w:line="480" w:lineRule="auto"/>
        <w:rPr>
          <w:b/>
        </w:rPr>
      </w:pPr>
    </w:p>
    <w:p w14:paraId="61A79FE5" w14:textId="77777777" w:rsidR="00F13F5C" w:rsidRPr="00B920E3" w:rsidRDefault="00F13F5C" w:rsidP="00F13F5C">
      <w:pPr>
        <w:spacing w:line="480" w:lineRule="auto"/>
        <w:rPr>
          <w:b/>
        </w:rPr>
      </w:pPr>
      <w:r w:rsidRPr="00B920E3">
        <w:rPr>
          <w:b/>
        </w:rPr>
        <w:t>Keywords</w:t>
      </w:r>
    </w:p>
    <w:p w14:paraId="365C9343" w14:textId="6489B39E" w:rsidR="00B02420" w:rsidRDefault="00F13F5C" w:rsidP="00BD4BC6">
      <w:pPr>
        <w:pStyle w:val="ListParagraph"/>
        <w:spacing w:line="480" w:lineRule="auto"/>
      </w:pPr>
      <w:r>
        <w:t>S</w:t>
      </w:r>
      <w:r w:rsidRPr="00411046">
        <w:t>troke</w:t>
      </w:r>
      <w:r w:rsidR="0069394E">
        <w:t>;</w:t>
      </w:r>
      <w:r w:rsidRPr="00411046">
        <w:t xml:space="preserve"> dysphagia</w:t>
      </w:r>
      <w:r w:rsidR="0069394E">
        <w:t>;</w:t>
      </w:r>
      <w:r w:rsidRPr="00411046">
        <w:t xml:space="preserve"> </w:t>
      </w:r>
      <w:r w:rsidR="0069394E">
        <w:t xml:space="preserve">feeding; </w:t>
      </w:r>
      <w:r w:rsidRPr="00411046">
        <w:t xml:space="preserve">nasogastric </w:t>
      </w:r>
      <w:r w:rsidR="0069394E">
        <w:t>tube;</w:t>
      </w:r>
      <w:r w:rsidRPr="00411046">
        <w:t xml:space="preserve"> restraint</w:t>
      </w:r>
      <w:r w:rsidR="0069394E">
        <w:t>;</w:t>
      </w:r>
      <w:r>
        <w:t xml:space="preserve"> acceptability</w:t>
      </w:r>
      <w:r w:rsidR="0069394E">
        <w:t>;</w:t>
      </w:r>
      <w:r>
        <w:t xml:space="preserve"> </w:t>
      </w:r>
      <w:r w:rsidR="0069394E">
        <w:t>nursing.</w:t>
      </w:r>
      <w:r w:rsidR="00BD4BC6">
        <w:t>; nasal loop; hand mittens</w:t>
      </w:r>
    </w:p>
    <w:bookmarkEnd w:id="0"/>
    <w:p w14:paraId="188A409E" w14:textId="7DC1039E" w:rsidR="00F13F5C" w:rsidRPr="00870D72" w:rsidRDefault="00E876AE" w:rsidP="00E876AE">
      <w:pPr>
        <w:pStyle w:val="Heading2"/>
      </w:pPr>
      <w:r>
        <w:t>I</w:t>
      </w:r>
      <w:r w:rsidR="00CB6C04">
        <w:t>NTRODUCTION</w:t>
      </w:r>
    </w:p>
    <w:p w14:paraId="0ADDA79F" w14:textId="09FCB087" w:rsidR="00F13F5C" w:rsidRPr="00411046" w:rsidRDefault="0069394E" w:rsidP="00F13F5C">
      <w:pPr>
        <w:spacing w:line="480" w:lineRule="auto"/>
        <w:rPr>
          <w:rFonts w:cs="Arial"/>
          <w:bCs/>
          <w:szCs w:val="24"/>
        </w:rPr>
      </w:pPr>
      <w:r w:rsidRPr="003C6BCB">
        <w:rPr>
          <w:rFonts w:cs="Arial"/>
          <w:szCs w:val="24"/>
          <w:highlight w:val="yellow"/>
        </w:rPr>
        <w:t>Internationally, the incidence of Cerebral Vascular Disease (CVD) is increasing (</w:t>
      </w:r>
      <w:r w:rsidR="00F13F5C" w:rsidRPr="003C6BCB">
        <w:rPr>
          <w:rFonts w:cs="Arial"/>
          <w:szCs w:val="24"/>
          <w:highlight w:val="yellow"/>
        </w:rPr>
        <w:t>World Health Organisation (WHO) (2014)</w:t>
      </w:r>
      <w:r w:rsidR="00F13F5C" w:rsidRPr="00E876AE">
        <w:rPr>
          <w:rFonts w:cs="Arial"/>
          <w:szCs w:val="24"/>
        </w:rPr>
        <w:t xml:space="preserve"> </w:t>
      </w:r>
      <w:r w:rsidRPr="00E876AE">
        <w:rPr>
          <w:rFonts w:cs="Arial"/>
          <w:szCs w:val="24"/>
        </w:rPr>
        <w:t>and</w:t>
      </w:r>
      <w:r w:rsidR="00F13F5C" w:rsidRPr="00E876AE">
        <w:rPr>
          <w:rFonts w:cs="Arial"/>
          <w:szCs w:val="24"/>
        </w:rPr>
        <w:t xml:space="preserve"> stroke </w:t>
      </w:r>
      <w:r w:rsidRPr="00E876AE">
        <w:rPr>
          <w:rFonts w:cs="Arial"/>
          <w:szCs w:val="24"/>
        </w:rPr>
        <w:t xml:space="preserve">is </w:t>
      </w:r>
      <w:r w:rsidR="00F13F5C" w:rsidRPr="00E876AE">
        <w:rPr>
          <w:rFonts w:cs="Arial"/>
          <w:szCs w:val="24"/>
        </w:rPr>
        <w:t>the largest cause of complex disability in adults (</w:t>
      </w:r>
      <w:r w:rsidR="00F13F5C" w:rsidRPr="00E876AE">
        <w:rPr>
          <w:rFonts w:cs="Arial"/>
          <w:szCs w:val="24"/>
          <w:lang w:val="en"/>
        </w:rPr>
        <w:t>Stroke Association (SA) 2016)</w:t>
      </w:r>
      <w:r w:rsidR="00F13F5C" w:rsidRPr="00E876AE">
        <w:rPr>
          <w:rFonts w:cs="Arial"/>
          <w:szCs w:val="24"/>
        </w:rPr>
        <w:t>.</w:t>
      </w:r>
      <w:r w:rsidRPr="00E876AE">
        <w:rPr>
          <w:rFonts w:cs="Arial"/>
          <w:szCs w:val="24"/>
        </w:rPr>
        <w:t xml:space="preserve">  </w:t>
      </w:r>
      <w:r w:rsidRPr="003C6BCB">
        <w:rPr>
          <w:rFonts w:cs="Arial"/>
          <w:szCs w:val="24"/>
          <w:highlight w:val="yellow"/>
        </w:rPr>
        <w:t>In the U</w:t>
      </w:r>
      <w:r w:rsidR="00800F37" w:rsidRPr="003C6BCB">
        <w:rPr>
          <w:rFonts w:cs="Arial"/>
          <w:szCs w:val="24"/>
          <w:highlight w:val="yellow"/>
        </w:rPr>
        <w:t>nited Kingdom (UK)</w:t>
      </w:r>
      <w:r w:rsidRPr="00E876AE">
        <w:rPr>
          <w:rFonts w:cs="Arial"/>
          <w:szCs w:val="24"/>
        </w:rPr>
        <w:t xml:space="preserve">, </w:t>
      </w:r>
      <w:r w:rsidR="00F13F5C" w:rsidRPr="00E876AE">
        <w:rPr>
          <w:rFonts w:cs="Arial"/>
          <w:szCs w:val="24"/>
          <w:lang w:val="en"/>
        </w:rPr>
        <w:t xml:space="preserve">an estimated </w:t>
      </w:r>
      <w:r w:rsidR="00F13F5C" w:rsidRPr="00E876AE">
        <w:rPr>
          <w:rStyle w:val="Strong"/>
          <w:rFonts w:cs="Arial"/>
          <w:b w:val="0"/>
          <w:szCs w:val="24"/>
          <w:lang w:val="en"/>
        </w:rPr>
        <w:t>152,000</w:t>
      </w:r>
      <w:r w:rsidR="00F13F5C" w:rsidRPr="00E876AE">
        <w:rPr>
          <w:rFonts w:cs="Arial"/>
          <w:szCs w:val="24"/>
          <w:lang w:val="en"/>
        </w:rPr>
        <w:t xml:space="preserve"> people have a </w:t>
      </w:r>
      <w:r w:rsidR="00F13F5C" w:rsidRPr="00E876AE">
        <w:rPr>
          <w:rStyle w:val="Strong"/>
          <w:rFonts w:cs="Arial"/>
          <w:b w:val="0"/>
          <w:szCs w:val="24"/>
          <w:lang w:val="en"/>
        </w:rPr>
        <w:t>stroke</w:t>
      </w:r>
      <w:r w:rsidRPr="00E876AE">
        <w:rPr>
          <w:rStyle w:val="Strong"/>
          <w:rFonts w:cs="Arial"/>
          <w:b w:val="0"/>
          <w:szCs w:val="24"/>
          <w:lang w:val="en"/>
        </w:rPr>
        <w:t xml:space="preserve"> each year,</w:t>
      </w:r>
      <w:r w:rsidR="00F13F5C" w:rsidRPr="00E876AE">
        <w:rPr>
          <w:rFonts w:cs="Arial"/>
          <w:szCs w:val="24"/>
          <w:lang w:val="en"/>
        </w:rPr>
        <w:t xml:space="preserve"> the majority </w:t>
      </w:r>
      <w:r w:rsidR="00982E73" w:rsidRPr="00E876AE">
        <w:rPr>
          <w:rFonts w:cs="Arial"/>
          <w:szCs w:val="24"/>
          <w:lang w:val="en"/>
        </w:rPr>
        <w:t xml:space="preserve">of whom are </w:t>
      </w:r>
      <w:r w:rsidR="00F13F5C" w:rsidRPr="00E876AE">
        <w:rPr>
          <w:rFonts w:cs="Arial"/>
          <w:szCs w:val="24"/>
          <w:lang w:val="en"/>
        </w:rPr>
        <w:t>over 65 years old (SA 2016).</w:t>
      </w:r>
      <w:r w:rsidR="00F13F5C" w:rsidRPr="00E876AE">
        <w:rPr>
          <w:rFonts w:cs="Arial"/>
          <w:szCs w:val="24"/>
        </w:rPr>
        <w:t xml:space="preserve"> Malnutrition </w:t>
      </w:r>
      <w:r w:rsidR="00F13F5C" w:rsidRPr="00E876AE">
        <w:rPr>
          <w:rFonts w:cs="Arial"/>
          <w:bCs/>
          <w:szCs w:val="24"/>
        </w:rPr>
        <w:t xml:space="preserve">has been </w:t>
      </w:r>
      <w:r w:rsidR="00982E73" w:rsidRPr="00E876AE">
        <w:rPr>
          <w:rFonts w:cs="Arial"/>
          <w:bCs/>
          <w:szCs w:val="24"/>
        </w:rPr>
        <w:t xml:space="preserve">observed </w:t>
      </w:r>
      <w:r w:rsidR="00F13F5C" w:rsidRPr="00E876AE">
        <w:rPr>
          <w:rFonts w:cs="Arial"/>
          <w:bCs/>
          <w:szCs w:val="24"/>
        </w:rPr>
        <w:t xml:space="preserve">in </w:t>
      </w:r>
      <w:r w:rsidR="00982E73" w:rsidRPr="00E876AE">
        <w:rPr>
          <w:rFonts w:cs="Arial"/>
          <w:bCs/>
          <w:szCs w:val="24"/>
        </w:rPr>
        <w:t>16-</w:t>
      </w:r>
      <w:r w:rsidR="00F13F5C" w:rsidRPr="00E876AE">
        <w:rPr>
          <w:rFonts w:cs="Arial"/>
          <w:bCs/>
          <w:szCs w:val="24"/>
        </w:rPr>
        <w:t xml:space="preserve">31% of stroke patients on </w:t>
      </w:r>
      <w:r w:rsidR="00982E73" w:rsidRPr="00E876AE">
        <w:rPr>
          <w:rFonts w:cs="Arial"/>
          <w:bCs/>
          <w:szCs w:val="24"/>
        </w:rPr>
        <w:t>hospital admission</w:t>
      </w:r>
      <w:r w:rsidR="00F13F5C" w:rsidRPr="00E876AE">
        <w:rPr>
          <w:rFonts w:cs="Arial"/>
          <w:bCs/>
          <w:szCs w:val="24"/>
        </w:rPr>
        <w:t xml:space="preserve"> and affects almost 50% of stroke patients admitted </w:t>
      </w:r>
      <w:r w:rsidR="00982E73" w:rsidRPr="00E876AE">
        <w:rPr>
          <w:rFonts w:cs="Arial"/>
          <w:bCs/>
          <w:szCs w:val="24"/>
        </w:rPr>
        <w:t xml:space="preserve">to </w:t>
      </w:r>
      <w:r w:rsidR="00F13F5C" w:rsidRPr="00E876AE">
        <w:rPr>
          <w:rFonts w:cs="Arial"/>
          <w:bCs/>
          <w:szCs w:val="24"/>
        </w:rPr>
        <w:t>rehabilitation units (Geeganage et al. 2012; Nip et al. 2011).</w:t>
      </w:r>
      <w:r w:rsidR="00982E73" w:rsidRPr="00E876AE">
        <w:rPr>
          <w:rFonts w:cs="Arial"/>
          <w:bCs/>
          <w:szCs w:val="24"/>
        </w:rPr>
        <w:t xml:space="preserve">  Dysphagia (i.e., an unsafe swallow) is common after stroke and has been reported </w:t>
      </w:r>
      <w:r w:rsidR="00F13F5C" w:rsidRPr="00E876AE">
        <w:rPr>
          <w:rFonts w:cs="Arial"/>
          <w:szCs w:val="24"/>
        </w:rPr>
        <w:t xml:space="preserve">in 28-67% of patients (Geeganage et al. 2012). </w:t>
      </w:r>
      <w:r w:rsidR="00BF4FA0" w:rsidRPr="003C6BCB">
        <w:rPr>
          <w:rFonts w:cs="Arial"/>
          <w:szCs w:val="24"/>
          <w:highlight w:val="yellow"/>
        </w:rPr>
        <w:t xml:space="preserve">To maintain feeding and prevent nutritional deterioration after stroke a </w:t>
      </w:r>
      <w:r w:rsidR="00BF4FA0" w:rsidRPr="003C6BCB">
        <w:rPr>
          <w:rFonts w:cs="Arial"/>
          <w:bCs/>
          <w:szCs w:val="24"/>
          <w:highlight w:val="yellow"/>
        </w:rPr>
        <w:t xml:space="preserve">percutaneous endoscopic gastrostomy (PEG) tube inserted directly into the stomach or </w:t>
      </w:r>
      <w:r w:rsidR="00BF4FA0" w:rsidRPr="003C6BCB">
        <w:rPr>
          <w:rFonts w:cs="Arial"/>
          <w:szCs w:val="24"/>
          <w:highlight w:val="yellow"/>
        </w:rPr>
        <w:t>nasogastric tube (NGT)</w:t>
      </w:r>
      <w:r w:rsidR="00BF4FA0" w:rsidRPr="00E876AE">
        <w:rPr>
          <w:rFonts w:cs="Arial"/>
          <w:szCs w:val="24"/>
        </w:rPr>
        <w:t xml:space="preserve"> </w:t>
      </w:r>
      <w:r w:rsidR="00F13F5C" w:rsidRPr="00E876AE">
        <w:rPr>
          <w:rFonts w:cs="Arial"/>
          <w:bCs/>
          <w:szCs w:val="24"/>
        </w:rPr>
        <w:t>i</w:t>
      </w:r>
      <w:r w:rsidR="00F13F5C" w:rsidRPr="00411046">
        <w:rPr>
          <w:rFonts w:cs="Arial"/>
          <w:bCs/>
          <w:szCs w:val="24"/>
        </w:rPr>
        <w:t>nserted via the nose into the stomach</w:t>
      </w:r>
      <w:r w:rsidR="00F13F5C">
        <w:rPr>
          <w:rFonts w:cs="Arial"/>
          <w:bCs/>
          <w:szCs w:val="24"/>
        </w:rPr>
        <w:t>,</w:t>
      </w:r>
      <w:r w:rsidR="00F13F5C" w:rsidRPr="00411046">
        <w:rPr>
          <w:rFonts w:cs="Arial"/>
          <w:bCs/>
          <w:szCs w:val="24"/>
        </w:rPr>
        <w:t xml:space="preserve"> may be necessary (Dennis et al. 2006).  </w:t>
      </w:r>
    </w:p>
    <w:p w14:paraId="74743768" w14:textId="77777777" w:rsidR="00F13F5C" w:rsidRPr="00411046" w:rsidRDefault="00F13F5C" w:rsidP="00F13F5C">
      <w:pPr>
        <w:spacing w:line="480" w:lineRule="auto"/>
        <w:rPr>
          <w:rFonts w:eastAsia="MS Mincho" w:cs="Arial"/>
          <w:szCs w:val="24"/>
        </w:rPr>
      </w:pPr>
    </w:p>
    <w:p w14:paraId="297E76E9" w14:textId="069F3B43" w:rsidR="00F13F5C" w:rsidRDefault="00F13F5C" w:rsidP="00F13F5C">
      <w:pPr>
        <w:spacing w:line="480" w:lineRule="auto"/>
        <w:rPr>
          <w:rFonts w:cs="Arial"/>
          <w:bCs/>
          <w:szCs w:val="24"/>
        </w:rPr>
      </w:pPr>
      <w:r w:rsidRPr="00411046">
        <w:rPr>
          <w:rFonts w:eastAsia="MS Mincho" w:cs="Arial"/>
          <w:szCs w:val="24"/>
        </w:rPr>
        <w:t>Rese</w:t>
      </w:r>
      <w:r>
        <w:rPr>
          <w:rFonts w:eastAsia="MS Mincho" w:cs="Arial"/>
          <w:szCs w:val="24"/>
        </w:rPr>
        <w:t xml:space="preserve">arch has shown that </w:t>
      </w:r>
      <w:r w:rsidRPr="00411046">
        <w:rPr>
          <w:rFonts w:eastAsia="MS Mincho" w:cs="Arial"/>
          <w:szCs w:val="24"/>
        </w:rPr>
        <w:t>NG</w:t>
      </w:r>
      <w:r>
        <w:rPr>
          <w:rFonts w:eastAsia="MS Mincho" w:cs="Arial"/>
          <w:szCs w:val="24"/>
        </w:rPr>
        <w:t>T</w:t>
      </w:r>
      <w:r w:rsidRPr="00411046">
        <w:rPr>
          <w:rFonts w:eastAsia="MS Mincho" w:cs="Arial"/>
          <w:szCs w:val="24"/>
        </w:rPr>
        <w:t xml:space="preserve"> are not well tolerated by stroke patients </w:t>
      </w:r>
      <w:r w:rsidRPr="00E9048F">
        <w:rPr>
          <w:rFonts w:eastAsia="MS Mincho" w:cs="Arial"/>
          <w:szCs w:val="24"/>
        </w:rPr>
        <w:t>(Beavan et al.</w:t>
      </w:r>
      <w:r>
        <w:rPr>
          <w:rFonts w:eastAsia="MS Mincho" w:cs="Arial"/>
          <w:szCs w:val="24"/>
        </w:rPr>
        <w:t xml:space="preserve"> </w:t>
      </w:r>
      <w:r w:rsidRPr="00E9048F">
        <w:rPr>
          <w:rFonts w:eastAsia="MS Mincho" w:cs="Arial"/>
          <w:szCs w:val="24"/>
        </w:rPr>
        <w:t>2010).</w:t>
      </w:r>
      <w:r>
        <w:rPr>
          <w:rFonts w:eastAsia="MS Mincho" w:cs="Arial"/>
          <w:szCs w:val="24"/>
        </w:rPr>
        <w:t xml:space="preserve"> P</w:t>
      </w:r>
      <w:r w:rsidRPr="00411046">
        <w:rPr>
          <w:rFonts w:eastAsia="MS Mincho" w:cs="Arial"/>
          <w:szCs w:val="24"/>
        </w:rPr>
        <w:t>a</w:t>
      </w:r>
      <w:r>
        <w:rPr>
          <w:rFonts w:eastAsia="MS Mincho" w:cs="Arial"/>
          <w:szCs w:val="24"/>
        </w:rPr>
        <w:t>tients may dislodge their tubes</w:t>
      </w:r>
      <w:r w:rsidRPr="00411046">
        <w:rPr>
          <w:rFonts w:eastAsia="MS Mincho" w:cs="Arial"/>
          <w:szCs w:val="24"/>
        </w:rPr>
        <w:t xml:space="preserve"> interrupting</w:t>
      </w:r>
      <w:r>
        <w:rPr>
          <w:rFonts w:eastAsia="MS Mincho" w:cs="Arial"/>
          <w:szCs w:val="24"/>
        </w:rPr>
        <w:t xml:space="preserve"> their nutrition, hydration </w:t>
      </w:r>
      <w:r>
        <w:rPr>
          <w:rFonts w:eastAsia="MS Mincho" w:cs="Arial"/>
          <w:szCs w:val="24"/>
        </w:rPr>
        <w:lastRenderedPageBreak/>
        <w:t>and/</w:t>
      </w:r>
      <w:r w:rsidRPr="00411046">
        <w:rPr>
          <w:rFonts w:eastAsia="MS Mincho" w:cs="Arial"/>
          <w:szCs w:val="24"/>
        </w:rPr>
        <w:t>or medication</w:t>
      </w:r>
      <w:r w:rsidR="00BF4FA0">
        <w:rPr>
          <w:rFonts w:eastAsia="MS Mincho" w:cs="Arial"/>
          <w:szCs w:val="24"/>
        </w:rPr>
        <w:t>, and</w:t>
      </w:r>
      <w:r>
        <w:rPr>
          <w:rFonts w:eastAsia="MS Mincho" w:cs="Arial"/>
          <w:szCs w:val="24"/>
        </w:rPr>
        <w:t xml:space="preserve"> increasing the risk of</w:t>
      </w:r>
      <w:r w:rsidRPr="00411046">
        <w:rPr>
          <w:rFonts w:eastAsia="MS Mincho" w:cs="Arial"/>
          <w:szCs w:val="24"/>
        </w:rPr>
        <w:t xml:space="preserve"> feed or fluid entering the lungs (Metheny</w:t>
      </w:r>
      <w:r>
        <w:rPr>
          <w:rFonts w:eastAsia="MS Mincho" w:cs="Arial"/>
          <w:szCs w:val="24"/>
        </w:rPr>
        <w:t xml:space="preserve"> &amp; Meert</w:t>
      </w:r>
      <w:r w:rsidRPr="00411046">
        <w:rPr>
          <w:rFonts w:eastAsia="MS Mincho" w:cs="Arial"/>
          <w:szCs w:val="24"/>
        </w:rPr>
        <w:t>, 2004).</w:t>
      </w:r>
      <w:r w:rsidRPr="00411046">
        <w:rPr>
          <w:rFonts w:cs="Arial"/>
          <w:bCs/>
          <w:szCs w:val="24"/>
        </w:rPr>
        <w:t xml:space="preserve"> However the FOOD (Feed or Ordinary Diet) Trial (Dennis et al. 2006) indicated that NG</w:t>
      </w:r>
      <w:r>
        <w:rPr>
          <w:rFonts w:cs="Arial"/>
          <w:bCs/>
          <w:szCs w:val="24"/>
        </w:rPr>
        <w:t>T</w:t>
      </w:r>
      <w:r w:rsidRPr="00411046">
        <w:rPr>
          <w:rFonts w:cs="Arial"/>
          <w:bCs/>
          <w:szCs w:val="24"/>
        </w:rPr>
        <w:t xml:space="preserve"> feeding in the acute stages after stroke (first 2-3 weeks) was more beneficial than PEG feed</w:t>
      </w:r>
      <w:r>
        <w:rPr>
          <w:rFonts w:cs="Arial"/>
          <w:bCs/>
          <w:szCs w:val="24"/>
        </w:rPr>
        <w:t>ing. Therefore ensuring that NGT</w:t>
      </w:r>
      <w:r w:rsidRPr="00411046">
        <w:rPr>
          <w:rFonts w:cs="Arial"/>
          <w:bCs/>
          <w:szCs w:val="24"/>
        </w:rPr>
        <w:t xml:space="preserve"> feeding is successfull</w:t>
      </w:r>
      <w:r>
        <w:rPr>
          <w:rFonts w:cs="Arial"/>
          <w:bCs/>
          <w:szCs w:val="24"/>
        </w:rPr>
        <w:t>y maintained,</w:t>
      </w:r>
      <w:r w:rsidRPr="00411046">
        <w:rPr>
          <w:rFonts w:cs="Arial"/>
          <w:bCs/>
          <w:szCs w:val="24"/>
        </w:rPr>
        <w:t xml:space="preserve"> can be an important element of successful rehabilitation. </w:t>
      </w:r>
    </w:p>
    <w:p w14:paraId="73A4924C" w14:textId="144699C2" w:rsidR="00F13F5C" w:rsidRPr="00FB23EC" w:rsidRDefault="00F13F5C" w:rsidP="00F13F5C">
      <w:pPr>
        <w:spacing w:line="480" w:lineRule="auto"/>
        <w:rPr>
          <w:rFonts w:cs="Arial"/>
          <w:bCs/>
          <w:i/>
          <w:color w:val="8496B0" w:themeColor="text2" w:themeTint="99"/>
          <w:szCs w:val="24"/>
        </w:rPr>
      </w:pPr>
      <w:r w:rsidRPr="00411046">
        <w:rPr>
          <w:rFonts w:cs="Arial"/>
          <w:bCs/>
          <w:szCs w:val="24"/>
        </w:rPr>
        <w:t xml:space="preserve">Common interventions used </w:t>
      </w:r>
      <w:r>
        <w:rPr>
          <w:rFonts w:cs="Arial"/>
          <w:bCs/>
          <w:szCs w:val="24"/>
        </w:rPr>
        <w:t>for maintaining NGT</w:t>
      </w:r>
      <w:r w:rsidR="00BF4FA0">
        <w:rPr>
          <w:rFonts w:cs="Arial"/>
          <w:bCs/>
          <w:szCs w:val="24"/>
        </w:rPr>
        <w:t xml:space="preserve"> position</w:t>
      </w:r>
      <w:r w:rsidRPr="00411046">
        <w:rPr>
          <w:rFonts w:cs="Arial"/>
          <w:bCs/>
          <w:szCs w:val="24"/>
        </w:rPr>
        <w:t xml:space="preserve"> in</w:t>
      </w:r>
      <w:r>
        <w:rPr>
          <w:rFonts w:cs="Arial"/>
          <w:bCs/>
          <w:szCs w:val="24"/>
        </w:rPr>
        <w:t xml:space="preserve"> stroke patients include </w:t>
      </w:r>
      <w:r w:rsidR="00BF4FA0" w:rsidRPr="00BD4BC6">
        <w:rPr>
          <w:rFonts w:cs="Arial"/>
          <w:szCs w:val="24"/>
        </w:rPr>
        <w:t xml:space="preserve">nasal bridle/loop (NL) </w:t>
      </w:r>
      <w:r w:rsidR="00BF4FA0">
        <w:rPr>
          <w:rFonts w:cs="Arial"/>
          <w:szCs w:val="24"/>
        </w:rPr>
        <w:t>and</w:t>
      </w:r>
      <w:r w:rsidR="00BF4FA0" w:rsidRPr="00BD4BC6">
        <w:rPr>
          <w:rFonts w:cs="Arial"/>
          <w:szCs w:val="24"/>
        </w:rPr>
        <w:t xml:space="preserve"> hand mittens (HM) </w:t>
      </w:r>
      <w:r w:rsidRPr="00411046">
        <w:rPr>
          <w:rFonts w:cs="Arial"/>
          <w:bCs/>
          <w:szCs w:val="24"/>
        </w:rPr>
        <w:t>(</w:t>
      </w:r>
      <w:r w:rsidRPr="00E9048F">
        <w:rPr>
          <w:rFonts w:cs="Arial"/>
          <w:bCs/>
          <w:szCs w:val="24"/>
        </w:rPr>
        <w:t>Gomes, Hookway &amp; Weekes, 2014).</w:t>
      </w:r>
      <w:r>
        <w:rPr>
          <w:rFonts w:cs="Arial"/>
          <w:bCs/>
          <w:szCs w:val="24"/>
        </w:rPr>
        <w:t xml:space="preserve"> </w:t>
      </w:r>
      <w:r w:rsidRPr="003C6BCB">
        <w:rPr>
          <w:rFonts w:cs="Arial"/>
          <w:bCs/>
          <w:szCs w:val="24"/>
          <w:highlight w:val="yellow"/>
        </w:rPr>
        <w:t>However</w:t>
      </w:r>
      <w:r w:rsidR="00D1471D" w:rsidRPr="003C6BCB">
        <w:rPr>
          <w:rFonts w:cs="Arial"/>
          <w:bCs/>
          <w:szCs w:val="24"/>
          <w:highlight w:val="yellow"/>
        </w:rPr>
        <w:t xml:space="preserve">, both </w:t>
      </w:r>
      <w:r w:rsidR="000F3D15" w:rsidRPr="003C6BCB">
        <w:rPr>
          <w:rFonts w:cs="Arial"/>
          <w:bCs/>
          <w:szCs w:val="24"/>
          <w:highlight w:val="yellow"/>
        </w:rPr>
        <w:t xml:space="preserve">NL and HM </w:t>
      </w:r>
      <w:r w:rsidR="00D1471D" w:rsidRPr="003C6BCB">
        <w:rPr>
          <w:rFonts w:cs="Arial"/>
          <w:bCs/>
          <w:szCs w:val="24"/>
          <w:highlight w:val="yellow"/>
        </w:rPr>
        <w:t xml:space="preserve">are also classed as a form of restraint </w:t>
      </w:r>
      <w:r w:rsidR="00F60137" w:rsidRPr="003C6BCB">
        <w:rPr>
          <w:rFonts w:cs="Arial"/>
          <w:bCs/>
          <w:szCs w:val="24"/>
          <w:highlight w:val="yellow"/>
        </w:rPr>
        <w:t>(Gomes, Hookway &amp; Weekes, 2014</w:t>
      </w:r>
      <w:r w:rsidR="00006233" w:rsidRPr="003C6BCB">
        <w:rPr>
          <w:rFonts w:cs="Arial"/>
          <w:bCs/>
          <w:szCs w:val="24"/>
          <w:highlight w:val="yellow"/>
        </w:rPr>
        <w:t>; Gallagher 2011</w:t>
      </w:r>
      <w:r w:rsidR="00F60137" w:rsidRPr="003C6BCB">
        <w:rPr>
          <w:rFonts w:cs="Arial"/>
          <w:bCs/>
          <w:szCs w:val="24"/>
          <w:highlight w:val="yellow"/>
        </w:rPr>
        <w:t xml:space="preserve">) </w:t>
      </w:r>
      <w:r w:rsidR="00D1471D" w:rsidRPr="003C6BCB">
        <w:rPr>
          <w:rFonts w:cs="Arial"/>
          <w:bCs/>
          <w:szCs w:val="24"/>
          <w:highlight w:val="yellow"/>
        </w:rPr>
        <w:t xml:space="preserve">and therefore their use poses considerable ethical dilemmas for </w:t>
      </w:r>
      <w:r w:rsidR="000F64DE" w:rsidRPr="003C6BCB">
        <w:rPr>
          <w:rFonts w:cs="Arial"/>
          <w:bCs/>
          <w:szCs w:val="24"/>
          <w:highlight w:val="yellow"/>
        </w:rPr>
        <w:t xml:space="preserve">both </w:t>
      </w:r>
      <w:r w:rsidR="00D1471D" w:rsidRPr="003C6BCB">
        <w:rPr>
          <w:rFonts w:cs="Arial"/>
          <w:bCs/>
          <w:szCs w:val="24"/>
          <w:highlight w:val="yellow"/>
        </w:rPr>
        <w:t>professionals</w:t>
      </w:r>
      <w:r w:rsidR="000F64DE" w:rsidRPr="003C6BCB">
        <w:rPr>
          <w:rFonts w:cs="Arial"/>
          <w:bCs/>
          <w:szCs w:val="24"/>
          <w:highlight w:val="yellow"/>
        </w:rPr>
        <w:t xml:space="preserve"> in exercising their clinical judgement</w:t>
      </w:r>
      <w:r w:rsidR="00006233" w:rsidRPr="003C6BCB">
        <w:rPr>
          <w:rFonts w:cs="Arial"/>
          <w:bCs/>
          <w:szCs w:val="24"/>
          <w:highlight w:val="yellow"/>
        </w:rPr>
        <w:t>,</w:t>
      </w:r>
      <w:r w:rsidR="000F64DE" w:rsidRPr="003C6BCB">
        <w:rPr>
          <w:rFonts w:cs="Arial"/>
          <w:bCs/>
          <w:szCs w:val="24"/>
          <w:highlight w:val="yellow"/>
        </w:rPr>
        <w:t xml:space="preserve"> and patients (or their families on their behalf) making decisions on whether and which method of restraint to use</w:t>
      </w:r>
      <w:r w:rsidR="00D1471D" w:rsidRPr="003C6BCB">
        <w:rPr>
          <w:rFonts w:cs="Arial"/>
          <w:bCs/>
          <w:szCs w:val="24"/>
          <w:highlight w:val="yellow"/>
        </w:rPr>
        <w:t xml:space="preserve"> (Royal College of Nursing (RCN) 2008).  Hence, to inform discussions and shared decision-making around their use between professionals, patients and their families the effectiveness and acceptability of the</w:t>
      </w:r>
      <w:r w:rsidR="00BD4BC6" w:rsidRPr="003C6BCB">
        <w:rPr>
          <w:rFonts w:cs="Arial"/>
          <w:bCs/>
          <w:szCs w:val="24"/>
          <w:highlight w:val="yellow"/>
        </w:rPr>
        <w:t>ir</w:t>
      </w:r>
      <w:r w:rsidR="00D1471D" w:rsidRPr="003C6BCB">
        <w:rPr>
          <w:rFonts w:cs="Arial"/>
          <w:bCs/>
          <w:szCs w:val="24"/>
          <w:highlight w:val="yellow"/>
        </w:rPr>
        <w:t xml:space="preserve"> use needs to be determined.</w:t>
      </w:r>
      <w:r w:rsidR="00D1471D" w:rsidRPr="00E876AE">
        <w:rPr>
          <w:rFonts w:cs="Arial"/>
          <w:bCs/>
          <w:szCs w:val="24"/>
        </w:rPr>
        <w:t xml:space="preserve"> </w:t>
      </w:r>
    </w:p>
    <w:p w14:paraId="0B8D5CA8" w14:textId="77777777" w:rsidR="00F13F5C" w:rsidRDefault="00F13F5C" w:rsidP="00F13F5C">
      <w:pPr>
        <w:spacing w:line="480" w:lineRule="auto"/>
        <w:rPr>
          <w:rFonts w:cs="Arial"/>
          <w:szCs w:val="24"/>
        </w:rPr>
      </w:pPr>
    </w:p>
    <w:p w14:paraId="49285400" w14:textId="77777777" w:rsidR="00F13F5C" w:rsidRDefault="00F13F5C" w:rsidP="00F13F5C">
      <w:pPr>
        <w:spacing w:line="480" w:lineRule="auto"/>
        <w:rPr>
          <w:rFonts w:cs="Arial"/>
          <w:b/>
          <w:szCs w:val="24"/>
        </w:rPr>
      </w:pPr>
      <w:r w:rsidRPr="00B96986">
        <w:rPr>
          <w:rFonts w:cs="Arial"/>
          <w:b/>
          <w:szCs w:val="24"/>
        </w:rPr>
        <w:t>Previous Systematic Review</w:t>
      </w:r>
    </w:p>
    <w:p w14:paraId="2B2B5BF8" w14:textId="77777777" w:rsidR="00F13F5C" w:rsidRPr="00FB23EC" w:rsidRDefault="00F13F5C" w:rsidP="00F13F5C">
      <w:pPr>
        <w:spacing w:line="480" w:lineRule="auto"/>
        <w:rPr>
          <w:rFonts w:cs="Arial"/>
          <w:bCs/>
          <w:szCs w:val="24"/>
        </w:rPr>
      </w:pPr>
      <w:r w:rsidRPr="00411046">
        <w:rPr>
          <w:rFonts w:cs="Arial"/>
          <w:bCs/>
          <w:szCs w:val="24"/>
        </w:rPr>
        <w:t>Gomes, Hookway &amp; Weekes (2014</w:t>
      </w:r>
      <w:r>
        <w:rPr>
          <w:rFonts w:cs="Arial"/>
          <w:bCs/>
          <w:szCs w:val="24"/>
        </w:rPr>
        <w:t xml:space="preserve">) </w:t>
      </w:r>
      <w:r w:rsidRPr="00411046">
        <w:rPr>
          <w:rFonts w:cs="Arial"/>
          <w:bCs/>
          <w:szCs w:val="24"/>
        </w:rPr>
        <w:t xml:space="preserve">carried out </w:t>
      </w:r>
      <w:r>
        <w:rPr>
          <w:rFonts w:cs="Arial"/>
          <w:bCs/>
          <w:szCs w:val="24"/>
        </w:rPr>
        <w:t>a systematic review on behalf of</w:t>
      </w:r>
      <w:r w:rsidRPr="00411046">
        <w:rPr>
          <w:rFonts w:cs="Arial"/>
          <w:bCs/>
          <w:szCs w:val="24"/>
        </w:rPr>
        <w:t xml:space="preserve"> the Intercollegiate</w:t>
      </w:r>
      <w:r>
        <w:rPr>
          <w:rFonts w:cs="Arial"/>
          <w:bCs/>
          <w:szCs w:val="24"/>
        </w:rPr>
        <w:t xml:space="preserve"> Stroke Working Party </w:t>
      </w:r>
      <w:r w:rsidRPr="00411046">
        <w:rPr>
          <w:rFonts w:cs="Arial"/>
          <w:bCs/>
          <w:szCs w:val="24"/>
        </w:rPr>
        <w:t>to inform the National Clinical Guidelines for Stroke (Royal College of Physicians</w:t>
      </w:r>
      <w:r>
        <w:rPr>
          <w:rFonts w:cs="Arial"/>
          <w:bCs/>
          <w:szCs w:val="24"/>
        </w:rPr>
        <w:t xml:space="preserve"> (RCP)</w:t>
      </w:r>
      <w:r w:rsidRPr="00411046">
        <w:rPr>
          <w:rFonts w:cs="Arial"/>
          <w:bCs/>
          <w:szCs w:val="24"/>
        </w:rPr>
        <w:t xml:space="preserve">, 2012). </w:t>
      </w:r>
      <w:r>
        <w:rPr>
          <w:rFonts w:cs="Arial"/>
          <w:bCs/>
          <w:szCs w:val="24"/>
        </w:rPr>
        <w:t>Their review sought to establish whether NL, HM or other restraint devices effectively maintain NGT position; reduce mortality and morbidity or prevent early PEG feeding for dysphagic stroke patients.</w:t>
      </w:r>
    </w:p>
    <w:p w14:paraId="3973F603" w14:textId="77777777" w:rsidR="00F13F5C" w:rsidRDefault="00F13F5C" w:rsidP="00F13F5C">
      <w:pPr>
        <w:spacing w:line="480" w:lineRule="auto"/>
        <w:rPr>
          <w:rFonts w:cs="Arial"/>
          <w:bCs/>
          <w:szCs w:val="24"/>
        </w:rPr>
      </w:pPr>
      <w:r>
        <w:rPr>
          <w:rFonts w:cs="Arial"/>
          <w:bCs/>
          <w:szCs w:val="24"/>
        </w:rPr>
        <w:t>E</w:t>
      </w:r>
      <w:r w:rsidRPr="00411046">
        <w:rPr>
          <w:rFonts w:cs="Arial"/>
          <w:bCs/>
          <w:szCs w:val="24"/>
        </w:rPr>
        <w:t xml:space="preserve">vidence from randomised controlled trials (RCT) </w:t>
      </w:r>
      <w:r>
        <w:rPr>
          <w:rFonts w:cs="Arial"/>
          <w:bCs/>
          <w:szCs w:val="24"/>
        </w:rPr>
        <w:t xml:space="preserve">was evaluated </w:t>
      </w:r>
      <w:r w:rsidRPr="00411046">
        <w:rPr>
          <w:rFonts w:cs="Arial"/>
          <w:bCs/>
          <w:szCs w:val="24"/>
        </w:rPr>
        <w:t xml:space="preserve">and one </w:t>
      </w:r>
      <w:r>
        <w:rPr>
          <w:rFonts w:cs="Arial"/>
          <w:bCs/>
          <w:szCs w:val="24"/>
        </w:rPr>
        <w:t>relevant RCT was identified (Beavan et al. 2010). T</w:t>
      </w:r>
      <w:r w:rsidRPr="00411046">
        <w:rPr>
          <w:rFonts w:cs="Arial"/>
          <w:bCs/>
          <w:szCs w:val="24"/>
        </w:rPr>
        <w:t>his study indicate</w:t>
      </w:r>
      <w:r>
        <w:rPr>
          <w:rFonts w:cs="Arial"/>
          <w:bCs/>
          <w:szCs w:val="24"/>
        </w:rPr>
        <w:t>d that the NL</w:t>
      </w:r>
      <w:r w:rsidRPr="00411046">
        <w:rPr>
          <w:rFonts w:cs="Arial"/>
          <w:bCs/>
          <w:szCs w:val="24"/>
        </w:rPr>
        <w:t xml:space="preserve"> is effective at preventing NGT removal in stroke patients.  </w:t>
      </w:r>
    </w:p>
    <w:p w14:paraId="30B19E6B" w14:textId="77777777" w:rsidR="00F13F5C" w:rsidRDefault="00F13F5C" w:rsidP="00F13F5C">
      <w:pPr>
        <w:spacing w:line="480" w:lineRule="auto"/>
        <w:rPr>
          <w:rFonts w:cs="Arial"/>
          <w:bCs/>
          <w:szCs w:val="24"/>
        </w:rPr>
      </w:pPr>
    </w:p>
    <w:p w14:paraId="291733BB" w14:textId="27A57BB2" w:rsidR="00F13F5C" w:rsidRPr="00B96986" w:rsidRDefault="00F13F5C" w:rsidP="00F13F5C">
      <w:pPr>
        <w:spacing w:line="480" w:lineRule="auto"/>
        <w:rPr>
          <w:rFonts w:cs="Arial"/>
          <w:bCs/>
          <w:szCs w:val="24"/>
        </w:rPr>
      </w:pPr>
      <w:r>
        <w:rPr>
          <w:rFonts w:cs="Arial"/>
          <w:bCs/>
          <w:szCs w:val="24"/>
        </w:rPr>
        <w:t>Following this systematic review</w:t>
      </w:r>
      <w:r w:rsidRPr="00411046">
        <w:rPr>
          <w:rFonts w:cs="Arial"/>
          <w:bCs/>
          <w:szCs w:val="24"/>
        </w:rPr>
        <w:t xml:space="preserve">, </w:t>
      </w:r>
      <w:r>
        <w:rPr>
          <w:rFonts w:cs="Arial"/>
          <w:bCs/>
          <w:szCs w:val="24"/>
        </w:rPr>
        <w:t xml:space="preserve">the </w:t>
      </w:r>
      <w:r w:rsidRPr="00411046">
        <w:rPr>
          <w:rFonts w:cs="Arial"/>
          <w:bCs/>
          <w:szCs w:val="24"/>
        </w:rPr>
        <w:t>National Clinical Guideline for Stroke</w:t>
      </w:r>
      <w:r>
        <w:rPr>
          <w:rFonts w:cs="Arial"/>
          <w:bCs/>
          <w:szCs w:val="24"/>
        </w:rPr>
        <w:t>,</w:t>
      </w:r>
      <w:r w:rsidRPr="00411046">
        <w:rPr>
          <w:rFonts w:cs="Arial"/>
          <w:bCs/>
          <w:szCs w:val="24"/>
        </w:rPr>
        <w:t xml:space="preserve"> advise</w:t>
      </w:r>
      <w:r w:rsidR="00AC44CC">
        <w:rPr>
          <w:rFonts w:cs="Arial"/>
          <w:bCs/>
          <w:szCs w:val="24"/>
        </w:rPr>
        <w:t>d</w:t>
      </w:r>
      <w:r>
        <w:rPr>
          <w:rFonts w:cs="Arial"/>
          <w:bCs/>
          <w:szCs w:val="24"/>
        </w:rPr>
        <w:t xml:space="preserve"> that NL</w:t>
      </w:r>
      <w:r w:rsidRPr="00411046">
        <w:rPr>
          <w:rFonts w:cs="Arial"/>
          <w:bCs/>
          <w:szCs w:val="24"/>
        </w:rPr>
        <w:t xml:space="preserve"> </w:t>
      </w:r>
      <w:r w:rsidR="00185436">
        <w:rPr>
          <w:rFonts w:cs="Arial"/>
          <w:bCs/>
          <w:szCs w:val="24"/>
        </w:rPr>
        <w:t xml:space="preserve">or HM </w:t>
      </w:r>
      <w:r w:rsidRPr="00411046">
        <w:rPr>
          <w:rFonts w:cs="Arial"/>
          <w:bCs/>
          <w:szCs w:val="24"/>
        </w:rPr>
        <w:t>shou</w:t>
      </w:r>
      <w:r>
        <w:rPr>
          <w:rFonts w:cs="Arial"/>
          <w:bCs/>
          <w:szCs w:val="24"/>
        </w:rPr>
        <w:t xml:space="preserve">ld be considered </w:t>
      </w:r>
      <w:r w:rsidRPr="00411046">
        <w:rPr>
          <w:rFonts w:cs="Arial"/>
          <w:bCs/>
          <w:szCs w:val="24"/>
        </w:rPr>
        <w:t xml:space="preserve">if </w:t>
      </w:r>
      <w:r>
        <w:rPr>
          <w:rFonts w:cs="Arial"/>
          <w:bCs/>
          <w:szCs w:val="24"/>
        </w:rPr>
        <w:t>NGT</w:t>
      </w:r>
      <w:r w:rsidRPr="00411046">
        <w:rPr>
          <w:rFonts w:cs="Arial"/>
          <w:bCs/>
          <w:szCs w:val="24"/>
        </w:rPr>
        <w:t xml:space="preserve"> require frequent replacement (Gom</w:t>
      </w:r>
      <w:r>
        <w:rPr>
          <w:rFonts w:cs="Arial"/>
          <w:bCs/>
          <w:szCs w:val="24"/>
        </w:rPr>
        <w:t xml:space="preserve">es, Hookway &amp;Weekes, 2014). </w:t>
      </w:r>
      <w:r w:rsidR="00185436">
        <w:rPr>
          <w:rFonts w:cs="Arial"/>
          <w:bCs/>
          <w:szCs w:val="24"/>
        </w:rPr>
        <w:t xml:space="preserve">This </w:t>
      </w:r>
      <w:r w:rsidR="009163EE">
        <w:rPr>
          <w:rFonts w:cs="Arial"/>
          <w:bCs/>
          <w:szCs w:val="24"/>
        </w:rPr>
        <w:t xml:space="preserve">guideline </w:t>
      </w:r>
      <w:r w:rsidR="007311FC">
        <w:rPr>
          <w:rFonts w:cs="Arial"/>
          <w:bCs/>
          <w:szCs w:val="24"/>
        </w:rPr>
        <w:t>also</w:t>
      </w:r>
      <w:r w:rsidR="007311FC" w:rsidRPr="00411046">
        <w:rPr>
          <w:rFonts w:cs="Arial"/>
          <w:bCs/>
          <w:szCs w:val="24"/>
        </w:rPr>
        <w:t xml:space="preserve"> </w:t>
      </w:r>
      <w:r w:rsidRPr="00411046">
        <w:rPr>
          <w:rFonts w:cs="Arial"/>
          <w:bCs/>
          <w:szCs w:val="24"/>
        </w:rPr>
        <w:t>recom</w:t>
      </w:r>
      <w:r>
        <w:rPr>
          <w:rFonts w:cs="Arial"/>
          <w:bCs/>
          <w:szCs w:val="24"/>
        </w:rPr>
        <w:t>mend</w:t>
      </w:r>
      <w:r w:rsidR="009163EE">
        <w:rPr>
          <w:rFonts w:cs="Arial"/>
          <w:bCs/>
          <w:szCs w:val="24"/>
        </w:rPr>
        <w:t>s</w:t>
      </w:r>
      <w:r>
        <w:rPr>
          <w:rFonts w:cs="Arial"/>
          <w:bCs/>
          <w:szCs w:val="24"/>
        </w:rPr>
        <w:t xml:space="preserve"> that in areas where HM are used</w:t>
      </w:r>
      <w:r w:rsidR="00185436">
        <w:rPr>
          <w:rFonts w:cs="Arial"/>
          <w:bCs/>
          <w:szCs w:val="24"/>
        </w:rPr>
        <w:t>,</w:t>
      </w:r>
      <w:r w:rsidR="007311FC">
        <w:rPr>
          <w:rFonts w:cs="Arial"/>
          <w:bCs/>
          <w:szCs w:val="24"/>
        </w:rPr>
        <w:t xml:space="preserve"> </w:t>
      </w:r>
      <w:r w:rsidRPr="00411046">
        <w:rPr>
          <w:rFonts w:cs="Arial"/>
          <w:bCs/>
          <w:szCs w:val="24"/>
        </w:rPr>
        <w:t>locally agreed protocols should be in place to minimise complications (Gomes, Hookway &amp; Weekes 2014</w:t>
      </w:r>
      <w:r w:rsidRPr="00E876AE">
        <w:rPr>
          <w:rFonts w:cs="Arial"/>
          <w:bCs/>
          <w:szCs w:val="24"/>
        </w:rPr>
        <w:t xml:space="preserve">).  </w:t>
      </w:r>
      <w:r w:rsidR="007311FC" w:rsidRPr="003C6BCB">
        <w:rPr>
          <w:rFonts w:cs="Arial"/>
          <w:bCs/>
          <w:szCs w:val="24"/>
          <w:highlight w:val="yellow"/>
        </w:rPr>
        <w:t xml:space="preserve">However, this </w:t>
      </w:r>
      <w:r w:rsidR="00CE020C" w:rsidRPr="003C6BCB">
        <w:rPr>
          <w:rFonts w:cs="Arial"/>
          <w:bCs/>
          <w:szCs w:val="24"/>
          <w:highlight w:val="yellow"/>
        </w:rPr>
        <w:t>and</w:t>
      </w:r>
      <w:r w:rsidR="007311FC" w:rsidRPr="003C6BCB">
        <w:rPr>
          <w:rFonts w:cs="Arial"/>
          <w:bCs/>
          <w:szCs w:val="24"/>
          <w:highlight w:val="yellow"/>
        </w:rPr>
        <w:t xml:space="preserve"> no </w:t>
      </w:r>
      <w:r w:rsidR="00CE020C" w:rsidRPr="003C6BCB">
        <w:rPr>
          <w:rFonts w:cs="Arial"/>
          <w:bCs/>
          <w:szCs w:val="24"/>
          <w:highlight w:val="yellow"/>
        </w:rPr>
        <w:t>previous</w:t>
      </w:r>
      <w:r w:rsidR="007311FC" w:rsidRPr="003C6BCB">
        <w:rPr>
          <w:rFonts w:cs="Arial"/>
          <w:bCs/>
          <w:szCs w:val="24"/>
          <w:highlight w:val="yellow"/>
        </w:rPr>
        <w:t xml:space="preserve"> review has examined the acceptability of </w:t>
      </w:r>
      <w:r w:rsidR="00185436" w:rsidRPr="003C6BCB">
        <w:rPr>
          <w:rFonts w:cs="Arial"/>
          <w:bCs/>
          <w:szCs w:val="24"/>
          <w:highlight w:val="yellow"/>
        </w:rPr>
        <w:t xml:space="preserve">using </w:t>
      </w:r>
      <w:r w:rsidR="007311FC" w:rsidRPr="003C6BCB">
        <w:rPr>
          <w:rFonts w:cs="Arial"/>
          <w:bCs/>
          <w:szCs w:val="24"/>
          <w:highlight w:val="yellow"/>
        </w:rPr>
        <w:t>NL or HM</w:t>
      </w:r>
      <w:r w:rsidR="00185436" w:rsidRPr="003C6BCB">
        <w:rPr>
          <w:rFonts w:cs="Arial"/>
          <w:bCs/>
          <w:szCs w:val="24"/>
          <w:highlight w:val="yellow"/>
        </w:rPr>
        <w:t xml:space="preserve"> when feeding stroke patients</w:t>
      </w:r>
      <w:r w:rsidRPr="003C6BCB">
        <w:rPr>
          <w:rFonts w:cs="Arial"/>
          <w:bCs/>
          <w:szCs w:val="24"/>
          <w:highlight w:val="yellow"/>
        </w:rPr>
        <w:t>.</w:t>
      </w:r>
    </w:p>
    <w:p w14:paraId="7A2863FF" w14:textId="77777777" w:rsidR="00F13F5C" w:rsidRDefault="00F13F5C" w:rsidP="00F13F5C">
      <w:pPr>
        <w:spacing w:line="480" w:lineRule="auto"/>
        <w:rPr>
          <w:rFonts w:cs="Arial"/>
          <w:b/>
          <w:szCs w:val="24"/>
        </w:rPr>
      </w:pPr>
      <w:bookmarkStart w:id="2" w:name="OLE_LINK1"/>
    </w:p>
    <w:p w14:paraId="7A913062" w14:textId="77777777" w:rsidR="00F13F5C" w:rsidRPr="00411046" w:rsidRDefault="00F13F5C" w:rsidP="00F13F5C">
      <w:pPr>
        <w:spacing w:line="480" w:lineRule="auto"/>
        <w:rPr>
          <w:rFonts w:cs="Arial"/>
          <w:b/>
          <w:szCs w:val="24"/>
        </w:rPr>
      </w:pPr>
      <w:r w:rsidRPr="00411046">
        <w:rPr>
          <w:rFonts w:cs="Arial"/>
          <w:b/>
          <w:szCs w:val="24"/>
        </w:rPr>
        <w:t>Aims</w:t>
      </w:r>
    </w:p>
    <w:p w14:paraId="6DECD292" w14:textId="4397AE1F" w:rsidR="009246E4" w:rsidRPr="00411046" w:rsidRDefault="00F13F5C" w:rsidP="009246E4">
      <w:pPr>
        <w:spacing w:line="480" w:lineRule="auto"/>
        <w:rPr>
          <w:rFonts w:eastAsia="MS Mincho" w:cs="Arial"/>
          <w:szCs w:val="24"/>
        </w:rPr>
      </w:pPr>
      <w:r w:rsidRPr="003C6BCB">
        <w:rPr>
          <w:rFonts w:eastAsia="MS Mincho" w:cs="Arial"/>
          <w:szCs w:val="24"/>
          <w:highlight w:val="yellow"/>
        </w:rPr>
        <w:t xml:space="preserve">The </w:t>
      </w:r>
      <w:r w:rsidR="009246E4" w:rsidRPr="003C6BCB">
        <w:rPr>
          <w:rFonts w:eastAsia="MS Mincho" w:cs="Arial"/>
          <w:szCs w:val="24"/>
          <w:highlight w:val="yellow"/>
        </w:rPr>
        <w:t xml:space="preserve">aim </w:t>
      </w:r>
      <w:r w:rsidRPr="003C6BCB">
        <w:rPr>
          <w:rFonts w:eastAsia="MS Mincho" w:cs="Arial"/>
          <w:szCs w:val="24"/>
          <w:highlight w:val="yellow"/>
        </w:rPr>
        <w:t xml:space="preserve">of this integrative review was </w:t>
      </w:r>
      <w:r w:rsidR="009246E4" w:rsidRPr="003C6BCB">
        <w:rPr>
          <w:rFonts w:eastAsia="MS Mincho" w:cs="Arial"/>
          <w:szCs w:val="24"/>
          <w:highlight w:val="yellow"/>
        </w:rPr>
        <w:t>to investigate the effectiveness and acceptability of interventions for maintaining nasogastric tubes (NGT) in adult stroke patients.</w:t>
      </w:r>
      <w:bookmarkStart w:id="3" w:name="_Toc232240782"/>
      <w:bookmarkEnd w:id="2"/>
      <w:r w:rsidR="009246E4">
        <w:rPr>
          <w:rFonts w:eastAsia="MS Mincho" w:cs="Arial"/>
          <w:szCs w:val="24"/>
        </w:rPr>
        <w:t xml:space="preserve"> </w:t>
      </w:r>
    </w:p>
    <w:p w14:paraId="4C6F35E9" w14:textId="77777777" w:rsidR="00F13F5C" w:rsidRPr="007D62CF" w:rsidRDefault="00F13F5C" w:rsidP="00F13F5C">
      <w:pPr>
        <w:spacing w:line="480" w:lineRule="auto"/>
        <w:rPr>
          <w:rFonts w:eastAsia="MS Mincho" w:cs="Arial"/>
          <w:szCs w:val="24"/>
        </w:rPr>
      </w:pPr>
    </w:p>
    <w:p w14:paraId="61740974" w14:textId="1801CE76" w:rsidR="00F13F5C" w:rsidRPr="00411046" w:rsidRDefault="00E876AE" w:rsidP="00F13F5C">
      <w:pPr>
        <w:spacing w:line="480" w:lineRule="auto"/>
        <w:rPr>
          <w:rFonts w:cs="Arial"/>
          <w:b/>
          <w:bCs/>
          <w:szCs w:val="24"/>
        </w:rPr>
      </w:pPr>
      <w:r>
        <w:rPr>
          <w:rFonts w:eastAsia="MS Mincho" w:cs="Arial"/>
          <w:b/>
          <w:szCs w:val="24"/>
        </w:rPr>
        <w:t>M</w:t>
      </w:r>
      <w:r w:rsidR="00CB6C04">
        <w:rPr>
          <w:rFonts w:eastAsia="MS Mincho" w:cs="Arial"/>
          <w:b/>
          <w:szCs w:val="24"/>
        </w:rPr>
        <w:t>ETHODS</w:t>
      </w:r>
      <w:r w:rsidR="00B71307" w:rsidRPr="00411046">
        <w:rPr>
          <w:rFonts w:eastAsia="MS Mincho" w:cs="Arial"/>
          <w:b/>
          <w:szCs w:val="24"/>
        </w:rPr>
        <w:t xml:space="preserve"> </w:t>
      </w:r>
    </w:p>
    <w:p w14:paraId="3B9B90DD" w14:textId="3760B9AE" w:rsidR="00F13F5C" w:rsidRPr="00411046" w:rsidRDefault="000E7C20" w:rsidP="00F13F5C">
      <w:pPr>
        <w:spacing w:line="480" w:lineRule="auto"/>
        <w:rPr>
          <w:rFonts w:eastAsia="MS Mincho" w:cs="Arial"/>
          <w:szCs w:val="24"/>
        </w:rPr>
      </w:pPr>
      <w:r w:rsidRPr="003C6BCB">
        <w:rPr>
          <w:rFonts w:cs="Arial"/>
          <w:szCs w:val="24"/>
          <w:highlight w:val="yellow"/>
        </w:rPr>
        <w:t xml:space="preserve">Literature published between 1980 and 2015 was searched.  The </w:t>
      </w:r>
      <w:r w:rsidR="009615CE" w:rsidRPr="003C6BCB">
        <w:rPr>
          <w:rFonts w:cs="Arial"/>
          <w:szCs w:val="24"/>
          <w:highlight w:val="yellow"/>
        </w:rPr>
        <w:t xml:space="preserve">selection of 1980 as the start date of the review was guided by knowledge that seminal papers related to </w:t>
      </w:r>
      <w:r w:rsidR="00185436" w:rsidRPr="003C6BCB">
        <w:rPr>
          <w:rFonts w:cs="Arial"/>
          <w:szCs w:val="24"/>
          <w:highlight w:val="yellow"/>
        </w:rPr>
        <w:t>NGT insertion and care</w:t>
      </w:r>
      <w:r w:rsidR="009615CE" w:rsidRPr="003C6BCB">
        <w:rPr>
          <w:rFonts w:cs="Arial"/>
          <w:szCs w:val="24"/>
          <w:highlight w:val="yellow"/>
        </w:rPr>
        <w:t xml:space="preserve"> were published at this time.  Moreover, given the conclusions reached by the systematic review by Gomes et al (2014)</w:t>
      </w:r>
      <w:r w:rsidR="006D167E" w:rsidRPr="003C6BCB">
        <w:rPr>
          <w:rFonts w:cs="Arial"/>
          <w:szCs w:val="24"/>
          <w:highlight w:val="yellow"/>
        </w:rPr>
        <w:t xml:space="preserve"> – </w:t>
      </w:r>
      <w:r w:rsidR="009615CE" w:rsidRPr="003C6BCB">
        <w:rPr>
          <w:rFonts w:cs="Arial"/>
          <w:szCs w:val="24"/>
          <w:highlight w:val="yellow"/>
        </w:rPr>
        <w:t>particularly</w:t>
      </w:r>
      <w:r w:rsidR="006D167E" w:rsidRPr="003C6BCB">
        <w:rPr>
          <w:rFonts w:cs="Arial"/>
          <w:szCs w:val="24"/>
          <w:highlight w:val="yellow"/>
        </w:rPr>
        <w:t xml:space="preserve"> </w:t>
      </w:r>
      <w:r w:rsidR="009615CE" w:rsidRPr="003C6BCB">
        <w:rPr>
          <w:rFonts w:cs="Arial"/>
          <w:szCs w:val="24"/>
          <w:highlight w:val="yellow"/>
        </w:rPr>
        <w:t xml:space="preserve"> about the paucity of research around acceptability of interventions</w:t>
      </w:r>
      <w:r w:rsidR="006D167E" w:rsidRPr="003C6BCB">
        <w:rPr>
          <w:rFonts w:cs="Arial"/>
          <w:szCs w:val="24"/>
          <w:highlight w:val="yellow"/>
        </w:rPr>
        <w:t xml:space="preserve"> –</w:t>
      </w:r>
      <w:r w:rsidR="009615CE" w:rsidRPr="003C6BCB">
        <w:rPr>
          <w:rFonts w:cs="Arial"/>
          <w:szCs w:val="24"/>
          <w:highlight w:val="yellow"/>
        </w:rPr>
        <w:t xml:space="preserve"> </w:t>
      </w:r>
      <w:r w:rsidR="006D167E" w:rsidRPr="003C6BCB">
        <w:rPr>
          <w:rFonts w:cs="Arial"/>
          <w:szCs w:val="24"/>
          <w:highlight w:val="yellow"/>
        </w:rPr>
        <w:t xml:space="preserve">it </w:t>
      </w:r>
      <w:r w:rsidR="009615CE" w:rsidRPr="003C6BCB">
        <w:rPr>
          <w:rFonts w:cs="Arial"/>
          <w:szCs w:val="24"/>
          <w:highlight w:val="yellow"/>
        </w:rPr>
        <w:t xml:space="preserve">was considered prudent to select </w:t>
      </w:r>
      <w:r w:rsidR="006D167E" w:rsidRPr="003C6BCB">
        <w:rPr>
          <w:rFonts w:cs="Arial"/>
          <w:szCs w:val="24"/>
          <w:highlight w:val="yellow"/>
        </w:rPr>
        <w:t xml:space="preserve">a </w:t>
      </w:r>
      <w:r w:rsidR="00810D22" w:rsidRPr="003C6BCB">
        <w:rPr>
          <w:rFonts w:cs="Arial"/>
          <w:szCs w:val="24"/>
          <w:highlight w:val="yellow"/>
        </w:rPr>
        <w:t>lengthy (</w:t>
      </w:r>
      <w:r w:rsidR="009615CE" w:rsidRPr="003C6BCB">
        <w:rPr>
          <w:rFonts w:cs="Arial"/>
          <w:szCs w:val="24"/>
          <w:highlight w:val="yellow"/>
        </w:rPr>
        <w:t>25 year</w:t>
      </w:r>
      <w:r w:rsidR="00810D22" w:rsidRPr="003C6BCB">
        <w:rPr>
          <w:rFonts w:cs="Arial"/>
          <w:szCs w:val="24"/>
          <w:highlight w:val="yellow"/>
        </w:rPr>
        <w:t>)</w:t>
      </w:r>
      <w:r w:rsidR="009615CE" w:rsidRPr="003C6BCB">
        <w:rPr>
          <w:rFonts w:cs="Arial"/>
          <w:szCs w:val="24"/>
          <w:highlight w:val="yellow"/>
        </w:rPr>
        <w:t xml:space="preserve"> time period.</w:t>
      </w:r>
      <w:r w:rsidR="009615CE">
        <w:rPr>
          <w:rFonts w:cs="Arial"/>
          <w:szCs w:val="24"/>
        </w:rPr>
        <w:br/>
      </w:r>
      <w:r w:rsidR="009615CE">
        <w:rPr>
          <w:rFonts w:cs="Arial"/>
          <w:szCs w:val="24"/>
        </w:rPr>
        <w:br/>
      </w:r>
      <w:r w:rsidR="00F13F5C" w:rsidRPr="00411046">
        <w:rPr>
          <w:rFonts w:eastAsia="MS Mincho" w:cs="Arial"/>
          <w:szCs w:val="24"/>
        </w:rPr>
        <w:t xml:space="preserve">The search strategy was developed after discussion with Cochrane </w:t>
      </w:r>
      <w:r w:rsidR="00F13F5C">
        <w:rPr>
          <w:rFonts w:eastAsia="MS Mincho" w:cs="Arial"/>
          <w:szCs w:val="24"/>
        </w:rPr>
        <w:t xml:space="preserve">Collaboration </w:t>
      </w:r>
      <w:r w:rsidR="00F13F5C" w:rsidRPr="00411046">
        <w:rPr>
          <w:rFonts w:eastAsia="MS Mincho" w:cs="Arial"/>
          <w:szCs w:val="24"/>
        </w:rPr>
        <w:t xml:space="preserve">Stroke Group </w:t>
      </w:r>
      <w:r w:rsidR="00F13F5C">
        <w:rPr>
          <w:rFonts w:eastAsia="MS Mincho" w:cs="Arial"/>
          <w:szCs w:val="24"/>
        </w:rPr>
        <w:t xml:space="preserve">experts </w:t>
      </w:r>
      <w:r w:rsidR="00F13F5C" w:rsidRPr="00411046">
        <w:rPr>
          <w:rFonts w:eastAsia="MS Mincho" w:cs="Arial"/>
          <w:szCs w:val="24"/>
        </w:rPr>
        <w:t>to find articles specifically related to NG</w:t>
      </w:r>
      <w:r w:rsidR="00F13F5C">
        <w:rPr>
          <w:rFonts w:eastAsia="MS Mincho" w:cs="Arial"/>
          <w:szCs w:val="24"/>
        </w:rPr>
        <w:t>T</w:t>
      </w:r>
      <w:r w:rsidR="00F13F5C" w:rsidRPr="00411046">
        <w:rPr>
          <w:rFonts w:eastAsia="MS Mincho" w:cs="Arial"/>
          <w:szCs w:val="24"/>
        </w:rPr>
        <w:t xml:space="preserve"> feeding and dysphagic stroke patient</w:t>
      </w:r>
      <w:r w:rsidR="009615CE">
        <w:rPr>
          <w:rFonts w:eastAsia="MS Mincho" w:cs="Arial"/>
          <w:szCs w:val="24"/>
        </w:rPr>
        <w:t>s</w:t>
      </w:r>
      <w:r w:rsidR="00185436">
        <w:rPr>
          <w:rFonts w:eastAsia="MS Mincho" w:cs="Arial"/>
          <w:szCs w:val="24"/>
        </w:rPr>
        <w:t xml:space="preserve"> (Cochrane Collaboration, 2011)</w:t>
      </w:r>
      <w:r w:rsidR="00185436" w:rsidRPr="00411046">
        <w:rPr>
          <w:rFonts w:eastAsia="MS Mincho" w:cs="Arial"/>
          <w:szCs w:val="24"/>
        </w:rPr>
        <w:t>.</w:t>
      </w:r>
      <w:r w:rsidR="009615CE">
        <w:rPr>
          <w:rFonts w:eastAsia="MS Mincho" w:cs="Arial"/>
          <w:szCs w:val="24"/>
        </w:rPr>
        <w:t xml:space="preserve"> Combinations of the following search terms were used:</w:t>
      </w:r>
      <w:r w:rsidR="00F13F5C" w:rsidRPr="00411046">
        <w:rPr>
          <w:rFonts w:eastAsia="MS Mincho" w:cs="Arial"/>
          <w:szCs w:val="24"/>
        </w:rPr>
        <w:t xml:space="preserve"> stroke, cerebral vascular disorders, nutritional </w:t>
      </w:r>
      <w:r w:rsidR="00F13F5C" w:rsidRPr="00411046">
        <w:rPr>
          <w:rFonts w:eastAsia="MS Mincho" w:cs="Arial"/>
          <w:szCs w:val="24"/>
        </w:rPr>
        <w:lastRenderedPageBreak/>
        <w:t>support, enteral feeding, nasogastric feeding, and gastrointestinal intubation</w:t>
      </w:r>
      <w:r w:rsidR="00E876AE">
        <w:rPr>
          <w:rFonts w:eastAsia="MS Mincho" w:cs="Arial"/>
          <w:szCs w:val="24"/>
        </w:rPr>
        <w:t xml:space="preserve">, </w:t>
      </w:r>
      <w:r w:rsidR="00E876AE" w:rsidRPr="00E876AE">
        <w:rPr>
          <w:rFonts w:eastAsia="MS Mincho" w:cs="Arial"/>
          <w:b/>
          <w:szCs w:val="24"/>
        </w:rPr>
        <w:t>figure 1</w:t>
      </w:r>
      <w:r w:rsidR="00E876AE">
        <w:rPr>
          <w:rFonts w:eastAsia="MS Mincho" w:cs="Arial"/>
          <w:szCs w:val="24"/>
        </w:rPr>
        <w:t xml:space="preserve"> illustrates the MEDLINE search performed</w:t>
      </w:r>
      <w:r w:rsidR="00185436">
        <w:rPr>
          <w:rFonts w:eastAsia="MS Mincho" w:cs="Arial"/>
          <w:szCs w:val="24"/>
        </w:rPr>
        <w:t>.</w:t>
      </w:r>
    </w:p>
    <w:p w14:paraId="0985EE76" w14:textId="77777777" w:rsidR="00E876AE" w:rsidRDefault="00E876AE" w:rsidP="00F13F5C">
      <w:pPr>
        <w:pStyle w:val="BodyText2"/>
        <w:spacing w:line="480" w:lineRule="auto"/>
        <w:rPr>
          <w:rFonts w:eastAsia="MS Mincho"/>
          <w:i/>
          <w:sz w:val="24"/>
          <w:szCs w:val="24"/>
        </w:rPr>
      </w:pPr>
    </w:p>
    <w:p w14:paraId="5A115370" w14:textId="74C01F84" w:rsidR="00F13F5C" w:rsidRDefault="00E876AE" w:rsidP="00F13F5C">
      <w:pPr>
        <w:pStyle w:val="BodyText2"/>
        <w:spacing w:line="480" w:lineRule="auto"/>
        <w:rPr>
          <w:rFonts w:eastAsia="MS Mincho"/>
          <w:i/>
          <w:sz w:val="24"/>
          <w:szCs w:val="24"/>
        </w:rPr>
      </w:pPr>
      <w:r>
        <w:rPr>
          <w:rFonts w:eastAsia="MS Mincho"/>
          <w:i/>
          <w:sz w:val="24"/>
          <w:szCs w:val="24"/>
        </w:rPr>
        <w:t>Insert Figure 1 here</w:t>
      </w:r>
    </w:p>
    <w:p w14:paraId="20C305BE" w14:textId="77777777" w:rsidR="00E876AE" w:rsidRPr="00E876AE" w:rsidRDefault="00E876AE" w:rsidP="00F13F5C">
      <w:pPr>
        <w:pStyle w:val="BodyText2"/>
        <w:spacing w:line="480" w:lineRule="auto"/>
        <w:rPr>
          <w:rFonts w:eastAsia="MS Mincho"/>
          <w:i/>
          <w:sz w:val="24"/>
          <w:szCs w:val="24"/>
        </w:rPr>
      </w:pPr>
    </w:p>
    <w:p w14:paraId="65BAD1C4" w14:textId="7612AEBE" w:rsidR="00F13F5C" w:rsidRDefault="009615CE" w:rsidP="00F13F5C">
      <w:pPr>
        <w:pStyle w:val="BodyText2"/>
        <w:spacing w:line="480" w:lineRule="auto"/>
        <w:rPr>
          <w:rFonts w:eastAsia="MS Mincho"/>
          <w:sz w:val="24"/>
          <w:szCs w:val="24"/>
        </w:rPr>
      </w:pPr>
      <w:r>
        <w:rPr>
          <w:rFonts w:eastAsia="MS Mincho"/>
          <w:sz w:val="24"/>
          <w:szCs w:val="24"/>
        </w:rPr>
        <w:t xml:space="preserve">The following six electronic databases were searched: </w:t>
      </w:r>
      <w:r w:rsidR="00F13F5C" w:rsidRPr="007D62CF">
        <w:rPr>
          <w:sz w:val="24"/>
          <w:szCs w:val="24"/>
        </w:rPr>
        <w:t>MEDLINE, PubMed, CINAHL, Scopus, Cochrane and EMBASE</w:t>
      </w:r>
      <w:r w:rsidR="00F13F5C" w:rsidRPr="00411046">
        <w:rPr>
          <w:rFonts w:eastAsia="MS Mincho"/>
          <w:sz w:val="24"/>
          <w:szCs w:val="24"/>
        </w:rPr>
        <w:t xml:space="preserve"> </w:t>
      </w:r>
      <w:r w:rsidR="00F13F5C">
        <w:rPr>
          <w:rFonts w:eastAsia="MS Mincho"/>
          <w:sz w:val="24"/>
          <w:szCs w:val="24"/>
        </w:rPr>
        <w:t>were performed</w:t>
      </w:r>
      <w:r>
        <w:rPr>
          <w:rFonts w:eastAsia="MS Mincho"/>
          <w:sz w:val="24"/>
          <w:szCs w:val="24"/>
        </w:rPr>
        <w:t xml:space="preserve">.  Following these </w:t>
      </w:r>
      <w:r w:rsidR="00DF7ADE">
        <w:rPr>
          <w:rFonts w:eastAsia="MS Mincho"/>
          <w:sz w:val="24"/>
          <w:szCs w:val="24"/>
        </w:rPr>
        <w:t>database searches</w:t>
      </w:r>
      <w:r w:rsidR="007424AA">
        <w:rPr>
          <w:rFonts w:eastAsia="MS Mincho"/>
          <w:sz w:val="24"/>
          <w:szCs w:val="24"/>
        </w:rPr>
        <w:t xml:space="preserve"> </w:t>
      </w:r>
      <w:r w:rsidR="00F13F5C" w:rsidRPr="00BE56ED">
        <w:rPr>
          <w:rFonts w:eastAsia="MS Mincho"/>
          <w:sz w:val="24"/>
          <w:szCs w:val="24"/>
        </w:rPr>
        <w:t>re</w:t>
      </w:r>
      <w:r w:rsidR="00F13F5C" w:rsidRPr="00411046">
        <w:rPr>
          <w:rFonts w:eastAsia="MS Mincho"/>
          <w:sz w:val="24"/>
          <w:szCs w:val="24"/>
        </w:rPr>
        <w:t>ference lists from relevant studies and reviews</w:t>
      </w:r>
      <w:r w:rsidR="00F13F5C">
        <w:rPr>
          <w:rFonts w:eastAsia="MS Mincho"/>
          <w:sz w:val="24"/>
          <w:szCs w:val="24"/>
        </w:rPr>
        <w:t xml:space="preserve"> </w:t>
      </w:r>
      <w:r w:rsidR="007424AA">
        <w:rPr>
          <w:rFonts w:eastAsia="MS Mincho"/>
          <w:sz w:val="24"/>
          <w:szCs w:val="24"/>
        </w:rPr>
        <w:t>were reviewed</w:t>
      </w:r>
      <w:r w:rsidR="00F13F5C">
        <w:rPr>
          <w:rFonts w:eastAsia="MS Mincho"/>
          <w:sz w:val="24"/>
          <w:szCs w:val="24"/>
        </w:rPr>
        <w:t>.</w:t>
      </w:r>
    </w:p>
    <w:p w14:paraId="01D27F83" w14:textId="77777777" w:rsidR="00DF7ADE" w:rsidRDefault="00DF7ADE" w:rsidP="00F13F5C">
      <w:pPr>
        <w:pStyle w:val="BodyText2"/>
        <w:spacing w:line="480" w:lineRule="auto"/>
        <w:rPr>
          <w:rFonts w:eastAsia="MS Mincho"/>
          <w:sz w:val="24"/>
          <w:szCs w:val="24"/>
        </w:rPr>
      </w:pPr>
    </w:p>
    <w:p w14:paraId="4B0E437D" w14:textId="77777777" w:rsidR="00F13F5C" w:rsidRPr="003C6BCB" w:rsidRDefault="00F13F5C" w:rsidP="00E876AE">
      <w:pPr>
        <w:pStyle w:val="Heading2"/>
        <w:rPr>
          <w:highlight w:val="yellow"/>
        </w:rPr>
      </w:pPr>
      <w:r w:rsidRPr="003C6BCB">
        <w:rPr>
          <w:highlight w:val="yellow"/>
        </w:rPr>
        <w:t>Inclusion and exclusion criteria</w:t>
      </w:r>
      <w:bookmarkEnd w:id="3"/>
      <w:r w:rsidRPr="003C6BCB">
        <w:rPr>
          <w:highlight w:val="yellow"/>
        </w:rPr>
        <w:t xml:space="preserve"> </w:t>
      </w:r>
    </w:p>
    <w:p w14:paraId="7D3FF2D7" w14:textId="36D3BAAB" w:rsidR="00F13F5C" w:rsidRPr="003C6BCB" w:rsidRDefault="00F13F5C" w:rsidP="00F13F5C">
      <w:pPr>
        <w:spacing w:line="480" w:lineRule="auto"/>
        <w:rPr>
          <w:rFonts w:cs="Arial"/>
          <w:szCs w:val="24"/>
          <w:highlight w:val="yellow"/>
        </w:rPr>
      </w:pPr>
      <w:r w:rsidRPr="003C6BCB">
        <w:rPr>
          <w:rFonts w:cs="Arial"/>
          <w:szCs w:val="24"/>
          <w:highlight w:val="yellow"/>
        </w:rPr>
        <w:t>Articles were included if they were: (1) written in English</w:t>
      </w:r>
      <w:r w:rsidR="000F7581" w:rsidRPr="003C6BCB">
        <w:rPr>
          <w:rFonts w:cs="Arial"/>
          <w:szCs w:val="24"/>
          <w:highlight w:val="yellow"/>
        </w:rPr>
        <w:t>;</w:t>
      </w:r>
      <w:r w:rsidRPr="003C6BCB">
        <w:rPr>
          <w:rFonts w:cs="Arial"/>
          <w:szCs w:val="24"/>
          <w:highlight w:val="yellow"/>
        </w:rPr>
        <w:t xml:space="preserve"> (2) primary research studies (quantitative, qualitative or mixed method studies)</w:t>
      </w:r>
      <w:r w:rsidR="000F7581" w:rsidRPr="003C6BCB">
        <w:rPr>
          <w:rFonts w:cs="Arial"/>
          <w:szCs w:val="24"/>
          <w:highlight w:val="yellow"/>
        </w:rPr>
        <w:t>;</w:t>
      </w:r>
      <w:r w:rsidRPr="003C6BCB">
        <w:rPr>
          <w:rFonts w:cs="Arial"/>
          <w:szCs w:val="24"/>
          <w:highlight w:val="yellow"/>
        </w:rPr>
        <w:t xml:space="preserve"> (3) studies including adults of any age or sex with ischaemic or haemorrhagic stroke and </w:t>
      </w:r>
      <w:r w:rsidR="007424AA" w:rsidRPr="003C6BCB">
        <w:rPr>
          <w:rFonts w:cs="Arial"/>
          <w:szCs w:val="24"/>
          <w:highlight w:val="yellow"/>
        </w:rPr>
        <w:t>dy</w:t>
      </w:r>
      <w:r w:rsidRPr="003C6BCB">
        <w:rPr>
          <w:rFonts w:cs="Arial"/>
          <w:szCs w:val="24"/>
          <w:highlight w:val="yellow"/>
        </w:rPr>
        <w:t>s</w:t>
      </w:r>
      <w:r w:rsidR="007424AA" w:rsidRPr="003C6BCB">
        <w:rPr>
          <w:rFonts w:cs="Arial"/>
          <w:szCs w:val="24"/>
          <w:highlight w:val="yellow"/>
        </w:rPr>
        <w:t>p</w:t>
      </w:r>
      <w:r w:rsidRPr="003C6BCB">
        <w:rPr>
          <w:rFonts w:cs="Arial"/>
          <w:szCs w:val="24"/>
          <w:highlight w:val="yellow"/>
        </w:rPr>
        <w:t>hagia requiring NGT or naso-duodenal feeding for nutrition, hydration and/or medication</w:t>
      </w:r>
      <w:r w:rsidR="000F7581" w:rsidRPr="003C6BCB">
        <w:rPr>
          <w:rFonts w:cs="Arial"/>
          <w:szCs w:val="24"/>
          <w:highlight w:val="yellow"/>
        </w:rPr>
        <w:t>;</w:t>
      </w:r>
      <w:r w:rsidRPr="003C6BCB">
        <w:rPr>
          <w:rFonts w:cs="Arial"/>
          <w:szCs w:val="24"/>
          <w:highlight w:val="yellow"/>
        </w:rPr>
        <w:t xml:space="preserve"> (4) studies that included some NGT fed dysphagic patients amongst patients with other medical conditions</w:t>
      </w:r>
      <w:r w:rsidR="000F7581" w:rsidRPr="003C6BCB">
        <w:rPr>
          <w:rFonts w:cs="Arial"/>
          <w:szCs w:val="24"/>
          <w:highlight w:val="yellow"/>
        </w:rPr>
        <w:t>;</w:t>
      </w:r>
      <w:r w:rsidRPr="003C6BCB">
        <w:rPr>
          <w:rFonts w:cs="Arial"/>
          <w:szCs w:val="24"/>
          <w:highlight w:val="yellow"/>
        </w:rPr>
        <w:t xml:space="preserve"> (5) studies in stroke patients fed by other artificial or oral routes that include NGT or naso-duodenal feeding</w:t>
      </w:r>
      <w:r w:rsidR="000F7581" w:rsidRPr="003C6BCB">
        <w:rPr>
          <w:rFonts w:cs="Arial"/>
          <w:szCs w:val="24"/>
          <w:highlight w:val="yellow"/>
        </w:rPr>
        <w:t>;</w:t>
      </w:r>
      <w:r w:rsidRPr="003C6BCB">
        <w:rPr>
          <w:rFonts w:cs="Arial"/>
          <w:szCs w:val="24"/>
          <w:highlight w:val="yellow"/>
        </w:rPr>
        <w:t xml:space="preserve"> (6) studies including patients in the acute phase of stroke (within 7 days of stroke onset), sub-acute phase (between 8 and 14 days of stroke onset) and the chronic phase (15 or more days after stroke onset) (Morten Rønning &amp; Goldervog, 1998). </w:t>
      </w:r>
    </w:p>
    <w:p w14:paraId="1954198B" w14:textId="77777777" w:rsidR="00F13F5C" w:rsidRPr="003C6BCB" w:rsidRDefault="00F13F5C" w:rsidP="00F13F5C">
      <w:pPr>
        <w:spacing w:line="480" w:lineRule="auto"/>
        <w:rPr>
          <w:rFonts w:cs="Arial"/>
          <w:szCs w:val="24"/>
          <w:highlight w:val="yellow"/>
        </w:rPr>
      </w:pPr>
    </w:p>
    <w:p w14:paraId="4A64B1A7" w14:textId="54065F06" w:rsidR="00F13F5C" w:rsidRPr="003C6BCB" w:rsidRDefault="00F13F5C" w:rsidP="00F13F5C">
      <w:pPr>
        <w:spacing w:line="480" w:lineRule="auto"/>
        <w:rPr>
          <w:rFonts w:cs="Arial"/>
          <w:szCs w:val="24"/>
          <w:highlight w:val="yellow"/>
        </w:rPr>
      </w:pPr>
      <w:r w:rsidRPr="003C6BCB">
        <w:rPr>
          <w:rFonts w:cs="Arial"/>
          <w:szCs w:val="24"/>
          <w:highlight w:val="yellow"/>
        </w:rPr>
        <w:t>Papers were excluded if they were: (1) non-human</w:t>
      </w:r>
      <w:r w:rsidR="000F7581" w:rsidRPr="003C6BCB">
        <w:rPr>
          <w:rFonts w:cs="Arial"/>
          <w:szCs w:val="24"/>
          <w:highlight w:val="yellow"/>
        </w:rPr>
        <w:t>;</w:t>
      </w:r>
      <w:r w:rsidRPr="003C6BCB">
        <w:rPr>
          <w:rFonts w:cs="Arial"/>
          <w:szCs w:val="24"/>
          <w:highlight w:val="yellow"/>
        </w:rPr>
        <w:t xml:space="preserve"> (2) non-English language</w:t>
      </w:r>
      <w:r w:rsidR="000F7581" w:rsidRPr="003C6BCB">
        <w:rPr>
          <w:rFonts w:cs="Arial"/>
          <w:szCs w:val="24"/>
          <w:highlight w:val="yellow"/>
        </w:rPr>
        <w:t>;</w:t>
      </w:r>
      <w:r w:rsidRPr="003C6BCB">
        <w:rPr>
          <w:rFonts w:cs="Arial"/>
          <w:szCs w:val="24"/>
          <w:highlight w:val="yellow"/>
        </w:rPr>
        <w:t xml:space="preserve"> (3) single case studies</w:t>
      </w:r>
      <w:r w:rsidR="000F7581" w:rsidRPr="003C6BCB">
        <w:rPr>
          <w:rFonts w:cs="Arial"/>
          <w:szCs w:val="24"/>
          <w:highlight w:val="yellow"/>
        </w:rPr>
        <w:t>;</w:t>
      </w:r>
      <w:r w:rsidRPr="003C6BCB">
        <w:rPr>
          <w:rFonts w:cs="Arial"/>
          <w:szCs w:val="24"/>
          <w:highlight w:val="yellow"/>
        </w:rPr>
        <w:t xml:space="preserve"> (4) studies in patients with subarachnoid haemorrhage (SAH), transient ischaemic attack (TIA) or dysphagia due to other medical conditions</w:t>
      </w:r>
      <w:r w:rsidR="000F7581" w:rsidRPr="003C6BCB">
        <w:rPr>
          <w:rFonts w:cs="Arial"/>
          <w:szCs w:val="24"/>
          <w:highlight w:val="yellow"/>
        </w:rPr>
        <w:t>;</w:t>
      </w:r>
      <w:r w:rsidRPr="003C6BCB">
        <w:rPr>
          <w:rFonts w:cs="Arial"/>
          <w:szCs w:val="24"/>
          <w:highlight w:val="yellow"/>
        </w:rPr>
        <w:t xml:space="preserve"> (5) studies in stroke patients fed via other enteral routes</w:t>
      </w:r>
      <w:r w:rsidR="000F7581" w:rsidRPr="003C6BCB">
        <w:rPr>
          <w:rFonts w:cs="Arial"/>
          <w:szCs w:val="24"/>
          <w:highlight w:val="yellow"/>
        </w:rPr>
        <w:t>;</w:t>
      </w:r>
      <w:r w:rsidRPr="003C6BCB">
        <w:rPr>
          <w:rFonts w:cs="Arial"/>
          <w:szCs w:val="24"/>
          <w:highlight w:val="yellow"/>
        </w:rPr>
        <w:t xml:space="preserve"> (6) expert opinion.</w:t>
      </w:r>
    </w:p>
    <w:p w14:paraId="6568CB33" w14:textId="6B37A840" w:rsidR="00F13F5C" w:rsidRPr="003C6BCB" w:rsidRDefault="00F13F5C" w:rsidP="00F13F5C">
      <w:pPr>
        <w:spacing w:line="480" w:lineRule="auto"/>
        <w:rPr>
          <w:rFonts w:eastAsia="MS Mincho" w:cs="Arial"/>
          <w:b/>
          <w:szCs w:val="24"/>
          <w:highlight w:val="yellow"/>
        </w:rPr>
      </w:pPr>
      <w:r w:rsidRPr="003C6BCB">
        <w:rPr>
          <w:rFonts w:eastAsia="MS Mincho" w:cs="Arial"/>
          <w:b/>
          <w:szCs w:val="24"/>
          <w:highlight w:val="yellow"/>
        </w:rPr>
        <w:lastRenderedPageBreak/>
        <w:t>Search outcome</w:t>
      </w:r>
    </w:p>
    <w:p w14:paraId="7E4D5741" w14:textId="5D0773BB" w:rsidR="00A96815" w:rsidRDefault="00962BDF" w:rsidP="00F13F5C">
      <w:pPr>
        <w:pStyle w:val="BodyText2"/>
        <w:spacing w:line="480" w:lineRule="auto"/>
        <w:rPr>
          <w:rFonts w:eastAsia="MS Mincho"/>
          <w:bCs/>
          <w:sz w:val="24"/>
          <w:szCs w:val="24"/>
        </w:rPr>
      </w:pPr>
      <w:r w:rsidRPr="003C6BCB">
        <w:rPr>
          <w:rFonts w:eastAsia="MS Mincho"/>
          <w:bCs/>
          <w:sz w:val="24"/>
          <w:szCs w:val="24"/>
          <w:highlight w:val="yellow"/>
        </w:rPr>
        <w:t xml:space="preserve">The PRISMA diagram in Figure </w:t>
      </w:r>
      <w:r w:rsidR="00E876AE" w:rsidRPr="003C6BCB">
        <w:rPr>
          <w:rFonts w:eastAsia="MS Mincho"/>
          <w:bCs/>
          <w:sz w:val="24"/>
          <w:szCs w:val="24"/>
          <w:highlight w:val="yellow"/>
        </w:rPr>
        <w:t>2</w:t>
      </w:r>
      <w:r w:rsidR="001F52C4" w:rsidRPr="003C6BCB">
        <w:rPr>
          <w:rFonts w:eastAsia="MS Mincho"/>
          <w:bCs/>
          <w:sz w:val="24"/>
          <w:szCs w:val="24"/>
          <w:highlight w:val="yellow"/>
        </w:rPr>
        <w:t xml:space="preserve"> (PRISMA Group 2009)</w:t>
      </w:r>
      <w:r w:rsidR="009163EE" w:rsidRPr="003C6BCB">
        <w:rPr>
          <w:rFonts w:eastAsia="MS Mincho"/>
          <w:bCs/>
          <w:sz w:val="24"/>
          <w:szCs w:val="24"/>
          <w:highlight w:val="yellow"/>
        </w:rPr>
        <w:t xml:space="preserve"> </w:t>
      </w:r>
      <w:r w:rsidRPr="003C6BCB">
        <w:rPr>
          <w:rFonts w:eastAsia="MS Mincho"/>
          <w:bCs/>
          <w:sz w:val="24"/>
          <w:szCs w:val="24"/>
          <w:highlight w:val="yellow"/>
        </w:rPr>
        <w:t>indicates the number of articles identified, screen</w:t>
      </w:r>
      <w:r w:rsidR="00BA291D" w:rsidRPr="003C6BCB">
        <w:rPr>
          <w:rFonts w:eastAsia="MS Mincho"/>
          <w:bCs/>
          <w:sz w:val="24"/>
          <w:szCs w:val="24"/>
          <w:highlight w:val="yellow"/>
        </w:rPr>
        <w:t>ed</w:t>
      </w:r>
      <w:r w:rsidRPr="003C6BCB">
        <w:rPr>
          <w:rFonts w:eastAsia="MS Mincho"/>
          <w:bCs/>
          <w:sz w:val="24"/>
          <w:szCs w:val="24"/>
          <w:highlight w:val="yellow"/>
        </w:rPr>
        <w:t xml:space="preserve"> and excluded during the review process.  In summary, database searches identified </w:t>
      </w:r>
      <w:r w:rsidR="00BA291D" w:rsidRPr="003C6BCB">
        <w:rPr>
          <w:rFonts w:eastAsia="MS Mincho"/>
          <w:bCs/>
          <w:sz w:val="24"/>
          <w:szCs w:val="24"/>
          <w:highlight w:val="yellow"/>
        </w:rPr>
        <w:t>2868</w:t>
      </w:r>
      <w:r w:rsidRPr="003C6BCB">
        <w:rPr>
          <w:rFonts w:eastAsia="MS Mincho"/>
          <w:bCs/>
          <w:sz w:val="24"/>
          <w:szCs w:val="24"/>
          <w:highlight w:val="yellow"/>
        </w:rPr>
        <w:t xml:space="preserve"> </w:t>
      </w:r>
      <w:r w:rsidR="00BA291D" w:rsidRPr="003C6BCB">
        <w:rPr>
          <w:rFonts w:eastAsia="MS Mincho"/>
          <w:bCs/>
          <w:sz w:val="24"/>
          <w:szCs w:val="24"/>
          <w:highlight w:val="yellow"/>
        </w:rPr>
        <w:t>records</w:t>
      </w:r>
      <w:r w:rsidR="00995291" w:rsidRPr="003C6BCB">
        <w:rPr>
          <w:rFonts w:eastAsia="MS Mincho"/>
          <w:bCs/>
          <w:sz w:val="24"/>
          <w:szCs w:val="24"/>
          <w:highlight w:val="yellow"/>
        </w:rPr>
        <w:t xml:space="preserve">, of which </w:t>
      </w:r>
      <w:r w:rsidR="00AE793F" w:rsidRPr="003C6BCB">
        <w:rPr>
          <w:rFonts w:eastAsia="MS Mincho"/>
          <w:bCs/>
          <w:sz w:val="24"/>
          <w:szCs w:val="24"/>
          <w:highlight w:val="yellow"/>
        </w:rPr>
        <w:t>54 were identified as duplicates</w:t>
      </w:r>
      <w:r w:rsidR="00283B02" w:rsidRPr="003C6BCB">
        <w:rPr>
          <w:rFonts w:eastAsia="MS Mincho"/>
          <w:bCs/>
          <w:sz w:val="24"/>
          <w:szCs w:val="24"/>
          <w:highlight w:val="yellow"/>
        </w:rPr>
        <w:t xml:space="preserve"> using the ‘find duplicate’ function</w:t>
      </w:r>
      <w:r w:rsidR="002534CB" w:rsidRPr="003C6BCB">
        <w:rPr>
          <w:rFonts w:eastAsia="MS Mincho"/>
          <w:bCs/>
          <w:sz w:val="24"/>
          <w:szCs w:val="24"/>
          <w:highlight w:val="yellow"/>
        </w:rPr>
        <w:t xml:space="preserve"> in EndNote </w:t>
      </w:r>
      <w:r w:rsidR="00283B02" w:rsidRPr="003C6BCB">
        <w:rPr>
          <w:rFonts w:eastAsia="MS Mincho"/>
          <w:bCs/>
          <w:sz w:val="24"/>
          <w:szCs w:val="24"/>
          <w:highlight w:val="yellow"/>
        </w:rPr>
        <w:t>X7 (Clar</w:t>
      </w:r>
      <w:r w:rsidR="00257779">
        <w:rPr>
          <w:rFonts w:eastAsia="MS Mincho"/>
          <w:bCs/>
          <w:sz w:val="24"/>
          <w:szCs w:val="24"/>
          <w:highlight w:val="yellow"/>
        </w:rPr>
        <w:t>ivate Analytics, Toronto, 2016</w:t>
      </w:r>
      <w:r w:rsidR="00FC0422" w:rsidRPr="003C6BCB">
        <w:rPr>
          <w:rFonts w:eastAsia="MS Mincho"/>
          <w:bCs/>
          <w:sz w:val="24"/>
          <w:szCs w:val="24"/>
          <w:highlight w:val="yellow"/>
        </w:rPr>
        <w:t>)</w:t>
      </w:r>
      <w:r w:rsidR="002534CB" w:rsidRPr="003C6BCB">
        <w:rPr>
          <w:rFonts w:eastAsia="MS Mincho"/>
          <w:bCs/>
          <w:sz w:val="24"/>
          <w:szCs w:val="24"/>
          <w:highlight w:val="yellow"/>
        </w:rPr>
        <w:t xml:space="preserve">. </w:t>
      </w:r>
      <w:r w:rsidR="00AE793F" w:rsidRPr="003C6BCB">
        <w:rPr>
          <w:rFonts w:eastAsia="MS Mincho"/>
          <w:bCs/>
          <w:sz w:val="24"/>
          <w:szCs w:val="24"/>
          <w:highlight w:val="yellow"/>
        </w:rPr>
        <w:t xml:space="preserve">Hand searching </w:t>
      </w:r>
      <w:r w:rsidR="00A96815" w:rsidRPr="003C6BCB">
        <w:rPr>
          <w:rFonts w:eastAsia="MS Mincho"/>
          <w:bCs/>
          <w:sz w:val="24"/>
          <w:szCs w:val="24"/>
          <w:highlight w:val="yellow"/>
        </w:rPr>
        <w:t>identified</w:t>
      </w:r>
      <w:r w:rsidR="00490CC4" w:rsidRPr="003C6BCB">
        <w:rPr>
          <w:rFonts w:eastAsia="MS Mincho"/>
          <w:bCs/>
          <w:sz w:val="24"/>
          <w:szCs w:val="24"/>
          <w:highlight w:val="yellow"/>
        </w:rPr>
        <w:t xml:space="preserve"> a further 3 records.  Screening</w:t>
      </w:r>
      <w:r w:rsidR="00A96815" w:rsidRPr="003C6BCB">
        <w:rPr>
          <w:rFonts w:eastAsia="MS Mincho"/>
          <w:bCs/>
          <w:sz w:val="24"/>
          <w:szCs w:val="24"/>
          <w:highlight w:val="yellow"/>
        </w:rPr>
        <w:t xml:space="preserve"> of titles and abstracts </w:t>
      </w:r>
      <w:r w:rsidR="00490CC4" w:rsidRPr="003C6BCB">
        <w:rPr>
          <w:rFonts w:eastAsia="MS Mincho"/>
          <w:bCs/>
          <w:sz w:val="24"/>
          <w:szCs w:val="24"/>
          <w:highlight w:val="yellow"/>
        </w:rPr>
        <w:t xml:space="preserve">was conducted independently by two reviewers (CM, LV), with consensus reached through discussion on disagreements. </w:t>
      </w:r>
      <w:r w:rsidR="00A96815" w:rsidRPr="003C6BCB">
        <w:rPr>
          <w:rFonts w:eastAsia="MS Mincho"/>
          <w:bCs/>
          <w:sz w:val="24"/>
          <w:szCs w:val="24"/>
          <w:highlight w:val="yellow"/>
        </w:rPr>
        <w:t>Of the 281</w:t>
      </w:r>
      <w:r w:rsidR="00283B02" w:rsidRPr="003C6BCB">
        <w:rPr>
          <w:rFonts w:eastAsia="MS Mincho"/>
          <w:bCs/>
          <w:sz w:val="24"/>
          <w:szCs w:val="24"/>
          <w:highlight w:val="yellow"/>
        </w:rPr>
        <w:t>7</w:t>
      </w:r>
      <w:r w:rsidR="00A96815" w:rsidRPr="003C6BCB">
        <w:rPr>
          <w:rFonts w:eastAsia="MS Mincho"/>
          <w:bCs/>
          <w:sz w:val="24"/>
          <w:szCs w:val="24"/>
          <w:highlight w:val="yellow"/>
        </w:rPr>
        <w:t xml:space="preserve"> records screened, 2804 (97.7%) were excluded for reasons including: </w:t>
      </w:r>
      <w:r w:rsidR="00283B02" w:rsidRPr="003C6BCB">
        <w:rPr>
          <w:rFonts w:eastAsia="MS Mincho"/>
          <w:bCs/>
          <w:sz w:val="24"/>
          <w:szCs w:val="24"/>
          <w:highlight w:val="yellow"/>
        </w:rPr>
        <w:t xml:space="preserve">not addressing stroke and enteral nutrition, not addressing NGT feeding and stroke, not addressing dysphagia as a result of stroke </w:t>
      </w:r>
      <w:r w:rsidR="00A96815" w:rsidRPr="003C6BCB">
        <w:rPr>
          <w:rFonts w:eastAsia="MS Mincho"/>
          <w:bCs/>
          <w:sz w:val="24"/>
          <w:szCs w:val="24"/>
          <w:highlight w:val="yellow"/>
        </w:rPr>
        <w:t>(see</w:t>
      </w:r>
      <w:r w:rsidR="00E876AE" w:rsidRPr="003C6BCB">
        <w:rPr>
          <w:rFonts w:eastAsia="MS Mincho"/>
          <w:bCs/>
          <w:sz w:val="24"/>
          <w:szCs w:val="24"/>
          <w:highlight w:val="yellow"/>
        </w:rPr>
        <w:t xml:space="preserve"> Figure 2</w:t>
      </w:r>
      <w:r w:rsidR="00A96815" w:rsidRPr="003C6BCB">
        <w:rPr>
          <w:rFonts w:eastAsia="MS Mincho"/>
          <w:bCs/>
          <w:sz w:val="24"/>
          <w:szCs w:val="24"/>
          <w:highlight w:val="yellow"/>
        </w:rPr>
        <w:t>).  Full-text screening of the remaining 13 articles was conducted by the first author (CM)</w:t>
      </w:r>
      <w:r w:rsidR="00A76875" w:rsidRPr="003C6BCB">
        <w:rPr>
          <w:rFonts w:eastAsia="MS Mincho"/>
          <w:bCs/>
          <w:sz w:val="24"/>
          <w:szCs w:val="24"/>
          <w:highlight w:val="yellow"/>
        </w:rPr>
        <w:t>;</w:t>
      </w:r>
      <w:r w:rsidR="00A96815" w:rsidRPr="003C6BCB">
        <w:rPr>
          <w:rFonts w:eastAsia="MS Mincho"/>
          <w:bCs/>
          <w:sz w:val="24"/>
          <w:szCs w:val="24"/>
          <w:highlight w:val="yellow"/>
        </w:rPr>
        <w:t xml:space="preserve"> </w:t>
      </w:r>
      <w:r w:rsidR="009873C5" w:rsidRPr="003C6BCB">
        <w:rPr>
          <w:rFonts w:eastAsia="MS Mincho"/>
          <w:bCs/>
          <w:sz w:val="24"/>
          <w:szCs w:val="24"/>
          <w:highlight w:val="yellow"/>
        </w:rPr>
        <w:t xml:space="preserve">all of which were </w:t>
      </w:r>
      <w:r w:rsidR="00E876AE" w:rsidRPr="003C6BCB">
        <w:rPr>
          <w:rFonts w:eastAsia="MS Mincho"/>
          <w:bCs/>
          <w:sz w:val="24"/>
          <w:szCs w:val="24"/>
          <w:highlight w:val="yellow"/>
        </w:rPr>
        <w:t xml:space="preserve">then </w:t>
      </w:r>
      <w:r w:rsidR="00A96815" w:rsidRPr="003C6BCB">
        <w:rPr>
          <w:rFonts w:eastAsia="MS Mincho"/>
          <w:bCs/>
          <w:sz w:val="24"/>
          <w:szCs w:val="24"/>
          <w:highlight w:val="yellow"/>
        </w:rPr>
        <w:t xml:space="preserve">checked by the second author (LV).  Following this initial </w:t>
      </w:r>
      <w:r w:rsidR="00E876AE" w:rsidRPr="003C6BCB">
        <w:rPr>
          <w:rFonts w:eastAsia="MS Mincho"/>
          <w:bCs/>
          <w:sz w:val="24"/>
          <w:szCs w:val="24"/>
          <w:highlight w:val="yellow"/>
        </w:rPr>
        <w:t>sampling,</w:t>
      </w:r>
      <w:r w:rsidR="00A96815" w:rsidRPr="003C6BCB">
        <w:rPr>
          <w:rFonts w:eastAsia="MS Mincho"/>
          <w:bCs/>
          <w:sz w:val="24"/>
          <w:szCs w:val="24"/>
          <w:highlight w:val="yellow"/>
        </w:rPr>
        <w:t xml:space="preserve"> no disagreements were identified and </w:t>
      </w:r>
      <w:r w:rsidR="00A76875" w:rsidRPr="003C6BCB">
        <w:rPr>
          <w:rFonts w:eastAsia="MS Mincho"/>
          <w:bCs/>
          <w:sz w:val="24"/>
          <w:szCs w:val="24"/>
          <w:highlight w:val="yellow"/>
        </w:rPr>
        <w:t>7</w:t>
      </w:r>
      <w:r w:rsidR="00A96815" w:rsidRPr="003C6BCB">
        <w:rPr>
          <w:rFonts w:eastAsia="MS Mincho"/>
          <w:bCs/>
          <w:sz w:val="24"/>
          <w:szCs w:val="24"/>
          <w:highlight w:val="yellow"/>
        </w:rPr>
        <w:t xml:space="preserve"> </w:t>
      </w:r>
      <w:r w:rsidR="00E876AE" w:rsidRPr="003C6BCB">
        <w:rPr>
          <w:rFonts w:eastAsia="MS Mincho"/>
          <w:bCs/>
          <w:sz w:val="24"/>
          <w:szCs w:val="24"/>
          <w:highlight w:val="yellow"/>
        </w:rPr>
        <w:t xml:space="preserve">further </w:t>
      </w:r>
      <w:r w:rsidR="00A96815" w:rsidRPr="003C6BCB">
        <w:rPr>
          <w:rFonts w:eastAsia="MS Mincho"/>
          <w:bCs/>
          <w:sz w:val="24"/>
          <w:szCs w:val="24"/>
          <w:highlight w:val="yellow"/>
        </w:rPr>
        <w:t xml:space="preserve">articles were excluded from the review for the following reasons: </w:t>
      </w:r>
      <w:r w:rsidR="00DA0041" w:rsidRPr="003C6BCB">
        <w:rPr>
          <w:rFonts w:eastAsia="MS Mincho"/>
          <w:bCs/>
          <w:sz w:val="24"/>
          <w:szCs w:val="24"/>
          <w:highlight w:val="yellow"/>
        </w:rPr>
        <w:t>did not evaluate</w:t>
      </w:r>
      <w:r w:rsidR="00D74C4A" w:rsidRPr="003C6BCB">
        <w:rPr>
          <w:rFonts w:eastAsia="MS Mincho"/>
          <w:bCs/>
          <w:sz w:val="24"/>
          <w:szCs w:val="24"/>
          <w:highlight w:val="yellow"/>
        </w:rPr>
        <w:t xml:space="preserve"> NGT feeding</w:t>
      </w:r>
      <w:r w:rsidR="00A96815" w:rsidRPr="003C6BCB">
        <w:rPr>
          <w:rFonts w:eastAsia="MS Mincho"/>
          <w:bCs/>
          <w:sz w:val="24"/>
          <w:szCs w:val="24"/>
          <w:highlight w:val="yellow"/>
        </w:rPr>
        <w:t xml:space="preserve"> </w:t>
      </w:r>
      <w:r w:rsidR="00D74C4A" w:rsidRPr="003C6BCB">
        <w:rPr>
          <w:rFonts w:eastAsia="MS Mincho"/>
          <w:bCs/>
          <w:sz w:val="24"/>
          <w:szCs w:val="24"/>
          <w:highlight w:val="yellow"/>
        </w:rPr>
        <w:t xml:space="preserve">specifically or directly with stroke patients </w:t>
      </w:r>
      <w:r w:rsidR="00A96815" w:rsidRPr="003C6BCB">
        <w:rPr>
          <w:rFonts w:eastAsia="MS Mincho"/>
          <w:bCs/>
          <w:sz w:val="24"/>
          <w:szCs w:val="24"/>
          <w:highlight w:val="yellow"/>
        </w:rPr>
        <w:t>(n=</w:t>
      </w:r>
      <w:r w:rsidR="00D74C4A" w:rsidRPr="003C6BCB">
        <w:rPr>
          <w:rFonts w:eastAsia="MS Mincho"/>
          <w:bCs/>
          <w:sz w:val="24"/>
          <w:szCs w:val="24"/>
          <w:highlight w:val="yellow"/>
        </w:rPr>
        <w:t>3</w:t>
      </w:r>
      <w:r w:rsidR="00A96815" w:rsidRPr="003C6BCB">
        <w:rPr>
          <w:rFonts w:eastAsia="MS Mincho"/>
          <w:bCs/>
          <w:sz w:val="24"/>
          <w:szCs w:val="24"/>
          <w:highlight w:val="yellow"/>
        </w:rPr>
        <w:t>)</w:t>
      </w:r>
      <w:r w:rsidR="00DA0041" w:rsidRPr="003C6BCB">
        <w:rPr>
          <w:rFonts w:eastAsia="MS Mincho"/>
          <w:bCs/>
          <w:sz w:val="24"/>
          <w:szCs w:val="24"/>
          <w:highlight w:val="yellow"/>
        </w:rPr>
        <w:t>;</w:t>
      </w:r>
      <w:r w:rsidR="00A96815" w:rsidRPr="003C6BCB">
        <w:rPr>
          <w:rFonts w:eastAsia="MS Mincho"/>
          <w:bCs/>
          <w:sz w:val="24"/>
          <w:szCs w:val="24"/>
          <w:highlight w:val="yellow"/>
        </w:rPr>
        <w:t xml:space="preserve"> </w:t>
      </w:r>
      <w:r w:rsidR="00D74C4A" w:rsidRPr="003C6BCB">
        <w:rPr>
          <w:rFonts w:eastAsia="MS Mincho"/>
          <w:bCs/>
          <w:sz w:val="24"/>
          <w:szCs w:val="24"/>
          <w:highlight w:val="yellow"/>
        </w:rPr>
        <w:t xml:space="preserve">did not specify the type of </w:t>
      </w:r>
      <w:r w:rsidR="00DA0041" w:rsidRPr="003C6BCB">
        <w:rPr>
          <w:rFonts w:eastAsia="MS Mincho"/>
          <w:bCs/>
          <w:sz w:val="24"/>
          <w:szCs w:val="24"/>
          <w:highlight w:val="yellow"/>
        </w:rPr>
        <w:t xml:space="preserve">enteral feeding </w:t>
      </w:r>
      <w:r w:rsidR="00D74C4A" w:rsidRPr="003C6BCB">
        <w:rPr>
          <w:rFonts w:eastAsia="MS Mincho"/>
          <w:bCs/>
          <w:sz w:val="24"/>
          <w:szCs w:val="24"/>
          <w:highlight w:val="yellow"/>
        </w:rPr>
        <w:t>being evaluated</w:t>
      </w:r>
      <w:r w:rsidR="00A96815" w:rsidRPr="003C6BCB">
        <w:rPr>
          <w:rFonts w:eastAsia="MS Mincho"/>
          <w:bCs/>
          <w:sz w:val="24"/>
          <w:szCs w:val="24"/>
          <w:highlight w:val="yellow"/>
        </w:rPr>
        <w:t xml:space="preserve"> (n=</w:t>
      </w:r>
      <w:r w:rsidR="00D74C4A" w:rsidRPr="003C6BCB">
        <w:rPr>
          <w:rFonts w:eastAsia="MS Mincho"/>
          <w:bCs/>
          <w:sz w:val="24"/>
          <w:szCs w:val="24"/>
          <w:highlight w:val="yellow"/>
        </w:rPr>
        <w:t>1</w:t>
      </w:r>
      <w:r w:rsidR="00A96815" w:rsidRPr="003C6BCB">
        <w:rPr>
          <w:rFonts w:eastAsia="MS Mincho"/>
          <w:bCs/>
          <w:sz w:val="24"/>
          <w:szCs w:val="24"/>
          <w:highlight w:val="yellow"/>
        </w:rPr>
        <w:t>)</w:t>
      </w:r>
      <w:r w:rsidR="00DA0041" w:rsidRPr="003C6BCB">
        <w:rPr>
          <w:rFonts w:eastAsia="MS Mincho"/>
          <w:bCs/>
          <w:sz w:val="24"/>
          <w:szCs w:val="24"/>
          <w:highlight w:val="yellow"/>
        </w:rPr>
        <w:t xml:space="preserve">; </w:t>
      </w:r>
      <w:r w:rsidR="00D74C4A" w:rsidRPr="003C6BCB">
        <w:rPr>
          <w:rFonts w:eastAsia="MS Mincho"/>
          <w:bCs/>
          <w:sz w:val="24"/>
          <w:szCs w:val="24"/>
          <w:highlight w:val="yellow"/>
        </w:rPr>
        <w:t xml:space="preserve">only addressed NGT </w:t>
      </w:r>
      <w:r w:rsidR="00DA0041" w:rsidRPr="003C6BCB">
        <w:rPr>
          <w:rFonts w:eastAsia="MS Mincho"/>
          <w:bCs/>
          <w:sz w:val="24"/>
          <w:szCs w:val="24"/>
          <w:highlight w:val="yellow"/>
        </w:rPr>
        <w:t>dislodgement but not maintenance</w:t>
      </w:r>
      <w:r w:rsidR="00A96815" w:rsidRPr="003C6BCB">
        <w:rPr>
          <w:rFonts w:eastAsia="MS Mincho"/>
          <w:bCs/>
          <w:sz w:val="24"/>
          <w:szCs w:val="24"/>
          <w:highlight w:val="yellow"/>
        </w:rPr>
        <w:t xml:space="preserve"> (n=</w:t>
      </w:r>
      <w:r w:rsidR="00FC0422" w:rsidRPr="003C6BCB">
        <w:rPr>
          <w:rFonts w:eastAsia="MS Mincho"/>
          <w:bCs/>
          <w:sz w:val="24"/>
          <w:szCs w:val="24"/>
          <w:highlight w:val="yellow"/>
        </w:rPr>
        <w:t>1</w:t>
      </w:r>
      <w:r w:rsidR="00A96815" w:rsidRPr="003C6BCB">
        <w:rPr>
          <w:rFonts w:eastAsia="MS Mincho"/>
          <w:bCs/>
          <w:sz w:val="24"/>
          <w:szCs w:val="24"/>
          <w:highlight w:val="yellow"/>
        </w:rPr>
        <w:t>)</w:t>
      </w:r>
      <w:r w:rsidR="00DA0041" w:rsidRPr="003C6BCB">
        <w:rPr>
          <w:rFonts w:eastAsia="MS Mincho"/>
          <w:bCs/>
          <w:sz w:val="24"/>
          <w:szCs w:val="24"/>
          <w:highlight w:val="yellow"/>
        </w:rPr>
        <w:t xml:space="preserve">; </w:t>
      </w:r>
      <w:r w:rsidR="00FC0422" w:rsidRPr="003C6BCB">
        <w:rPr>
          <w:rFonts w:eastAsia="MS Mincho"/>
          <w:bCs/>
          <w:sz w:val="24"/>
          <w:szCs w:val="24"/>
          <w:highlight w:val="yellow"/>
        </w:rPr>
        <w:t xml:space="preserve">did not address NGT feeding with standard tube; </w:t>
      </w:r>
      <w:r w:rsidR="00DA0041" w:rsidRPr="003C6BCB">
        <w:rPr>
          <w:rFonts w:eastAsia="MS Mincho"/>
          <w:bCs/>
          <w:sz w:val="24"/>
          <w:szCs w:val="24"/>
          <w:highlight w:val="yellow"/>
        </w:rPr>
        <w:t>expert opinion (n=1)</w:t>
      </w:r>
      <w:r w:rsidR="00FC0422" w:rsidRPr="003C6BCB">
        <w:rPr>
          <w:rFonts w:eastAsia="MS Mincho"/>
          <w:bCs/>
          <w:sz w:val="24"/>
          <w:szCs w:val="24"/>
          <w:highlight w:val="yellow"/>
        </w:rPr>
        <w:t xml:space="preserve"> (Figure 2</w:t>
      </w:r>
      <w:r w:rsidR="00A96815" w:rsidRPr="003C6BCB">
        <w:rPr>
          <w:rFonts w:eastAsia="MS Mincho"/>
          <w:bCs/>
          <w:sz w:val="24"/>
          <w:szCs w:val="24"/>
          <w:highlight w:val="yellow"/>
        </w:rPr>
        <w:t>).  A summary of articles that did not m</w:t>
      </w:r>
      <w:r w:rsidR="00FC0422" w:rsidRPr="003C6BCB">
        <w:rPr>
          <w:rFonts w:eastAsia="MS Mincho"/>
          <w:bCs/>
          <w:sz w:val="24"/>
          <w:szCs w:val="24"/>
          <w:highlight w:val="yellow"/>
        </w:rPr>
        <w:t>eet the eligibility criteria is provided in</w:t>
      </w:r>
      <w:r w:rsidR="00411C34" w:rsidRPr="003C6BCB">
        <w:rPr>
          <w:rFonts w:eastAsia="MS Mincho"/>
          <w:b/>
          <w:bCs/>
          <w:sz w:val="24"/>
          <w:szCs w:val="24"/>
          <w:highlight w:val="yellow"/>
        </w:rPr>
        <w:t xml:space="preserve"> t</w:t>
      </w:r>
      <w:r w:rsidR="00A96815" w:rsidRPr="003C6BCB">
        <w:rPr>
          <w:rFonts w:eastAsia="MS Mincho"/>
          <w:b/>
          <w:bCs/>
          <w:sz w:val="24"/>
          <w:szCs w:val="24"/>
          <w:highlight w:val="yellow"/>
        </w:rPr>
        <w:t xml:space="preserve">able </w:t>
      </w:r>
      <w:r w:rsidR="00411C34" w:rsidRPr="003C6BCB">
        <w:rPr>
          <w:rFonts w:eastAsia="MS Mincho"/>
          <w:b/>
          <w:bCs/>
          <w:sz w:val="24"/>
          <w:szCs w:val="24"/>
          <w:highlight w:val="yellow"/>
        </w:rPr>
        <w:t>of supplementary information</w:t>
      </w:r>
      <w:r w:rsidR="00A96815" w:rsidRPr="003C6BCB">
        <w:rPr>
          <w:rFonts w:eastAsia="MS Mincho"/>
          <w:bCs/>
          <w:sz w:val="24"/>
          <w:szCs w:val="24"/>
          <w:highlight w:val="yellow"/>
        </w:rPr>
        <w:t>.</w:t>
      </w:r>
    </w:p>
    <w:p w14:paraId="7D77326E" w14:textId="77777777" w:rsidR="00A96815" w:rsidRDefault="00A96815" w:rsidP="00F13F5C">
      <w:pPr>
        <w:pStyle w:val="BodyText2"/>
        <w:spacing w:line="480" w:lineRule="auto"/>
        <w:rPr>
          <w:rFonts w:eastAsia="MS Mincho"/>
          <w:bCs/>
          <w:sz w:val="24"/>
          <w:szCs w:val="24"/>
        </w:rPr>
      </w:pPr>
    </w:p>
    <w:p w14:paraId="00484C6E" w14:textId="0E6D974F" w:rsidR="00F13F5C" w:rsidRPr="00524CAB" w:rsidRDefault="00A96815" w:rsidP="00F13F5C">
      <w:pPr>
        <w:pStyle w:val="BodyText2"/>
        <w:spacing w:line="480" w:lineRule="auto"/>
        <w:rPr>
          <w:rFonts w:eastAsia="MS Mincho"/>
          <w:i/>
          <w:sz w:val="24"/>
          <w:szCs w:val="24"/>
        </w:rPr>
      </w:pPr>
      <w:r w:rsidRPr="00524CAB">
        <w:rPr>
          <w:rFonts w:eastAsia="MS Mincho"/>
          <w:bCs/>
          <w:i/>
          <w:sz w:val="24"/>
          <w:szCs w:val="24"/>
        </w:rPr>
        <w:t>[I</w:t>
      </w:r>
      <w:r w:rsidR="0072407B">
        <w:rPr>
          <w:rFonts w:eastAsia="MS Mincho"/>
          <w:bCs/>
          <w:i/>
          <w:sz w:val="24"/>
          <w:szCs w:val="24"/>
        </w:rPr>
        <w:t>nsert Figure 2</w:t>
      </w:r>
      <w:r w:rsidR="00411C34">
        <w:rPr>
          <w:rFonts w:eastAsia="MS Mincho"/>
          <w:bCs/>
          <w:i/>
          <w:sz w:val="24"/>
          <w:szCs w:val="24"/>
        </w:rPr>
        <w:t xml:space="preserve"> and link to supplementary information</w:t>
      </w:r>
      <w:r w:rsidRPr="00524CAB">
        <w:rPr>
          <w:rFonts w:eastAsia="MS Mincho"/>
          <w:bCs/>
          <w:i/>
          <w:sz w:val="24"/>
          <w:szCs w:val="24"/>
        </w:rPr>
        <w:t>]</w:t>
      </w:r>
    </w:p>
    <w:p w14:paraId="4D303AC7" w14:textId="77777777" w:rsidR="00F13F5C" w:rsidRPr="00C87778" w:rsidRDefault="00F13F5C" w:rsidP="00F13F5C">
      <w:pPr>
        <w:spacing w:line="480" w:lineRule="auto"/>
        <w:rPr>
          <w:rFonts w:eastAsia="MS Mincho" w:cs="Arial"/>
          <w:szCs w:val="24"/>
        </w:rPr>
      </w:pPr>
    </w:p>
    <w:p w14:paraId="4E4BC03B" w14:textId="4EDBB173" w:rsidR="00F13F5C" w:rsidRPr="00411046" w:rsidRDefault="00F13F5C" w:rsidP="00E876AE">
      <w:pPr>
        <w:pStyle w:val="Heading2"/>
      </w:pPr>
      <w:bookmarkStart w:id="4" w:name="_Toc232240785"/>
      <w:r w:rsidRPr="00411046">
        <w:t xml:space="preserve">Critical </w:t>
      </w:r>
      <w:bookmarkEnd w:id="4"/>
      <w:r>
        <w:t>appraisal of selected studies</w:t>
      </w:r>
    </w:p>
    <w:p w14:paraId="79142243" w14:textId="56C13E69" w:rsidR="007C0445" w:rsidRDefault="00142C50" w:rsidP="00F13F5C">
      <w:pPr>
        <w:spacing w:line="480" w:lineRule="auto"/>
        <w:rPr>
          <w:rFonts w:cs="Arial"/>
          <w:szCs w:val="24"/>
        </w:rPr>
      </w:pPr>
      <w:r>
        <w:rPr>
          <w:rFonts w:cs="Arial"/>
          <w:szCs w:val="24"/>
        </w:rPr>
        <w:t>Critical appraisal of the included articles (n=</w:t>
      </w:r>
      <w:r w:rsidR="00A76875">
        <w:rPr>
          <w:rFonts w:cs="Arial"/>
          <w:szCs w:val="24"/>
        </w:rPr>
        <w:t>6</w:t>
      </w:r>
      <w:r>
        <w:rPr>
          <w:rFonts w:cs="Arial"/>
          <w:szCs w:val="24"/>
        </w:rPr>
        <w:t xml:space="preserve">) was conducted using the most appropriate Critical Appraisal Skills Programme (CASP) checklist (CASP 2014).  </w:t>
      </w:r>
      <w:r>
        <w:rPr>
          <w:rFonts w:cs="Arial"/>
          <w:szCs w:val="24"/>
        </w:rPr>
        <w:lastRenderedPageBreak/>
        <w:t>Two authors independently evaluated the quality of each article</w:t>
      </w:r>
      <w:r w:rsidR="00EF4B77">
        <w:rPr>
          <w:rFonts w:cs="Arial"/>
          <w:szCs w:val="24"/>
        </w:rPr>
        <w:t>,</w:t>
      </w:r>
      <w:r>
        <w:rPr>
          <w:rFonts w:cs="Arial"/>
          <w:szCs w:val="24"/>
        </w:rPr>
        <w:t xml:space="preserve"> consensus </w:t>
      </w:r>
      <w:r w:rsidR="00EF4B77">
        <w:rPr>
          <w:rFonts w:cs="Arial"/>
          <w:szCs w:val="24"/>
        </w:rPr>
        <w:t xml:space="preserve">being </w:t>
      </w:r>
      <w:r>
        <w:rPr>
          <w:rFonts w:cs="Arial"/>
          <w:szCs w:val="24"/>
        </w:rPr>
        <w:t>reached through discussion.</w:t>
      </w:r>
      <w:r w:rsidR="00672F27">
        <w:rPr>
          <w:rFonts w:cs="Arial"/>
          <w:szCs w:val="24"/>
        </w:rPr>
        <w:t xml:space="preserve">  Quality assessment of each of the inclu</w:t>
      </w:r>
      <w:r w:rsidR="00411C34">
        <w:rPr>
          <w:rFonts w:cs="Arial"/>
          <w:szCs w:val="24"/>
        </w:rPr>
        <w:t xml:space="preserve">ded articles is shown in </w:t>
      </w:r>
      <w:r w:rsidR="00411C34" w:rsidRPr="00411C34">
        <w:rPr>
          <w:rFonts w:cs="Arial"/>
          <w:b/>
          <w:szCs w:val="24"/>
        </w:rPr>
        <w:t>Table 1</w:t>
      </w:r>
      <w:r w:rsidR="007C0445">
        <w:rPr>
          <w:rFonts w:cs="Arial"/>
          <w:szCs w:val="24"/>
        </w:rPr>
        <w:t>, a</w:t>
      </w:r>
      <w:r w:rsidR="00CB6C04">
        <w:rPr>
          <w:rFonts w:cs="Arial"/>
          <w:szCs w:val="24"/>
        </w:rPr>
        <w:t>nd</w:t>
      </w:r>
      <w:r w:rsidR="007C0445">
        <w:rPr>
          <w:rFonts w:cs="Arial"/>
          <w:szCs w:val="24"/>
        </w:rPr>
        <w:t xml:space="preserve"> quality rating </w:t>
      </w:r>
      <w:r w:rsidR="00CB6C04">
        <w:rPr>
          <w:rFonts w:cs="Arial"/>
          <w:szCs w:val="24"/>
        </w:rPr>
        <w:t>was determined using</w:t>
      </w:r>
      <w:r w:rsidR="007C0445">
        <w:rPr>
          <w:rFonts w:cs="Arial"/>
          <w:szCs w:val="24"/>
        </w:rPr>
        <w:t xml:space="preserve"> the Scottish Intercollegiate Guidelines Network (SIGN) grading system (2017) (</w:t>
      </w:r>
      <w:r w:rsidR="0072407B">
        <w:rPr>
          <w:rFonts w:cs="Arial"/>
          <w:b/>
          <w:szCs w:val="24"/>
        </w:rPr>
        <w:t>table 1</w:t>
      </w:r>
      <w:r w:rsidR="00CB6C04">
        <w:rPr>
          <w:rFonts w:cs="Arial"/>
          <w:szCs w:val="24"/>
        </w:rPr>
        <w:t xml:space="preserve">) and </w:t>
      </w:r>
      <w:r w:rsidR="007C0445">
        <w:rPr>
          <w:rFonts w:cs="Arial"/>
          <w:szCs w:val="24"/>
        </w:rPr>
        <w:t>assigned to each study</w:t>
      </w:r>
      <w:r w:rsidR="00672F27">
        <w:rPr>
          <w:rFonts w:cs="Arial"/>
          <w:szCs w:val="24"/>
        </w:rPr>
        <w:t>.</w:t>
      </w:r>
      <w:r w:rsidR="009E5A78">
        <w:rPr>
          <w:rFonts w:cs="Arial"/>
          <w:szCs w:val="24"/>
        </w:rPr>
        <w:t xml:space="preserve">  Quality ass</w:t>
      </w:r>
      <w:r w:rsidR="007C0445">
        <w:rPr>
          <w:rFonts w:cs="Arial"/>
          <w:szCs w:val="24"/>
        </w:rPr>
        <w:t>essment was conducted to evaluate</w:t>
      </w:r>
      <w:r w:rsidR="00411C34">
        <w:rPr>
          <w:rFonts w:cs="Arial"/>
          <w:szCs w:val="24"/>
        </w:rPr>
        <w:t xml:space="preserve"> the available evidence-base;</w:t>
      </w:r>
      <w:r w:rsidR="00CB6C04">
        <w:rPr>
          <w:rFonts w:cs="Arial"/>
          <w:szCs w:val="24"/>
        </w:rPr>
        <w:t xml:space="preserve"> n</w:t>
      </w:r>
      <w:r w:rsidR="009E5A78">
        <w:rPr>
          <w:rFonts w:cs="Arial"/>
          <w:szCs w:val="24"/>
        </w:rPr>
        <w:t>o studies were excluded from the review on the basis of this quality assessment.</w:t>
      </w:r>
      <w:r>
        <w:rPr>
          <w:rFonts w:cs="Arial"/>
          <w:szCs w:val="24"/>
        </w:rPr>
        <w:t xml:space="preserve">  </w:t>
      </w:r>
    </w:p>
    <w:p w14:paraId="40F2A200" w14:textId="77777777" w:rsidR="0072407B" w:rsidRPr="0072407B" w:rsidRDefault="0072407B" w:rsidP="00F13F5C">
      <w:pPr>
        <w:spacing w:line="480" w:lineRule="auto"/>
        <w:rPr>
          <w:rFonts w:cs="Arial"/>
          <w:szCs w:val="24"/>
        </w:rPr>
      </w:pPr>
    </w:p>
    <w:p w14:paraId="3F27A4A1" w14:textId="2D709A4C" w:rsidR="00672F27" w:rsidRDefault="0072407B" w:rsidP="00F13F5C">
      <w:pPr>
        <w:spacing w:line="480" w:lineRule="auto"/>
        <w:rPr>
          <w:rFonts w:cs="Arial"/>
          <w:i/>
          <w:szCs w:val="24"/>
        </w:rPr>
      </w:pPr>
      <w:r>
        <w:rPr>
          <w:rFonts w:cs="Arial"/>
          <w:i/>
          <w:szCs w:val="24"/>
        </w:rPr>
        <w:t xml:space="preserve"> </w:t>
      </w:r>
      <w:r w:rsidR="00411C34">
        <w:rPr>
          <w:rFonts w:cs="Arial"/>
          <w:i/>
          <w:szCs w:val="24"/>
        </w:rPr>
        <w:t xml:space="preserve">[Insert Table 1 </w:t>
      </w:r>
      <w:r w:rsidR="007C0445">
        <w:rPr>
          <w:rFonts w:cs="Arial"/>
          <w:i/>
          <w:szCs w:val="24"/>
        </w:rPr>
        <w:t>here</w:t>
      </w:r>
      <w:r w:rsidR="00672F27" w:rsidRPr="00524CAB">
        <w:rPr>
          <w:rFonts w:cs="Arial"/>
          <w:i/>
          <w:szCs w:val="24"/>
        </w:rPr>
        <w:t>]</w:t>
      </w:r>
    </w:p>
    <w:p w14:paraId="261965F5" w14:textId="77777777" w:rsidR="007C0445" w:rsidRPr="007C0445" w:rsidRDefault="007C0445" w:rsidP="00F13F5C">
      <w:pPr>
        <w:spacing w:line="480" w:lineRule="auto"/>
        <w:rPr>
          <w:rFonts w:cs="Arial"/>
          <w:i/>
          <w:szCs w:val="24"/>
        </w:rPr>
      </w:pPr>
    </w:p>
    <w:p w14:paraId="24836E8A" w14:textId="33C9428A" w:rsidR="009E5A78" w:rsidRPr="00524CAB" w:rsidRDefault="009E5A78" w:rsidP="00F13F5C">
      <w:pPr>
        <w:spacing w:line="480" w:lineRule="auto"/>
        <w:rPr>
          <w:rFonts w:cs="Arial"/>
          <w:b/>
          <w:szCs w:val="24"/>
        </w:rPr>
      </w:pPr>
      <w:r w:rsidRPr="00524CAB">
        <w:rPr>
          <w:rFonts w:cs="Arial"/>
          <w:b/>
          <w:szCs w:val="24"/>
        </w:rPr>
        <w:t>Data extraction</w:t>
      </w:r>
    </w:p>
    <w:p w14:paraId="5D9E63EF" w14:textId="5CA6E3B9" w:rsidR="009E5A78" w:rsidRPr="00D93983" w:rsidRDefault="009E5A78" w:rsidP="00D93983">
      <w:pPr>
        <w:spacing w:line="480" w:lineRule="auto"/>
        <w:rPr>
          <w:rFonts w:eastAsia="MS Mincho"/>
          <w:szCs w:val="24"/>
        </w:rPr>
      </w:pPr>
      <w:r>
        <w:rPr>
          <w:rFonts w:cs="Arial"/>
          <w:szCs w:val="24"/>
        </w:rPr>
        <w:t xml:space="preserve">Following critical appraisal, the following </w:t>
      </w:r>
      <w:r w:rsidR="00524CAB">
        <w:rPr>
          <w:rFonts w:cs="Arial"/>
          <w:szCs w:val="24"/>
        </w:rPr>
        <w:t xml:space="preserve">6 </w:t>
      </w:r>
      <w:r>
        <w:rPr>
          <w:rFonts w:cs="Arial"/>
          <w:szCs w:val="24"/>
        </w:rPr>
        <w:t xml:space="preserve">variables were extracted from each article to inform integration of evidence across studies: </w:t>
      </w:r>
      <w:r w:rsidRPr="003C6BCB">
        <w:rPr>
          <w:rFonts w:cs="Arial"/>
          <w:szCs w:val="24"/>
          <w:highlight w:val="yellow"/>
        </w:rPr>
        <w:t xml:space="preserve">(1) </w:t>
      </w:r>
      <w:r w:rsidRPr="003C6BCB">
        <w:rPr>
          <w:rFonts w:eastAsia="MS Mincho"/>
          <w:szCs w:val="24"/>
          <w:highlight w:val="yellow"/>
        </w:rPr>
        <w:t>frequency and reason for NGT dislodgement; (2) length of time NGT remained in place with intervention; (3) percentage of prescribed feed/hydration delivered; (4) reasons for failure of NGT feeding with intervention in place; (5) complications associated with intervention used for securing NGT; (6) patient acceptability/tolerability of intervention and commencement of alternative feeding methods</w:t>
      </w:r>
      <w:r w:rsidR="00797DCE" w:rsidRPr="003C6BCB">
        <w:rPr>
          <w:rFonts w:eastAsia="MS Mincho"/>
          <w:szCs w:val="24"/>
          <w:highlight w:val="yellow"/>
        </w:rPr>
        <w:t>.</w:t>
      </w:r>
      <w:bookmarkStart w:id="5" w:name="_Toc232240790"/>
    </w:p>
    <w:bookmarkEnd w:id="5"/>
    <w:p w14:paraId="6EBCE5A5" w14:textId="51B4CEF9" w:rsidR="00F13F5C" w:rsidRPr="00411046" w:rsidRDefault="00B71307">
      <w:pPr>
        <w:pStyle w:val="Heading3"/>
      </w:pPr>
      <w:r>
        <w:t xml:space="preserve">RESULTS </w:t>
      </w:r>
    </w:p>
    <w:p w14:paraId="36AE28E2" w14:textId="706F8A2B" w:rsidR="00B71307" w:rsidRPr="00A76875" w:rsidRDefault="00790261" w:rsidP="00A76875">
      <w:pPr>
        <w:spacing w:line="480" w:lineRule="auto"/>
        <w:rPr>
          <w:rFonts w:eastAsia="MS Mincho" w:cs="Arial"/>
          <w:b/>
          <w:szCs w:val="24"/>
        </w:rPr>
      </w:pPr>
      <w:bookmarkStart w:id="6" w:name="_Toc232240791"/>
      <w:r w:rsidRPr="003B4898">
        <w:rPr>
          <w:b/>
          <w:highlight w:val="yellow"/>
        </w:rPr>
        <w:t>Table 2</w:t>
      </w:r>
      <w:r w:rsidR="00B71307" w:rsidRPr="00B71307">
        <w:t xml:space="preserve"> provides details of the </w:t>
      </w:r>
      <w:r w:rsidR="00A76875">
        <w:t>6</w:t>
      </w:r>
      <w:r w:rsidR="00B71307" w:rsidRPr="00B71307">
        <w:t xml:space="preserve"> studies included in the review, including the s</w:t>
      </w:r>
      <w:r w:rsidR="00797DCE">
        <w:t>ix</w:t>
      </w:r>
      <w:r w:rsidR="00B71307" w:rsidRPr="00B71307">
        <w:t xml:space="preserve"> variables extracted from each article.</w:t>
      </w:r>
      <w:r w:rsidR="00B71307">
        <w:rPr>
          <w:b/>
        </w:rPr>
        <w:t xml:space="preserve">  </w:t>
      </w:r>
      <w:r w:rsidR="00B71307" w:rsidRPr="00411046">
        <w:rPr>
          <w:rFonts w:eastAsia="MS Mincho" w:cs="Arial"/>
          <w:szCs w:val="24"/>
        </w:rPr>
        <w:t>All the identified studies included dysphagic stroke patien</w:t>
      </w:r>
      <w:r w:rsidR="00B71307">
        <w:rPr>
          <w:rFonts w:eastAsia="MS Mincho" w:cs="Arial"/>
          <w:szCs w:val="24"/>
        </w:rPr>
        <w:t xml:space="preserve">ts who required NGT feeding; </w:t>
      </w:r>
      <w:r w:rsidR="007C067E">
        <w:rPr>
          <w:rFonts w:eastAsia="MS Mincho" w:cs="Arial"/>
          <w:szCs w:val="24"/>
        </w:rPr>
        <w:t>3</w:t>
      </w:r>
      <w:r w:rsidR="00B71307" w:rsidRPr="00411046">
        <w:rPr>
          <w:rFonts w:eastAsia="MS Mincho" w:cs="Arial"/>
          <w:szCs w:val="24"/>
        </w:rPr>
        <w:t xml:space="preserve"> studies were specific to dysphagic stroke patients (Beavan et al. 2010; </w:t>
      </w:r>
      <w:r w:rsidR="00B71307">
        <w:rPr>
          <w:rFonts w:eastAsia="MS Mincho" w:cs="Arial"/>
          <w:szCs w:val="24"/>
        </w:rPr>
        <w:t xml:space="preserve">Horsburgh et al. 2008; </w:t>
      </w:r>
      <w:r w:rsidR="00B71307" w:rsidRPr="00411046">
        <w:rPr>
          <w:rFonts w:eastAsia="MS Mincho" w:cs="Arial"/>
          <w:szCs w:val="24"/>
        </w:rPr>
        <w:t xml:space="preserve">Anderson et al. 2004). All the studies </w:t>
      </w:r>
      <w:r w:rsidR="00B71307">
        <w:rPr>
          <w:rFonts w:eastAsia="MS Mincho" w:cs="Arial"/>
          <w:szCs w:val="24"/>
        </w:rPr>
        <w:t>examined</w:t>
      </w:r>
      <w:r w:rsidR="00B71307" w:rsidRPr="00411046">
        <w:rPr>
          <w:rFonts w:eastAsia="MS Mincho" w:cs="Arial"/>
          <w:szCs w:val="24"/>
        </w:rPr>
        <w:t xml:space="preserve"> methods for keepin</w:t>
      </w:r>
      <w:r w:rsidR="00B71307">
        <w:rPr>
          <w:rFonts w:eastAsia="MS Mincho" w:cs="Arial"/>
          <w:szCs w:val="24"/>
        </w:rPr>
        <w:t xml:space="preserve">g NGT in place. Two </w:t>
      </w:r>
      <w:r w:rsidR="00B71307" w:rsidRPr="00411046">
        <w:rPr>
          <w:rFonts w:eastAsia="MS Mincho" w:cs="Arial"/>
          <w:szCs w:val="24"/>
        </w:rPr>
        <w:t xml:space="preserve">studies </w:t>
      </w:r>
      <w:r w:rsidR="00B71307">
        <w:rPr>
          <w:rFonts w:eastAsia="MS Mincho" w:cs="Arial"/>
          <w:szCs w:val="24"/>
        </w:rPr>
        <w:t xml:space="preserve">solely </w:t>
      </w:r>
      <w:r w:rsidR="00B71307" w:rsidRPr="00411046">
        <w:rPr>
          <w:rFonts w:eastAsia="MS Mincho" w:cs="Arial"/>
          <w:szCs w:val="24"/>
        </w:rPr>
        <w:t>eval</w:t>
      </w:r>
      <w:r w:rsidR="00B71307">
        <w:rPr>
          <w:rFonts w:eastAsia="MS Mincho" w:cs="Arial"/>
          <w:szCs w:val="24"/>
        </w:rPr>
        <w:t>uated the use of the NL</w:t>
      </w:r>
      <w:r w:rsidR="00B71307" w:rsidRPr="00411046">
        <w:rPr>
          <w:rFonts w:eastAsia="MS Mincho" w:cs="Arial"/>
          <w:szCs w:val="24"/>
        </w:rPr>
        <w:t xml:space="preserve"> (Beavan et </w:t>
      </w:r>
      <w:r w:rsidR="00B71307">
        <w:rPr>
          <w:rFonts w:eastAsia="MS Mincho" w:cs="Arial"/>
          <w:szCs w:val="24"/>
        </w:rPr>
        <w:t>al. 2010; Anderson et al. 2004),</w:t>
      </w:r>
      <w:r w:rsidR="00B71307" w:rsidRPr="00411046">
        <w:rPr>
          <w:rFonts w:eastAsia="MS Mincho" w:cs="Arial"/>
          <w:szCs w:val="24"/>
        </w:rPr>
        <w:t xml:space="preserve"> one study </w:t>
      </w:r>
      <w:r w:rsidR="00B71307" w:rsidRPr="00411046">
        <w:rPr>
          <w:rFonts w:eastAsia="MS Mincho" w:cs="Arial"/>
          <w:szCs w:val="24"/>
        </w:rPr>
        <w:lastRenderedPageBreak/>
        <w:t>looked at the use o</w:t>
      </w:r>
      <w:r w:rsidR="00B71307">
        <w:rPr>
          <w:rFonts w:eastAsia="MS Mincho" w:cs="Arial"/>
          <w:szCs w:val="24"/>
        </w:rPr>
        <w:t>f HM</w:t>
      </w:r>
      <w:r w:rsidR="00B71307" w:rsidRPr="00411046">
        <w:rPr>
          <w:rFonts w:eastAsia="MS Mincho" w:cs="Arial"/>
          <w:szCs w:val="24"/>
        </w:rPr>
        <w:t xml:space="preserve"> </w:t>
      </w:r>
      <w:r w:rsidR="00B71307">
        <w:rPr>
          <w:rFonts w:eastAsia="MS Mincho" w:cs="Arial"/>
          <w:szCs w:val="24"/>
        </w:rPr>
        <w:t xml:space="preserve">only </w:t>
      </w:r>
      <w:r w:rsidR="00B71307" w:rsidRPr="00411046">
        <w:rPr>
          <w:rFonts w:eastAsia="MS Mincho" w:cs="Arial"/>
          <w:szCs w:val="24"/>
        </w:rPr>
        <w:t>(Williams 2008)</w:t>
      </w:r>
      <w:r w:rsidR="00B71307">
        <w:rPr>
          <w:rFonts w:eastAsia="MS Mincho" w:cs="Arial"/>
          <w:szCs w:val="24"/>
        </w:rPr>
        <w:t xml:space="preserve">. Horsburgh et al. (2008) evaluated HM and NL. The remaining </w:t>
      </w:r>
      <w:r w:rsidR="007C067E">
        <w:rPr>
          <w:rFonts w:eastAsia="MS Mincho" w:cs="Arial"/>
          <w:szCs w:val="24"/>
        </w:rPr>
        <w:t xml:space="preserve">two </w:t>
      </w:r>
      <w:r w:rsidR="00CB6C04">
        <w:rPr>
          <w:rFonts w:eastAsia="MS Mincho" w:cs="Arial"/>
          <w:szCs w:val="24"/>
        </w:rPr>
        <w:t>studies were less specific about the interventions applied to maintain NGT feeding</w:t>
      </w:r>
      <w:r w:rsidR="00B71307" w:rsidRPr="00411046">
        <w:rPr>
          <w:rFonts w:eastAsia="MS Mincho" w:cs="Arial"/>
          <w:szCs w:val="24"/>
        </w:rPr>
        <w:t xml:space="preserve"> (Quill 1989; Ciocon et al. 1988</w:t>
      </w:r>
      <w:r w:rsidR="00B71307">
        <w:rPr>
          <w:rFonts w:eastAsia="MS Mincho" w:cs="Arial"/>
          <w:szCs w:val="24"/>
        </w:rPr>
        <w:t>)</w:t>
      </w:r>
      <w:r w:rsidR="00CB6C04">
        <w:rPr>
          <w:rFonts w:eastAsia="MS Mincho" w:cs="Arial"/>
          <w:szCs w:val="24"/>
        </w:rPr>
        <w:t>. Ciocon et al. (1988) refer to using HM and wrist restraints</w:t>
      </w:r>
      <w:r w:rsidR="008126FA">
        <w:rPr>
          <w:rFonts w:eastAsia="MS Mincho" w:cs="Arial"/>
          <w:szCs w:val="24"/>
        </w:rPr>
        <w:t xml:space="preserve"> </w:t>
      </w:r>
      <w:r w:rsidR="00CB6C04">
        <w:rPr>
          <w:rFonts w:eastAsia="MS Mincho" w:cs="Arial"/>
          <w:szCs w:val="24"/>
        </w:rPr>
        <w:t xml:space="preserve">whereas Quill (1989) refers only to the use of restraint </w:t>
      </w:r>
      <w:r>
        <w:rPr>
          <w:rFonts w:eastAsia="MS Mincho" w:cs="Arial"/>
          <w:b/>
          <w:szCs w:val="24"/>
        </w:rPr>
        <w:t>(see Table 2</w:t>
      </w:r>
      <w:r w:rsidR="008126FA" w:rsidRPr="00A76875">
        <w:rPr>
          <w:rFonts w:eastAsia="MS Mincho" w:cs="Arial"/>
          <w:b/>
          <w:szCs w:val="24"/>
        </w:rPr>
        <w:t>)</w:t>
      </w:r>
      <w:r w:rsidR="00B71307" w:rsidRPr="00A76875">
        <w:rPr>
          <w:rFonts w:eastAsia="MS Mincho" w:cs="Arial"/>
          <w:b/>
          <w:szCs w:val="24"/>
        </w:rPr>
        <w:t>.</w:t>
      </w:r>
    </w:p>
    <w:p w14:paraId="4690CB03" w14:textId="77777777" w:rsidR="007C067E" w:rsidRDefault="007C067E" w:rsidP="000F18EA">
      <w:pPr>
        <w:pStyle w:val="Heading4"/>
      </w:pPr>
    </w:p>
    <w:p w14:paraId="4A816D7A" w14:textId="6D736E58" w:rsidR="00B71307" w:rsidRPr="00B71307" w:rsidRDefault="00790261" w:rsidP="000F18EA">
      <w:pPr>
        <w:pStyle w:val="Heading4"/>
      </w:pPr>
      <w:r w:rsidRPr="003B4898">
        <w:rPr>
          <w:highlight w:val="yellow"/>
        </w:rPr>
        <w:t>[Insert Table 2</w:t>
      </w:r>
      <w:r w:rsidR="00B71307" w:rsidRPr="003B4898">
        <w:rPr>
          <w:highlight w:val="yellow"/>
        </w:rPr>
        <w:t xml:space="preserve"> here.]</w:t>
      </w:r>
    </w:p>
    <w:p w14:paraId="055DEB82" w14:textId="77777777" w:rsidR="00B71307" w:rsidRDefault="00B71307" w:rsidP="000F18EA">
      <w:pPr>
        <w:pStyle w:val="Heading4"/>
      </w:pPr>
    </w:p>
    <w:p w14:paraId="73AD87A0" w14:textId="32C140F1" w:rsidR="00B71307" w:rsidRDefault="00B71307" w:rsidP="00D74F4A">
      <w:pPr>
        <w:rPr>
          <w:b/>
        </w:rPr>
      </w:pPr>
      <w:r w:rsidRPr="003B4898">
        <w:rPr>
          <w:b/>
          <w:highlight w:val="yellow"/>
          <w:lang w:eastAsia="en-US"/>
        </w:rPr>
        <w:t>Effectiveness</w:t>
      </w:r>
    </w:p>
    <w:p w14:paraId="2F8F3C6E" w14:textId="77777777" w:rsidR="00B71307" w:rsidRDefault="00B71307" w:rsidP="00D74F4A">
      <w:pPr>
        <w:rPr>
          <w:b/>
        </w:rPr>
      </w:pPr>
    </w:p>
    <w:p w14:paraId="28FAB7D5" w14:textId="3902CCD7" w:rsidR="00173ACD" w:rsidRPr="00411046" w:rsidRDefault="00B71307" w:rsidP="00173ACD">
      <w:pPr>
        <w:spacing w:line="480" w:lineRule="auto"/>
        <w:rPr>
          <w:rFonts w:eastAsia="MS Mincho" w:cs="Arial"/>
          <w:szCs w:val="24"/>
        </w:rPr>
      </w:pPr>
      <w:r w:rsidRPr="00D74F4A">
        <w:rPr>
          <w:lang w:eastAsia="en-US"/>
        </w:rPr>
        <w:t>Nasal Loop</w:t>
      </w:r>
      <w:r w:rsidRPr="00D74F4A">
        <w:rPr>
          <w:lang w:eastAsia="en-US"/>
        </w:rPr>
        <w:br/>
      </w:r>
      <w:r w:rsidR="00323FE4">
        <w:rPr>
          <w:rFonts w:eastAsia="MS Mincho" w:cs="Arial"/>
          <w:bCs/>
          <w:szCs w:val="24"/>
        </w:rPr>
        <w:t>Two studies</w:t>
      </w:r>
      <w:r w:rsidR="00CD576E">
        <w:rPr>
          <w:rFonts w:eastAsia="MS Mincho" w:cs="Arial"/>
          <w:bCs/>
          <w:szCs w:val="24"/>
        </w:rPr>
        <w:t xml:space="preserve"> have</w:t>
      </w:r>
      <w:r w:rsidR="00323FE4">
        <w:rPr>
          <w:rFonts w:eastAsia="MS Mincho" w:cs="Arial"/>
          <w:bCs/>
          <w:szCs w:val="24"/>
        </w:rPr>
        <w:t xml:space="preserve"> investigated the effecti</w:t>
      </w:r>
      <w:r w:rsidR="00CB6C04">
        <w:rPr>
          <w:rFonts w:eastAsia="MS Mincho" w:cs="Arial"/>
          <w:bCs/>
          <w:szCs w:val="24"/>
        </w:rPr>
        <w:t>veness of NL (Beavan et al 2010;</w:t>
      </w:r>
      <w:r w:rsidR="00323FE4">
        <w:rPr>
          <w:rFonts w:eastAsia="MS Mincho" w:cs="Arial"/>
          <w:bCs/>
          <w:szCs w:val="24"/>
        </w:rPr>
        <w:t xml:space="preserve"> Anderson et al 2004). </w:t>
      </w:r>
      <w:r w:rsidR="00173ACD" w:rsidRPr="00411046">
        <w:rPr>
          <w:rFonts w:eastAsia="MS Mincho" w:cs="Arial"/>
          <w:bCs/>
          <w:szCs w:val="24"/>
        </w:rPr>
        <w:t>Beavan et al. (2010) report significantly improved delivery of feed and flu</w:t>
      </w:r>
      <w:r w:rsidR="00173ACD">
        <w:rPr>
          <w:rFonts w:eastAsia="MS Mincho" w:cs="Arial"/>
          <w:bCs/>
          <w:szCs w:val="24"/>
        </w:rPr>
        <w:t>id in the NL</w:t>
      </w:r>
      <w:r w:rsidR="00173ACD" w:rsidRPr="00411046">
        <w:rPr>
          <w:rFonts w:eastAsia="MS Mincho" w:cs="Arial"/>
          <w:bCs/>
          <w:szCs w:val="24"/>
        </w:rPr>
        <w:t xml:space="preserve"> group (p=0.002), reduced electrolyte abnormality (31% vs 58%) compared to conventional feeding. Anderson et al. (2004) </w:t>
      </w:r>
      <w:r w:rsidR="00173ACD">
        <w:rPr>
          <w:rFonts w:eastAsia="MS Mincho" w:cs="Arial"/>
          <w:bCs/>
          <w:szCs w:val="24"/>
        </w:rPr>
        <w:t>report that 57% (n=8/14)</w:t>
      </w:r>
      <w:r w:rsidR="00173ACD" w:rsidRPr="00411046">
        <w:rPr>
          <w:rFonts w:eastAsia="MS Mincho" w:cs="Arial"/>
          <w:bCs/>
          <w:szCs w:val="24"/>
        </w:rPr>
        <w:t xml:space="preserve"> patients were successfully maintained </w:t>
      </w:r>
      <w:r w:rsidR="00201B4D">
        <w:rPr>
          <w:rFonts w:eastAsia="MS Mincho" w:cs="Arial"/>
          <w:bCs/>
          <w:szCs w:val="24"/>
        </w:rPr>
        <w:t>on NGT feeding with a</w:t>
      </w:r>
      <w:r w:rsidR="00173ACD">
        <w:rPr>
          <w:rFonts w:eastAsia="MS Mincho" w:cs="Arial"/>
          <w:bCs/>
          <w:szCs w:val="24"/>
        </w:rPr>
        <w:t xml:space="preserve"> NL</w:t>
      </w:r>
      <w:r w:rsidR="00173ACD" w:rsidRPr="00411046">
        <w:rPr>
          <w:rFonts w:eastAsia="MS Mincho" w:cs="Arial"/>
          <w:bCs/>
          <w:szCs w:val="24"/>
        </w:rPr>
        <w:t xml:space="preserve">, with a </w:t>
      </w:r>
      <w:r w:rsidR="00173ACD" w:rsidRPr="00411046">
        <w:rPr>
          <w:rFonts w:eastAsia="MS Mincho" w:cs="Arial"/>
          <w:szCs w:val="24"/>
        </w:rPr>
        <w:t xml:space="preserve">100% increase in feed delivery. </w:t>
      </w:r>
    </w:p>
    <w:p w14:paraId="356B2EE9" w14:textId="77777777" w:rsidR="00173ACD" w:rsidRPr="00411046" w:rsidRDefault="00173ACD" w:rsidP="00173ACD">
      <w:pPr>
        <w:spacing w:line="480" w:lineRule="auto"/>
        <w:rPr>
          <w:rFonts w:eastAsia="MS Mincho" w:cs="Arial"/>
          <w:szCs w:val="24"/>
        </w:rPr>
      </w:pPr>
    </w:p>
    <w:p w14:paraId="6BF373E3" w14:textId="1F4A16AB" w:rsidR="00173ACD" w:rsidRPr="005A4C5C" w:rsidRDefault="00173ACD" w:rsidP="00173ACD">
      <w:pPr>
        <w:spacing w:line="480" w:lineRule="auto"/>
        <w:rPr>
          <w:rFonts w:eastAsia="MS Mincho" w:cs="Arial"/>
          <w:bCs/>
          <w:szCs w:val="24"/>
        </w:rPr>
      </w:pPr>
      <w:r w:rsidRPr="00411046">
        <w:rPr>
          <w:rFonts w:eastAsia="MS Mincho" w:cs="Arial"/>
          <w:szCs w:val="24"/>
        </w:rPr>
        <w:t xml:space="preserve">Beavan et al. (2010) report </w:t>
      </w:r>
      <w:r>
        <w:rPr>
          <w:rFonts w:eastAsia="MS Mincho" w:cs="Arial"/>
          <w:szCs w:val="24"/>
        </w:rPr>
        <w:t xml:space="preserve">using </w:t>
      </w:r>
      <w:r>
        <w:rPr>
          <w:rFonts w:eastAsia="MS Mincho" w:cs="Arial"/>
          <w:bCs/>
          <w:szCs w:val="24"/>
        </w:rPr>
        <w:t>fewer NGT</w:t>
      </w:r>
      <w:r w:rsidRPr="00411046">
        <w:rPr>
          <w:rFonts w:eastAsia="MS Mincho" w:cs="Arial"/>
          <w:bCs/>
          <w:szCs w:val="24"/>
        </w:rPr>
        <w:t xml:space="preserve"> in the </w:t>
      </w:r>
      <w:r>
        <w:rPr>
          <w:rFonts w:eastAsia="MS Mincho" w:cs="Arial"/>
          <w:bCs/>
          <w:szCs w:val="24"/>
        </w:rPr>
        <w:t>NL</w:t>
      </w:r>
      <w:r w:rsidRPr="00411046">
        <w:rPr>
          <w:rFonts w:eastAsia="MS Mincho" w:cs="Arial"/>
          <w:bCs/>
          <w:szCs w:val="24"/>
        </w:rPr>
        <w:t xml:space="preserve"> group and fewer x-rays performed to confirm position. However, reasons for NGT dislodgement</w:t>
      </w:r>
      <w:r w:rsidR="007C067E">
        <w:rPr>
          <w:rFonts w:eastAsia="MS Mincho" w:cs="Arial"/>
          <w:bCs/>
          <w:szCs w:val="24"/>
        </w:rPr>
        <w:t>,</w:t>
      </w:r>
      <w:r w:rsidRPr="00411046">
        <w:rPr>
          <w:rFonts w:eastAsia="MS Mincho" w:cs="Arial"/>
          <w:bCs/>
          <w:szCs w:val="24"/>
        </w:rPr>
        <w:t xml:space="preserve"> which may b</w:t>
      </w:r>
      <w:r>
        <w:rPr>
          <w:rFonts w:eastAsia="MS Mincho" w:cs="Arial"/>
          <w:bCs/>
          <w:szCs w:val="24"/>
        </w:rPr>
        <w:t>e directly indicative of NL</w:t>
      </w:r>
      <w:r w:rsidRPr="00411046">
        <w:rPr>
          <w:rFonts w:eastAsia="MS Mincho" w:cs="Arial"/>
          <w:bCs/>
          <w:szCs w:val="24"/>
        </w:rPr>
        <w:t xml:space="preserve"> effectiveness</w:t>
      </w:r>
      <w:r w:rsidR="007C067E">
        <w:rPr>
          <w:rFonts w:eastAsia="MS Mincho" w:cs="Arial"/>
          <w:bCs/>
          <w:szCs w:val="24"/>
        </w:rPr>
        <w:t>,</w:t>
      </w:r>
      <w:r w:rsidRPr="00411046">
        <w:rPr>
          <w:rFonts w:eastAsia="MS Mincho" w:cs="Arial"/>
          <w:bCs/>
          <w:szCs w:val="24"/>
        </w:rPr>
        <w:t xml:space="preserve"> are not stated. Anderson et al. (2004) do not record the </w:t>
      </w:r>
      <w:r>
        <w:rPr>
          <w:rFonts w:eastAsia="MS Mincho" w:cs="Arial"/>
          <w:bCs/>
          <w:szCs w:val="24"/>
        </w:rPr>
        <w:t>number of NGT</w:t>
      </w:r>
      <w:r w:rsidRPr="00411046">
        <w:rPr>
          <w:rFonts w:eastAsia="MS Mincho" w:cs="Arial"/>
          <w:bCs/>
          <w:szCs w:val="24"/>
        </w:rPr>
        <w:t xml:space="preserve"> inserted or dislodged </w:t>
      </w:r>
      <w:r>
        <w:rPr>
          <w:rFonts w:eastAsia="MS Mincho" w:cs="Arial"/>
          <w:bCs/>
          <w:szCs w:val="24"/>
        </w:rPr>
        <w:t>pre or post NL</w:t>
      </w:r>
      <w:r w:rsidRPr="00411046">
        <w:rPr>
          <w:rFonts w:eastAsia="MS Mincho" w:cs="Arial"/>
          <w:bCs/>
          <w:szCs w:val="24"/>
        </w:rPr>
        <w:t>; both studies do confir</w:t>
      </w:r>
      <w:r>
        <w:rPr>
          <w:rFonts w:eastAsia="MS Mincho" w:cs="Arial"/>
          <w:bCs/>
          <w:szCs w:val="24"/>
        </w:rPr>
        <w:t>m that NGT removal with the NL</w:t>
      </w:r>
      <w:r w:rsidRPr="00411046">
        <w:rPr>
          <w:rFonts w:eastAsia="MS Mincho" w:cs="Arial"/>
          <w:bCs/>
          <w:szCs w:val="24"/>
        </w:rPr>
        <w:t xml:space="preserve"> in situ did occur.</w:t>
      </w:r>
      <w:r>
        <w:rPr>
          <w:rFonts w:eastAsia="MS Mincho" w:cs="Arial"/>
          <w:bCs/>
          <w:szCs w:val="24"/>
        </w:rPr>
        <w:t xml:space="preserve"> </w:t>
      </w:r>
      <w:r w:rsidRPr="00411046">
        <w:rPr>
          <w:rFonts w:eastAsia="MS Mincho" w:cs="Arial"/>
          <w:bCs/>
          <w:szCs w:val="24"/>
        </w:rPr>
        <w:t xml:space="preserve">Beavan et al. (2010) report that both intervention and control group lost weight over the study </w:t>
      </w:r>
      <w:r w:rsidR="007C067E">
        <w:rPr>
          <w:rFonts w:eastAsia="MS Mincho" w:cs="Arial"/>
          <w:bCs/>
          <w:szCs w:val="24"/>
        </w:rPr>
        <w:t>duration. The</w:t>
      </w:r>
      <w:r>
        <w:rPr>
          <w:rFonts w:eastAsia="MS Mincho" w:cs="Arial"/>
          <w:bCs/>
          <w:szCs w:val="24"/>
        </w:rPr>
        <w:t xml:space="preserve"> </w:t>
      </w:r>
      <w:r w:rsidRPr="00411046">
        <w:rPr>
          <w:rFonts w:eastAsia="MS Mincho" w:cs="Arial"/>
          <w:bCs/>
          <w:szCs w:val="24"/>
        </w:rPr>
        <w:t xml:space="preserve">differences between the two groups were minimal with the mean weight loss being </w:t>
      </w:r>
      <w:r w:rsidRPr="00411046">
        <w:rPr>
          <w:rFonts w:eastAsia="MS Mincho" w:cs="Arial"/>
          <w:bCs/>
          <w:szCs w:val="24"/>
        </w:rPr>
        <w:lastRenderedPageBreak/>
        <w:t>3kg (</w:t>
      </w:r>
      <w:r>
        <w:rPr>
          <w:rFonts w:eastAsia="MS Mincho" w:cs="Arial"/>
          <w:bCs/>
          <w:szCs w:val="24"/>
        </w:rPr>
        <w:t>NL</w:t>
      </w:r>
      <w:r w:rsidRPr="00411046">
        <w:rPr>
          <w:rFonts w:eastAsia="MS Mincho" w:cs="Arial"/>
          <w:bCs/>
          <w:szCs w:val="24"/>
        </w:rPr>
        <w:t xml:space="preserve"> group 3.3kg; </w:t>
      </w:r>
      <w:r>
        <w:rPr>
          <w:rFonts w:eastAsia="MS Mincho" w:cs="Arial"/>
          <w:bCs/>
          <w:szCs w:val="24"/>
        </w:rPr>
        <w:t>conventional NGT</w:t>
      </w:r>
      <w:r w:rsidRPr="00411046">
        <w:rPr>
          <w:rFonts w:eastAsia="MS Mincho" w:cs="Arial"/>
          <w:bCs/>
          <w:szCs w:val="24"/>
        </w:rPr>
        <w:t xml:space="preserve"> 2.9kg). Anderson et al. (2004) do not report on this aspect of NG</w:t>
      </w:r>
      <w:r>
        <w:rPr>
          <w:rFonts w:eastAsia="MS Mincho" w:cs="Arial"/>
          <w:bCs/>
          <w:szCs w:val="24"/>
        </w:rPr>
        <w:t>T</w:t>
      </w:r>
      <w:r w:rsidRPr="00411046">
        <w:rPr>
          <w:rFonts w:eastAsia="MS Mincho" w:cs="Arial"/>
          <w:bCs/>
          <w:szCs w:val="24"/>
        </w:rPr>
        <w:t xml:space="preserve"> feeding</w:t>
      </w:r>
      <w:r>
        <w:rPr>
          <w:rFonts w:eastAsia="MS Mincho" w:cs="Arial"/>
          <w:bCs/>
          <w:szCs w:val="24"/>
        </w:rPr>
        <w:t xml:space="preserve"> with the NL</w:t>
      </w:r>
      <w:r w:rsidRPr="00411046">
        <w:rPr>
          <w:rFonts w:eastAsia="MS Mincho" w:cs="Arial"/>
          <w:bCs/>
          <w:szCs w:val="24"/>
        </w:rPr>
        <w:t xml:space="preserve">. </w:t>
      </w:r>
    </w:p>
    <w:p w14:paraId="250E034E" w14:textId="3DE94C39" w:rsidR="00B71307" w:rsidRDefault="00B71307" w:rsidP="00D74F4A">
      <w:r w:rsidRPr="00D74F4A">
        <w:rPr>
          <w:lang w:eastAsia="en-US"/>
        </w:rPr>
        <w:br/>
        <w:t>Hand Mitten</w:t>
      </w:r>
    </w:p>
    <w:p w14:paraId="212EF000" w14:textId="7F060706" w:rsidR="000F18EA" w:rsidRDefault="00323FE4" w:rsidP="000F18EA">
      <w:pPr>
        <w:spacing w:line="480" w:lineRule="auto"/>
        <w:rPr>
          <w:rFonts w:eastAsia="MS Mincho" w:cs="Arial"/>
          <w:bCs/>
          <w:szCs w:val="24"/>
        </w:rPr>
      </w:pPr>
      <w:r>
        <w:rPr>
          <w:rFonts w:eastAsia="MS Mincho" w:cs="Arial"/>
          <w:bCs/>
          <w:szCs w:val="24"/>
        </w:rPr>
        <w:t>One study has assessed the effectiveness of HM (Williams 2008).  This st</w:t>
      </w:r>
      <w:r w:rsidR="00D74F4A">
        <w:rPr>
          <w:rFonts w:eastAsia="MS Mincho" w:cs="Arial"/>
          <w:bCs/>
          <w:szCs w:val="24"/>
        </w:rPr>
        <w:t>udy</w:t>
      </w:r>
      <w:r>
        <w:rPr>
          <w:rFonts w:eastAsia="MS Mincho" w:cs="Arial"/>
          <w:bCs/>
          <w:szCs w:val="24"/>
        </w:rPr>
        <w:t xml:space="preserve"> examined</w:t>
      </w:r>
      <w:r w:rsidR="000F18EA">
        <w:rPr>
          <w:rFonts w:eastAsia="MS Mincho" w:cs="Arial"/>
          <w:bCs/>
          <w:szCs w:val="24"/>
        </w:rPr>
        <w:t xml:space="preserve"> the use of </w:t>
      </w:r>
      <w:r w:rsidR="000F18EA" w:rsidRPr="00411046">
        <w:rPr>
          <w:rFonts w:eastAsia="MS Mincho" w:cs="Arial"/>
          <w:bCs/>
          <w:szCs w:val="24"/>
        </w:rPr>
        <w:t xml:space="preserve">mittens in a sample of </w:t>
      </w:r>
      <w:r w:rsidR="000F18EA">
        <w:rPr>
          <w:rFonts w:eastAsia="MS Mincho" w:cs="Arial"/>
          <w:bCs/>
          <w:szCs w:val="24"/>
        </w:rPr>
        <w:t>(</w:t>
      </w:r>
      <w:r w:rsidR="000F18EA" w:rsidRPr="00411046">
        <w:rPr>
          <w:rFonts w:eastAsia="MS Mincho" w:cs="Arial"/>
          <w:bCs/>
          <w:szCs w:val="24"/>
        </w:rPr>
        <w:t>n=7</w:t>
      </w:r>
      <w:r w:rsidR="000F18EA">
        <w:rPr>
          <w:rFonts w:eastAsia="MS Mincho" w:cs="Arial"/>
          <w:bCs/>
          <w:szCs w:val="24"/>
        </w:rPr>
        <w:t xml:space="preserve">) of which </w:t>
      </w:r>
      <w:r w:rsidR="000F18EA" w:rsidRPr="00411046">
        <w:rPr>
          <w:rFonts w:eastAsia="MS Mincho" w:cs="Arial"/>
          <w:bCs/>
          <w:szCs w:val="24"/>
        </w:rPr>
        <w:t>(n=4</w:t>
      </w:r>
      <w:r w:rsidR="000F18EA">
        <w:rPr>
          <w:rFonts w:eastAsia="MS Mincho" w:cs="Arial"/>
          <w:bCs/>
          <w:szCs w:val="24"/>
        </w:rPr>
        <w:t>) were stroke patients</w:t>
      </w:r>
      <w:r w:rsidR="000F18EA" w:rsidRPr="00411046">
        <w:rPr>
          <w:rFonts w:eastAsia="MS Mincho" w:cs="Arial"/>
          <w:bCs/>
          <w:szCs w:val="24"/>
        </w:rPr>
        <w:t xml:space="preserve"> who had previously dislodged more than two NG</w:t>
      </w:r>
      <w:r w:rsidR="000F18EA">
        <w:rPr>
          <w:rFonts w:eastAsia="MS Mincho" w:cs="Arial"/>
          <w:bCs/>
          <w:szCs w:val="24"/>
        </w:rPr>
        <w:t xml:space="preserve">T’s </w:t>
      </w:r>
      <w:r w:rsidR="000F18EA" w:rsidRPr="00411046">
        <w:rPr>
          <w:rFonts w:eastAsia="MS Mincho" w:cs="Arial"/>
          <w:bCs/>
          <w:szCs w:val="24"/>
        </w:rPr>
        <w:t>due to agitation. Two patients were able to giv</w:t>
      </w:r>
      <w:r w:rsidR="000F18EA">
        <w:rPr>
          <w:rFonts w:eastAsia="MS Mincho" w:cs="Arial"/>
          <w:bCs/>
          <w:szCs w:val="24"/>
        </w:rPr>
        <w:t>e consent to wearing HM</w:t>
      </w:r>
      <w:r w:rsidR="000F18EA" w:rsidRPr="00411046">
        <w:rPr>
          <w:rFonts w:eastAsia="MS Mincho" w:cs="Arial"/>
          <w:bCs/>
          <w:szCs w:val="24"/>
        </w:rPr>
        <w:t xml:space="preserve">, for the remaining five participants assent was obtained from either family or consultant. Although indications for the use of hand mittens are recorded, their effectiveness </w:t>
      </w:r>
      <w:r w:rsidR="000F18EA">
        <w:rPr>
          <w:rFonts w:eastAsia="MS Mincho" w:cs="Arial"/>
          <w:bCs/>
          <w:szCs w:val="24"/>
        </w:rPr>
        <w:t>were not ascertained</w:t>
      </w:r>
      <w:r w:rsidR="000F18EA" w:rsidRPr="00411046">
        <w:rPr>
          <w:rFonts w:eastAsia="MS Mincho" w:cs="Arial"/>
          <w:bCs/>
          <w:szCs w:val="24"/>
        </w:rPr>
        <w:t xml:space="preserve">. </w:t>
      </w:r>
    </w:p>
    <w:p w14:paraId="3C2E56F6" w14:textId="77777777" w:rsidR="00F113B9" w:rsidRDefault="00F113B9" w:rsidP="00F113B9">
      <w:pPr>
        <w:spacing w:line="480" w:lineRule="auto"/>
        <w:rPr>
          <w:rFonts w:eastAsia="MS Mincho" w:cs="Arial"/>
          <w:bCs/>
          <w:szCs w:val="24"/>
        </w:rPr>
      </w:pPr>
    </w:p>
    <w:p w14:paraId="761C712A" w14:textId="5C911C8B" w:rsidR="00F113B9" w:rsidRPr="00751902" w:rsidRDefault="00F113B9" w:rsidP="00F113B9">
      <w:pPr>
        <w:spacing w:line="480" w:lineRule="auto"/>
        <w:rPr>
          <w:rFonts w:eastAsia="MS Mincho" w:cs="Arial"/>
          <w:bCs/>
          <w:szCs w:val="24"/>
        </w:rPr>
      </w:pPr>
      <w:r>
        <w:rPr>
          <w:rFonts w:eastAsia="MS Mincho" w:cs="Arial"/>
          <w:bCs/>
          <w:szCs w:val="24"/>
        </w:rPr>
        <w:t>Studies conducted by Ciocon et al. (1988) and Quill (1989) addressed</w:t>
      </w:r>
      <w:r w:rsidR="001439A7">
        <w:rPr>
          <w:rFonts w:eastAsia="MS Mincho" w:cs="Arial"/>
          <w:bCs/>
          <w:szCs w:val="24"/>
        </w:rPr>
        <w:t xml:space="preserve"> HM but</w:t>
      </w:r>
      <w:r>
        <w:rPr>
          <w:rFonts w:eastAsia="MS Mincho" w:cs="Arial"/>
          <w:bCs/>
          <w:szCs w:val="24"/>
        </w:rPr>
        <w:t xml:space="preserve"> more specifically restraint</w:t>
      </w:r>
      <w:r w:rsidR="001439A7">
        <w:rPr>
          <w:rFonts w:eastAsia="MS Mincho" w:cs="Arial"/>
          <w:bCs/>
          <w:szCs w:val="24"/>
        </w:rPr>
        <w:t>. T</w:t>
      </w:r>
      <w:r>
        <w:rPr>
          <w:rFonts w:eastAsia="MS Mincho" w:cs="Arial"/>
          <w:bCs/>
          <w:szCs w:val="24"/>
        </w:rPr>
        <w:t>hey did not add any further evidence about the</w:t>
      </w:r>
      <w:r w:rsidR="001439A7">
        <w:rPr>
          <w:rFonts w:eastAsia="MS Mincho" w:cs="Arial"/>
          <w:bCs/>
          <w:szCs w:val="24"/>
        </w:rPr>
        <w:t xml:space="preserve"> </w:t>
      </w:r>
      <w:r>
        <w:rPr>
          <w:rFonts w:eastAsia="MS Mincho" w:cs="Arial"/>
          <w:bCs/>
          <w:szCs w:val="24"/>
        </w:rPr>
        <w:t>effectiveness</w:t>
      </w:r>
      <w:r w:rsidR="001439A7">
        <w:rPr>
          <w:rFonts w:eastAsia="MS Mincho" w:cs="Arial"/>
          <w:bCs/>
          <w:szCs w:val="24"/>
        </w:rPr>
        <w:t xml:space="preserve"> of HM with stroke patients, only that gastrostomy tubes were seen as better tolerated than NGT and negated the need for wrist restraints or hand mittens (Ciocon et al</w:t>
      </w:r>
      <w:r>
        <w:rPr>
          <w:rFonts w:eastAsia="MS Mincho" w:cs="Arial"/>
          <w:bCs/>
          <w:szCs w:val="24"/>
        </w:rPr>
        <w:t>.</w:t>
      </w:r>
      <w:r w:rsidR="001439A7">
        <w:rPr>
          <w:rFonts w:eastAsia="MS Mincho" w:cs="Arial"/>
          <w:bCs/>
          <w:szCs w:val="24"/>
        </w:rPr>
        <w:t xml:space="preserve"> 1988).</w:t>
      </w:r>
      <w:r>
        <w:rPr>
          <w:rFonts w:eastAsia="MS Mincho" w:cs="Arial"/>
          <w:bCs/>
          <w:szCs w:val="24"/>
        </w:rPr>
        <w:t xml:space="preserve"> </w:t>
      </w:r>
    </w:p>
    <w:p w14:paraId="76C6A65E" w14:textId="77777777" w:rsidR="00B71307" w:rsidRDefault="00B71307" w:rsidP="00524CAB">
      <w:pPr>
        <w:rPr>
          <w:b/>
        </w:rPr>
      </w:pPr>
    </w:p>
    <w:p w14:paraId="3A1E0C16" w14:textId="77777777" w:rsidR="00B71307" w:rsidRDefault="00B71307" w:rsidP="00524CAB">
      <w:pPr>
        <w:rPr>
          <w:b/>
        </w:rPr>
      </w:pPr>
    </w:p>
    <w:p w14:paraId="2DC2789E" w14:textId="534CA6E7" w:rsidR="00B71307" w:rsidRDefault="00B71307" w:rsidP="00524CAB">
      <w:pPr>
        <w:rPr>
          <w:b/>
        </w:rPr>
      </w:pPr>
      <w:r w:rsidRPr="003B4898">
        <w:rPr>
          <w:b/>
          <w:highlight w:val="yellow"/>
          <w:lang w:eastAsia="en-US"/>
        </w:rPr>
        <w:t>Acceptability</w:t>
      </w:r>
    </w:p>
    <w:p w14:paraId="42E12B73" w14:textId="77777777" w:rsidR="00B71307" w:rsidRDefault="00B71307" w:rsidP="00524CAB">
      <w:pPr>
        <w:rPr>
          <w:b/>
        </w:rPr>
      </w:pPr>
    </w:p>
    <w:p w14:paraId="3EABDABD" w14:textId="608BC9B2" w:rsidR="00B71307" w:rsidRPr="002B6F41" w:rsidRDefault="00B71307" w:rsidP="00524CAB">
      <w:r w:rsidRPr="00D74F4A">
        <w:rPr>
          <w:lang w:eastAsia="en-US"/>
        </w:rPr>
        <w:t>Nasal Loop</w:t>
      </w:r>
    </w:p>
    <w:p w14:paraId="7EDCF752" w14:textId="77777777" w:rsidR="00201B4D" w:rsidRDefault="00CD576E" w:rsidP="00173ACD">
      <w:pPr>
        <w:spacing w:line="480" w:lineRule="auto"/>
        <w:rPr>
          <w:rFonts w:eastAsia="MS Mincho" w:cs="Arial"/>
          <w:bCs/>
          <w:szCs w:val="24"/>
        </w:rPr>
      </w:pPr>
      <w:r>
        <w:rPr>
          <w:rFonts w:eastAsia="MS Mincho" w:cs="Arial"/>
          <w:bCs/>
          <w:szCs w:val="24"/>
        </w:rPr>
        <w:t xml:space="preserve">Three studies have assessed aspects of acceptability of NL (Horsburgh et al 2008, Beavan et al 2010, Anderson et al 2004).  </w:t>
      </w:r>
      <w:r w:rsidRPr="00411046">
        <w:rPr>
          <w:rFonts w:eastAsia="MS Mincho" w:cs="Arial"/>
          <w:bCs/>
          <w:szCs w:val="24"/>
        </w:rPr>
        <w:t xml:space="preserve">Beavan et al. (2010) observed adverse events associated with NGT feeding and although not deemed to be significant, the </w:t>
      </w:r>
      <w:r>
        <w:rPr>
          <w:rFonts w:eastAsia="MS Mincho" w:cs="Arial"/>
          <w:bCs/>
          <w:szCs w:val="24"/>
        </w:rPr>
        <w:t>NL</w:t>
      </w:r>
      <w:r w:rsidRPr="00411046">
        <w:rPr>
          <w:rFonts w:eastAsia="MS Mincho" w:cs="Arial"/>
          <w:bCs/>
          <w:szCs w:val="24"/>
        </w:rPr>
        <w:t xml:space="preserve"> group experienced 37% (n=19/51) more nasal trauma compared to 15% (n=8/53) with conventional NGT feeding, specific details o</w:t>
      </w:r>
      <w:r>
        <w:rPr>
          <w:rFonts w:eastAsia="MS Mincho" w:cs="Arial"/>
          <w:bCs/>
          <w:szCs w:val="24"/>
        </w:rPr>
        <w:t>f ‘trauma’ are not provided, although</w:t>
      </w:r>
      <w:r w:rsidRPr="00411046">
        <w:rPr>
          <w:rFonts w:eastAsia="MS Mincho" w:cs="Arial"/>
          <w:bCs/>
          <w:szCs w:val="24"/>
        </w:rPr>
        <w:t xml:space="preserve"> no medical intervention was required. </w:t>
      </w:r>
      <w:r>
        <w:rPr>
          <w:rFonts w:eastAsia="MS Mincho" w:cs="Arial"/>
          <w:szCs w:val="24"/>
        </w:rPr>
        <w:t xml:space="preserve">Anderson et al. (2004) report that </w:t>
      </w:r>
      <w:r w:rsidRPr="00411046">
        <w:rPr>
          <w:rFonts w:eastAsia="MS Mincho" w:cs="Arial"/>
          <w:bCs/>
          <w:szCs w:val="24"/>
        </w:rPr>
        <w:t xml:space="preserve">43% </w:t>
      </w:r>
      <w:r w:rsidRPr="00411046">
        <w:rPr>
          <w:rFonts w:eastAsia="MS Mincho" w:cs="Arial"/>
          <w:bCs/>
          <w:szCs w:val="24"/>
        </w:rPr>
        <w:lastRenderedPageBreak/>
        <w:t xml:space="preserve">(n=6/14) patients were able to communicate, 28% (n=4/14) of whom reported that the nasal loop was more acceptable than repeated tube insertion, </w:t>
      </w:r>
      <w:r>
        <w:rPr>
          <w:rFonts w:eastAsia="MS Mincho" w:cs="Arial"/>
          <w:bCs/>
          <w:szCs w:val="24"/>
        </w:rPr>
        <w:t xml:space="preserve">one patient </w:t>
      </w:r>
      <w:r w:rsidRPr="00411046">
        <w:rPr>
          <w:rFonts w:eastAsia="MS Mincho" w:cs="Arial"/>
          <w:bCs/>
          <w:szCs w:val="24"/>
        </w:rPr>
        <w:t xml:space="preserve">complained of associated nasal discomfort.  </w:t>
      </w:r>
      <w:r>
        <w:rPr>
          <w:rFonts w:eastAsia="MS Mincho" w:cs="Arial"/>
          <w:bCs/>
          <w:szCs w:val="24"/>
        </w:rPr>
        <w:t>Beavan et al. (2010) report that</w:t>
      </w:r>
      <w:r w:rsidRPr="00411046">
        <w:rPr>
          <w:rFonts w:eastAsia="MS Mincho" w:cs="Arial"/>
          <w:bCs/>
          <w:szCs w:val="24"/>
        </w:rPr>
        <w:t xml:space="preserve"> conventional</w:t>
      </w:r>
      <w:r>
        <w:rPr>
          <w:rFonts w:eastAsia="MS Mincho" w:cs="Arial"/>
          <w:bCs/>
          <w:szCs w:val="24"/>
        </w:rPr>
        <w:t xml:space="preserve"> feeding is more uncomfortable 41%</w:t>
      </w:r>
      <w:r w:rsidRPr="00411046">
        <w:rPr>
          <w:rFonts w:eastAsia="MS Mincho" w:cs="Arial"/>
          <w:bCs/>
          <w:szCs w:val="24"/>
        </w:rPr>
        <w:t xml:space="preserve"> </w:t>
      </w:r>
      <w:r>
        <w:rPr>
          <w:rFonts w:eastAsia="MS Mincho" w:cs="Arial"/>
          <w:bCs/>
          <w:szCs w:val="24"/>
        </w:rPr>
        <w:t>(</w:t>
      </w:r>
      <w:r w:rsidRPr="00411046">
        <w:rPr>
          <w:rFonts w:eastAsia="MS Mincho" w:cs="Arial"/>
          <w:bCs/>
          <w:szCs w:val="24"/>
        </w:rPr>
        <w:t xml:space="preserve">n=17/41) </w:t>
      </w:r>
      <w:r>
        <w:rPr>
          <w:rFonts w:eastAsia="MS Mincho" w:cs="Arial"/>
          <w:bCs/>
          <w:szCs w:val="24"/>
        </w:rPr>
        <w:t xml:space="preserve">and the NGT more easily removed </w:t>
      </w:r>
      <w:r w:rsidRPr="00411046">
        <w:rPr>
          <w:rFonts w:eastAsia="MS Mincho" w:cs="Arial"/>
          <w:bCs/>
          <w:szCs w:val="24"/>
        </w:rPr>
        <w:t xml:space="preserve">27% </w:t>
      </w:r>
      <w:r>
        <w:rPr>
          <w:rFonts w:eastAsia="MS Mincho" w:cs="Arial"/>
          <w:bCs/>
          <w:szCs w:val="24"/>
        </w:rPr>
        <w:t>(</w:t>
      </w:r>
      <w:r w:rsidRPr="00411046">
        <w:rPr>
          <w:rFonts w:eastAsia="MS Mincho" w:cs="Arial"/>
          <w:bCs/>
          <w:szCs w:val="24"/>
        </w:rPr>
        <w:t xml:space="preserve">n=11/41) </w:t>
      </w:r>
      <w:r>
        <w:rPr>
          <w:rFonts w:eastAsia="MS Mincho" w:cs="Arial"/>
          <w:bCs/>
          <w:szCs w:val="24"/>
        </w:rPr>
        <w:t>than NL feeding where 28%</w:t>
      </w:r>
      <w:r w:rsidRPr="00411046">
        <w:rPr>
          <w:rFonts w:eastAsia="MS Mincho" w:cs="Arial"/>
          <w:bCs/>
          <w:szCs w:val="24"/>
        </w:rPr>
        <w:t xml:space="preserve"> </w:t>
      </w:r>
      <w:r>
        <w:rPr>
          <w:rFonts w:eastAsia="MS Mincho" w:cs="Arial"/>
          <w:bCs/>
          <w:szCs w:val="24"/>
        </w:rPr>
        <w:t>(</w:t>
      </w:r>
      <w:r w:rsidRPr="00411046">
        <w:rPr>
          <w:rFonts w:eastAsia="MS Mincho" w:cs="Arial"/>
          <w:bCs/>
          <w:szCs w:val="24"/>
        </w:rPr>
        <w:t>n=12/43)</w:t>
      </w:r>
      <w:r>
        <w:rPr>
          <w:rFonts w:eastAsia="MS Mincho" w:cs="Arial"/>
          <w:bCs/>
          <w:szCs w:val="24"/>
        </w:rPr>
        <w:t xml:space="preserve"> reported discomfort and 16%</w:t>
      </w:r>
      <w:r w:rsidRPr="00411046">
        <w:rPr>
          <w:rFonts w:eastAsia="MS Mincho" w:cs="Arial"/>
          <w:bCs/>
          <w:szCs w:val="24"/>
        </w:rPr>
        <w:t xml:space="preserve"> </w:t>
      </w:r>
      <w:r>
        <w:rPr>
          <w:rFonts w:eastAsia="MS Mincho" w:cs="Arial"/>
          <w:bCs/>
          <w:szCs w:val="24"/>
        </w:rPr>
        <w:t>(</w:t>
      </w:r>
      <w:r w:rsidRPr="00411046">
        <w:rPr>
          <w:rFonts w:eastAsia="MS Mincho" w:cs="Arial"/>
          <w:bCs/>
          <w:szCs w:val="24"/>
        </w:rPr>
        <w:t xml:space="preserve">n=7/43) reported easy removal. However, these results were ascertained from </w:t>
      </w:r>
      <w:r w:rsidR="00201B4D">
        <w:rPr>
          <w:rFonts w:eastAsia="MS Mincho" w:cs="Arial"/>
          <w:bCs/>
          <w:szCs w:val="24"/>
        </w:rPr>
        <w:t>a</w:t>
      </w:r>
      <w:r>
        <w:rPr>
          <w:rFonts w:eastAsia="MS Mincho" w:cs="Arial"/>
          <w:bCs/>
          <w:szCs w:val="24"/>
        </w:rPr>
        <w:t xml:space="preserve"> questionnaire given to </w:t>
      </w:r>
      <w:r w:rsidRPr="00411046">
        <w:rPr>
          <w:rFonts w:eastAsia="MS Mincho" w:cs="Arial"/>
          <w:bCs/>
          <w:szCs w:val="24"/>
        </w:rPr>
        <w:t>participants and prox</w:t>
      </w:r>
      <w:r w:rsidR="00D93983">
        <w:rPr>
          <w:rFonts w:eastAsia="MS Mincho" w:cs="Arial"/>
          <w:bCs/>
          <w:szCs w:val="24"/>
        </w:rPr>
        <w:t>y respondents,</w:t>
      </w:r>
      <w:r>
        <w:rPr>
          <w:rFonts w:eastAsia="MS Mincho" w:cs="Arial"/>
          <w:bCs/>
          <w:szCs w:val="24"/>
        </w:rPr>
        <w:t xml:space="preserve"> the authors</w:t>
      </w:r>
      <w:r w:rsidRPr="00411046">
        <w:rPr>
          <w:rFonts w:eastAsia="MS Mincho" w:cs="Arial"/>
          <w:bCs/>
          <w:szCs w:val="24"/>
        </w:rPr>
        <w:t xml:space="preserve"> </w:t>
      </w:r>
      <w:r w:rsidR="00201B4D">
        <w:rPr>
          <w:rFonts w:eastAsia="MS Mincho" w:cs="Arial"/>
          <w:bCs/>
          <w:szCs w:val="24"/>
        </w:rPr>
        <w:t xml:space="preserve">themselves </w:t>
      </w:r>
      <w:r w:rsidRPr="00411046">
        <w:rPr>
          <w:rFonts w:eastAsia="MS Mincho" w:cs="Arial"/>
          <w:bCs/>
          <w:szCs w:val="24"/>
        </w:rPr>
        <w:t>state</w:t>
      </w:r>
      <w:r w:rsidR="00D93983">
        <w:rPr>
          <w:rFonts w:eastAsia="MS Mincho" w:cs="Arial"/>
          <w:bCs/>
          <w:szCs w:val="24"/>
        </w:rPr>
        <w:t xml:space="preserve"> that</w:t>
      </w:r>
      <w:r w:rsidRPr="00411046">
        <w:rPr>
          <w:rFonts w:eastAsia="MS Mincho" w:cs="Arial"/>
          <w:bCs/>
          <w:szCs w:val="24"/>
        </w:rPr>
        <w:t xml:space="preserve"> </w:t>
      </w:r>
      <w:r>
        <w:rPr>
          <w:rFonts w:eastAsia="MS Mincho" w:cs="Arial"/>
          <w:bCs/>
          <w:szCs w:val="24"/>
        </w:rPr>
        <w:t xml:space="preserve">during </w:t>
      </w:r>
      <w:r w:rsidRPr="00411046">
        <w:rPr>
          <w:rFonts w:eastAsia="MS Mincho" w:cs="Arial"/>
          <w:bCs/>
          <w:szCs w:val="24"/>
        </w:rPr>
        <w:t>pilot testing</w:t>
      </w:r>
      <w:r w:rsidR="00201B4D">
        <w:rPr>
          <w:rFonts w:eastAsia="MS Mincho" w:cs="Arial"/>
          <w:bCs/>
          <w:szCs w:val="24"/>
        </w:rPr>
        <w:t>,</w:t>
      </w:r>
      <w:r w:rsidRPr="00411046">
        <w:rPr>
          <w:rFonts w:eastAsia="MS Mincho" w:cs="Arial"/>
          <w:bCs/>
          <w:szCs w:val="24"/>
        </w:rPr>
        <w:t xml:space="preserve"> </w:t>
      </w:r>
      <w:r w:rsidR="00D93983">
        <w:rPr>
          <w:rFonts w:eastAsia="MS Mincho" w:cs="Arial"/>
          <w:bCs/>
          <w:szCs w:val="24"/>
        </w:rPr>
        <w:t xml:space="preserve">this questionnaire </w:t>
      </w:r>
      <w:r w:rsidRPr="00411046">
        <w:rPr>
          <w:rFonts w:eastAsia="MS Mincho" w:cs="Arial"/>
          <w:bCs/>
          <w:szCs w:val="24"/>
        </w:rPr>
        <w:t>indicated</w:t>
      </w:r>
      <w:r>
        <w:rPr>
          <w:rFonts w:eastAsia="MS Mincho" w:cs="Arial"/>
          <w:bCs/>
          <w:szCs w:val="24"/>
        </w:rPr>
        <w:t xml:space="preserve"> poor</w:t>
      </w:r>
      <w:r w:rsidRPr="00411046">
        <w:rPr>
          <w:rFonts w:eastAsia="MS Mincho" w:cs="Arial"/>
          <w:bCs/>
          <w:szCs w:val="24"/>
        </w:rPr>
        <w:t xml:space="preserve"> validity</w:t>
      </w:r>
      <w:r>
        <w:rPr>
          <w:rFonts w:eastAsia="MS Mincho" w:cs="Arial"/>
          <w:bCs/>
          <w:szCs w:val="24"/>
        </w:rPr>
        <w:t>, t</w:t>
      </w:r>
      <w:r w:rsidRPr="00411046">
        <w:rPr>
          <w:rFonts w:eastAsia="MS Mincho" w:cs="Arial"/>
          <w:bCs/>
          <w:szCs w:val="24"/>
        </w:rPr>
        <w:t xml:space="preserve">herefore </w:t>
      </w:r>
      <w:r>
        <w:rPr>
          <w:rFonts w:eastAsia="MS Mincho" w:cs="Arial"/>
          <w:bCs/>
          <w:szCs w:val="24"/>
        </w:rPr>
        <w:t xml:space="preserve">necessitating </w:t>
      </w:r>
      <w:r w:rsidRPr="00411046">
        <w:rPr>
          <w:rFonts w:eastAsia="MS Mincho" w:cs="Arial"/>
          <w:bCs/>
          <w:szCs w:val="24"/>
        </w:rPr>
        <w:t xml:space="preserve">focus groups with nurses to further represent </w:t>
      </w:r>
      <w:r>
        <w:rPr>
          <w:rFonts w:eastAsia="MS Mincho" w:cs="Arial"/>
          <w:bCs/>
          <w:szCs w:val="24"/>
        </w:rPr>
        <w:t>perceptions about</w:t>
      </w:r>
      <w:r w:rsidRPr="00411046">
        <w:rPr>
          <w:rFonts w:eastAsia="MS Mincho" w:cs="Arial"/>
          <w:bCs/>
          <w:szCs w:val="24"/>
        </w:rPr>
        <w:t xml:space="preserve"> tolerability</w:t>
      </w:r>
      <w:r w:rsidR="00D93983">
        <w:rPr>
          <w:rFonts w:eastAsia="MS Mincho" w:cs="Arial"/>
          <w:bCs/>
          <w:szCs w:val="24"/>
        </w:rPr>
        <w:t xml:space="preserve">. Specific details of </w:t>
      </w:r>
      <w:r w:rsidR="00201B4D">
        <w:rPr>
          <w:rFonts w:eastAsia="MS Mincho" w:cs="Arial"/>
          <w:bCs/>
          <w:szCs w:val="24"/>
        </w:rPr>
        <w:t xml:space="preserve">these </w:t>
      </w:r>
      <w:r>
        <w:rPr>
          <w:rFonts w:eastAsia="MS Mincho" w:cs="Arial"/>
          <w:bCs/>
          <w:szCs w:val="24"/>
        </w:rPr>
        <w:t>focus group</w:t>
      </w:r>
      <w:r w:rsidR="00D93983">
        <w:rPr>
          <w:rFonts w:eastAsia="MS Mincho" w:cs="Arial"/>
          <w:bCs/>
          <w:szCs w:val="24"/>
        </w:rPr>
        <w:t>s</w:t>
      </w:r>
      <w:r>
        <w:rPr>
          <w:rFonts w:eastAsia="MS Mincho" w:cs="Arial"/>
          <w:bCs/>
          <w:szCs w:val="24"/>
        </w:rPr>
        <w:t xml:space="preserve"> are</w:t>
      </w:r>
      <w:r w:rsidRPr="00411046">
        <w:rPr>
          <w:rFonts w:eastAsia="MS Mincho" w:cs="Arial"/>
          <w:bCs/>
          <w:szCs w:val="24"/>
        </w:rPr>
        <w:t xml:space="preserve"> not</w:t>
      </w:r>
      <w:r>
        <w:rPr>
          <w:rFonts w:eastAsia="MS Mincho" w:cs="Arial"/>
          <w:bCs/>
          <w:szCs w:val="24"/>
        </w:rPr>
        <w:t xml:space="preserve"> reported</w:t>
      </w:r>
      <w:r w:rsidR="00201B4D">
        <w:rPr>
          <w:rFonts w:eastAsia="MS Mincho" w:cs="Arial"/>
          <w:bCs/>
          <w:szCs w:val="24"/>
        </w:rPr>
        <w:t xml:space="preserve"> in the findings, except that the authors state</w:t>
      </w:r>
      <w:r>
        <w:rPr>
          <w:rFonts w:eastAsia="MS Mincho" w:cs="Arial"/>
          <w:bCs/>
          <w:szCs w:val="24"/>
        </w:rPr>
        <w:t xml:space="preserve"> that nurses </w:t>
      </w:r>
      <w:r w:rsidR="00201B4D">
        <w:rPr>
          <w:rFonts w:eastAsia="MS Mincho" w:cs="Arial"/>
          <w:bCs/>
          <w:szCs w:val="24"/>
        </w:rPr>
        <w:t xml:space="preserve">who participated </w:t>
      </w:r>
      <w:r>
        <w:rPr>
          <w:rFonts w:eastAsia="MS Mincho" w:cs="Arial"/>
          <w:bCs/>
          <w:szCs w:val="24"/>
        </w:rPr>
        <w:t xml:space="preserve">associated </w:t>
      </w:r>
      <w:r w:rsidRPr="00411046">
        <w:rPr>
          <w:rFonts w:eastAsia="MS Mincho" w:cs="Arial"/>
          <w:bCs/>
          <w:szCs w:val="24"/>
        </w:rPr>
        <w:t xml:space="preserve">greatest </w:t>
      </w:r>
      <w:r>
        <w:rPr>
          <w:rFonts w:eastAsia="MS Mincho" w:cs="Arial"/>
          <w:bCs/>
          <w:szCs w:val="24"/>
        </w:rPr>
        <w:t xml:space="preserve">patient distress </w:t>
      </w:r>
      <w:r w:rsidRPr="00411046">
        <w:rPr>
          <w:rFonts w:eastAsia="MS Mincho" w:cs="Arial"/>
          <w:bCs/>
          <w:szCs w:val="24"/>
        </w:rPr>
        <w:t>with the inse</w:t>
      </w:r>
      <w:r>
        <w:rPr>
          <w:rFonts w:eastAsia="MS Mincho" w:cs="Arial"/>
          <w:bCs/>
          <w:szCs w:val="24"/>
        </w:rPr>
        <w:t>rtion or reinsertion of an NGT</w:t>
      </w:r>
      <w:r w:rsidRPr="00411046">
        <w:rPr>
          <w:rFonts w:eastAsia="MS Mincho" w:cs="Arial"/>
          <w:bCs/>
          <w:szCs w:val="24"/>
        </w:rPr>
        <w:t xml:space="preserve">. </w:t>
      </w:r>
    </w:p>
    <w:p w14:paraId="37E6BA7E" w14:textId="77777777" w:rsidR="00201B4D" w:rsidRDefault="00201B4D" w:rsidP="00173ACD">
      <w:pPr>
        <w:spacing w:line="480" w:lineRule="auto"/>
        <w:rPr>
          <w:rFonts w:eastAsia="MS Mincho" w:cs="Arial"/>
          <w:bCs/>
          <w:szCs w:val="24"/>
        </w:rPr>
      </w:pPr>
    </w:p>
    <w:p w14:paraId="1D68CDFB" w14:textId="7E08EFDC" w:rsidR="00CD576E" w:rsidRDefault="00CD576E" w:rsidP="00173ACD">
      <w:pPr>
        <w:spacing w:line="480" w:lineRule="auto"/>
        <w:rPr>
          <w:rFonts w:eastAsia="MS Mincho" w:cs="Arial"/>
          <w:bCs/>
          <w:szCs w:val="24"/>
        </w:rPr>
      </w:pPr>
      <w:r>
        <w:rPr>
          <w:rFonts w:eastAsia="MS Mincho" w:cs="Arial"/>
          <w:bCs/>
          <w:szCs w:val="24"/>
        </w:rPr>
        <w:t>None of the patients interviewed in Horsburgh et al’s (2008) study had experienced wearing NL, however patients were asked for their comments about the system after reading the product information. Concerns were expressed about the potential for pain and damage to the nasal septum if patients tried to remove the NGT.</w:t>
      </w:r>
    </w:p>
    <w:p w14:paraId="6DC5A9FF" w14:textId="77777777" w:rsidR="00B71307" w:rsidRPr="002B6F41" w:rsidRDefault="00B71307" w:rsidP="00524CAB"/>
    <w:p w14:paraId="531790E6" w14:textId="1F59CCB7" w:rsidR="00B71307" w:rsidRPr="002B6F41" w:rsidRDefault="00B71307" w:rsidP="00524CAB">
      <w:r w:rsidRPr="00D74F4A">
        <w:rPr>
          <w:lang w:eastAsia="en-US"/>
        </w:rPr>
        <w:t>Hand Mitten</w:t>
      </w:r>
    </w:p>
    <w:p w14:paraId="7524615E" w14:textId="59FDE293" w:rsidR="000F18EA" w:rsidRDefault="00C97C22" w:rsidP="000F18EA">
      <w:pPr>
        <w:spacing w:line="480" w:lineRule="auto"/>
        <w:rPr>
          <w:rFonts w:eastAsia="MS Mincho" w:cs="Arial"/>
          <w:bCs/>
          <w:szCs w:val="24"/>
        </w:rPr>
      </w:pPr>
      <w:r>
        <w:rPr>
          <w:rFonts w:eastAsia="MS Mincho" w:cs="Arial"/>
          <w:bCs/>
          <w:szCs w:val="24"/>
        </w:rPr>
        <w:t xml:space="preserve">Two studies </w:t>
      </w:r>
      <w:r w:rsidR="006A63E1" w:rsidRPr="00D74F4A">
        <w:rPr>
          <w:rFonts w:eastAsia="MS Mincho" w:cs="Arial"/>
          <w:bCs/>
          <w:szCs w:val="24"/>
        </w:rPr>
        <w:t>examined the acceptability of HM</w:t>
      </w:r>
      <w:r>
        <w:rPr>
          <w:rFonts w:eastAsia="MS Mincho" w:cs="Arial"/>
          <w:bCs/>
          <w:szCs w:val="24"/>
        </w:rPr>
        <w:t>s</w:t>
      </w:r>
      <w:r w:rsidR="006A63E1" w:rsidRPr="00D74F4A">
        <w:rPr>
          <w:rFonts w:eastAsia="MS Mincho" w:cs="Arial"/>
          <w:bCs/>
          <w:szCs w:val="24"/>
        </w:rPr>
        <w:t xml:space="preserve"> (</w:t>
      </w:r>
      <w:r>
        <w:rPr>
          <w:rFonts w:eastAsia="MS Mincho" w:cs="Arial"/>
          <w:bCs/>
          <w:szCs w:val="24"/>
        </w:rPr>
        <w:t xml:space="preserve">Williams 2010; </w:t>
      </w:r>
      <w:r w:rsidR="006A63E1" w:rsidRPr="00D74F4A">
        <w:rPr>
          <w:rFonts w:eastAsia="MS Mincho" w:cs="Arial"/>
          <w:bCs/>
          <w:szCs w:val="24"/>
        </w:rPr>
        <w:t>Horsbur</w:t>
      </w:r>
      <w:r w:rsidR="00247CD0">
        <w:rPr>
          <w:rFonts w:eastAsia="MS Mincho" w:cs="Arial"/>
          <w:bCs/>
          <w:szCs w:val="24"/>
        </w:rPr>
        <w:t xml:space="preserve">gh et al 2008).  However, only Horsburgh et al. (2008) report on the experiences of a patient who had actually worn </w:t>
      </w:r>
      <w:r w:rsidR="007C067E">
        <w:rPr>
          <w:rFonts w:eastAsia="MS Mincho" w:cs="Arial"/>
          <w:bCs/>
          <w:szCs w:val="24"/>
        </w:rPr>
        <w:t>HM</w:t>
      </w:r>
      <w:r w:rsidR="00247CD0">
        <w:rPr>
          <w:rFonts w:eastAsia="MS Mincho" w:cs="Arial"/>
          <w:bCs/>
          <w:szCs w:val="24"/>
        </w:rPr>
        <w:t>s.  The patient</w:t>
      </w:r>
      <w:r w:rsidR="006A63E1">
        <w:rPr>
          <w:rFonts w:eastAsia="MS Mincho" w:cs="Arial"/>
          <w:bCs/>
          <w:szCs w:val="24"/>
        </w:rPr>
        <w:t xml:space="preserve"> described </w:t>
      </w:r>
      <w:r w:rsidR="00247CD0">
        <w:rPr>
          <w:rFonts w:eastAsia="MS Mincho" w:cs="Arial"/>
          <w:bCs/>
          <w:szCs w:val="24"/>
        </w:rPr>
        <w:t>them</w:t>
      </w:r>
      <w:r w:rsidR="000F18EA">
        <w:rPr>
          <w:rFonts w:eastAsia="MS Mincho" w:cs="Arial"/>
          <w:bCs/>
          <w:szCs w:val="24"/>
        </w:rPr>
        <w:t xml:space="preserve"> a</w:t>
      </w:r>
      <w:r w:rsidR="00247CD0">
        <w:rPr>
          <w:rFonts w:eastAsia="MS Mincho" w:cs="Arial"/>
          <w:bCs/>
          <w:szCs w:val="24"/>
        </w:rPr>
        <w:t>s ‘intrusive’ and ‘torture’. Both Williams (2010) and Horsburgh et al. (2008)</w:t>
      </w:r>
      <w:r w:rsidR="000F18EA">
        <w:rPr>
          <w:rFonts w:eastAsia="MS Mincho" w:cs="Arial"/>
          <w:bCs/>
          <w:szCs w:val="24"/>
        </w:rPr>
        <w:t xml:space="preserve"> </w:t>
      </w:r>
      <w:r w:rsidR="00247CD0">
        <w:rPr>
          <w:rFonts w:eastAsia="MS Mincho" w:cs="Arial"/>
          <w:bCs/>
          <w:szCs w:val="24"/>
        </w:rPr>
        <w:t>offer further findings about the acceptability of HM from</w:t>
      </w:r>
      <w:r w:rsidR="000F18EA">
        <w:rPr>
          <w:rFonts w:eastAsia="MS Mincho" w:cs="Arial"/>
          <w:bCs/>
          <w:szCs w:val="24"/>
        </w:rPr>
        <w:t xml:space="preserve"> patients, </w:t>
      </w:r>
      <w:r w:rsidR="00247CD0">
        <w:rPr>
          <w:rFonts w:eastAsia="MS Mincho" w:cs="Arial"/>
          <w:bCs/>
          <w:szCs w:val="24"/>
        </w:rPr>
        <w:t>family members, carers and staff</w:t>
      </w:r>
      <w:r w:rsidR="00C03586">
        <w:rPr>
          <w:rFonts w:eastAsia="MS Mincho" w:cs="Arial"/>
          <w:bCs/>
          <w:szCs w:val="24"/>
        </w:rPr>
        <w:t xml:space="preserve"> who had no experience of wearing them</w:t>
      </w:r>
      <w:r w:rsidR="00247CD0">
        <w:rPr>
          <w:rFonts w:eastAsia="MS Mincho" w:cs="Arial"/>
          <w:bCs/>
          <w:szCs w:val="24"/>
        </w:rPr>
        <w:t>.  O</w:t>
      </w:r>
      <w:r w:rsidR="000F18EA">
        <w:rPr>
          <w:rFonts w:eastAsia="MS Mincho" w:cs="Arial"/>
          <w:bCs/>
          <w:szCs w:val="24"/>
        </w:rPr>
        <w:t xml:space="preserve">pinions ranged between </w:t>
      </w:r>
      <w:r w:rsidR="006A63E1">
        <w:rPr>
          <w:rFonts w:eastAsia="MS Mincho" w:cs="Arial"/>
          <w:bCs/>
          <w:szCs w:val="24"/>
        </w:rPr>
        <w:t>perceiving</w:t>
      </w:r>
      <w:r w:rsidR="000F18EA">
        <w:rPr>
          <w:rFonts w:eastAsia="MS Mincho" w:cs="Arial"/>
          <w:bCs/>
          <w:szCs w:val="24"/>
        </w:rPr>
        <w:t xml:space="preserve"> ‘benefit’ in avoiding repeated tube insertion to f</w:t>
      </w:r>
      <w:r w:rsidR="006A63E1">
        <w:rPr>
          <w:rFonts w:eastAsia="MS Mincho" w:cs="Arial"/>
          <w:bCs/>
          <w:szCs w:val="24"/>
        </w:rPr>
        <w:t>eelings of ‘diminished autonomy and</w:t>
      </w:r>
      <w:r w:rsidR="000F18EA">
        <w:rPr>
          <w:rFonts w:eastAsia="MS Mincho" w:cs="Arial"/>
          <w:bCs/>
          <w:szCs w:val="24"/>
        </w:rPr>
        <w:t xml:space="preserve"> justice’</w:t>
      </w:r>
      <w:r w:rsidR="00247CD0">
        <w:rPr>
          <w:rFonts w:eastAsia="MS Mincho" w:cs="Arial"/>
          <w:bCs/>
          <w:szCs w:val="24"/>
        </w:rPr>
        <w:t xml:space="preserve"> </w:t>
      </w:r>
      <w:r w:rsidR="00247CD0">
        <w:rPr>
          <w:rFonts w:eastAsia="MS Mincho" w:cs="Arial"/>
          <w:bCs/>
          <w:szCs w:val="24"/>
        </w:rPr>
        <w:lastRenderedPageBreak/>
        <w:t>(Horsburgh et al</w:t>
      </w:r>
      <w:r w:rsidR="000F18EA">
        <w:rPr>
          <w:rFonts w:eastAsia="MS Mincho" w:cs="Arial"/>
          <w:bCs/>
          <w:szCs w:val="24"/>
        </w:rPr>
        <w:t>.</w:t>
      </w:r>
      <w:r w:rsidR="00247CD0">
        <w:rPr>
          <w:rFonts w:eastAsia="MS Mincho" w:cs="Arial"/>
          <w:bCs/>
          <w:szCs w:val="24"/>
        </w:rPr>
        <w:t xml:space="preserve"> 2008)</w:t>
      </w:r>
      <w:r w:rsidR="00C03586">
        <w:rPr>
          <w:rFonts w:eastAsia="MS Mincho" w:cs="Arial"/>
          <w:bCs/>
          <w:szCs w:val="24"/>
        </w:rPr>
        <w:t xml:space="preserve">. HM were also perceived as being </w:t>
      </w:r>
      <w:r w:rsidR="00247CD0">
        <w:rPr>
          <w:rFonts w:eastAsia="MS Mincho" w:cs="Arial"/>
          <w:bCs/>
          <w:szCs w:val="24"/>
        </w:rPr>
        <w:t xml:space="preserve">‘too big and bulky’, </w:t>
      </w:r>
      <w:r w:rsidR="00C03586">
        <w:rPr>
          <w:rFonts w:eastAsia="MS Mincho" w:cs="Arial"/>
          <w:bCs/>
          <w:szCs w:val="24"/>
        </w:rPr>
        <w:t xml:space="preserve">looking like </w:t>
      </w:r>
      <w:r w:rsidR="00247CD0">
        <w:rPr>
          <w:rFonts w:eastAsia="MS Mincho" w:cs="Arial"/>
          <w:bCs/>
          <w:szCs w:val="24"/>
        </w:rPr>
        <w:t>‘boxing gloves’ and ‘look</w:t>
      </w:r>
      <w:r w:rsidR="00C03586">
        <w:rPr>
          <w:rFonts w:eastAsia="MS Mincho" w:cs="Arial"/>
          <w:bCs/>
          <w:szCs w:val="24"/>
        </w:rPr>
        <w:t>ing comfortable’; one nurse related the ‘</w:t>
      </w:r>
      <w:r w:rsidR="00247CD0">
        <w:rPr>
          <w:rFonts w:eastAsia="MS Mincho" w:cs="Arial"/>
          <w:bCs/>
          <w:szCs w:val="24"/>
        </w:rPr>
        <w:t>shock of one patient while HM were being applied</w:t>
      </w:r>
      <w:r w:rsidR="00C03586">
        <w:rPr>
          <w:rFonts w:eastAsia="MS Mincho" w:cs="Arial"/>
          <w:bCs/>
          <w:szCs w:val="24"/>
        </w:rPr>
        <w:t>’</w:t>
      </w:r>
      <w:r w:rsidR="00247CD0">
        <w:rPr>
          <w:rFonts w:eastAsia="MS Mincho" w:cs="Arial"/>
          <w:bCs/>
          <w:szCs w:val="24"/>
        </w:rPr>
        <w:t xml:space="preserve"> (Williams 2010). </w:t>
      </w:r>
    </w:p>
    <w:p w14:paraId="5A35CCBF" w14:textId="77777777" w:rsidR="00C03586" w:rsidRDefault="00C03586" w:rsidP="000F18EA">
      <w:pPr>
        <w:spacing w:line="480" w:lineRule="auto"/>
        <w:rPr>
          <w:rFonts w:eastAsia="MS Mincho" w:cs="Arial"/>
          <w:bCs/>
          <w:szCs w:val="24"/>
        </w:rPr>
      </w:pPr>
    </w:p>
    <w:p w14:paraId="0D6C92EF" w14:textId="0FF082E0" w:rsidR="00C03586" w:rsidRPr="00751902" w:rsidRDefault="001439A7" w:rsidP="000F18EA">
      <w:pPr>
        <w:spacing w:line="480" w:lineRule="auto"/>
        <w:rPr>
          <w:rFonts w:eastAsia="MS Mincho" w:cs="Arial"/>
          <w:bCs/>
          <w:szCs w:val="24"/>
        </w:rPr>
      </w:pPr>
      <w:r>
        <w:rPr>
          <w:rFonts w:eastAsia="MS Mincho" w:cs="Arial"/>
          <w:bCs/>
          <w:szCs w:val="24"/>
        </w:rPr>
        <w:t xml:space="preserve">Although </w:t>
      </w:r>
      <w:r w:rsidR="00C03586">
        <w:rPr>
          <w:rFonts w:eastAsia="MS Mincho" w:cs="Arial"/>
          <w:bCs/>
          <w:szCs w:val="24"/>
        </w:rPr>
        <w:t>Ciocon et al. (1988) and Quill (1989)</w:t>
      </w:r>
      <w:r w:rsidR="00285ACB">
        <w:rPr>
          <w:rFonts w:eastAsia="MS Mincho" w:cs="Arial"/>
          <w:bCs/>
          <w:szCs w:val="24"/>
        </w:rPr>
        <w:t xml:space="preserve"> </w:t>
      </w:r>
      <w:r>
        <w:rPr>
          <w:rFonts w:eastAsia="MS Mincho" w:cs="Arial"/>
          <w:bCs/>
          <w:szCs w:val="24"/>
        </w:rPr>
        <w:t xml:space="preserve">address </w:t>
      </w:r>
      <w:r w:rsidR="00A861B6">
        <w:rPr>
          <w:rFonts w:eastAsia="MS Mincho" w:cs="Arial"/>
          <w:bCs/>
          <w:szCs w:val="24"/>
        </w:rPr>
        <w:t xml:space="preserve">HM </w:t>
      </w:r>
      <w:r>
        <w:rPr>
          <w:rFonts w:eastAsia="MS Mincho" w:cs="Arial"/>
          <w:bCs/>
          <w:szCs w:val="24"/>
        </w:rPr>
        <w:t xml:space="preserve">and the use of restraint for maintaining NGT position, again </w:t>
      </w:r>
      <w:r w:rsidR="00285ACB">
        <w:rPr>
          <w:rFonts w:eastAsia="MS Mincho" w:cs="Arial"/>
          <w:bCs/>
          <w:szCs w:val="24"/>
        </w:rPr>
        <w:t>they did</w:t>
      </w:r>
      <w:r w:rsidR="002E3B2A">
        <w:rPr>
          <w:rFonts w:eastAsia="MS Mincho" w:cs="Arial"/>
          <w:bCs/>
          <w:szCs w:val="24"/>
        </w:rPr>
        <w:t xml:space="preserve"> not add any further evidence about the</w:t>
      </w:r>
      <w:r w:rsidR="00A861B6">
        <w:rPr>
          <w:rFonts w:eastAsia="MS Mincho" w:cs="Arial"/>
          <w:bCs/>
          <w:szCs w:val="24"/>
        </w:rPr>
        <w:t>ir</w:t>
      </w:r>
      <w:r>
        <w:rPr>
          <w:rFonts w:eastAsia="MS Mincho" w:cs="Arial"/>
          <w:bCs/>
          <w:szCs w:val="24"/>
        </w:rPr>
        <w:t xml:space="preserve"> </w:t>
      </w:r>
      <w:r w:rsidR="00A861B6">
        <w:rPr>
          <w:rFonts w:eastAsia="MS Mincho" w:cs="Arial"/>
          <w:bCs/>
          <w:szCs w:val="24"/>
        </w:rPr>
        <w:t>accepta</w:t>
      </w:r>
      <w:r>
        <w:rPr>
          <w:rFonts w:eastAsia="MS Mincho" w:cs="Arial"/>
          <w:bCs/>
          <w:szCs w:val="24"/>
        </w:rPr>
        <w:t>bility</w:t>
      </w:r>
      <w:r w:rsidR="002E3B2A">
        <w:rPr>
          <w:rFonts w:eastAsia="MS Mincho" w:cs="Arial"/>
          <w:bCs/>
          <w:szCs w:val="24"/>
        </w:rPr>
        <w:t xml:space="preserve">. </w:t>
      </w:r>
    </w:p>
    <w:bookmarkEnd w:id="6"/>
    <w:p w14:paraId="45E3F591" w14:textId="77777777" w:rsidR="00F13F5C" w:rsidRDefault="00F13F5C" w:rsidP="00F13F5C">
      <w:pPr>
        <w:spacing w:line="480" w:lineRule="auto"/>
        <w:rPr>
          <w:rFonts w:eastAsia="MS Mincho" w:cs="Arial"/>
          <w:bCs/>
          <w:szCs w:val="24"/>
        </w:rPr>
      </w:pPr>
    </w:p>
    <w:p w14:paraId="57C0E223" w14:textId="77777777" w:rsidR="00F13F5C" w:rsidRDefault="00F13F5C" w:rsidP="000F18EA">
      <w:pPr>
        <w:pStyle w:val="Heading4"/>
      </w:pPr>
      <w:bookmarkStart w:id="7" w:name="_Toc232240792"/>
    </w:p>
    <w:bookmarkEnd w:id="7"/>
    <w:p w14:paraId="04200D26" w14:textId="77FEB8DA" w:rsidR="00F13F5C" w:rsidRDefault="00DB3EA4" w:rsidP="00E876AE">
      <w:pPr>
        <w:pStyle w:val="Heading2"/>
      </w:pPr>
      <w:r>
        <w:t>DISCUSSION</w:t>
      </w:r>
    </w:p>
    <w:p w14:paraId="7078A89C" w14:textId="4D07BD61" w:rsidR="00273C8D" w:rsidRDefault="00273C8D" w:rsidP="00273C8D">
      <w:pPr>
        <w:spacing w:line="480" w:lineRule="auto"/>
        <w:rPr>
          <w:rFonts w:eastAsia="MS Mincho" w:cs="Arial"/>
          <w:szCs w:val="24"/>
        </w:rPr>
      </w:pPr>
      <w:r>
        <w:rPr>
          <w:rFonts w:eastAsia="MS Mincho" w:cs="Arial"/>
          <w:szCs w:val="24"/>
        </w:rPr>
        <w:t>F</w:t>
      </w:r>
      <w:r w:rsidR="00AC2A59">
        <w:rPr>
          <w:rFonts w:eastAsia="MS Mincho" w:cs="Arial"/>
          <w:szCs w:val="24"/>
        </w:rPr>
        <w:t xml:space="preserve">ew studies have assessed the effectiveness </w:t>
      </w:r>
      <w:r w:rsidR="008126FA">
        <w:rPr>
          <w:rFonts w:eastAsia="MS Mincho" w:cs="Arial"/>
          <w:szCs w:val="24"/>
        </w:rPr>
        <w:t xml:space="preserve">and acceptability of NL and HM and </w:t>
      </w:r>
      <w:r w:rsidR="00E22753">
        <w:rPr>
          <w:rFonts w:eastAsia="MS Mincho" w:cs="Arial"/>
          <w:szCs w:val="24"/>
        </w:rPr>
        <w:t>those that have are of relatively poor methodological quality</w:t>
      </w:r>
      <w:r w:rsidR="00C03586">
        <w:rPr>
          <w:rFonts w:eastAsia="MS Mincho" w:cs="Arial"/>
          <w:szCs w:val="24"/>
        </w:rPr>
        <w:t xml:space="preserve"> (see table 1)</w:t>
      </w:r>
      <w:r w:rsidR="00E22753">
        <w:rPr>
          <w:rFonts w:eastAsia="MS Mincho" w:cs="Arial"/>
          <w:szCs w:val="24"/>
        </w:rPr>
        <w:t>.</w:t>
      </w:r>
      <w:r w:rsidR="00E36295">
        <w:rPr>
          <w:rFonts w:eastAsia="MS Mincho" w:cs="Arial"/>
          <w:szCs w:val="24"/>
        </w:rPr>
        <w:t xml:space="preserve">  </w:t>
      </w:r>
      <w:r>
        <w:rPr>
          <w:rFonts w:eastAsia="MS Mincho" w:cs="Arial"/>
          <w:szCs w:val="24"/>
        </w:rPr>
        <w:t>Critical appraisal of</w:t>
      </w:r>
      <w:r w:rsidRPr="00411046">
        <w:rPr>
          <w:rFonts w:eastAsia="MS Mincho" w:cs="Arial"/>
          <w:szCs w:val="24"/>
        </w:rPr>
        <w:t xml:space="preserve"> existing </w:t>
      </w:r>
      <w:r>
        <w:rPr>
          <w:rFonts w:eastAsia="MS Mincho" w:cs="Arial"/>
          <w:szCs w:val="24"/>
        </w:rPr>
        <w:t>evidence</w:t>
      </w:r>
      <w:r w:rsidRPr="00411046">
        <w:rPr>
          <w:rFonts w:eastAsia="MS Mincho" w:cs="Arial"/>
          <w:szCs w:val="24"/>
        </w:rPr>
        <w:t xml:space="preserve"> </w:t>
      </w:r>
      <w:r>
        <w:rPr>
          <w:rFonts w:eastAsia="MS Mincho" w:cs="Arial"/>
          <w:szCs w:val="24"/>
        </w:rPr>
        <w:t xml:space="preserve">leads us to conclude that the effectiveness and acceptability of NL and HM has not been sufficiently established through research to </w:t>
      </w:r>
      <w:r w:rsidR="003E7CBC">
        <w:rPr>
          <w:rFonts w:eastAsia="MS Mincho" w:cs="Arial"/>
          <w:szCs w:val="24"/>
        </w:rPr>
        <w:t xml:space="preserve">fully </w:t>
      </w:r>
      <w:r>
        <w:rPr>
          <w:rFonts w:eastAsia="MS Mincho" w:cs="Arial"/>
          <w:szCs w:val="24"/>
        </w:rPr>
        <w:t>justify their use in practice.</w:t>
      </w:r>
    </w:p>
    <w:p w14:paraId="481CA415" w14:textId="77777777" w:rsidR="00F13F5C" w:rsidRPr="00411046" w:rsidRDefault="00F13F5C" w:rsidP="00F13F5C">
      <w:pPr>
        <w:pStyle w:val="BodyText2"/>
        <w:spacing w:line="480" w:lineRule="auto"/>
        <w:rPr>
          <w:rFonts w:eastAsia="MS Mincho"/>
          <w:bCs/>
          <w:sz w:val="24"/>
          <w:szCs w:val="24"/>
        </w:rPr>
      </w:pPr>
    </w:p>
    <w:p w14:paraId="55BD3DAA" w14:textId="77777777" w:rsidR="00945E02" w:rsidRDefault="00F13F5C" w:rsidP="00F13F5C">
      <w:pPr>
        <w:spacing w:line="480" w:lineRule="auto"/>
        <w:rPr>
          <w:rFonts w:eastAsia="MS Mincho" w:cs="Arial"/>
          <w:szCs w:val="24"/>
        </w:rPr>
      </w:pPr>
      <w:r w:rsidRPr="00411046">
        <w:rPr>
          <w:rFonts w:eastAsia="MS Mincho" w:cs="Arial"/>
          <w:szCs w:val="24"/>
        </w:rPr>
        <w:t xml:space="preserve">Beavan et al. (2010) </w:t>
      </w:r>
      <w:r>
        <w:rPr>
          <w:rFonts w:eastAsia="MS Mincho" w:cs="Arial"/>
          <w:szCs w:val="24"/>
        </w:rPr>
        <w:t xml:space="preserve">and </w:t>
      </w:r>
      <w:r w:rsidRPr="00411046">
        <w:rPr>
          <w:rFonts w:eastAsia="MS Mincho" w:cs="Arial"/>
          <w:szCs w:val="24"/>
        </w:rPr>
        <w:t xml:space="preserve">Anderson et al. (2004) </w:t>
      </w:r>
      <w:r>
        <w:rPr>
          <w:rFonts w:eastAsia="MS Mincho" w:cs="Arial"/>
          <w:szCs w:val="24"/>
        </w:rPr>
        <w:t>propose that the NL</w:t>
      </w:r>
      <w:r w:rsidRPr="00411046">
        <w:rPr>
          <w:rFonts w:eastAsia="MS Mincho" w:cs="Arial"/>
          <w:szCs w:val="24"/>
        </w:rPr>
        <w:t xml:space="preserve"> effectively secures </w:t>
      </w:r>
      <w:r>
        <w:rPr>
          <w:rFonts w:eastAsia="MS Mincho" w:cs="Arial"/>
          <w:szCs w:val="24"/>
        </w:rPr>
        <w:t>NGT’s</w:t>
      </w:r>
      <w:r w:rsidRPr="00411046">
        <w:rPr>
          <w:rFonts w:eastAsia="MS Mincho" w:cs="Arial"/>
          <w:szCs w:val="24"/>
        </w:rPr>
        <w:t xml:space="preserve"> for stroke patients</w:t>
      </w:r>
      <w:r>
        <w:rPr>
          <w:rFonts w:eastAsia="MS Mincho" w:cs="Arial"/>
          <w:szCs w:val="24"/>
        </w:rPr>
        <w:t xml:space="preserve"> and </w:t>
      </w:r>
      <w:r w:rsidRPr="00411046">
        <w:rPr>
          <w:rFonts w:eastAsia="MS Mincho" w:cs="Arial"/>
          <w:szCs w:val="24"/>
        </w:rPr>
        <w:t xml:space="preserve">assert that </w:t>
      </w:r>
      <w:r>
        <w:rPr>
          <w:rFonts w:eastAsia="MS Mincho" w:cs="Arial"/>
          <w:szCs w:val="24"/>
        </w:rPr>
        <w:t>it</w:t>
      </w:r>
      <w:r w:rsidRPr="00411046">
        <w:rPr>
          <w:rFonts w:eastAsia="MS Mincho" w:cs="Arial"/>
          <w:szCs w:val="24"/>
        </w:rPr>
        <w:t xml:space="preserve"> is prefe</w:t>
      </w:r>
      <w:r>
        <w:rPr>
          <w:rFonts w:eastAsia="MS Mincho" w:cs="Arial"/>
          <w:szCs w:val="24"/>
        </w:rPr>
        <w:t>rable to repeated NGT insertion</w:t>
      </w:r>
      <w:r w:rsidR="00273C8D">
        <w:rPr>
          <w:rFonts w:eastAsia="MS Mincho" w:cs="Arial"/>
          <w:szCs w:val="24"/>
        </w:rPr>
        <w:t xml:space="preserve">.  </w:t>
      </w:r>
      <w:r w:rsidR="00820B9D" w:rsidRPr="00411046">
        <w:rPr>
          <w:rFonts w:eastAsia="MS Mincho" w:cs="Arial"/>
          <w:szCs w:val="24"/>
        </w:rPr>
        <w:t>Beavan et al. (2010) demonstrate that NG</w:t>
      </w:r>
      <w:r w:rsidR="00820B9D">
        <w:rPr>
          <w:rFonts w:eastAsia="MS Mincho" w:cs="Arial"/>
          <w:szCs w:val="24"/>
        </w:rPr>
        <w:t>T</w:t>
      </w:r>
      <w:r w:rsidR="00820B9D" w:rsidRPr="00411046">
        <w:rPr>
          <w:rFonts w:eastAsia="MS Mincho" w:cs="Arial"/>
          <w:szCs w:val="24"/>
        </w:rPr>
        <w:t xml:space="preserve"> feeding with a</w:t>
      </w:r>
      <w:r w:rsidR="00820B9D">
        <w:rPr>
          <w:rFonts w:eastAsia="MS Mincho" w:cs="Arial"/>
          <w:szCs w:val="24"/>
        </w:rPr>
        <w:t>n</w:t>
      </w:r>
      <w:r w:rsidR="00820B9D" w:rsidRPr="00411046">
        <w:rPr>
          <w:rFonts w:eastAsia="MS Mincho" w:cs="Arial"/>
          <w:szCs w:val="24"/>
        </w:rPr>
        <w:t xml:space="preserve"> </w:t>
      </w:r>
      <w:r w:rsidR="00820B9D">
        <w:rPr>
          <w:rFonts w:eastAsia="MS Mincho" w:cs="Arial"/>
          <w:szCs w:val="24"/>
        </w:rPr>
        <w:t>NL</w:t>
      </w:r>
      <w:r w:rsidR="00820B9D" w:rsidRPr="00411046">
        <w:rPr>
          <w:rFonts w:eastAsia="MS Mincho" w:cs="Arial"/>
          <w:szCs w:val="24"/>
        </w:rPr>
        <w:t xml:space="preserve"> improve</w:t>
      </w:r>
      <w:r w:rsidR="00820B9D">
        <w:rPr>
          <w:rFonts w:eastAsia="MS Mincho" w:cs="Arial"/>
          <w:szCs w:val="24"/>
        </w:rPr>
        <w:t xml:space="preserve">s enteral feed delivery.  However, </w:t>
      </w:r>
      <w:r w:rsidR="00820B9D" w:rsidRPr="00411046">
        <w:rPr>
          <w:rFonts w:eastAsia="MS Mincho" w:cs="Arial"/>
          <w:szCs w:val="24"/>
        </w:rPr>
        <w:t xml:space="preserve">both </w:t>
      </w:r>
      <w:r w:rsidR="00820B9D">
        <w:rPr>
          <w:rFonts w:eastAsia="MS Mincho" w:cs="Arial"/>
          <w:szCs w:val="24"/>
        </w:rPr>
        <w:t xml:space="preserve">the control and intervention </w:t>
      </w:r>
      <w:r w:rsidR="00820B9D" w:rsidRPr="00411046">
        <w:rPr>
          <w:rFonts w:eastAsia="MS Mincho" w:cs="Arial"/>
          <w:szCs w:val="24"/>
        </w:rPr>
        <w:t>groups suffered significant weigh</w:t>
      </w:r>
      <w:r w:rsidR="00820B9D">
        <w:rPr>
          <w:rFonts w:eastAsia="MS Mincho" w:cs="Arial"/>
          <w:szCs w:val="24"/>
        </w:rPr>
        <w:t>t loss over a two week period.  The</w:t>
      </w:r>
      <w:r>
        <w:rPr>
          <w:rFonts w:eastAsia="MS Mincho" w:cs="Arial"/>
          <w:szCs w:val="24"/>
        </w:rPr>
        <w:t xml:space="preserve"> acceptability of the NL</w:t>
      </w:r>
      <w:r w:rsidRPr="00411046">
        <w:rPr>
          <w:rFonts w:eastAsia="MS Mincho" w:cs="Arial"/>
          <w:szCs w:val="24"/>
        </w:rPr>
        <w:t xml:space="preserve"> is poorly addressed </w:t>
      </w:r>
      <w:r w:rsidR="00820B9D">
        <w:rPr>
          <w:rFonts w:eastAsia="MS Mincho" w:cs="Arial"/>
          <w:szCs w:val="24"/>
        </w:rPr>
        <w:t>in</w:t>
      </w:r>
      <w:r w:rsidR="00820B9D" w:rsidRPr="00411046">
        <w:rPr>
          <w:rFonts w:eastAsia="MS Mincho" w:cs="Arial"/>
          <w:szCs w:val="24"/>
        </w:rPr>
        <w:t xml:space="preserve"> </w:t>
      </w:r>
      <w:r w:rsidRPr="00411046">
        <w:rPr>
          <w:rFonts w:eastAsia="MS Mincho" w:cs="Arial"/>
          <w:szCs w:val="24"/>
        </w:rPr>
        <w:t>both studies.</w:t>
      </w:r>
      <w:r w:rsidR="00820B9D">
        <w:rPr>
          <w:rFonts w:eastAsia="MS Mincho" w:cs="Arial"/>
          <w:szCs w:val="24"/>
        </w:rPr>
        <w:t xml:space="preserve">  </w:t>
      </w:r>
      <w:r>
        <w:rPr>
          <w:rFonts w:eastAsia="MS Mincho" w:cs="Arial"/>
          <w:szCs w:val="24"/>
        </w:rPr>
        <w:t xml:space="preserve">Horsburgh et al. (2008) </w:t>
      </w:r>
      <w:r w:rsidR="00273C8D">
        <w:rPr>
          <w:rFonts w:eastAsia="MS Mincho" w:cs="Arial"/>
          <w:szCs w:val="24"/>
        </w:rPr>
        <w:t xml:space="preserve">do </w:t>
      </w:r>
      <w:r>
        <w:rPr>
          <w:rFonts w:eastAsia="MS Mincho" w:cs="Arial"/>
          <w:szCs w:val="24"/>
        </w:rPr>
        <w:t>address patient, staff and family perceptions about the NL</w:t>
      </w:r>
      <w:r w:rsidR="00273C8D">
        <w:rPr>
          <w:rFonts w:eastAsia="MS Mincho" w:cs="Arial"/>
          <w:szCs w:val="24"/>
        </w:rPr>
        <w:t xml:space="preserve"> and</w:t>
      </w:r>
      <w:r>
        <w:rPr>
          <w:rFonts w:eastAsia="MS Mincho" w:cs="Arial"/>
          <w:szCs w:val="24"/>
        </w:rPr>
        <w:t xml:space="preserve"> the overall theme attributed to this device was ‘harm’.</w:t>
      </w:r>
      <w:r w:rsidR="00820B9D">
        <w:rPr>
          <w:rFonts w:eastAsia="MS Mincho" w:cs="Arial"/>
          <w:szCs w:val="24"/>
        </w:rPr>
        <w:t xml:space="preserve"> </w:t>
      </w:r>
    </w:p>
    <w:p w14:paraId="5C86705F" w14:textId="77777777" w:rsidR="00D93983" w:rsidRDefault="00D93983" w:rsidP="00D93983">
      <w:pPr>
        <w:spacing w:line="480" w:lineRule="auto"/>
        <w:rPr>
          <w:rFonts w:eastAsia="MS Mincho" w:cs="Arial"/>
          <w:bCs/>
          <w:szCs w:val="24"/>
        </w:rPr>
      </w:pPr>
      <w:r w:rsidRPr="00411046">
        <w:rPr>
          <w:rFonts w:eastAsia="MS Mincho" w:cs="Arial"/>
          <w:bCs/>
          <w:szCs w:val="24"/>
        </w:rPr>
        <w:lastRenderedPageBreak/>
        <w:t xml:space="preserve">On the basis of </w:t>
      </w:r>
      <w:r>
        <w:rPr>
          <w:rFonts w:eastAsia="MS Mincho" w:cs="Arial"/>
          <w:bCs/>
          <w:szCs w:val="24"/>
        </w:rPr>
        <w:t>their</w:t>
      </w:r>
      <w:r w:rsidRPr="00411046">
        <w:rPr>
          <w:rFonts w:eastAsia="MS Mincho" w:cs="Arial"/>
          <w:bCs/>
          <w:szCs w:val="24"/>
        </w:rPr>
        <w:t xml:space="preserve"> findings, Beavan et al. (2010) recommend that reducing the number of NGT insertions is a justifiable rationale for </w:t>
      </w:r>
      <w:r>
        <w:rPr>
          <w:rFonts w:eastAsia="MS Mincho" w:cs="Arial"/>
          <w:bCs/>
          <w:szCs w:val="24"/>
        </w:rPr>
        <w:t>NL</w:t>
      </w:r>
      <w:r w:rsidRPr="00411046">
        <w:rPr>
          <w:rFonts w:eastAsia="MS Mincho" w:cs="Arial"/>
          <w:bCs/>
          <w:szCs w:val="24"/>
        </w:rPr>
        <w:t xml:space="preserve"> feeding</w:t>
      </w:r>
      <w:r>
        <w:rPr>
          <w:rFonts w:eastAsia="MS Mincho" w:cs="Arial"/>
          <w:bCs/>
          <w:szCs w:val="24"/>
        </w:rPr>
        <w:t xml:space="preserve"> in stroke patients, the failure of which </w:t>
      </w:r>
      <w:r w:rsidRPr="00411046">
        <w:rPr>
          <w:rFonts w:eastAsia="MS Mincho" w:cs="Arial"/>
          <w:bCs/>
          <w:szCs w:val="24"/>
        </w:rPr>
        <w:t>was seen as early insertion of a PEG tube or abandonment of enteral feeding; however</w:t>
      </w:r>
      <w:r>
        <w:rPr>
          <w:rFonts w:eastAsia="MS Mincho" w:cs="Arial"/>
          <w:bCs/>
          <w:szCs w:val="24"/>
        </w:rPr>
        <w:t xml:space="preserve"> the incidence of these outcomes</w:t>
      </w:r>
      <w:r w:rsidRPr="00411046">
        <w:rPr>
          <w:rFonts w:eastAsia="MS Mincho" w:cs="Arial"/>
          <w:bCs/>
          <w:szCs w:val="24"/>
        </w:rPr>
        <w:t xml:space="preserve"> is not clearly reported.</w:t>
      </w:r>
      <w:r>
        <w:rPr>
          <w:rFonts w:eastAsia="MS Mincho" w:cs="Arial"/>
          <w:bCs/>
          <w:szCs w:val="24"/>
        </w:rPr>
        <w:t xml:space="preserve"> </w:t>
      </w:r>
    </w:p>
    <w:p w14:paraId="55EF6870" w14:textId="77777777" w:rsidR="00D93983" w:rsidRDefault="00D93983" w:rsidP="00F13F5C">
      <w:pPr>
        <w:spacing w:line="480" w:lineRule="auto"/>
        <w:rPr>
          <w:rFonts w:eastAsia="MS Mincho" w:cs="Arial"/>
          <w:szCs w:val="24"/>
        </w:rPr>
      </w:pPr>
    </w:p>
    <w:p w14:paraId="6D409047" w14:textId="7AD2159B" w:rsidR="00945E02" w:rsidRDefault="00F13F5C" w:rsidP="00F13F5C">
      <w:pPr>
        <w:spacing w:line="480" w:lineRule="auto"/>
        <w:rPr>
          <w:rFonts w:eastAsia="MS Mincho" w:cs="Arial"/>
          <w:szCs w:val="24"/>
        </w:rPr>
      </w:pPr>
      <w:r w:rsidRPr="00411046">
        <w:rPr>
          <w:rFonts w:eastAsia="MS Mincho" w:cs="Arial"/>
          <w:szCs w:val="24"/>
        </w:rPr>
        <w:t xml:space="preserve">The use of </w:t>
      </w:r>
      <w:r>
        <w:rPr>
          <w:rFonts w:eastAsia="MS Mincho" w:cs="Arial"/>
          <w:szCs w:val="24"/>
        </w:rPr>
        <w:t>HM</w:t>
      </w:r>
      <w:r w:rsidRPr="00411046">
        <w:rPr>
          <w:rFonts w:eastAsia="MS Mincho" w:cs="Arial"/>
          <w:szCs w:val="24"/>
        </w:rPr>
        <w:t xml:space="preserve"> for maintaining NG</w:t>
      </w:r>
      <w:r>
        <w:rPr>
          <w:rFonts w:eastAsia="MS Mincho" w:cs="Arial"/>
          <w:szCs w:val="24"/>
        </w:rPr>
        <w:t>T</w:t>
      </w:r>
      <w:r w:rsidRPr="00411046">
        <w:rPr>
          <w:rFonts w:eastAsia="MS Mincho" w:cs="Arial"/>
          <w:szCs w:val="24"/>
        </w:rPr>
        <w:t xml:space="preserve"> position is </w:t>
      </w:r>
      <w:r w:rsidR="00273C8D">
        <w:rPr>
          <w:rFonts w:eastAsia="MS Mincho" w:cs="Arial"/>
          <w:szCs w:val="24"/>
        </w:rPr>
        <w:t>examined</w:t>
      </w:r>
      <w:r w:rsidRPr="00411046">
        <w:rPr>
          <w:rFonts w:eastAsia="MS Mincho" w:cs="Arial"/>
          <w:szCs w:val="24"/>
        </w:rPr>
        <w:t xml:space="preserve"> by </w:t>
      </w:r>
      <w:r>
        <w:rPr>
          <w:rFonts w:eastAsia="MS Mincho" w:cs="Arial"/>
          <w:szCs w:val="24"/>
        </w:rPr>
        <w:t xml:space="preserve">Horsburgh et al. (2008), </w:t>
      </w:r>
      <w:r w:rsidR="001F0CFA">
        <w:rPr>
          <w:rFonts w:eastAsia="MS Mincho" w:cs="Arial"/>
          <w:szCs w:val="24"/>
        </w:rPr>
        <w:t>Williams (2010</w:t>
      </w:r>
      <w:r w:rsidRPr="00411046">
        <w:rPr>
          <w:rFonts w:eastAsia="MS Mincho" w:cs="Arial"/>
          <w:szCs w:val="24"/>
        </w:rPr>
        <w:t xml:space="preserve">), </w:t>
      </w:r>
      <w:r w:rsidRPr="00790261">
        <w:rPr>
          <w:rFonts w:eastAsia="MS Mincho" w:cs="Arial"/>
          <w:szCs w:val="24"/>
        </w:rPr>
        <w:t>Ciocon et al. (1988) and Quill (1989)</w:t>
      </w:r>
      <w:r w:rsidR="00273C8D" w:rsidRPr="00790261">
        <w:rPr>
          <w:rFonts w:eastAsia="MS Mincho" w:cs="Arial"/>
          <w:szCs w:val="24"/>
        </w:rPr>
        <w:t>.</w:t>
      </w:r>
      <w:r w:rsidR="00273C8D">
        <w:rPr>
          <w:rFonts w:eastAsia="MS Mincho" w:cs="Arial"/>
          <w:szCs w:val="24"/>
        </w:rPr>
        <w:t xml:space="preserve">  However, </w:t>
      </w:r>
      <w:r w:rsidRPr="00411046">
        <w:rPr>
          <w:rFonts w:eastAsia="MS Mincho" w:cs="Arial"/>
          <w:szCs w:val="24"/>
        </w:rPr>
        <w:t xml:space="preserve">none of these studies adequately </w:t>
      </w:r>
      <w:r w:rsidR="00E927BA">
        <w:rPr>
          <w:rFonts w:eastAsia="MS Mincho" w:cs="Arial"/>
          <w:szCs w:val="24"/>
        </w:rPr>
        <w:t>address</w:t>
      </w:r>
      <w:r w:rsidR="00945E02">
        <w:rPr>
          <w:rFonts w:eastAsia="MS Mincho" w:cs="Arial"/>
          <w:szCs w:val="24"/>
        </w:rPr>
        <w:t>es</w:t>
      </w:r>
      <w:r w:rsidR="00E927BA">
        <w:rPr>
          <w:rFonts w:eastAsia="MS Mincho" w:cs="Arial"/>
          <w:szCs w:val="24"/>
        </w:rPr>
        <w:t xml:space="preserve"> effectiveness</w:t>
      </w:r>
      <w:r w:rsidR="00945E02">
        <w:rPr>
          <w:rFonts w:eastAsia="MS Mincho" w:cs="Arial"/>
          <w:szCs w:val="24"/>
        </w:rPr>
        <w:t xml:space="preserve"> and </w:t>
      </w:r>
      <w:r w:rsidR="00273C8D">
        <w:rPr>
          <w:rFonts w:eastAsia="MS Mincho" w:cs="Arial"/>
          <w:szCs w:val="24"/>
        </w:rPr>
        <w:t>only</w:t>
      </w:r>
      <w:r w:rsidR="001F0CFA">
        <w:rPr>
          <w:rFonts w:eastAsia="MS Mincho" w:cs="Arial"/>
          <w:szCs w:val="24"/>
        </w:rPr>
        <w:t xml:space="preserve"> Horsburgh et al. (2008) </w:t>
      </w:r>
      <w:r w:rsidR="00945E02">
        <w:rPr>
          <w:rFonts w:eastAsia="MS Mincho" w:cs="Arial"/>
          <w:szCs w:val="24"/>
        </w:rPr>
        <w:t>begin</w:t>
      </w:r>
      <w:r w:rsidR="001F0CFA">
        <w:rPr>
          <w:rFonts w:eastAsia="MS Mincho" w:cs="Arial"/>
          <w:szCs w:val="24"/>
        </w:rPr>
        <w:t xml:space="preserve"> to </w:t>
      </w:r>
      <w:r w:rsidR="00945E02">
        <w:rPr>
          <w:rFonts w:eastAsia="MS Mincho" w:cs="Arial"/>
          <w:szCs w:val="24"/>
        </w:rPr>
        <w:t>address</w:t>
      </w:r>
      <w:r w:rsidR="001F0CFA">
        <w:rPr>
          <w:rFonts w:eastAsia="MS Mincho" w:cs="Arial"/>
          <w:szCs w:val="24"/>
        </w:rPr>
        <w:t xml:space="preserve"> patient perception</w:t>
      </w:r>
      <w:r w:rsidR="00945E02">
        <w:rPr>
          <w:rFonts w:eastAsia="MS Mincho" w:cs="Arial"/>
          <w:szCs w:val="24"/>
        </w:rPr>
        <w:t>s</w:t>
      </w:r>
      <w:r>
        <w:rPr>
          <w:rFonts w:eastAsia="MS Mincho" w:cs="Arial"/>
          <w:szCs w:val="24"/>
        </w:rPr>
        <w:t xml:space="preserve"> of acceptability</w:t>
      </w:r>
      <w:r w:rsidR="00945E02">
        <w:rPr>
          <w:rFonts w:eastAsia="MS Mincho" w:cs="Arial"/>
          <w:szCs w:val="24"/>
        </w:rPr>
        <w:t xml:space="preserve">. </w:t>
      </w:r>
      <w:r w:rsidR="001F0CFA">
        <w:rPr>
          <w:rFonts w:eastAsia="MS Mincho" w:cs="Arial"/>
          <w:szCs w:val="24"/>
        </w:rPr>
        <w:t>W</w:t>
      </w:r>
      <w:r w:rsidR="00945E02">
        <w:rPr>
          <w:rFonts w:eastAsia="MS Mincho" w:cs="Arial"/>
          <w:szCs w:val="24"/>
        </w:rPr>
        <w:t xml:space="preserve">illiams (2010) includes stroke patients with HM within the study sample, however it is only a small number of staff and family </w:t>
      </w:r>
      <w:r w:rsidR="00DA7F24">
        <w:rPr>
          <w:rFonts w:eastAsia="MS Mincho" w:cs="Arial"/>
          <w:szCs w:val="24"/>
        </w:rPr>
        <w:t>opinions that</w:t>
      </w:r>
      <w:r w:rsidR="00945E02">
        <w:rPr>
          <w:rFonts w:eastAsia="MS Mincho" w:cs="Arial"/>
          <w:szCs w:val="24"/>
        </w:rPr>
        <w:t xml:space="preserve"> are reported in the findings</w:t>
      </w:r>
      <w:r w:rsidR="00DA7F24">
        <w:rPr>
          <w:rFonts w:eastAsia="MS Mincho" w:cs="Arial"/>
          <w:szCs w:val="24"/>
        </w:rPr>
        <w:t>; opinions are both positive and negative</w:t>
      </w:r>
      <w:r w:rsidR="00945E02">
        <w:rPr>
          <w:rFonts w:eastAsia="MS Mincho" w:cs="Arial"/>
          <w:szCs w:val="24"/>
        </w:rPr>
        <w:t>.</w:t>
      </w:r>
    </w:p>
    <w:p w14:paraId="3080DB62" w14:textId="77777777" w:rsidR="00945E02" w:rsidRDefault="00945E02" w:rsidP="00F13F5C">
      <w:pPr>
        <w:spacing w:line="480" w:lineRule="auto"/>
        <w:rPr>
          <w:rFonts w:eastAsia="MS Mincho" w:cs="Arial"/>
          <w:szCs w:val="24"/>
        </w:rPr>
      </w:pPr>
    </w:p>
    <w:p w14:paraId="53D27E59" w14:textId="6BDE9B0E" w:rsidR="00F13F5C" w:rsidRPr="00411046" w:rsidRDefault="00F13F5C" w:rsidP="00F13F5C">
      <w:pPr>
        <w:spacing w:line="480" w:lineRule="auto"/>
        <w:rPr>
          <w:rFonts w:eastAsia="MS Mincho" w:cs="Arial"/>
          <w:szCs w:val="24"/>
        </w:rPr>
      </w:pPr>
      <w:r>
        <w:rPr>
          <w:rFonts w:eastAsia="MS Mincho" w:cs="Arial"/>
          <w:szCs w:val="24"/>
        </w:rPr>
        <w:t xml:space="preserve">Mahoney et al. (2015) </w:t>
      </w:r>
      <w:r w:rsidR="00273C8D">
        <w:rPr>
          <w:rFonts w:eastAsia="MS Mincho" w:cs="Arial"/>
          <w:szCs w:val="24"/>
        </w:rPr>
        <w:t>exp</w:t>
      </w:r>
      <w:r w:rsidR="00455779">
        <w:rPr>
          <w:rFonts w:eastAsia="MS Mincho" w:cs="Arial"/>
          <w:szCs w:val="24"/>
        </w:rPr>
        <w:t xml:space="preserve">lore the </w:t>
      </w:r>
      <w:r>
        <w:rPr>
          <w:rFonts w:eastAsia="MS Mincho" w:cs="Arial"/>
          <w:szCs w:val="24"/>
        </w:rPr>
        <w:t xml:space="preserve">opinions </w:t>
      </w:r>
      <w:r w:rsidR="00455779">
        <w:rPr>
          <w:rFonts w:eastAsia="MS Mincho" w:cs="Arial"/>
          <w:szCs w:val="24"/>
        </w:rPr>
        <w:t>nurses working in stroke within the UK</w:t>
      </w:r>
      <w:r w:rsidR="00273C8D">
        <w:rPr>
          <w:rFonts w:eastAsia="MS Mincho" w:cs="Arial"/>
          <w:szCs w:val="24"/>
        </w:rPr>
        <w:t xml:space="preserve">.  </w:t>
      </w:r>
      <w:r w:rsidR="00455779">
        <w:rPr>
          <w:rFonts w:eastAsia="MS Mincho" w:cs="Arial"/>
          <w:szCs w:val="24"/>
        </w:rPr>
        <w:t xml:space="preserve">A postal survey (RR=347) gauged perceptions about the acceptability and effectiveness of HM and NL. </w:t>
      </w:r>
      <w:r w:rsidR="00273C8D">
        <w:rPr>
          <w:rFonts w:eastAsia="MS Mincho" w:cs="Arial"/>
          <w:szCs w:val="24"/>
        </w:rPr>
        <w:t xml:space="preserve">In their study </w:t>
      </w:r>
      <w:r>
        <w:rPr>
          <w:rFonts w:eastAsia="MS Mincho" w:cs="Arial"/>
          <w:szCs w:val="24"/>
        </w:rPr>
        <w:t>HM were seen as the least safe and acceptable option for maintaining NGT position in stroke patients</w:t>
      </w:r>
      <w:r w:rsidR="00273C8D">
        <w:rPr>
          <w:rFonts w:eastAsia="MS Mincho" w:cs="Arial"/>
          <w:szCs w:val="24"/>
        </w:rPr>
        <w:t xml:space="preserve"> and </w:t>
      </w:r>
      <w:r>
        <w:rPr>
          <w:rFonts w:eastAsia="MS Mincho" w:cs="Arial"/>
          <w:szCs w:val="24"/>
        </w:rPr>
        <w:t>the most acceptable option for this purpose was taping</w:t>
      </w:r>
      <w:r w:rsidR="00D93983">
        <w:rPr>
          <w:rFonts w:eastAsia="MS Mincho" w:cs="Arial"/>
          <w:szCs w:val="24"/>
        </w:rPr>
        <w:t xml:space="preserve"> the NGT</w:t>
      </w:r>
      <w:r>
        <w:rPr>
          <w:rFonts w:eastAsia="MS Mincho" w:cs="Arial"/>
          <w:szCs w:val="24"/>
        </w:rPr>
        <w:t xml:space="preserve"> to the face</w:t>
      </w:r>
      <w:r w:rsidR="00273C8D">
        <w:rPr>
          <w:rFonts w:eastAsia="MS Mincho" w:cs="Arial"/>
          <w:szCs w:val="24"/>
        </w:rPr>
        <w:t xml:space="preserve"> (Mahoney et al 2015)</w:t>
      </w:r>
      <w:r>
        <w:rPr>
          <w:rFonts w:eastAsia="MS Mincho" w:cs="Arial"/>
          <w:szCs w:val="24"/>
        </w:rPr>
        <w:t>.</w:t>
      </w:r>
    </w:p>
    <w:p w14:paraId="4D45FA37" w14:textId="77777777" w:rsidR="00F13F5C" w:rsidRPr="00411046" w:rsidRDefault="00F13F5C" w:rsidP="00F13F5C">
      <w:pPr>
        <w:spacing w:line="480" w:lineRule="auto"/>
        <w:rPr>
          <w:rFonts w:eastAsia="MS Mincho" w:cs="Arial"/>
          <w:szCs w:val="24"/>
        </w:rPr>
      </w:pPr>
    </w:p>
    <w:p w14:paraId="109D00AD" w14:textId="0E2FB2F3" w:rsidR="00F13F5C" w:rsidRDefault="00273C8D" w:rsidP="00F13F5C">
      <w:pPr>
        <w:spacing w:line="480" w:lineRule="auto"/>
        <w:rPr>
          <w:rFonts w:eastAsia="MS Mincho" w:cs="Arial"/>
          <w:szCs w:val="24"/>
        </w:rPr>
      </w:pPr>
      <w:r>
        <w:rPr>
          <w:rFonts w:eastAsia="MS Mincho" w:cs="Arial"/>
          <w:szCs w:val="24"/>
        </w:rPr>
        <w:t>Most</w:t>
      </w:r>
      <w:r w:rsidR="00F13F5C">
        <w:rPr>
          <w:rFonts w:eastAsia="MS Mincho" w:cs="Arial"/>
          <w:szCs w:val="24"/>
        </w:rPr>
        <w:t xml:space="preserve"> studies used a </w:t>
      </w:r>
      <w:r w:rsidR="00F13F5C" w:rsidRPr="00411046">
        <w:rPr>
          <w:rFonts w:eastAsia="MS Mincho" w:cs="Arial"/>
          <w:szCs w:val="24"/>
        </w:rPr>
        <w:t xml:space="preserve">quantitative approach to measuring the effectiveness of </w:t>
      </w:r>
      <w:r w:rsidR="00790261">
        <w:rPr>
          <w:rFonts w:eastAsia="MS Mincho" w:cs="Arial"/>
          <w:szCs w:val="24"/>
        </w:rPr>
        <w:t>NL, HM</w:t>
      </w:r>
      <w:r w:rsidR="00F13F5C" w:rsidRPr="00411046">
        <w:rPr>
          <w:rFonts w:eastAsia="MS Mincho" w:cs="Arial"/>
          <w:szCs w:val="24"/>
        </w:rPr>
        <w:t xml:space="preserve">. </w:t>
      </w:r>
      <w:r w:rsidR="00F13F5C">
        <w:rPr>
          <w:rFonts w:eastAsia="MS Mincho" w:cs="Arial"/>
          <w:szCs w:val="24"/>
        </w:rPr>
        <w:t>However, within two of these</w:t>
      </w:r>
      <w:r>
        <w:rPr>
          <w:rFonts w:eastAsia="MS Mincho" w:cs="Arial"/>
          <w:szCs w:val="24"/>
        </w:rPr>
        <w:t xml:space="preserve"> studies</w:t>
      </w:r>
      <w:r w:rsidR="00F13F5C">
        <w:rPr>
          <w:rFonts w:eastAsia="MS Mincho" w:cs="Arial"/>
          <w:szCs w:val="24"/>
        </w:rPr>
        <w:t xml:space="preserve"> </w:t>
      </w:r>
      <w:r w:rsidR="00BA0237">
        <w:rPr>
          <w:rFonts w:eastAsia="MS Mincho" w:cs="Arial"/>
          <w:szCs w:val="24"/>
        </w:rPr>
        <w:t>qualitative</w:t>
      </w:r>
      <w:r>
        <w:rPr>
          <w:rFonts w:eastAsia="MS Mincho" w:cs="Arial"/>
          <w:szCs w:val="24"/>
        </w:rPr>
        <w:t xml:space="preserve"> insights are also </w:t>
      </w:r>
      <w:r w:rsidR="00F13F5C">
        <w:rPr>
          <w:rFonts w:eastAsia="MS Mincho" w:cs="Arial"/>
          <w:szCs w:val="24"/>
        </w:rPr>
        <w:t xml:space="preserve">reported (Beavan et al. 2010; Williams 2008). </w:t>
      </w:r>
      <w:r w:rsidR="00F13F5C" w:rsidRPr="00411046">
        <w:rPr>
          <w:rFonts w:eastAsia="MS Mincho" w:cs="Arial"/>
          <w:szCs w:val="24"/>
        </w:rPr>
        <w:t xml:space="preserve">Beavan et al. (2010) </w:t>
      </w:r>
      <w:r w:rsidR="00F13F5C">
        <w:rPr>
          <w:rFonts w:eastAsia="MS Mincho" w:cs="Arial"/>
          <w:szCs w:val="24"/>
        </w:rPr>
        <w:t>describes carrying out focus groups with staff,</w:t>
      </w:r>
      <w:r w:rsidR="00BA0237">
        <w:rPr>
          <w:rFonts w:eastAsia="MS Mincho" w:cs="Arial"/>
          <w:szCs w:val="24"/>
        </w:rPr>
        <w:t xml:space="preserve"> but</w:t>
      </w:r>
      <w:r w:rsidR="00F13F5C">
        <w:rPr>
          <w:rFonts w:eastAsia="MS Mincho" w:cs="Arial"/>
          <w:szCs w:val="24"/>
        </w:rPr>
        <w:t xml:space="preserve"> </w:t>
      </w:r>
      <w:r w:rsidR="00F13F5C" w:rsidRPr="00411046">
        <w:rPr>
          <w:rFonts w:eastAsia="MS Mincho" w:cs="Arial"/>
          <w:szCs w:val="24"/>
        </w:rPr>
        <w:t xml:space="preserve">fails to follow up on </w:t>
      </w:r>
      <w:r w:rsidR="00F13F5C">
        <w:rPr>
          <w:rFonts w:eastAsia="MS Mincho" w:cs="Arial"/>
          <w:szCs w:val="24"/>
        </w:rPr>
        <w:t>these findings</w:t>
      </w:r>
      <w:r w:rsidR="00BA0237">
        <w:rPr>
          <w:rFonts w:eastAsia="MS Mincho" w:cs="Arial"/>
          <w:szCs w:val="24"/>
        </w:rPr>
        <w:t>.</w:t>
      </w:r>
      <w:r w:rsidR="00F13F5C">
        <w:rPr>
          <w:rFonts w:eastAsia="MS Mincho" w:cs="Arial"/>
          <w:szCs w:val="24"/>
        </w:rPr>
        <w:t xml:space="preserve"> </w:t>
      </w:r>
      <w:r w:rsidR="00F13F5C" w:rsidRPr="00411046">
        <w:rPr>
          <w:rFonts w:eastAsia="MS Mincho" w:cs="Arial"/>
          <w:szCs w:val="24"/>
        </w:rPr>
        <w:t xml:space="preserve">Williams (2008) </w:t>
      </w:r>
      <w:r w:rsidR="00F13F5C">
        <w:rPr>
          <w:rFonts w:eastAsia="MS Mincho" w:cs="Arial"/>
          <w:szCs w:val="24"/>
        </w:rPr>
        <w:lastRenderedPageBreak/>
        <w:t xml:space="preserve">interviews with carers and family </w:t>
      </w:r>
      <w:r w:rsidR="00BA0237">
        <w:rPr>
          <w:rFonts w:eastAsia="MS Mincho" w:cs="Arial"/>
          <w:szCs w:val="24"/>
        </w:rPr>
        <w:t xml:space="preserve">but </w:t>
      </w:r>
      <w:r w:rsidR="00F13F5C">
        <w:rPr>
          <w:rFonts w:eastAsia="MS Mincho" w:cs="Arial"/>
          <w:szCs w:val="24"/>
        </w:rPr>
        <w:t>only report</w:t>
      </w:r>
      <w:r w:rsidR="00F13F5C" w:rsidRPr="00411046">
        <w:rPr>
          <w:rFonts w:eastAsia="MS Mincho" w:cs="Arial"/>
          <w:szCs w:val="24"/>
        </w:rPr>
        <w:t xml:space="preserve"> on the decision making process</w:t>
      </w:r>
      <w:r w:rsidR="00F13F5C">
        <w:rPr>
          <w:rFonts w:eastAsia="MS Mincho" w:cs="Arial"/>
          <w:szCs w:val="24"/>
        </w:rPr>
        <w:t xml:space="preserve"> which lead to using HM,</w:t>
      </w:r>
      <w:r w:rsidR="00F13F5C" w:rsidRPr="00411046">
        <w:rPr>
          <w:rFonts w:eastAsia="MS Mincho" w:cs="Arial"/>
          <w:szCs w:val="24"/>
        </w:rPr>
        <w:t xml:space="preserve"> leaving the question of acceptability unanswered. </w:t>
      </w:r>
    </w:p>
    <w:p w14:paraId="722FA784" w14:textId="77777777" w:rsidR="00F13F5C" w:rsidRDefault="00F13F5C" w:rsidP="00F13F5C">
      <w:pPr>
        <w:spacing w:line="480" w:lineRule="auto"/>
        <w:rPr>
          <w:rFonts w:eastAsia="MS Mincho" w:cs="Arial"/>
          <w:szCs w:val="24"/>
        </w:rPr>
      </w:pPr>
    </w:p>
    <w:p w14:paraId="45B90671" w14:textId="03226B5F" w:rsidR="00820B9D" w:rsidRPr="00411046" w:rsidRDefault="00BA0237" w:rsidP="00820B9D">
      <w:pPr>
        <w:spacing w:line="480" w:lineRule="auto"/>
        <w:rPr>
          <w:rFonts w:eastAsia="MS Mincho" w:cs="Arial"/>
          <w:szCs w:val="24"/>
        </w:rPr>
      </w:pPr>
      <w:r>
        <w:rPr>
          <w:rFonts w:eastAsia="MS Mincho" w:cs="Arial"/>
          <w:szCs w:val="24"/>
        </w:rPr>
        <w:t>Only one study specifically adopted a</w:t>
      </w:r>
      <w:r w:rsidR="00E927BA">
        <w:rPr>
          <w:rFonts w:eastAsia="MS Mincho" w:cs="Arial"/>
          <w:szCs w:val="24"/>
        </w:rPr>
        <w:t xml:space="preserve"> solely</w:t>
      </w:r>
      <w:r>
        <w:rPr>
          <w:rFonts w:eastAsia="MS Mincho" w:cs="Arial"/>
          <w:szCs w:val="24"/>
        </w:rPr>
        <w:t xml:space="preserve"> qualitative approach to address issues of acceptabi</w:t>
      </w:r>
      <w:r w:rsidR="001F0CFA">
        <w:rPr>
          <w:rFonts w:eastAsia="MS Mincho" w:cs="Arial"/>
          <w:szCs w:val="24"/>
        </w:rPr>
        <w:t xml:space="preserve">lity directly (Horsburgh et al. </w:t>
      </w:r>
      <w:r>
        <w:rPr>
          <w:rFonts w:eastAsia="MS Mincho" w:cs="Arial"/>
          <w:szCs w:val="24"/>
        </w:rPr>
        <w:t xml:space="preserve">2008).  In this </w:t>
      </w:r>
      <w:r w:rsidR="00F13F5C">
        <w:rPr>
          <w:rFonts w:eastAsia="MS Mincho" w:cs="Arial"/>
          <w:szCs w:val="24"/>
        </w:rPr>
        <w:t xml:space="preserve">Grounded Theory </w:t>
      </w:r>
      <w:r>
        <w:rPr>
          <w:rFonts w:eastAsia="MS Mincho" w:cs="Arial"/>
          <w:szCs w:val="24"/>
        </w:rPr>
        <w:t>study</w:t>
      </w:r>
      <w:r w:rsidRPr="00411046">
        <w:rPr>
          <w:rFonts w:eastAsia="MS Mincho" w:cs="Arial"/>
          <w:szCs w:val="24"/>
        </w:rPr>
        <w:t xml:space="preserve"> </w:t>
      </w:r>
      <w:r w:rsidR="00F13F5C" w:rsidRPr="00411046">
        <w:rPr>
          <w:rFonts w:eastAsia="MS Mincho" w:cs="Arial"/>
          <w:szCs w:val="24"/>
        </w:rPr>
        <w:t>the perceptions of stroke patients</w:t>
      </w:r>
      <w:r w:rsidR="00F13F5C">
        <w:rPr>
          <w:rFonts w:eastAsia="MS Mincho" w:cs="Arial"/>
          <w:szCs w:val="24"/>
        </w:rPr>
        <w:t>, their family/carers and staff about HM and NL</w:t>
      </w:r>
      <w:r>
        <w:rPr>
          <w:rFonts w:eastAsia="MS Mincho" w:cs="Arial"/>
          <w:szCs w:val="24"/>
        </w:rPr>
        <w:t xml:space="preserve"> were explored</w:t>
      </w:r>
      <w:r w:rsidR="00F13F5C" w:rsidRPr="00411046">
        <w:rPr>
          <w:rFonts w:eastAsia="MS Mincho" w:cs="Arial"/>
          <w:szCs w:val="24"/>
        </w:rPr>
        <w:t xml:space="preserve">. </w:t>
      </w:r>
      <w:r>
        <w:rPr>
          <w:rFonts w:eastAsia="MS Mincho" w:cs="Arial"/>
          <w:szCs w:val="24"/>
        </w:rPr>
        <w:t>Their findings indicated that</w:t>
      </w:r>
      <w:r w:rsidRPr="00411046">
        <w:rPr>
          <w:rFonts w:eastAsia="MS Mincho" w:cs="Arial"/>
          <w:szCs w:val="24"/>
        </w:rPr>
        <w:t xml:space="preserve"> </w:t>
      </w:r>
      <w:r w:rsidR="00F13F5C" w:rsidRPr="00411046">
        <w:rPr>
          <w:rFonts w:eastAsia="MS Mincho" w:cs="Arial"/>
          <w:szCs w:val="24"/>
        </w:rPr>
        <w:t xml:space="preserve">all participants identify that </w:t>
      </w:r>
      <w:r w:rsidR="00F13F5C">
        <w:rPr>
          <w:rFonts w:eastAsia="MS Mincho" w:cs="Arial"/>
          <w:szCs w:val="24"/>
        </w:rPr>
        <w:t>HM’s</w:t>
      </w:r>
      <w:r w:rsidR="00F13F5C" w:rsidRPr="00411046">
        <w:rPr>
          <w:rFonts w:eastAsia="MS Mincho" w:cs="Arial"/>
          <w:szCs w:val="24"/>
        </w:rPr>
        <w:t xml:space="preserve"> reduce or diminish patient autonomy and that the </w:t>
      </w:r>
      <w:r w:rsidR="00F13F5C">
        <w:rPr>
          <w:rFonts w:eastAsia="MS Mincho" w:cs="Arial"/>
          <w:szCs w:val="24"/>
        </w:rPr>
        <w:t>NL</w:t>
      </w:r>
      <w:r w:rsidR="00F13F5C" w:rsidRPr="00411046">
        <w:rPr>
          <w:rFonts w:eastAsia="MS Mincho" w:cs="Arial"/>
          <w:szCs w:val="24"/>
        </w:rPr>
        <w:t xml:space="preserve"> </w:t>
      </w:r>
      <w:r w:rsidR="00F13F5C">
        <w:rPr>
          <w:rFonts w:eastAsia="MS Mincho" w:cs="Arial"/>
          <w:szCs w:val="24"/>
        </w:rPr>
        <w:t>may be perceived as</w:t>
      </w:r>
      <w:r w:rsidR="00F13F5C" w:rsidRPr="00411046">
        <w:rPr>
          <w:rFonts w:eastAsia="MS Mincho" w:cs="Arial"/>
          <w:szCs w:val="24"/>
        </w:rPr>
        <w:t xml:space="preserve"> pain</w:t>
      </w:r>
      <w:r w:rsidR="00F13F5C">
        <w:rPr>
          <w:rFonts w:eastAsia="MS Mincho" w:cs="Arial"/>
          <w:szCs w:val="24"/>
        </w:rPr>
        <w:t>ful and damaging</w:t>
      </w:r>
      <w:r w:rsidR="00F13F5C" w:rsidRPr="00411046">
        <w:rPr>
          <w:rFonts w:eastAsia="MS Mincho" w:cs="Arial"/>
          <w:szCs w:val="24"/>
        </w:rPr>
        <w:t>.</w:t>
      </w:r>
      <w:r w:rsidR="00820B9D">
        <w:rPr>
          <w:rFonts w:eastAsia="MS Mincho" w:cs="Arial"/>
          <w:szCs w:val="24"/>
        </w:rPr>
        <w:t xml:space="preserve">  </w:t>
      </w:r>
      <w:r w:rsidR="00820B9D" w:rsidRPr="00411046">
        <w:rPr>
          <w:rFonts w:eastAsia="MS Mincho" w:cs="Arial"/>
          <w:szCs w:val="24"/>
        </w:rPr>
        <w:t xml:space="preserve">Horsburgh et al. (2008) conclude that the benefits of an intervention must outweigh potential harm </w:t>
      </w:r>
      <w:r w:rsidR="00820B9D">
        <w:rPr>
          <w:rFonts w:eastAsia="MS Mincho" w:cs="Arial"/>
          <w:szCs w:val="24"/>
        </w:rPr>
        <w:t>and be justified in maintaining</w:t>
      </w:r>
      <w:r w:rsidR="00820B9D" w:rsidRPr="00411046">
        <w:rPr>
          <w:rFonts w:eastAsia="MS Mincho" w:cs="Arial"/>
          <w:szCs w:val="24"/>
        </w:rPr>
        <w:t xml:space="preserve"> nutritional status. These findings </w:t>
      </w:r>
      <w:r w:rsidR="00E927BA">
        <w:rPr>
          <w:rFonts w:eastAsia="MS Mincho" w:cs="Arial"/>
          <w:szCs w:val="24"/>
        </w:rPr>
        <w:t>concur with</w:t>
      </w:r>
      <w:r w:rsidR="00820B9D">
        <w:rPr>
          <w:rFonts w:eastAsia="MS Mincho" w:cs="Arial"/>
          <w:szCs w:val="24"/>
        </w:rPr>
        <w:t xml:space="preserve"> </w:t>
      </w:r>
      <w:r w:rsidR="00E927BA">
        <w:rPr>
          <w:rFonts w:eastAsia="MS Mincho" w:cs="Arial"/>
          <w:szCs w:val="24"/>
        </w:rPr>
        <w:t xml:space="preserve">clauses in </w:t>
      </w:r>
      <w:r w:rsidR="00820B9D" w:rsidRPr="00411046">
        <w:rPr>
          <w:rFonts w:eastAsia="MS Mincho" w:cs="Arial"/>
          <w:szCs w:val="24"/>
        </w:rPr>
        <w:t xml:space="preserve">Adults with Incapacity </w:t>
      </w:r>
      <w:r w:rsidR="00820B9D">
        <w:rPr>
          <w:rFonts w:eastAsia="MS Mincho" w:cs="Arial"/>
          <w:szCs w:val="24"/>
        </w:rPr>
        <w:t>(Scotland)</w:t>
      </w:r>
      <w:r w:rsidR="00820B9D" w:rsidRPr="00411046">
        <w:rPr>
          <w:rFonts w:eastAsia="MS Mincho" w:cs="Arial"/>
          <w:szCs w:val="24"/>
        </w:rPr>
        <w:t xml:space="preserve"> Act (2000) and Mental Capacity Act (2005) </w:t>
      </w:r>
      <w:r w:rsidR="00E927BA">
        <w:rPr>
          <w:rFonts w:eastAsia="MS Mincho" w:cs="Arial"/>
          <w:szCs w:val="24"/>
        </w:rPr>
        <w:t>that</w:t>
      </w:r>
      <w:r w:rsidR="00820B9D" w:rsidRPr="00411046">
        <w:rPr>
          <w:rFonts w:eastAsia="MS Mincho" w:cs="Arial"/>
          <w:szCs w:val="24"/>
        </w:rPr>
        <w:t xml:space="preserve"> recommend that any</w:t>
      </w:r>
      <w:r w:rsidR="00820B9D" w:rsidRPr="00411046">
        <w:rPr>
          <w:rFonts w:cs="Arial"/>
          <w:szCs w:val="24"/>
        </w:rPr>
        <w:t xml:space="preserve"> intervention made in the care of an incapacitated adult must be deemed in their ‘best interests’.  </w:t>
      </w:r>
      <w:r w:rsidR="00790261">
        <w:rPr>
          <w:rFonts w:cs="Arial"/>
          <w:szCs w:val="24"/>
        </w:rPr>
        <w:t xml:space="preserve">The survey conducted by </w:t>
      </w:r>
      <w:r w:rsidR="00820B9D">
        <w:rPr>
          <w:rFonts w:eastAsia="MS Mincho" w:cs="Arial"/>
          <w:szCs w:val="24"/>
        </w:rPr>
        <w:t>Mahoney et al. (2015</w:t>
      </w:r>
      <w:r w:rsidR="00790261">
        <w:rPr>
          <w:rFonts w:eastAsia="MS Mincho" w:cs="Arial"/>
          <w:szCs w:val="24"/>
        </w:rPr>
        <w:t xml:space="preserve">) also sought </w:t>
      </w:r>
      <w:r w:rsidR="00820B9D">
        <w:rPr>
          <w:rFonts w:eastAsia="MS Mincho" w:cs="Arial"/>
          <w:szCs w:val="24"/>
        </w:rPr>
        <w:t xml:space="preserve">to ascertain the views and experiences of nursing staff working within the specialty of stroke about the effectiveness, safety and acceptability </w:t>
      </w:r>
      <w:r w:rsidR="00790261">
        <w:rPr>
          <w:rFonts w:eastAsia="MS Mincho" w:cs="Arial"/>
          <w:szCs w:val="24"/>
        </w:rPr>
        <w:t>of</w:t>
      </w:r>
      <w:r w:rsidR="00820B9D">
        <w:rPr>
          <w:rFonts w:eastAsia="MS Mincho" w:cs="Arial"/>
          <w:szCs w:val="24"/>
        </w:rPr>
        <w:t xml:space="preserve"> the NL. The</w:t>
      </w:r>
      <w:r w:rsidR="00790261">
        <w:rPr>
          <w:rFonts w:eastAsia="MS Mincho" w:cs="Arial"/>
          <w:szCs w:val="24"/>
        </w:rPr>
        <w:t xml:space="preserve">ir findings </w:t>
      </w:r>
      <w:r w:rsidR="00820B9D">
        <w:rPr>
          <w:rFonts w:eastAsia="MS Mincho" w:cs="Arial"/>
          <w:szCs w:val="24"/>
        </w:rPr>
        <w:t>indicate that although nurses perceive the NL to be effective, they do not consider it to be safe or acceptable.  T</w:t>
      </w:r>
      <w:r w:rsidR="00820B9D" w:rsidRPr="00411046">
        <w:rPr>
          <w:rFonts w:eastAsia="MS Mincho" w:cs="Arial"/>
          <w:szCs w:val="24"/>
        </w:rPr>
        <w:t>herefore</w:t>
      </w:r>
      <w:r w:rsidR="00820B9D">
        <w:rPr>
          <w:rFonts w:eastAsia="MS Mincho" w:cs="Arial"/>
          <w:szCs w:val="24"/>
        </w:rPr>
        <w:t>,</w:t>
      </w:r>
      <w:r w:rsidR="00820B9D" w:rsidRPr="00411046">
        <w:rPr>
          <w:rFonts w:eastAsia="MS Mincho" w:cs="Arial"/>
          <w:szCs w:val="24"/>
        </w:rPr>
        <w:t xml:space="preserve"> balanced against </w:t>
      </w:r>
      <w:r w:rsidR="00820B9D">
        <w:rPr>
          <w:rFonts w:eastAsia="MS Mincho" w:cs="Arial"/>
          <w:szCs w:val="24"/>
        </w:rPr>
        <w:t>perceptions of ‘harm’, unacceptability, potential</w:t>
      </w:r>
      <w:r w:rsidR="00820B9D" w:rsidRPr="00411046">
        <w:rPr>
          <w:rFonts w:eastAsia="MS Mincho" w:cs="Arial"/>
          <w:szCs w:val="24"/>
        </w:rPr>
        <w:t xml:space="preserve"> trauma </w:t>
      </w:r>
      <w:r w:rsidR="00820B9D">
        <w:rPr>
          <w:rFonts w:eastAsia="MS Mincho" w:cs="Arial"/>
          <w:szCs w:val="24"/>
        </w:rPr>
        <w:t>and pain, curren</w:t>
      </w:r>
      <w:r w:rsidR="00790261">
        <w:rPr>
          <w:rFonts w:eastAsia="MS Mincho" w:cs="Arial"/>
          <w:szCs w:val="24"/>
        </w:rPr>
        <w:t>t evidence does not satisfy the premise that</w:t>
      </w:r>
      <w:r w:rsidR="00820B9D">
        <w:rPr>
          <w:rFonts w:eastAsia="MS Mincho" w:cs="Arial"/>
          <w:szCs w:val="24"/>
        </w:rPr>
        <w:t xml:space="preserve"> the benefits of the NL outweigh</w:t>
      </w:r>
      <w:r w:rsidR="00820B9D" w:rsidRPr="00411046">
        <w:rPr>
          <w:rFonts w:eastAsia="MS Mincho" w:cs="Arial"/>
          <w:szCs w:val="24"/>
        </w:rPr>
        <w:t xml:space="preserve"> </w:t>
      </w:r>
      <w:r w:rsidR="00790261">
        <w:rPr>
          <w:rFonts w:eastAsia="MS Mincho" w:cs="Arial"/>
          <w:szCs w:val="24"/>
        </w:rPr>
        <w:t xml:space="preserve">its </w:t>
      </w:r>
      <w:r w:rsidR="00820B9D">
        <w:rPr>
          <w:rFonts w:eastAsia="MS Mincho" w:cs="Arial"/>
          <w:szCs w:val="24"/>
        </w:rPr>
        <w:t xml:space="preserve">potential </w:t>
      </w:r>
      <w:r w:rsidR="00820B9D" w:rsidRPr="00411046">
        <w:rPr>
          <w:rFonts w:eastAsia="MS Mincho" w:cs="Arial"/>
          <w:szCs w:val="24"/>
        </w:rPr>
        <w:t xml:space="preserve">harms. </w:t>
      </w:r>
    </w:p>
    <w:p w14:paraId="3DEB6AB2" w14:textId="77777777" w:rsidR="00F13F5C" w:rsidRDefault="00F13F5C" w:rsidP="00F13F5C">
      <w:pPr>
        <w:spacing w:line="480" w:lineRule="auto"/>
        <w:rPr>
          <w:rFonts w:eastAsia="MS Mincho" w:cs="Arial"/>
          <w:szCs w:val="24"/>
        </w:rPr>
      </w:pPr>
    </w:p>
    <w:p w14:paraId="4A3ABC7E" w14:textId="653B9D6E" w:rsidR="00273C8D" w:rsidRDefault="00273C8D" w:rsidP="00F13F5C">
      <w:pPr>
        <w:spacing w:line="480" w:lineRule="auto"/>
        <w:rPr>
          <w:rFonts w:eastAsia="MS Mincho" w:cs="Arial"/>
          <w:szCs w:val="24"/>
        </w:rPr>
      </w:pPr>
    </w:p>
    <w:p w14:paraId="57752EAA" w14:textId="77777777" w:rsidR="00F13F5C" w:rsidRDefault="00F13F5C" w:rsidP="00F13F5C">
      <w:pPr>
        <w:spacing w:line="480" w:lineRule="auto"/>
        <w:rPr>
          <w:rFonts w:eastAsia="MS Mincho" w:cs="Arial"/>
          <w:szCs w:val="24"/>
        </w:rPr>
      </w:pPr>
    </w:p>
    <w:p w14:paraId="47468005" w14:textId="77777777" w:rsidR="00E22753" w:rsidRDefault="00E22753" w:rsidP="00F13F5C">
      <w:pPr>
        <w:spacing w:line="480" w:lineRule="auto"/>
        <w:rPr>
          <w:rFonts w:eastAsia="MS Mincho" w:cs="Arial"/>
          <w:szCs w:val="24"/>
        </w:rPr>
      </w:pPr>
    </w:p>
    <w:p w14:paraId="5E3BF451" w14:textId="18795485" w:rsidR="00A2259F" w:rsidRDefault="00F13F5C" w:rsidP="00F13F5C">
      <w:pPr>
        <w:spacing w:line="480" w:lineRule="auto"/>
        <w:rPr>
          <w:rFonts w:cs="Arial"/>
          <w:bCs/>
          <w:szCs w:val="24"/>
        </w:rPr>
      </w:pPr>
      <w:r>
        <w:rPr>
          <w:rFonts w:eastAsia="MS Mincho" w:cs="Arial"/>
          <w:szCs w:val="24"/>
        </w:rPr>
        <w:lastRenderedPageBreak/>
        <w:t>A</w:t>
      </w:r>
      <w:r w:rsidRPr="00411046">
        <w:rPr>
          <w:rFonts w:eastAsia="MS Mincho" w:cs="Arial"/>
          <w:szCs w:val="24"/>
        </w:rPr>
        <w:t>ccording to the R</w:t>
      </w:r>
      <w:r w:rsidR="00E927BA">
        <w:rPr>
          <w:rFonts w:eastAsia="MS Mincho" w:cs="Arial"/>
          <w:szCs w:val="24"/>
        </w:rPr>
        <w:t>oyal College of Nursing (R</w:t>
      </w:r>
      <w:r w:rsidRPr="00411046">
        <w:rPr>
          <w:rFonts w:eastAsia="MS Mincho" w:cs="Arial"/>
          <w:szCs w:val="24"/>
        </w:rPr>
        <w:t>CN</w:t>
      </w:r>
      <w:r w:rsidR="00E927BA">
        <w:rPr>
          <w:rFonts w:eastAsia="MS Mincho" w:cs="Arial"/>
          <w:szCs w:val="24"/>
        </w:rPr>
        <w:t>)</w:t>
      </w:r>
      <w:r w:rsidRPr="00411046">
        <w:rPr>
          <w:rFonts w:eastAsia="MS Mincho" w:cs="Arial"/>
          <w:szCs w:val="24"/>
        </w:rPr>
        <w:t xml:space="preserve"> (2008) restraint is </w:t>
      </w:r>
      <w:r w:rsidRPr="006008E9">
        <w:rPr>
          <w:rFonts w:eastAsia="MS Mincho" w:cs="Arial"/>
          <w:i/>
          <w:szCs w:val="24"/>
        </w:rPr>
        <w:t>‘the intentional restriction of a person’s voluntary movement or behaviour’</w:t>
      </w:r>
      <w:r w:rsidRPr="00411046">
        <w:rPr>
          <w:rFonts w:eastAsia="MS Mincho" w:cs="Arial"/>
          <w:szCs w:val="24"/>
        </w:rPr>
        <w:t xml:space="preserve">. This definition </w:t>
      </w:r>
      <w:r>
        <w:rPr>
          <w:rFonts w:eastAsia="MS Mincho" w:cs="Arial"/>
          <w:szCs w:val="24"/>
        </w:rPr>
        <w:t>can</w:t>
      </w:r>
      <w:r w:rsidRPr="00411046">
        <w:rPr>
          <w:rFonts w:eastAsia="MS Mincho" w:cs="Arial"/>
          <w:szCs w:val="24"/>
        </w:rPr>
        <w:t xml:space="preserve"> be applied to both </w:t>
      </w:r>
      <w:r>
        <w:rPr>
          <w:rFonts w:eastAsia="MS Mincho" w:cs="Arial"/>
          <w:szCs w:val="24"/>
        </w:rPr>
        <w:t>HM</w:t>
      </w:r>
      <w:r w:rsidRPr="00411046">
        <w:rPr>
          <w:rFonts w:eastAsia="MS Mincho" w:cs="Arial"/>
          <w:szCs w:val="24"/>
        </w:rPr>
        <w:t xml:space="preserve"> and the </w:t>
      </w:r>
      <w:r>
        <w:rPr>
          <w:rFonts w:eastAsia="MS Mincho" w:cs="Arial"/>
          <w:szCs w:val="24"/>
        </w:rPr>
        <w:t>NL</w:t>
      </w:r>
      <w:r w:rsidRPr="00411046">
        <w:rPr>
          <w:rFonts w:eastAsia="MS Mincho" w:cs="Arial"/>
          <w:szCs w:val="24"/>
        </w:rPr>
        <w:t>. Laws covering the use of restra</w:t>
      </w:r>
      <w:r>
        <w:rPr>
          <w:rFonts w:eastAsia="MS Mincho" w:cs="Arial"/>
          <w:szCs w:val="24"/>
        </w:rPr>
        <w:t xml:space="preserve">int come from criminal and </w:t>
      </w:r>
      <w:r w:rsidRPr="00411046">
        <w:rPr>
          <w:rFonts w:eastAsia="MS Mincho" w:cs="Arial"/>
          <w:szCs w:val="24"/>
        </w:rPr>
        <w:t xml:space="preserve">civil </w:t>
      </w:r>
      <w:r>
        <w:rPr>
          <w:rFonts w:eastAsia="MS Mincho" w:cs="Arial"/>
          <w:szCs w:val="24"/>
        </w:rPr>
        <w:t>law applicable to the UK</w:t>
      </w:r>
      <w:r w:rsidR="00E927BA">
        <w:rPr>
          <w:rFonts w:eastAsia="MS Mincho" w:cs="Arial"/>
          <w:szCs w:val="24"/>
        </w:rPr>
        <w:t xml:space="preserve">, including </w:t>
      </w:r>
      <w:r>
        <w:rPr>
          <w:rFonts w:eastAsia="MS Mincho" w:cs="Arial"/>
          <w:szCs w:val="24"/>
        </w:rPr>
        <w:t>the</w:t>
      </w:r>
      <w:r w:rsidR="00E927BA">
        <w:rPr>
          <w:rFonts w:eastAsia="MS Mincho" w:cs="Arial"/>
          <w:szCs w:val="24"/>
        </w:rPr>
        <w:t xml:space="preserve"> aforementioned</w:t>
      </w:r>
      <w:r>
        <w:rPr>
          <w:rFonts w:eastAsia="MS Mincho" w:cs="Arial"/>
          <w:szCs w:val="24"/>
        </w:rPr>
        <w:t xml:space="preserve"> Mental Capacity Act (2005) and </w:t>
      </w:r>
      <w:r w:rsidRPr="00411046">
        <w:rPr>
          <w:rFonts w:eastAsia="MS Mincho" w:cs="Arial"/>
          <w:szCs w:val="24"/>
        </w:rPr>
        <w:t>Adults with Incapacity (Scotland) Act (2000).  Whenever restraint is used</w:t>
      </w:r>
      <w:r>
        <w:rPr>
          <w:rFonts w:eastAsia="MS Mincho" w:cs="Arial"/>
          <w:szCs w:val="24"/>
        </w:rPr>
        <w:t>,</w:t>
      </w:r>
      <w:r w:rsidRPr="00411046">
        <w:rPr>
          <w:rFonts w:eastAsia="MS Mincho" w:cs="Arial"/>
          <w:szCs w:val="24"/>
        </w:rPr>
        <w:t xml:space="preserve"> clear justification must be given in accordance with accepted professional standards (N</w:t>
      </w:r>
      <w:r>
        <w:rPr>
          <w:rFonts w:eastAsia="MS Mincho" w:cs="Arial"/>
          <w:szCs w:val="24"/>
        </w:rPr>
        <w:t xml:space="preserve">ursing </w:t>
      </w:r>
      <w:r w:rsidR="00E927BA">
        <w:rPr>
          <w:rFonts w:eastAsia="MS Mincho" w:cs="Arial"/>
          <w:szCs w:val="24"/>
        </w:rPr>
        <w:t>and</w:t>
      </w:r>
      <w:r>
        <w:rPr>
          <w:rFonts w:eastAsia="MS Mincho" w:cs="Arial"/>
          <w:szCs w:val="24"/>
        </w:rPr>
        <w:t xml:space="preserve"> </w:t>
      </w:r>
      <w:r w:rsidRPr="00411046">
        <w:rPr>
          <w:rFonts w:eastAsia="MS Mincho" w:cs="Arial"/>
          <w:szCs w:val="24"/>
        </w:rPr>
        <w:t>M</w:t>
      </w:r>
      <w:r>
        <w:rPr>
          <w:rFonts w:eastAsia="MS Mincho" w:cs="Arial"/>
          <w:szCs w:val="24"/>
        </w:rPr>
        <w:t xml:space="preserve">idwifery </w:t>
      </w:r>
      <w:r w:rsidRPr="00411046">
        <w:rPr>
          <w:rFonts w:eastAsia="MS Mincho" w:cs="Arial"/>
          <w:szCs w:val="24"/>
        </w:rPr>
        <w:t>C</w:t>
      </w:r>
      <w:r>
        <w:rPr>
          <w:rFonts w:eastAsia="MS Mincho" w:cs="Arial"/>
          <w:szCs w:val="24"/>
        </w:rPr>
        <w:t>ouncil (NMC)</w:t>
      </w:r>
      <w:r w:rsidRPr="00411046">
        <w:rPr>
          <w:rFonts w:eastAsia="MS Mincho" w:cs="Arial"/>
          <w:szCs w:val="24"/>
        </w:rPr>
        <w:t xml:space="preserve"> 2015; RCN 2008). This </w:t>
      </w:r>
      <w:r>
        <w:rPr>
          <w:rFonts w:eastAsia="MS Mincho" w:cs="Arial"/>
          <w:szCs w:val="24"/>
        </w:rPr>
        <w:t xml:space="preserve">integrative </w:t>
      </w:r>
      <w:r w:rsidRPr="00411046">
        <w:rPr>
          <w:rFonts w:eastAsia="MS Mincho" w:cs="Arial"/>
          <w:szCs w:val="24"/>
        </w:rPr>
        <w:t xml:space="preserve">review demonstrates that justification for physical restraint of stroke patients requiring NGT feeding is not supported by sufficient evidence. Although recent guidance from the Royal College of Physicians </w:t>
      </w:r>
      <w:r>
        <w:rPr>
          <w:rFonts w:eastAsia="MS Mincho" w:cs="Arial"/>
          <w:szCs w:val="24"/>
        </w:rPr>
        <w:t xml:space="preserve">(RCP) </w:t>
      </w:r>
      <w:r w:rsidRPr="00411046">
        <w:rPr>
          <w:rFonts w:eastAsia="MS Mincho" w:cs="Arial"/>
          <w:szCs w:val="24"/>
        </w:rPr>
        <w:t>(Gomes, Hookway &amp; Weekes 2012) acknowledges this</w:t>
      </w:r>
      <w:r>
        <w:rPr>
          <w:rFonts w:eastAsia="MS Mincho" w:cs="Arial"/>
          <w:szCs w:val="24"/>
        </w:rPr>
        <w:t xml:space="preserve"> in respect to HM</w:t>
      </w:r>
      <w:r w:rsidRPr="00411046">
        <w:rPr>
          <w:rFonts w:eastAsia="MS Mincho" w:cs="Arial"/>
          <w:szCs w:val="24"/>
        </w:rPr>
        <w:t>, they do not advise against their use</w:t>
      </w:r>
      <w:r>
        <w:rPr>
          <w:rFonts w:eastAsia="MS Mincho" w:cs="Arial"/>
          <w:szCs w:val="24"/>
        </w:rPr>
        <w:t>,</w:t>
      </w:r>
      <w:r w:rsidRPr="00411046">
        <w:rPr>
          <w:rFonts w:eastAsia="MS Mincho" w:cs="Arial"/>
          <w:szCs w:val="24"/>
        </w:rPr>
        <w:t xml:space="preserve"> but recommend th</w:t>
      </w:r>
      <w:r>
        <w:rPr>
          <w:rFonts w:eastAsia="MS Mincho" w:cs="Arial"/>
          <w:szCs w:val="24"/>
        </w:rPr>
        <w:t>at it</w:t>
      </w:r>
      <w:r w:rsidRPr="00411046">
        <w:rPr>
          <w:rFonts w:eastAsia="MS Mincho" w:cs="Arial"/>
          <w:szCs w:val="24"/>
        </w:rPr>
        <w:t xml:space="preserve"> is governed by local policy</w:t>
      </w:r>
      <w:r>
        <w:rPr>
          <w:rFonts w:eastAsia="MS Mincho" w:cs="Arial"/>
          <w:szCs w:val="24"/>
        </w:rPr>
        <w:t xml:space="preserve"> to minimise risk</w:t>
      </w:r>
      <w:r w:rsidR="00E927BA">
        <w:rPr>
          <w:rFonts w:eastAsia="MS Mincho" w:cs="Arial"/>
          <w:szCs w:val="24"/>
        </w:rPr>
        <w:t>.  The</w:t>
      </w:r>
      <w:r>
        <w:rPr>
          <w:rFonts w:eastAsia="MS Mincho" w:cs="Arial"/>
          <w:szCs w:val="24"/>
        </w:rPr>
        <w:t xml:space="preserve"> </w:t>
      </w:r>
      <w:r w:rsidRPr="00411046">
        <w:rPr>
          <w:rFonts w:eastAsia="MS Mincho" w:cs="Arial"/>
          <w:szCs w:val="24"/>
        </w:rPr>
        <w:t xml:space="preserve">ethical and legal responsibility </w:t>
      </w:r>
      <w:r w:rsidR="00E927BA">
        <w:rPr>
          <w:rFonts w:eastAsia="MS Mincho" w:cs="Arial"/>
          <w:szCs w:val="24"/>
        </w:rPr>
        <w:t>is therefore</w:t>
      </w:r>
      <w:r w:rsidR="00E927BA" w:rsidRPr="00411046">
        <w:rPr>
          <w:rFonts w:eastAsia="MS Mincho" w:cs="Arial"/>
          <w:szCs w:val="24"/>
        </w:rPr>
        <w:t xml:space="preserve"> </w:t>
      </w:r>
      <w:r w:rsidRPr="00411046">
        <w:rPr>
          <w:rFonts w:eastAsia="MS Mincho" w:cs="Arial"/>
          <w:szCs w:val="24"/>
        </w:rPr>
        <w:t>devolved to care settings and practitioners</w:t>
      </w:r>
      <w:r w:rsidR="00E927BA">
        <w:rPr>
          <w:rFonts w:eastAsia="MS Mincho" w:cs="Arial"/>
          <w:szCs w:val="24"/>
        </w:rPr>
        <w:t xml:space="preserve"> must reach consensus between themselves and with patients and/or their families prior to their use</w:t>
      </w:r>
      <w:r w:rsidRPr="00411046">
        <w:rPr>
          <w:rFonts w:eastAsia="MS Mincho" w:cs="Arial"/>
          <w:szCs w:val="24"/>
        </w:rPr>
        <w:t xml:space="preserve">. Gomes, Hookway &amp; Weekes (2012) </w:t>
      </w:r>
      <w:r w:rsidR="00E927BA">
        <w:rPr>
          <w:rFonts w:eastAsia="MS Mincho" w:cs="Arial"/>
          <w:szCs w:val="24"/>
        </w:rPr>
        <w:t>also r</w:t>
      </w:r>
      <w:r w:rsidRPr="00411046">
        <w:rPr>
          <w:rFonts w:eastAsia="MS Mincho" w:cs="Arial"/>
          <w:szCs w:val="24"/>
        </w:rPr>
        <w:t>ecommend that</w:t>
      </w:r>
      <w:r>
        <w:rPr>
          <w:rFonts w:eastAsia="MS Mincho" w:cs="Arial"/>
          <w:szCs w:val="24"/>
        </w:rPr>
        <w:t xml:space="preserve"> the NL</w:t>
      </w:r>
      <w:r w:rsidRPr="00411046">
        <w:rPr>
          <w:rFonts w:eastAsia="MS Mincho" w:cs="Arial"/>
          <w:szCs w:val="24"/>
        </w:rPr>
        <w:t xml:space="preserve"> is effective and should be considered for patients requiring repeated NGT insertion</w:t>
      </w:r>
      <w:r w:rsidR="00E927BA">
        <w:rPr>
          <w:rFonts w:eastAsia="MS Mincho" w:cs="Arial"/>
          <w:szCs w:val="24"/>
        </w:rPr>
        <w:t xml:space="preserve"> as </w:t>
      </w:r>
      <w:r>
        <w:rPr>
          <w:rFonts w:eastAsia="MS Mincho" w:cs="Arial"/>
          <w:szCs w:val="24"/>
        </w:rPr>
        <w:t xml:space="preserve">these patients are often the most incapacitated </w:t>
      </w:r>
      <w:r w:rsidR="00E927BA">
        <w:rPr>
          <w:rFonts w:eastAsia="MS Mincho" w:cs="Arial"/>
          <w:szCs w:val="24"/>
        </w:rPr>
        <w:t xml:space="preserve">following a stroke </w:t>
      </w:r>
      <w:r>
        <w:rPr>
          <w:rFonts w:eastAsia="MS Mincho" w:cs="Arial"/>
          <w:szCs w:val="24"/>
        </w:rPr>
        <w:t>(Beavan et al. 2010)</w:t>
      </w:r>
      <w:r w:rsidRPr="00411046">
        <w:rPr>
          <w:rFonts w:eastAsia="MS Mincho" w:cs="Arial"/>
          <w:szCs w:val="24"/>
        </w:rPr>
        <w:t>.</w:t>
      </w:r>
      <w:r w:rsidR="00E927BA">
        <w:rPr>
          <w:rFonts w:cs="Arial"/>
          <w:bCs/>
          <w:szCs w:val="24"/>
        </w:rPr>
        <w:t xml:space="preserve">  </w:t>
      </w:r>
    </w:p>
    <w:p w14:paraId="756839F1" w14:textId="77777777" w:rsidR="00A2259F" w:rsidRDefault="00A2259F" w:rsidP="00F13F5C">
      <w:pPr>
        <w:spacing w:line="480" w:lineRule="auto"/>
        <w:rPr>
          <w:rFonts w:cs="Arial"/>
          <w:bCs/>
          <w:szCs w:val="24"/>
        </w:rPr>
      </w:pPr>
    </w:p>
    <w:p w14:paraId="26577816" w14:textId="01A9DB53" w:rsidR="00434534" w:rsidRDefault="00E927BA" w:rsidP="00F13F5C">
      <w:pPr>
        <w:spacing w:line="480" w:lineRule="auto"/>
        <w:rPr>
          <w:rFonts w:eastAsia="MS Mincho" w:cs="Arial"/>
          <w:szCs w:val="24"/>
        </w:rPr>
      </w:pPr>
      <w:r>
        <w:rPr>
          <w:rFonts w:cs="Arial"/>
          <w:bCs/>
          <w:szCs w:val="24"/>
        </w:rPr>
        <w:t>In summary, c</w:t>
      </w:r>
      <w:r w:rsidR="00F13F5C" w:rsidRPr="000C0602">
        <w:rPr>
          <w:rFonts w:cs="Arial"/>
          <w:bCs/>
          <w:szCs w:val="24"/>
        </w:rPr>
        <w:t xml:space="preserve">urrent guidance does not report on potential harms or acceptability of </w:t>
      </w:r>
      <w:r w:rsidR="00A2259F">
        <w:rPr>
          <w:rFonts w:cs="Arial"/>
          <w:bCs/>
          <w:szCs w:val="24"/>
        </w:rPr>
        <w:t>NL and HM</w:t>
      </w:r>
      <w:r w:rsidR="00F13F5C">
        <w:rPr>
          <w:rFonts w:cs="Arial"/>
          <w:bCs/>
          <w:szCs w:val="24"/>
        </w:rPr>
        <w:t>,</w:t>
      </w:r>
      <w:r w:rsidR="00F13F5C" w:rsidRPr="000C0602">
        <w:rPr>
          <w:rFonts w:cs="Arial"/>
          <w:bCs/>
          <w:szCs w:val="24"/>
        </w:rPr>
        <w:t xml:space="preserve"> which by their very nature</w:t>
      </w:r>
      <w:r w:rsidR="00F13F5C">
        <w:rPr>
          <w:rFonts w:cs="Arial"/>
          <w:bCs/>
          <w:szCs w:val="24"/>
        </w:rPr>
        <w:t>,</w:t>
      </w:r>
      <w:r w:rsidR="00F13F5C" w:rsidRPr="000C0602">
        <w:rPr>
          <w:rFonts w:cs="Arial"/>
          <w:bCs/>
          <w:i/>
          <w:szCs w:val="24"/>
        </w:rPr>
        <w:t xml:space="preserve"> </w:t>
      </w:r>
      <w:r w:rsidR="00F13F5C" w:rsidRPr="00F63DDE">
        <w:rPr>
          <w:rFonts w:cs="Arial"/>
          <w:bCs/>
          <w:szCs w:val="24"/>
        </w:rPr>
        <w:t>restrict freedom of choice and can result in potential physical and psychological harm (</w:t>
      </w:r>
      <w:r w:rsidR="00F13F5C">
        <w:rPr>
          <w:rFonts w:cs="Arial"/>
          <w:bCs/>
          <w:szCs w:val="24"/>
        </w:rPr>
        <w:t xml:space="preserve">RCP 2012; </w:t>
      </w:r>
      <w:r w:rsidR="00F13F5C" w:rsidRPr="00F63DDE">
        <w:rPr>
          <w:rFonts w:cs="Arial"/>
          <w:bCs/>
          <w:szCs w:val="24"/>
        </w:rPr>
        <w:t>Horsburgh et al. 2008).</w:t>
      </w:r>
      <w:r w:rsidR="00434534">
        <w:rPr>
          <w:rFonts w:eastAsia="MS Mincho" w:cs="Arial"/>
          <w:szCs w:val="24"/>
        </w:rPr>
        <w:t xml:space="preserve">  </w:t>
      </w:r>
      <w:r w:rsidR="00A2259F">
        <w:rPr>
          <w:rFonts w:eastAsia="MS Mincho" w:cs="Arial"/>
          <w:szCs w:val="24"/>
        </w:rPr>
        <w:t>Moreover, t</w:t>
      </w:r>
      <w:r w:rsidR="00372280">
        <w:rPr>
          <w:rFonts w:eastAsia="MS Mincho" w:cs="Arial"/>
          <w:szCs w:val="24"/>
        </w:rPr>
        <w:t>he</w:t>
      </w:r>
      <w:r w:rsidR="00A2259F">
        <w:rPr>
          <w:rFonts w:eastAsia="MS Mincho" w:cs="Arial"/>
          <w:szCs w:val="24"/>
        </w:rPr>
        <w:t>re</w:t>
      </w:r>
      <w:r w:rsidR="00372280">
        <w:rPr>
          <w:rFonts w:eastAsia="MS Mincho" w:cs="Arial"/>
          <w:szCs w:val="24"/>
        </w:rPr>
        <w:t xml:space="preserve"> is </w:t>
      </w:r>
      <w:r w:rsidR="00311A67">
        <w:rPr>
          <w:rFonts w:eastAsia="MS Mincho" w:cs="Arial"/>
          <w:szCs w:val="24"/>
        </w:rPr>
        <w:t xml:space="preserve">currently insufficient </w:t>
      </w:r>
      <w:r w:rsidR="00372280">
        <w:rPr>
          <w:rFonts w:eastAsia="MS Mincho" w:cs="Arial"/>
          <w:szCs w:val="24"/>
        </w:rPr>
        <w:t xml:space="preserve">evidence around the effectiveness and acceptability of alternative methods </w:t>
      </w:r>
      <w:r w:rsidR="00434534">
        <w:rPr>
          <w:rFonts w:eastAsia="MS Mincho" w:cs="Arial"/>
          <w:szCs w:val="24"/>
        </w:rPr>
        <w:t>to NL and HM</w:t>
      </w:r>
      <w:r w:rsidR="00A2259F">
        <w:rPr>
          <w:rFonts w:eastAsia="MS Mincho" w:cs="Arial"/>
          <w:szCs w:val="24"/>
        </w:rPr>
        <w:t xml:space="preserve"> to maintain NGT position</w:t>
      </w:r>
      <w:r w:rsidR="00311A67">
        <w:rPr>
          <w:rFonts w:eastAsia="MS Mincho" w:cs="Arial"/>
          <w:szCs w:val="24"/>
        </w:rPr>
        <w:t xml:space="preserve"> to inform clinical decision-making</w:t>
      </w:r>
      <w:r w:rsidR="00434534">
        <w:rPr>
          <w:rFonts w:eastAsia="MS Mincho" w:cs="Arial"/>
          <w:szCs w:val="24"/>
        </w:rPr>
        <w:t xml:space="preserve"> (Mahoney et al. 2015; Liu et al. 2013)</w:t>
      </w:r>
      <w:r w:rsidR="00A2259F">
        <w:rPr>
          <w:rFonts w:eastAsia="MS Mincho" w:cs="Arial"/>
          <w:szCs w:val="24"/>
        </w:rPr>
        <w:t xml:space="preserve">.  </w:t>
      </w:r>
    </w:p>
    <w:p w14:paraId="519E0210" w14:textId="77777777" w:rsidR="00F13F5C" w:rsidRPr="00411046" w:rsidRDefault="00F13F5C" w:rsidP="00F13F5C">
      <w:pPr>
        <w:spacing w:line="480" w:lineRule="auto"/>
        <w:rPr>
          <w:rFonts w:eastAsia="MS Mincho" w:cs="Arial"/>
          <w:szCs w:val="24"/>
        </w:rPr>
      </w:pPr>
    </w:p>
    <w:p w14:paraId="35C20FC2" w14:textId="77777777" w:rsidR="00F13F5C" w:rsidRPr="00411046" w:rsidRDefault="00F13F5C" w:rsidP="00E876AE">
      <w:pPr>
        <w:pStyle w:val="Heading2"/>
      </w:pPr>
      <w:bookmarkStart w:id="8" w:name="_Toc232240794"/>
      <w:r w:rsidRPr="00411046">
        <w:t>Conclusions</w:t>
      </w:r>
      <w:bookmarkEnd w:id="8"/>
    </w:p>
    <w:p w14:paraId="5CCA204A" w14:textId="049C23DE" w:rsidR="00434534" w:rsidRDefault="00B5766F" w:rsidP="00434534">
      <w:pPr>
        <w:spacing w:line="480" w:lineRule="auto"/>
        <w:rPr>
          <w:rFonts w:eastAsia="MS Mincho" w:cs="Arial"/>
          <w:bCs/>
          <w:szCs w:val="24"/>
        </w:rPr>
      </w:pPr>
      <w:r>
        <w:rPr>
          <w:rFonts w:eastAsia="MS Mincho" w:cs="Arial"/>
          <w:szCs w:val="24"/>
        </w:rPr>
        <w:t xml:space="preserve">Evidence for the effectiveness of NL, HM and alternative methods to maintain NGT position in patients after a stroke is spare and methodologically poor, and especially limited around HM use.  </w:t>
      </w:r>
      <w:r w:rsidR="0069582A">
        <w:rPr>
          <w:rFonts w:eastAsia="MS Mincho" w:cs="Arial"/>
          <w:szCs w:val="24"/>
        </w:rPr>
        <w:t>A</w:t>
      </w:r>
      <w:r w:rsidR="00434534">
        <w:rPr>
          <w:rFonts w:eastAsia="MS Mincho" w:cs="Arial"/>
          <w:szCs w:val="24"/>
        </w:rPr>
        <w:t>cceptability of all interventions used to maintain NGT feeding for stroke patients</w:t>
      </w:r>
      <w:r w:rsidR="00311A67">
        <w:rPr>
          <w:rFonts w:eastAsia="MS Mincho" w:cs="Arial"/>
          <w:szCs w:val="24"/>
        </w:rPr>
        <w:t xml:space="preserve"> has not been adequately assessed and </w:t>
      </w:r>
      <w:r w:rsidR="00434534">
        <w:rPr>
          <w:rFonts w:eastAsia="MS Mincho" w:cs="Arial"/>
          <w:bCs/>
          <w:szCs w:val="24"/>
        </w:rPr>
        <w:t xml:space="preserve">patient perceptions </w:t>
      </w:r>
      <w:r w:rsidR="00311A67">
        <w:rPr>
          <w:rFonts w:eastAsia="MS Mincho" w:cs="Arial"/>
          <w:bCs/>
          <w:szCs w:val="24"/>
        </w:rPr>
        <w:t xml:space="preserve">to date </w:t>
      </w:r>
      <w:r w:rsidR="00434534">
        <w:rPr>
          <w:rFonts w:eastAsia="MS Mincho" w:cs="Arial"/>
          <w:bCs/>
          <w:szCs w:val="24"/>
        </w:rPr>
        <w:t xml:space="preserve">have </w:t>
      </w:r>
      <w:r w:rsidR="0045476C">
        <w:rPr>
          <w:rFonts w:eastAsia="MS Mincho" w:cs="Arial"/>
          <w:bCs/>
          <w:szCs w:val="24"/>
        </w:rPr>
        <w:t xml:space="preserve">mainly </w:t>
      </w:r>
      <w:r w:rsidR="00434534">
        <w:rPr>
          <w:rFonts w:eastAsia="MS Mincho" w:cs="Arial"/>
          <w:bCs/>
          <w:szCs w:val="24"/>
        </w:rPr>
        <w:t>been sought by proxy (Mahoney et al</w:t>
      </w:r>
      <w:r w:rsidR="00434534" w:rsidRPr="00411046">
        <w:rPr>
          <w:rFonts w:eastAsia="MS Mincho" w:cs="Arial"/>
          <w:bCs/>
          <w:szCs w:val="24"/>
        </w:rPr>
        <w:t>.</w:t>
      </w:r>
      <w:r w:rsidR="00434534">
        <w:rPr>
          <w:rFonts w:eastAsia="MS Mincho" w:cs="Arial"/>
          <w:bCs/>
          <w:szCs w:val="24"/>
        </w:rPr>
        <w:t xml:space="preserve"> 2015; Beavan et al. 2010; Horsburgh et al. 2008).</w:t>
      </w:r>
      <w:r w:rsidR="00311A67">
        <w:rPr>
          <w:rFonts w:eastAsia="MS Mincho" w:cs="Arial"/>
          <w:bCs/>
          <w:szCs w:val="24"/>
        </w:rPr>
        <w:t xml:space="preserve">  Further research examining the effectiveness</w:t>
      </w:r>
      <w:r>
        <w:rPr>
          <w:rFonts w:eastAsia="MS Mincho" w:cs="Arial"/>
          <w:bCs/>
          <w:szCs w:val="24"/>
        </w:rPr>
        <w:t xml:space="preserve"> and acceptability of NL, HM and </w:t>
      </w:r>
      <w:r w:rsidR="00311A67">
        <w:rPr>
          <w:rFonts w:eastAsia="MS Mincho" w:cs="Arial"/>
          <w:bCs/>
          <w:szCs w:val="24"/>
        </w:rPr>
        <w:t xml:space="preserve">alternative methods is required in order to ensure that patient experience and opinion informs the selection of appropriate intervention </w:t>
      </w:r>
      <w:r w:rsidR="00434534">
        <w:rPr>
          <w:rFonts w:eastAsia="MS Mincho" w:cs="Arial"/>
          <w:bCs/>
          <w:szCs w:val="24"/>
        </w:rPr>
        <w:t>(Department of Health, 2010).</w:t>
      </w:r>
      <w:r w:rsidR="00311A67">
        <w:rPr>
          <w:rFonts w:eastAsia="MS Mincho" w:cs="Arial"/>
          <w:bCs/>
          <w:szCs w:val="24"/>
        </w:rPr>
        <w:t xml:space="preserve">  Qualitative research </w:t>
      </w:r>
      <w:r w:rsidR="00311A67" w:rsidRPr="00411046">
        <w:rPr>
          <w:rFonts w:cs="Arial"/>
          <w:szCs w:val="24"/>
        </w:rPr>
        <w:t xml:space="preserve">to </w:t>
      </w:r>
      <w:r w:rsidR="00311A67">
        <w:rPr>
          <w:rFonts w:cs="Arial"/>
          <w:szCs w:val="24"/>
        </w:rPr>
        <w:t>determine</w:t>
      </w:r>
      <w:r w:rsidR="00311A67" w:rsidRPr="00411046">
        <w:rPr>
          <w:rFonts w:cs="Arial"/>
          <w:szCs w:val="24"/>
        </w:rPr>
        <w:t xml:space="preserve"> the risks and benefits </w:t>
      </w:r>
      <w:r w:rsidR="00311A67">
        <w:rPr>
          <w:rFonts w:cs="Arial"/>
          <w:szCs w:val="24"/>
        </w:rPr>
        <w:t xml:space="preserve">of NL and HM </w:t>
      </w:r>
      <w:r w:rsidR="00311A67" w:rsidRPr="00411046">
        <w:rPr>
          <w:rFonts w:cs="Arial"/>
          <w:szCs w:val="24"/>
        </w:rPr>
        <w:t>for stroke patients</w:t>
      </w:r>
      <w:r w:rsidR="00311A67">
        <w:rPr>
          <w:rFonts w:eastAsia="MS Mincho" w:cs="Arial"/>
          <w:bCs/>
          <w:szCs w:val="24"/>
        </w:rPr>
        <w:t xml:space="preserve"> is </w:t>
      </w:r>
      <w:r>
        <w:rPr>
          <w:rFonts w:eastAsia="MS Mincho" w:cs="Arial"/>
          <w:bCs/>
          <w:szCs w:val="24"/>
        </w:rPr>
        <w:t>particularly</w:t>
      </w:r>
      <w:r w:rsidR="00311A67">
        <w:rPr>
          <w:rFonts w:eastAsia="MS Mincho" w:cs="Arial"/>
          <w:bCs/>
          <w:szCs w:val="24"/>
        </w:rPr>
        <w:t xml:space="preserve"> warranted to inform development of local and national guidelines and protocols.</w:t>
      </w:r>
    </w:p>
    <w:p w14:paraId="5A2EE1BD" w14:textId="77777777" w:rsidR="00F13F5C" w:rsidRPr="00411046" w:rsidRDefault="00F13F5C" w:rsidP="00F13F5C">
      <w:pPr>
        <w:spacing w:line="480" w:lineRule="auto"/>
        <w:rPr>
          <w:rFonts w:cs="Arial"/>
          <w:szCs w:val="24"/>
        </w:rPr>
      </w:pPr>
    </w:p>
    <w:p w14:paraId="5396FFAD" w14:textId="77777777" w:rsidR="00F13F5C" w:rsidRPr="00411046" w:rsidRDefault="00F13F5C" w:rsidP="00F13F5C">
      <w:pPr>
        <w:spacing w:line="480" w:lineRule="auto"/>
        <w:rPr>
          <w:rFonts w:cs="Arial"/>
          <w:b/>
          <w:szCs w:val="24"/>
        </w:rPr>
      </w:pPr>
      <w:r w:rsidRPr="00411046">
        <w:rPr>
          <w:rFonts w:cs="Arial"/>
          <w:b/>
          <w:szCs w:val="24"/>
        </w:rPr>
        <w:t>Relevance to Clinical Practice</w:t>
      </w:r>
    </w:p>
    <w:p w14:paraId="62DB7EE4" w14:textId="209C06D8" w:rsidR="00F13F5C" w:rsidRDefault="0069582A" w:rsidP="00F13F5C">
      <w:pPr>
        <w:spacing w:line="480" w:lineRule="auto"/>
        <w:rPr>
          <w:rFonts w:cs="Arial"/>
          <w:szCs w:val="24"/>
        </w:rPr>
      </w:pPr>
      <w:r>
        <w:rPr>
          <w:rFonts w:eastAsia="MS Mincho" w:cs="Arial"/>
          <w:szCs w:val="24"/>
        </w:rPr>
        <w:t>The lack of evidence around the effectiveness and acceptability of NL and HM use among patients after a stroke</w:t>
      </w:r>
      <w:r w:rsidR="0045476C">
        <w:rPr>
          <w:rFonts w:eastAsia="MS Mincho" w:cs="Arial"/>
          <w:szCs w:val="24"/>
        </w:rPr>
        <w:t>,</w:t>
      </w:r>
      <w:r>
        <w:rPr>
          <w:rFonts w:eastAsia="MS Mincho" w:cs="Arial"/>
          <w:szCs w:val="24"/>
        </w:rPr>
        <w:t xml:space="preserve"> poses ethical </w:t>
      </w:r>
      <w:r w:rsidR="00B5766F">
        <w:rPr>
          <w:rFonts w:eastAsia="MS Mincho" w:cs="Arial"/>
          <w:szCs w:val="24"/>
        </w:rPr>
        <w:t>dilemmas</w:t>
      </w:r>
      <w:r>
        <w:rPr>
          <w:rFonts w:eastAsia="MS Mincho" w:cs="Arial"/>
          <w:szCs w:val="24"/>
        </w:rPr>
        <w:t xml:space="preserve"> for professionals</w:t>
      </w:r>
      <w:r w:rsidR="00B5766F">
        <w:rPr>
          <w:rFonts w:eastAsia="MS Mincho" w:cs="Arial"/>
          <w:szCs w:val="24"/>
        </w:rPr>
        <w:t xml:space="preserve">, patients and their families.  </w:t>
      </w:r>
      <w:r w:rsidR="00B5766F">
        <w:t xml:space="preserve">This results in reliance on </w:t>
      </w:r>
      <w:r w:rsidR="00CB47D9">
        <w:t>shared decision-making</w:t>
      </w:r>
      <w:r w:rsidR="00B5766F">
        <w:t xml:space="preserve"> between professional, patients and their families </w:t>
      </w:r>
      <w:r w:rsidR="00CB47D9">
        <w:t>around</w:t>
      </w:r>
      <w:r w:rsidR="00B5766F">
        <w:t xml:space="preserve"> their use</w:t>
      </w:r>
      <w:r w:rsidR="00A100F7">
        <w:t xml:space="preserve">.  This review </w:t>
      </w:r>
      <w:r w:rsidR="00CB47D9">
        <w:t>recommends</w:t>
      </w:r>
      <w:r w:rsidR="00A100F7">
        <w:t xml:space="preserve"> that in the a</w:t>
      </w:r>
      <w:r w:rsidR="0045476C">
        <w:t xml:space="preserve">bsence of evidence and </w:t>
      </w:r>
      <w:r w:rsidR="00CB47D9">
        <w:t xml:space="preserve">national </w:t>
      </w:r>
      <w:r w:rsidR="0045476C">
        <w:t xml:space="preserve">clinical </w:t>
      </w:r>
      <w:r w:rsidR="00CB47D9">
        <w:t>policies and protocols to guide this decision-making process</w:t>
      </w:r>
      <w:r w:rsidR="0045476C">
        <w:t>, professional judgement should be</w:t>
      </w:r>
      <w:r w:rsidR="00CB47D9">
        <w:t xml:space="preserve"> exerc</w:t>
      </w:r>
      <w:r w:rsidR="0045476C">
        <w:t>ised carefully and consensually</w:t>
      </w:r>
      <w:r w:rsidR="00CB47D9">
        <w:t xml:space="preserve"> informed by both the principals and spirit of the law</w:t>
      </w:r>
      <w:r w:rsidR="0045476C">
        <w:t xml:space="preserve">. </w:t>
      </w:r>
      <w:r w:rsidR="00CB47D9">
        <w:t xml:space="preserve"> </w:t>
      </w:r>
      <w:r w:rsidR="0045476C">
        <w:t xml:space="preserve">This </w:t>
      </w:r>
      <w:r w:rsidR="00E16C7D">
        <w:t>requires</w:t>
      </w:r>
      <w:r w:rsidR="00CB47D9">
        <w:t xml:space="preserve"> </w:t>
      </w:r>
      <w:r w:rsidR="00DA7581">
        <w:t xml:space="preserve">the </w:t>
      </w:r>
      <w:r w:rsidR="00CB47D9">
        <w:t xml:space="preserve">balancing </w:t>
      </w:r>
      <w:r w:rsidR="00DA7581">
        <w:t xml:space="preserve">of </w:t>
      </w:r>
      <w:r w:rsidR="00CB47D9">
        <w:t>benefits and harms</w:t>
      </w:r>
      <w:r w:rsidR="00DA7581" w:rsidRPr="00DA7581">
        <w:rPr>
          <w:rFonts w:eastAsia="MS Mincho" w:cs="Arial"/>
          <w:szCs w:val="24"/>
        </w:rPr>
        <w:t xml:space="preserve"> </w:t>
      </w:r>
      <w:r w:rsidR="00DA7581">
        <w:rPr>
          <w:rFonts w:eastAsia="MS Mincho" w:cs="Arial"/>
          <w:szCs w:val="24"/>
        </w:rPr>
        <w:t>to ensure that the best interests of the stroke patient are upheld.</w:t>
      </w:r>
      <w:r w:rsidR="00DA7581">
        <w:t xml:space="preserve">  Nurses and other healthcare professionals’ involvement in research assessing the acceptability of interventions is warranted. </w:t>
      </w:r>
    </w:p>
    <w:p w14:paraId="199FD203" w14:textId="77777777" w:rsidR="00F13F5C" w:rsidRDefault="00F13F5C" w:rsidP="00F13F5C">
      <w:pPr>
        <w:spacing w:line="480" w:lineRule="auto"/>
        <w:rPr>
          <w:rFonts w:cs="Arial"/>
          <w:szCs w:val="24"/>
        </w:rPr>
      </w:pPr>
    </w:p>
    <w:p w14:paraId="3074756C" w14:textId="39A1A951" w:rsidR="00F13F5C" w:rsidRPr="00311E33" w:rsidRDefault="00F13F5C" w:rsidP="003E7CBC">
      <w:pPr>
        <w:spacing w:after="160" w:line="259" w:lineRule="auto"/>
        <w:rPr>
          <w:rFonts w:cs="Arial"/>
          <w:b/>
        </w:rPr>
      </w:pPr>
      <w:r w:rsidRPr="005F1E51">
        <w:rPr>
          <w:rFonts w:cs="Arial"/>
          <w:b/>
        </w:rPr>
        <w:t>References</w:t>
      </w:r>
    </w:p>
    <w:p w14:paraId="7EC97CCF" w14:textId="77777777" w:rsidR="00F13F5C" w:rsidRPr="005F0FA3" w:rsidRDefault="00F13F5C" w:rsidP="00F13F5C">
      <w:pPr>
        <w:pStyle w:val="ListParagraph"/>
        <w:numPr>
          <w:ilvl w:val="0"/>
          <w:numId w:val="10"/>
        </w:numPr>
        <w:spacing w:line="480" w:lineRule="auto"/>
        <w:rPr>
          <w:rFonts w:cs="Arial"/>
        </w:rPr>
      </w:pPr>
      <w:r w:rsidRPr="00FC3153">
        <w:rPr>
          <w:rFonts w:cs="Arial"/>
        </w:rPr>
        <w:t xml:space="preserve">Anderson, M.R., O'Connor, M., Mayer, P. O'Mahony, D., Woodward, J. &amp; Kane, K. (2004) The nasal loop provides an alternative to percutaneous endoscopic gastrostomy in high-risk dysphagic stroke patients. </w:t>
      </w:r>
      <w:r w:rsidRPr="00FC3153">
        <w:rPr>
          <w:rFonts w:cs="Arial"/>
          <w:i/>
          <w:iCs/>
        </w:rPr>
        <w:t>Clinical Nutrition</w:t>
      </w:r>
      <w:r w:rsidRPr="00FC3153">
        <w:rPr>
          <w:rFonts w:cs="Arial"/>
        </w:rPr>
        <w:t xml:space="preserve">. </w:t>
      </w:r>
      <w:r w:rsidRPr="00FC3153">
        <w:rPr>
          <w:rFonts w:cs="Arial"/>
          <w:b/>
          <w:bCs/>
        </w:rPr>
        <w:t>23</w:t>
      </w:r>
      <w:r w:rsidRPr="00FC3153">
        <w:rPr>
          <w:rFonts w:cs="Arial"/>
        </w:rPr>
        <w:t>, pp.501-506.</w:t>
      </w:r>
    </w:p>
    <w:p w14:paraId="12C60378" w14:textId="77777777" w:rsidR="00F13F5C" w:rsidRPr="005F0FA3" w:rsidRDefault="00F13F5C" w:rsidP="00F13F5C">
      <w:pPr>
        <w:pStyle w:val="ListParagraph"/>
        <w:numPr>
          <w:ilvl w:val="0"/>
          <w:numId w:val="10"/>
        </w:numPr>
        <w:spacing w:after="30" w:line="480" w:lineRule="auto"/>
        <w:rPr>
          <w:rFonts w:cs="Arial"/>
          <w:szCs w:val="24"/>
        </w:rPr>
      </w:pPr>
      <w:r w:rsidRPr="00FC3153">
        <w:rPr>
          <w:rFonts w:cs="Arial"/>
          <w:szCs w:val="24"/>
        </w:rPr>
        <w:t>Attanasio A., Bedin M., Stocco S., Negrin V., Biancon A., Cecchetto G., Tagliapietra M</w:t>
      </w:r>
      <w:r>
        <w:rPr>
          <w:rFonts w:cs="Arial"/>
          <w:szCs w:val="24"/>
        </w:rPr>
        <w:t>.</w:t>
      </w:r>
      <w:r w:rsidRPr="00FC3153">
        <w:rPr>
          <w:rFonts w:cs="Arial"/>
          <w:szCs w:val="24"/>
        </w:rPr>
        <w:t xml:space="preserve"> (2009) </w:t>
      </w:r>
      <w:hyperlink r:id="rId7" w:history="1">
        <w:r w:rsidRPr="00FC3153">
          <w:rPr>
            <w:rFonts w:cs="Arial"/>
            <w:bCs/>
            <w:szCs w:val="24"/>
          </w:rPr>
          <w:t>Clinical outcomes and complications of enteral nutrition among older adults</w:t>
        </w:r>
      </w:hyperlink>
      <w:r w:rsidRPr="00FC3153">
        <w:rPr>
          <w:rFonts w:cs="Arial"/>
          <w:bCs/>
          <w:szCs w:val="24"/>
        </w:rPr>
        <w:t xml:space="preserve"> </w:t>
      </w:r>
      <w:hyperlink r:id="rId8" w:history="1">
        <w:r w:rsidRPr="00FC3153">
          <w:rPr>
            <w:rFonts w:cs="Arial"/>
            <w:bCs/>
            <w:szCs w:val="24"/>
          </w:rPr>
          <w:t>Minerva Medica</w:t>
        </w:r>
      </w:hyperlink>
      <w:r w:rsidRPr="00FC3153">
        <w:rPr>
          <w:rFonts w:cs="Arial"/>
          <w:bCs/>
          <w:szCs w:val="24"/>
        </w:rPr>
        <w:t xml:space="preserve"> 100(2):159-66</w:t>
      </w:r>
    </w:p>
    <w:p w14:paraId="517FC638" w14:textId="77777777" w:rsidR="00F13F5C" w:rsidRPr="005F0FA3" w:rsidRDefault="00F13F5C" w:rsidP="00F13F5C">
      <w:pPr>
        <w:pStyle w:val="ListParagraph"/>
        <w:numPr>
          <w:ilvl w:val="0"/>
          <w:numId w:val="10"/>
        </w:numPr>
        <w:spacing w:line="480" w:lineRule="auto"/>
        <w:rPr>
          <w:rFonts w:cs="Arial"/>
        </w:rPr>
      </w:pPr>
      <w:r w:rsidRPr="00FC3153">
        <w:rPr>
          <w:rFonts w:cs="Arial"/>
          <w:i/>
        </w:rPr>
        <w:t>Adults with Incapacity (Scotland) Act (2000) (asp.4)</w:t>
      </w:r>
      <w:r w:rsidRPr="00FC3153">
        <w:rPr>
          <w:rFonts w:cs="Arial"/>
        </w:rPr>
        <w:t>. Edinburgh. Stationary Office</w:t>
      </w:r>
    </w:p>
    <w:p w14:paraId="2DE431F4" w14:textId="77777777" w:rsidR="00F13F5C" w:rsidRPr="005F0FA3" w:rsidRDefault="00F13F5C" w:rsidP="00F13F5C">
      <w:pPr>
        <w:pStyle w:val="ListParagraph"/>
        <w:numPr>
          <w:ilvl w:val="0"/>
          <w:numId w:val="10"/>
        </w:numPr>
        <w:spacing w:after="200" w:line="480" w:lineRule="auto"/>
        <w:rPr>
          <w:rFonts w:eastAsia="Calibri" w:cs="Arial"/>
          <w:szCs w:val="24"/>
          <w:lang w:val="en-US"/>
        </w:rPr>
      </w:pPr>
      <w:r w:rsidRPr="00FC3153">
        <w:rPr>
          <w:rFonts w:eastAsia="Calibri" w:cs="Arial"/>
          <w:szCs w:val="24"/>
          <w:lang w:val="en-US"/>
        </w:rPr>
        <w:t>Beavan J</w:t>
      </w:r>
      <w:r>
        <w:rPr>
          <w:rFonts w:eastAsia="Calibri" w:cs="Arial"/>
          <w:szCs w:val="24"/>
          <w:lang w:val="en-US"/>
        </w:rPr>
        <w:t>.</w:t>
      </w:r>
      <w:r w:rsidRPr="00FC3153">
        <w:rPr>
          <w:rFonts w:eastAsia="Calibri" w:cs="Arial"/>
          <w:szCs w:val="24"/>
          <w:lang w:val="en-US"/>
        </w:rPr>
        <w:t>, Conroy S</w:t>
      </w:r>
      <w:r>
        <w:rPr>
          <w:rFonts w:eastAsia="Calibri" w:cs="Arial"/>
          <w:szCs w:val="24"/>
          <w:lang w:val="en-US"/>
        </w:rPr>
        <w:t>.</w:t>
      </w:r>
      <w:r w:rsidRPr="00FC3153">
        <w:rPr>
          <w:rFonts w:eastAsia="Calibri" w:cs="Arial"/>
          <w:szCs w:val="24"/>
          <w:lang w:val="en-US"/>
        </w:rPr>
        <w:t>P</w:t>
      </w:r>
      <w:r>
        <w:rPr>
          <w:rFonts w:eastAsia="Calibri" w:cs="Arial"/>
          <w:szCs w:val="24"/>
          <w:lang w:val="en-US"/>
        </w:rPr>
        <w:t>.</w:t>
      </w:r>
      <w:r w:rsidRPr="00FC3153">
        <w:rPr>
          <w:rFonts w:eastAsia="Calibri" w:cs="Arial"/>
          <w:szCs w:val="24"/>
          <w:lang w:val="en-US"/>
        </w:rPr>
        <w:t>, Harwood R</w:t>
      </w:r>
      <w:r>
        <w:rPr>
          <w:rFonts w:eastAsia="Calibri" w:cs="Arial"/>
          <w:szCs w:val="24"/>
          <w:lang w:val="en-US"/>
        </w:rPr>
        <w:t>.</w:t>
      </w:r>
      <w:r w:rsidRPr="00FC3153">
        <w:rPr>
          <w:rFonts w:eastAsia="Calibri" w:cs="Arial"/>
          <w:szCs w:val="24"/>
          <w:lang w:val="en-US"/>
        </w:rPr>
        <w:t>, Gladman J</w:t>
      </w:r>
      <w:r>
        <w:rPr>
          <w:rFonts w:eastAsia="Calibri" w:cs="Arial"/>
          <w:szCs w:val="24"/>
          <w:lang w:val="en-US"/>
        </w:rPr>
        <w:t>.</w:t>
      </w:r>
      <w:r w:rsidRPr="00FC3153">
        <w:rPr>
          <w:rFonts w:eastAsia="Calibri" w:cs="Arial"/>
          <w:szCs w:val="24"/>
          <w:lang w:val="en-US"/>
        </w:rPr>
        <w:t>R</w:t>
      </w:r>
      <w:r>
        <w:rPr>
          <w:rFonts w:eastAsia="Calibri" w:cs="Arial"/>
          <w:szCs w:val="24"/>
          <w:lang w:val="en-US"/>
        </w:rPr>
        <w:t>.</w:t>
      </w:r>
      <w:r w:rsidRPr="00FC3153">
        <w:rPr>
          <w:rFonts w:eastAsia="Calibri" w:cs="Arial"/>
          <w:szCs w:val="24"/>
          <w:lang w:val="en-US"/>
        </w:rPr>
        <w:t>, Leonardi-Bee J</w:t>
      </w:r>
      <w:r>
        <w:rPr>
          <w:rFonts w:eastAsia="Calibri" w:cs="Arial"/>
          <w:szCs w:val="24"/>
          <w:lang w:val="en-US"/>
        </w:rPr>
        <w:t>.</w:t>
      </w:r>
      <w:r w:rsidRPr="00FC3153">
        <w:rPr>
          <w:rFonts w:eastAsia="Calibri" w:cs="Arial"/>
          <w:szCs w:val="24"/>
          <w:lang w:val="en-US"/>
        </w:rPr>
        <w:t>, Sach T</w:t>
      </w:r>
      <w:r>
        <w:rPr>
          <w:rFonts w:eastAsia="Calibri" w:cs="Arial"/>
          <w:szCs w:val="24"/>
          <w:lang w:val="en-US"/>
        </w:rPr>
        <w:t>.</w:t>
      </w:r>
      <w:r w:rsidRPr="00FC3153">
        <w:rPr>
          <w:rFonts w:eastAsia="Calibri" w:cs="Arial"/>
          <w:szCs w:val="24"/>
          <w:lang w:val="en-US"/>
        </w:rPr>
        <w:t>, Bowling T</w:t>
      </w:r>
      <w:r>
        <w:rPr>
          <w:rFonts w:eastAsia="Calibri" w:cs="Arial"/>
          <w:szCs w:val="24"/>
          <w:lang w:val="en-US"/>
        </w:rPr>
        <w:t>.</w:t>
      </w:r>
      <w:r w:rsidRPr="00FC3153">
        <w:rPr>
          <w:rFonts w:eastAsia="Calibri" w:cs="Arial"/>
          <w:szCs w:val="24"/>
          <w:lang w:val="en-US"/>
        </w:rPr>
        <w:t>, Sunman W</w:t>
      </w:r>
      <w:r>
        <w:rPr>
          <w:rFonts w:eastAsia="Calibri" w:cs="Arial"/>
          <w:szCs w:val="24"/>
          <w:lang w:val="en-US"/>
        </w:rPr>
        <w:t>.</w:t>
      </w:r>
      <w:r w:rsidRPr="00FC3153">
        <w:rPr>
          <w:rFonts w:eastAsia="Calibri" w:cs="Arial"/>
          <w:szCs w:val="24"/>
          <w:lang w:val="en-US"/>
        </w:rPr>
        <w:t>, Gaynor C</w:t>
      </w:r>
      <w:r>
        <w:rPr>
          <w:rFonts w:eastAsia="Calibri" w:cs="Arial"/>
          <w:szCs w:val="24"/>
          <w:lang w:val="en-US"/>
        </w:rPr>
        <w:t>.</w:t>
      </w:r>
      <w:r w:rsidRPr="00FC3153">
        <w:rPr>
          <w:rFonts w:eastAsia="Calibri" w:cs="Arial"/>
          <w:szCs w:val="24"/>
          <w:lang w:val="en-US"/>
        </w:rPr>
        <w:t xml:space="preserve"> (2010). Does looped nasogastric tube feeding improve nutritional delivery for patients with dysphagia after acute stroke? A randomised controlled trial. </w:t>
      </w:r>
      <w:r w:rsidRPr="00FC3153">
        <w:rPr>
          <w:rFonts w:eastAsia="Calibri" w:cs="Arial"/>
          <w:i/>
          <w:szCs w:val="24"/>
          <w:lang w:val="en-US"/>
        </w:rPr>
        <w:t>Age Ageing</w:t>
      </w:r>
      <w:r w:rsidRPr="00FC3153">
        <w:rPr>
          <w:rFonts w:eastAsia="Calibri" w:cs="Arial"/>
          <w:szCs w:val="24"/>
          <w:lang w:val="en-US"/>
        </w:rPr>
        <w:t xml:space="preserve">; </w:t>
      </w:r>
      <w:r w:rsidRPr="00FC3153">
        <w:rPr>
          <w:rFonts w:eastAsia="Calibri" w:cs="Arial"/>
          <w:b/>
          <w:szCs w:val="24"/>
          <w:lang w:val="en-US"/>
        </w:rPr>
        <w:t>39</w:t>
      </w:r>
      <w:r w:rsidRPr="00FC3153">
        <w:rPr>
          <w:rFonts w:eastAsia="Calibri" w:cs="Arial"/>
          <w:szCs w:val="24"/>
          <w:lang w:val="en-US"/>
        </w:rPr>
        <w:t xml:space="preserve">(5):pp.624-30 </w:t>
      </w:r>
    </w:p>
    <w:p w14:paraId="265D2ECA" w14:textId="77777777" w:rsidR="00F13F5C" w:rsidRPr="005F0FA3" w:rsidRDefault="00F13F5C" w:rsidP="00F13F5C">
      <w:pPr>
        <w:pStyle w:val="ListParagraph"/>
        <w:numPr>
          <w:ilvl w:val="0"/>
          <w:numId w:val="10"/>
        </w:numPr>
        <w:spacing w:line="480" w:lineRule="auto"/>
        <w:rPr>
          <w:rFonts w:cs="Arial"/>
          <w:szCs w:val="24"/>
        </w:rPr>
      </w:pPr>
      <w:r w:rsidRPr="00FC3153">
        <w:rPr>
          <w:rFonts w:cs="Arial"/>
          <w:szCs w:val="24"/>
        </w:rPr>
        <w:t xml:space="preserve">Centre for Reviews and Dissemination (CRD) (2009). </w:t>
      </w:r>
      <w:r w:rsidRPr="00FC3153">
        <w:rPr>
          <w:rFonts w:cs="Arial"/>
          <w:i/>
          <w:szCs w:val="24"/>
        </w:rPr>
        <w:t>Systematic Reviews.</w:t>
      </w:r>
      <w:r w:rsidRPr="00FC3153">
        <w:rPr>
          <w:rFonts w:cs="Arial"/>
          <w:szCs w:val="24"/>
        </w:rPr>
        <w:t xml:space="preserve"> </w:t>
      </w:r>
      <w:r w:rsidRPr="00FC3153">
        <w:rPr>
          <w:rFonts w:cs="Arial"/>
          <w:i/>
          <w:szCs w:val="24"/>
        </w:rPr>
        <w:t>CRD’s guidance for undertaking in health care.</w:t>
      </w:r>
      <w:r w:rsidRPr="00FC3153">
        <w:rPr>
          <w:rFonts w:cs="Arial"/>
          <w:szCs w:val="24"/>
        </w:rPr>
        <w:t xml:space="preserve"> York. Centre for Reviews and Dissemination.</w:t>
      </w:r>
    </w:p>
    <w:p w14:paraId="5FD8CA5B" w14:textId="77777777" w:rsidR="00F13F5C" w:rsidRDefault="00F13F5C" w:rsidP="00F13F5C">
      <w:pPr>
        <w:pStyle w:val="ListParagraph"/>
        <w:numPr>
          <w:ilvl w:val="0"/>
          <w:numId w:val="10"/>
        </w:numPr>
        <w:spacing w:line="480" w:lineRule="auto"/>
        <w:rPr>
          <w:rFonts w:cs="Arial"/>
        </w:rPr>
      </w:pPr>
      <w:r w:rsidRPr="00FC3153">
        <w:rPr>
          <w:rFonts w:cs="Arial"/>
        </w:rPr>
        <w:t xml:space="preserve">Ciocon, J.O., Silverstone, F.A., Graver, L.M. &amp; Foley, C.J., (1988). Tube feedings in elderly patients: indications, benefits and complications. </w:t>
      </w:r>
      <w:r w:rsidRPr="00FC3153">
        <w:rPr>
          <w:rFonts w:cs="Arial"/>
          <w:i/>
          <w:iCs/>
        </w:rPr>
        <w:t>Archives of Internal Medicine.</w:t>
      </w:r>
      <w:r w:rsidRPr="00FC3153">
        <w:rPr>
          <w:rFonts w:cs="Arial"/>
        </w:rPr>
        <w:t xml:space="preserve"> </w:t>
      </w:r>
      <w:r w:rsidRPr="00FC3153">
        <w:rPr>
          <w:rFonts w:cs="Arial"/>
          <w:b/>
          <w:bCs/>
        </w:rPr>
        <w:t>148</w:t>
      </w:r>
      <w:r w:rsidRPr="00FC3153">
        <w:rPr>
          <w:rFonts w:cs="Arial"/>
        </w:rPr>
        <w:t>, pp.429-433.</w:t>
      </w:r>
    </w:p>
    <w:p w14:paraId="01EFC2CD" w14:textId="0177677B" w:rsidR="00257779" w:rsidRPr="005F0FA3" w:rsidRDefault="00257779" w:rsidP="00F13F5C">
      <w:pPr>
        <w:pStyle w:val="ListParagraph"/>
        <w:numPr>
          <w:ilvl w:val="0"/>
          <w:numId w:val="10"/>
        </w:numPr>
        <w:spacing w:line="480" w:lineRule="auto"/>
        <w:rPr>
          <w:rFonts w:cs="Arial"/>
        </w:rPr>
      </w:pPr>
      <w:r>
        <w:rPr>
          <w:rFonts w:cs="Arial"/>
        </w:rPr>
        <w:t xml:space="preserve">Clarivate Analytics (2016). EndNote X7. Accessed from: </w:t>
      </w:r>
      <w:hyperlink r:id="rId9" w:history="1">
        <w:r w:rsidR="007A4915" w:rsidRPr="00213852">
          <w:rPr>
            <w:rStyle w:val="Hyperlink"/>
            <w:rFonts w:cs="Arial"/>
          </w:rPr>
          <w:t>http://endnote.com/support/online-user-manual/x7</w:t>
        </w:r>
      </w:hyperlink>
      <w:r w:rsidR="007A4915">
        <w:rPr>
          <w:rFonts w:cs="Arial"/>
        </w:rPr>
        <w:t xml:space="preserve"> </w:t>
      </w:r>
    </w:p>
    <w:p w14:paraId="1AD7F022" w14:textId="77777777" w:rsidR="00F13F5C" w:rsidRPr="005F0FA3" w:rsidRDefault="00F13F5C" w:rsidP="00F13F5C">
      <w:pPr>
        <w:pStyle w:val="ListParagraph"/>
        <w:numPr>
          <w:ilvl w:val="0"/>
          <w:numId w:val="10"/>
        </w:numPr>
        <w:spacing w:line="480" w:lineRule="auto"/>
        <w:rPr>
          <w:rFonts w:cs="Arial"/>
        </w:rPr>
      </w:pPr>
      <w:r>
        <w:rPr>
          <w:rFonts w:cs="Arial"/>
        </w:rPr>
        <w:t>Cochrane Collaboration (2011</w:t>
      </w:r>
      <w:r w:rsidRPr="00FC3153">
        <w:rPr>
          <w:rFonts w:cs="Arial"/>
        </w:rPr>
        <w:t xml:space="preserve">). </w:t>
      </w:r>
      <w:r w:rsidRPr="00FC3153">
        <w:rPr>
          <w:rFonts w:cs="Arial"/>
          <w:i/>
        </w:rPr>
        <w:t xml:space="preserve">The Cochrane Handbook for Systematic Reviews of Interventions 4.2.4. </w:t>
      </w:r>
      <w:r>
        <w:rPr>
          <w:rFonts w:cs="Arial"/>
        </w:rPr>
        <w:t xml:space="preserve">Accessed from: </w:t>
      </w:r>
      <w:hyperlink r:id="rId10" w:history="1">
        <w:r w:rsidRPr="00EC2546">
          <w:rPr>
            <w:rStyle w:val="Hyperlink"/>
            <w:rFonts w:cs="Arial"/>
          </w:rPr>
          <w:t>http://community.cochrane.org/handbook</w:t>
        </w:r>
      </w:hyperlink>
      <w:r>
        <w:rPr>
          <w:rFonts w:cs="Arial"/>
        </w:rPr>
        <w:t xml:space="preserve"> </w:t>
      </w:r>
      <w:r w:rsidRPr="00D72C6E">
        <w:rPr>
          <w:rFonts w:cs="Arial"/>
        </w:rPr>
        <w:t xml:space="preserve"> </w:t>
      </w:r>
      <w:r w:rsidRPr="00FC3153">
        <w:rPr>
          <w:rFonts w:cs="Arial"/>
        </w:rPr>
        <w:t xml:space="preserve">[accessed on </w:t>
      </w:r>
      <w:r>
        <w:rPr>
          <w:rFonts w:cs="Arial"/>
        </w:rPr>
        <w:t>26/02/16</w:t>
      </w:r>
      <w:r w:rsidRPr="00FC3153">
        <w:rPr>
          <w:rFonts w:cs="Arial"/>
        </w:rPr>
        <w:t>]</w:t>
      </w:r>
    </w:p>
    <w:p w14:paraId="6924117B" w14:textId="77777777" w:rsidR="00F13F5C" w:rsidRDefault="00F13F5C" w:rsidP="00F13F5C">
      <w:pPr>
        <w:pStyle w:val="ListParagraph"/>
        <w:numPr>
          <w:ilvl w:val="0"/>
          <w:numId w:val="10"/>
        </w:numPr>
        <w:spacing w:line="480" w:lineRule="auto"/>
        <w:rPr>
          <w:rFonts w:cs="Arial"/>
        </w:rPr>
      </w:pPr>
      <w:r w:rsidRPr="00FC3153">
        <w:rPr>
          <w:rFonts w:cs="Arial"/>
        </w:rPr>
        <w:lastRenderedPageBreak/>
        <w:t>Dennis, M. Lewis, S. Cr</w:t>
      </w:r>
      <w:r>
        <w:rPr>
          <w:rFonts w:cs="Arial"/>
        </w:rPr>
        <w:t xml:space="preserve">answick, G. &amp; Forbes, J. (2006). </w:t>
      </w:r>
      <w:r w:rsidRPr="00FC3153">
        <w:rPr>
          <w:rFonts w:cs="Arial"/>
          <w:i/>
          <w:iCs/>
        </w:rPr>
        <w:t>FOOD: a multicentre randomised trial evaluating feeding policies in patients admitted to hospital with a recent stroke</w:t>
      </w:r>
      <w:r w:rsidRPr="00FC3153">
        <w:rPr>
          <w:rFonts w:cs="Arial"/>
        </w:rPr>
        <w:t xml:space="preserve">. Health Technology Assessment 2006: </w:t>
      </w:r>
      <w:r>
        <w:rPr>
          <w:rFonts w:cs="Arial"/>
        </w:rPr>
        <w:t>10 (2)</w:t>
      </w:r>
      <w:r w:rsidRPr="00FC3153">
        <w:rPr>
          <w:rFonts w:cs="Arial"/>
        </w:rPr>
        <w:t xml:space="preserve"> Tunbridge Wells: Gray.</w:t>
      </w:r>
    </w:p>
    <w:p w14:paraId="27BF8050" w14:textId="77777777" w:rsidR="00F13F5C" w:rsidRPr="00215F00" w:rsidRDefault="00F13F5C" w:rsidP="00F13F5C">
      <w:pPr>
        <w:pStyle w:val="ListParagraph"/>
        <w:numPr>
          <w:ilvl w:val="0"/>
          <w:numId w:val="10"/>
        </w:numPr>
        <w:spacing w:line="480" w:lineRule="auto"/>
        <w:rPr>
          <w:rFonts w:cs="Arial"/>
          <w:szCs w:val="24"/>
        </w:rPr>
      </w:pPr>
      <w:r w:rsidRPr="00E21BCC">
        <w:rPr>
          <w:rFonts w:cs="Arial"/>
          <w:szCs w:val="24"/>
        </w:rPr>
        <w:t xml:space="preserve">Department of Health Institution for Innovation and Research (2010) </w:t>
      </w:r>
      <w:r w:rsidRPr="00E21BCC">
        <w:rPr>
          <w:rFonts w:cs="Arial"/>
          <w:color w:val="5B5E63"/>
          <w:szCs w:val="24"/>
        </w:rPr>
        <w:t xml:space="preserve">The Patient Experience Research. Available from: </w:t>
      </w:r>
      <w:hyperlink r:id="rId11" w:history="1">
        <w:r w:rsidRPr="00E21BCC">
          <w:rPr>
            <w:rStyle w:val="Hyperlink"/>
            <w:rFonts w:cs="Arial"/>
            <w:szCs w:val="24"/>
          </w:rPr>
          <w:t>http://www.institute.nhs.uk/patient_experience/guide/the_patient_experience_research.html</w:t>
        </w:r>
      </w:hyperlink>
      <w:r>
        <w:rPr>
          <w:rFonts w:cs="Arial"/>
          <w:color w:val="5B5E63"/>
          <w:szCs w:val="24"/>
        </w:rPr>
        <w:t xml:space="preserve"> [accessed 03/11/</w:t>
      </w:r>
      <w:r w:rsidRPr="00E21BCC">
        <w:rPr>
          <w:rFonts w:cs="Arial"/>
          <w:color w:val="5B5E63"/>
          <w:szCs w:val="24"/>
        </w:rPr>
        <w:t>15]</w:t>
      </w:r>
    </w:p>
    <w:p w14:paraId="5C50C46A" w14:textId="532111CA" w:rsidR="00215F00" w:rsidRPr="00E21BCC" w:rsidRDefault="00215F00" w:rsidP="00F13F5C">
      <w:pPr>
        <w:pStyle w:val="ListParagraph"/>
        <w:numPr>
          <w:ilvl w:val="0"/>
          <w:numId w:val="10"/>
        </w:numPr>
        <w:spacing w:line="480" w:lineRule="auto"/>
        <w:rPr>
          <w:rFonts w:cs="Arial"/>
          <w:szCs w:val="24"/>
        </w:rPr>
      </w:pPr>
      <w:r w:rsidRPr="00257779">
        <w:rPr>
          <w:rFonts w:cs="Arial"/>
          <w:szCs w:val="24"/>
        </w:rPr>
        <w:t>Gallagher (2011)</w:t>
      </w:r>
      <w:r w:rsidR="00331846" w:rsidRPr="00257779">
        <w:rPr>
          <w:rFonts w:cs="Arial"/>
          <w:szCs w:val="24"/>
        </w:rPr>
        <w:t xml:space="preserve"> Ethical issues in patient restraint. </w:t>
      </w:r>
      <w:r w:rsidR="00331846">
        <w:rPr>
          <w:rFonts w:cs="Arial"/>
          <w:color w:val="5B5E63"/>
          <w:szCs w:val="24"/>
        </w:rPr>
        <w:t>Nursingtimes.net.http://tinyurl.com/pk713nj (accessed 16/06/17)</w:t>
      </w:r>
    </w:p>
    <w:p w14:paraId="78AA54BA" w14:textId="77777777" w:rsidR="00F13F5C" w:rsidRPr="005F0FA3" w:rsidRDefault="00F13F5C" w:rsidP="00F13F5C">
      <w:pPr>
        <w:pStyle w:val="ListParagraph"/>
        <w:numPr>
          <w:ilvl w:val="0"/>
          <w:numId w:val="10"/>
        </w:numPr>
        <w:spacing w:line="480" w:lineRule="auto"/>
        <w:rPr>
          <w:rFonts w:eastAsia="Calibri" w:cs="Arial"/>
          <w:szCs w:val="24"/>
        </w:rPr>
      </w:pPr>
      <w:r w:rsidRPr="00FC3153">
        <w:rPr>
          <w:rFonts w:eastAsia="Calibri" w:cs="Arial"/>
          <w:szCs w:val="24"/>
        </w:rPr>
        <w:t xml:space="preserve">Geeganage, C., Beavan, J., Ellender, S. &amp; Bath (2012) Interventions for dysphagia in acute stroke. </w:t>
      </w:r>
      <w:r w:rsidRPr="00FC3153">
        <w:rPr>
          <w:rFonts w:eastAsia="Calibri" w:cs="Arial"/>
          <w:i/>
          <w:szCs w:val="24"/>
        </w:rPr>
        <w:t>Cochrane Database of Systematic Reviews</w:t>
      </w:r>
      <w:r w:rsidRPr="00FC3153">
        <w:rPr>
          <w:rFonts w:eastAsia="Calibri" w:cs="Arial"/>
          <w:szCs w:val="24"/>
        </w:rPr>
        <w:t xml:space="preserve">, Issue 10. Available from </w:t>
      </w:r>
      <w:hyperlink r:id="rId12" w:history="1">
        <w:r w:rsidRPr="00FC3153">
          <w:rPr>
            <w:rStyle w:val="Hyperlink"/>
            <w:rFonts w:eastAsia="Calibri" w:cs="Arial"/>
            <w:szCs w:val="24"/>
          </w:rPr>
          <w:t>http://www.thecochranelibrary.com</w:t>
        </w:r>
      </w:hyperlink>
      <w:r w:rsidRPr="00FC3153">
        <w:rPr>
          <w:rFonts w:eastAsia="Calibri" w:cs="Arial"/>
          <w:szCs w:val="24"/>
        </w:rPr>
        <w:t xml:space="preserve"> [accessed</w:t>
      </w:r>
      <w:r>
        <w:rPr>
          <w:rFonts w:eastAsia="Calibri" w:cs="Arial"/>
          <w:szCs w:val="24"/>
        </w:rPr>
        <w:t xml:space="preserve"> 03/11/15</w:t>
      </w:r>
      <w:r w:rsidRPr="00FC3153">
        <w:rPr>
          <w:rFonts w:eastAsia="Calibri" w:cs="Arial"/>
          <w:szCs w:val="24"/>
        </w:rPr>
        <w:t>]</w:t>
      </w:r>
    </w:p>
    <w:p w14:paraId="39815157" w14:textId="77777777" w:rsidR="00F13F5C" w:rsidRPr="005F0FA3" w:rsidRDefault="00F13F5C" w:rsidP="00F13F5C">
      <w:pPr>
        <w:pStyle w:val="ListParagraph"/>
        <w:numPr>
          <w:ilvl w:val="0"/>
          <w:numId w:val="10"/>
        </w:numPr>
        <w:spacing w:line="480" w:lineRule="auto"/>
        <w:rPr>
          <w:rFonts w:eastAsia="Calibri" w:cs="Arial"/>
          <w:szCs w:val="24"/>
        </w:rPr>
      </w:pPr>
      <w:r w:rsidRPr="00FC3153">
        <w:rPr>
          <w:rFonts w:eastAsia="Calibri" w:cs="Arial"/>
          <w:szCs w:val="24"/>
        </w:rPr>
        <w:t xml:space="preserve">Gomes, F., Hookway, C. &amp; Weekes, C.E.  (2014) Royal College of Physicians Intercollegiate Stroke Working Party evidence-based guidelines for the nutritional support of patients who have had a stroke. </w:t>
      </w:r>
      <w:r w:rsidRPr="00FC3153">
        <w:rPr>
          <w:rFonts w:eastAsia="Calibri" w:cs="Arial"/>
          <w:i/>
          <w:szCs w:val="24"/>
        </w:rPr>
        <w:t>Journal of Human Nutrition and Dietetics</w:t>
      </w:r>
      <w:r w:rsidRPr="00FC3153">
        <w:rPr>
          <w:rFonts w:eastAsia="Calibri" w:cs="Arial"/>
          <w:szCs w:val="24"/>
        </w:rPr>
        <w:t xml:space="preserve"> (27) pg.107-121</w:t>
      </w:r>
    </w:p>
    <w:p w14:paraId="311A547E" w14:textId="77777777" w:rsidR="00F13F5C" w:rsidRPr="005F0FA3" w:rsidRDefault="00F13F5C" w:rsidP="00F13F5C">
      <w:pPr>
        <w:pStyle w:val="ListParagraph"/>
        <w:numPr>
          <w:ilvl w:val="0"/>
          <w:numId w:val="10"/>
        </w:numPr>
        <w:spacing w:line="480" w:lineRule="auto"/>
        <w:rPr>
          <w:rFonts w:cs="Arial"/>
        </w:rPr>
      </w:pPr>
      <w:r w:rsidRPr="00FC3153">
        <w:rPr>
          <w:rFonts w:cs="Arial"/>
        </w:rPr>
        <w:t>Hafssteinsd</w:t>
      </w:r>
      <w:r w:rsidRPr="00FC3153">
        <w:rPr>
          <w:rFonts w:cs="Arial"/>
          <w:sz w:val="18"/>
          <w:szCs w:val="18"/>
        </w:rPr>
        <w:t>Ó</w:t>
      </w:r>
      <w:r w:rsidRPr="00FC3153">
        <w:rPr>
          <w:rFonts w:cs="Arial"/>
        </w:rPr>
        <w:t xml:space="preserve">ttir, T.B. &amp; Grypdonck, M. (1997) Being a stroke patient: a review of the literature. </w:t>
      </w:r>
      <w:r w:rsidRPr="00FC3153">
        <w:rPr>
          <w:rFonts w:cs="Arial"/>
          <w:i/>
          <w:iCs/>
        </w:rPr>
        <w:t xml:space="preserve">Journal of Advanced Nursing. </w:t>
      </w:r>
      <w:r w:rsidRPr="00FC3153">
        <w:rPr>
          <w:rFonts w:cs="Arial"/>
          <w:b/>
          <w:bCs/>
        </w:rPr>
        <w:t>26</w:t>
      </w:r>
      <w:r w:rsidRPr="00FC3153">
        <w:rPr>
          <w:rFonts w:cs="Arial"/>
        </w:rPr>
        <w:t>, pp.580-588.</w:t>
      </w:r>
    </w:p>
    <w:p w14:paraId="5A28301A" w14:textId="77777777" w:rsidR="00F13F5C" w:rsidRPr="005F0FA3" w:rsidRDefault="00F13F5C" w:rsidP="00F13F5C">
      <w:pPr>
        <w:pStyle w:val="ListParagraph"/>
        <w:numPr>
          <w:ilvl w:val="0"/>
          <w:numId w:val="10"/>
        </w:numPr>
        <w:spacing w:line="480" w:lineRule="auto"/>
        <w:rPr>
          <w:rFonts w:cs="Arial"/>
        </w:rPr>
      </w:pPr>
      <w:r w:rsidRPr="00FC3153">
        <w:rPr>
          <w:rFonts w:cs="Arial"/>
        </w:rPr>
        <w:t xml:space="preserve">Horsburgh, D., Rowat, A., Mahoney, C., &amp; Dennis, M. (2008) A necessary evil? Interventions to prevent nasogastric tube-tugging after stroke. </w:t>
      </w:r>
      <w:r w:rsidRPr="00FC3153">
        <w:rPr>
          <w:rFonts w:cs="Arial"/>
          <w:i/>
          <w:iCs/>
        </w:rPr>
        <w:t>British Journal of Neuroscience Nursing</w:t>
      </w:r>
      <w:r w:rsidRPr="00FC3153">
        <w:rPr>
          <w:rFonts w:cs="Arial"/>
        </w:rPr>
        <w:t xml:space="preserve">. </w:t>
      </w:r>
      <w:r w:rsidRPr="00FC3153">
        <w:rPr>
          <w:rFonts w:cs="Arial"/>
          <w:b/>
          <w:bCs/>
        </w:rPr>
        <w:t>4</w:t>
      </w:r>
      <w:r w:rsidRPr="00FC3153">
        <w:rPr>
          <w:rFonts w:cs="Arial"/>
        </w:rPr>
        <w:t>. pp.230-234.</w:t>
      </w:r>
    </w:p>
    <w:p w14:paraId="52CA367A" w14:textId="27985C5C" w:rsidR="00F13F5C" w:rsidRDefault="00F13F5C" w:rsidP="00F13F5C">
      <w:pPr>
        <w:pStyle w:val="ListParagraph"/>
        <w:numPr>
          <w:ilvl w:val="0"/>
          <w:numId w:val="10"/>
        </w:numPr>
        <w:spacing w:line="480" w:lineRule="auto"/>
        <w:rPr>
          <w:rFonts w:cs="Arial"/>
        </w:rPr>
      </w:pPr>
      <w:r>
        <w:rPr>
          <w:rFonts w:cs="Arial"/>
        </w:rPr>
        <w:t>Liu, S.</w:t>
      </w:r>
      <w:r w:rsidRPr="00FC3153">
        <w:rPr>
          <w:rFonts w:cs="Arial"/>
        </w:rPr>
        <w:t>Y.,Yang, C.P., Wei, T.S., Chen, Y.C., Liang, C.H., Wu, C.H., Chen, C.L. &amp; Wu, T.J. (2013) Feasibility of a novel two piece nasogastric feeding tube for patients with dysphagia. Singapore Medical Journal 54 (4) pp.227-230</w:t>
      </w:r>
    </w:p>
    <w:p w14:paraId="1B1C012D" w14:textId="2C0C4CB4" w:rsidR="00536B87" w:rsidRPr="003C7946" w:rsidRDefault="0045476C" w:rsidP="00F13F5C">
      <w:pPr>
        <w:pStyle w:val="ListParagraph"/>
        <w:numPr>
          <w:ilvl w:val="0"/>
          <w:numId w:val="10"/>
        </w:numPr>
        <w:spacing w:line="480" w:lineRule="auto"/>
        <w:rPr>
          <w:rFonts w:cs="Arial"/>
        </w:rPr>
      </w:pPr>
      <w:r>
        <w:rPr>
          <w:rFonts w:cs="Arial"/>
        </w:rPr>
        <w:lastRenderedPageBreak/>
        <w:t>Mahoney, C</w:t>
      </w:r>
      <w:r w:rsidR="00536B87">
        <w:rPr>
          <w:rFonts w:cs="Arial"/>
        </w:rPr>
        <w:t>.</w:t>
      </w:r>
      <w:r>
        <w:rPr>
          <w:rFonts w:cs="Arial"/>
        </w:rPr>
        <w:t xml:space="preserve">, Rowat, A., MacMillan, M. &amp; Dennis, </w:t>
      </w:r>
      <w:r w:rsidR="00215F00">
        <w:rPr>
          <w:rFonts w:cs="Arial"/>
        </w:rPr>
        <w:t>M.</w:t>
      </w:r>
      <w:r w:rsidR="00536B87">
        <w:rPr>
          <w:rFonts w:cs="Arial"/>
        </w:rPr>
        <w:t xml:space="preserve"> (2015)</w:t>
      </w:r>
      <w:r w:rsidR="0072407B">
        <w:rPr>
          <w:rFonts w:cs="Arial"/>
        </w:rPr>
        <w:t xml:space="preserve"> Nasogastric feeding for stroke patients: practice and education. British Journal of Nursing. </w:t>
      </w:r>
      <w:r w:rsidR="00331846">
        <w:rPr>
          <w:rFonts w:cs="Arial"/>
        </w:rPr>
        <w:t>24 (6) pp. 319-325</w:t>
      </w:r>
    </w:p>
    <w:p w14:paraId="3298C8C7" w14:textId="77777777" w:rsidR="00F13F5C" w:rsidRPr="00FC3153" w:rsidRDefault="00F13F5C" w:rsidP="00F13F5C">
      <w:pPr>
        <w:pStyle w:val="ListParagraph"/>
        <w:numPr>
          <w:ilvl w:val="0"/>
          <w:numId w:val="10"/>
        </w:numPr>
        <w:spacing w:after="200" w:line="480" w:lineRule="auto"/>
        <w:rPr>
          <w:rFonts w:eastAsia="Calibri" w:cs="Arial"/>
          <w:szCs w:val="24"/>
        </w:rPr>
      </w:pPr>
      <w:r w:rsidRPr="00FC3153">
        <w:rPr>
          <w:rFonts w:eastAsia="Calibri" w:cs="Arial"/>
          <w:szCs w:val="24"/>
        </w:rPr>
        <w:t xml:space="preserve">Metheny, N. &amp; Meert, K.L. (2004) Monitoring feeding tube placement. </w:t>
      </w:r>
      <w:r w:rsidRPr="00FC3153">
        <w:rPr>
          <w:rFonts w:eastAsia="Calibri" w:cs="Arial"/>
          <w:i/>
          <w:szCs w:val="24"/>
        </w:rPr>
        <w:t>Nutrition in Clinical Practice</w:t>
      </w:r>
      <w:r w:rsidRPr="00FC3153">
        <w:rPr>
          <w:rFonts w:eastAsia="Calibri" w:cs="Arial"/>
          <w:szCs w:val="24"/>
        </w:rPr>
        <w:t xml:space="preserve">. </w:t>
      </w:r>
      <w:r w:rsidRPr="00FC3153">
        <w:rPr>
          <w:rFonts w:eastAsia="Calibri" w:cs="Arial"/>
          <w:b/>
          <w:bCs/>
          <w:szCs w:val="24"/>
        </w:rPr>
        <w:t>19</w:t>
      </w:r>
      <w:r w:rsidRPr="00FC3153">
        <w:rPr>
          <w:rFonts w:eastAsia="Calibri" w:cs="Arial"/>
          <w:szCs w:val="24"/>
        </w:rPr>
        <w:t>, pp.487-495.</w:t>
      </w:r>
    </w:p>
    <w:p w14:paraId="2A5B47B2" w14:textId="77777777" w:rsidR="00F13F5C" w:rsidRPr="005F0FA3" w:rsidRDefault="00F13F5C" w:rsidP="00F13F5C">
      <w:pPr>
        <w:pStyle w:val="ListParagraph"/>
        <w:numPr>
          <w:ilvl w:val="0"/>
          <w:numId w:val="10"/>
        </w:numPr>
        <w:spacing w:line="480" w:lineRule="auto"/>
        <w:rPr>
          <w:rFonts w:cs="Arial"/>
        </w:rPr>
      </w:pPr>
      <w:r w:rsidRPr="00FC3153">
        <w:rPr>
          <w:rFonts w:cs="Arial"/>
        </w:rPr>
        <w:t xml:space="preserve">Mitchell, S.L. &amp; Kiely, D.K. A cross-national comparison of institutionalised tube-fed older persons: the influence of contrasting healthcare systems. </w:t>
      </w:r>
      <w:r w:rsidRPr="00FC3153">
        <w:rPr>
          <w:rFonts w:cs="Arial"/>
          <w:i/>
        </w:rPr>
        <w:t>Journal of the American Medical Directors Association.</w:t>
      </w:r>
      <w:r w:rsidRPr="00FC3153">
        <w:rPr>
          <w:rFonts w:cs="Arial"/>
        </w:rPr>
        <w:t xml:space="preserve"> </w:t>
      </w:r>
      <w:r w:rsidRPr="00FC3153">
        <w:rPr>
          <w:rFonts w:cs="Arial"/>
          <w:b/>
        </w:rPr>
        <w:t xml:space="preserve">2 </w:t>
      </w:r>
      <w:r w:rsidRPr="00FC3153">
        <w:rPr>
          <w:rFonts w:cs="Arial"/>
        </w:rPr>
        <w:t>(1), pp. 10-14.</w:t>
      </w:r>
    </w:p>
    <w:p w14:paraId="0ADA437F" w14:textId="77777777" w:rsidR="00F13F5C" w:rsidRPr="005F0FA3" w:rsidRDefault="00F13F5C" w:rsidP="00F13F5C">
      <w:pPr>
        <w:pStyle w:val="ListParagraph"/>
        <w:numPr>
          <w:ilvl w:val="0"/>
          <w:numId w:val="10"/>
        </w:numPr>
        <w:spacing w:line="480" w:lineRule="auto"/>
        <w:rPr>
          <w:rFonts w:cs="Arial"/>
        </w:rPr>
      </w:pPr>
      <w:r w:rsidRPr="00FC3153">
        <w:rPr>
          <w:rFonts w:cs="Arial"/>
          <w:i/>
          <w:iCs/>
        </w:rPr>
        <w:t xml:space="preserve">Mental Capacity Act. 2005. </w:t>
      </w:r>
      <w:r w:rsidRPr="00FC3153">
        <w:rPr>
          <w:rFonts w:cs="Arial"/>
        </w:rPr>
        <w:t xml:space="preserve">(c.9). London: Office of the Public Sector. </w:t>
      </w:r>
    </w:p>
    <w:p w14:paraId="725C0BB7" w14:textId="77777777" w:rsidR="00F13F5C" w:rsidRPr="005F0FA3" w:rsidRDefault="00F13F5C" w:rsidP="00F13F5C">
      <w:pPr>
        <w:pStyle w:val="ListParagraph"/>
        <w:numPr>
          <w:ilvl w:val="0"/>
          <w:numId w:val="10"/>
        </w:numPr>
        <w:spacing w:line="480" w:lineRule="auto"/>
        <w:rPr>
          <w:rFonts w:cs="Arial"/>
        </w:rPr>
      </w:pPr>
      <w:r w:rsidRPr="00FC3153">
        <w:rPr>
          <w:rFonts w:cs="Arial"/>
        </w:rPr>
        <w:t>Nip, W.F.R., Perry, L., McLaren, S. &amp; McKenzie, A. (2011) Dietary intake, nutritional status and rehabilitational outcome of stroke patients in hospital. Journal of Human Nutrition and Dietetics. 24. Pp. 460-469</w:t>
      </w:r>
    </w:p>
    <w:p w14:paraId="503A6E9B" w14:textId="77777777" w:rsidR="00F13F5C" w:rsidRPr="005F0FA3" w:rsidRDefault="00F13F5C" w:rsidP="00F13F5C">
      <w:pPr>
        <w:pStyle w:val="ListParagraph"/>
        <w:numPr>
          <w:ilvl w:val="0"/>
          <w:numId w:val="10"/>
        </w:numPr>
        <w:spacing w:line="480" w:lineRule="auto"/>
        <w:rPr>
          <w:rFonts w:cs="Arial"/>
        </w:rPr>
      </w:pPr>
      <w:r w:rsidRPr="00FC3153">
        <w:rPr>
          <w:rFonts w:cs="Arial"/>
        </w:rPr>
        <w:t>Morten R</w:t>
      </w:r>
      <w:r w:rsidRPr="00FC3153">
        <w:rPr>
          <w:rFonts w:ascii="Utsaah" w:hAnsi="Utsaah" w:cs="Utsaah"/>
        </w:rPr>
        <w:t>Ø</w:t>
      </w:r>
      <w:r w:rsidRPr="00FC3153">
        <w:rPr>
          <w:rFonts w:cs="Arial"/>
        </w:rPr>
        <w:t xml:space="preserve">nning, O. &amp; Goldervog, B. (1998) Outcome of Subacute Stroke Rehabilitation. A Randomised Control Trial. </w:t>
      </w:r>
      <w:r w:rsidRPr="00FC3153">
        <w:rPr>
          <w:rFonts w:cs="Arial"/>
          <w:i/>
        </w:rPr>
        <w:t>Stroke. 29</w:t>
      </w:r>
      <w:r w:rsidRPr="00FC3153">
        <w:rPr>
          <w:rFonts w:cs="Arial"/>
        </w:rPr>
        <w:t>. Pp. 779-784.</w:t>
      </w:r>
    </w:p>
    <w:p w14:paraId="6CB2055A" w14:textId="77777777" w:rsidR="00F13F5C" w:rsidRPr="005F0FA3" w:rsidRDefault="00F13F5C" w:rsidP="00F13F5C">
      <w:pPr>
        <w:pStyle w:val="ListParagraph"/>
        <w:numPr>
          <w:ilvl w:val="0"/>
          <w:numId w:val="10"/>
        </w:numPr>
        <w:spacing w:line="480" w:lineRule="auto"/>
        <w:rPr>
          <w:rFonts w:cs="Arial"/>
        </w:rPr>
      </w:pPr>
      <w:r w:rsidRPr="00FC3153">
        <w:rPr>
          <w:rFonts w:cs="Arial"/>
        </w:rPr>
        <w:t xml:space="preserve">Nursing Midwifery Council (2015). The Code for Nurses and Midwives. Available from: </w:t>
      </w:r>
      <w:hyperlink r:id="rId13" w:history="1">
        <w:r w:rsidRPr="008110AC">
          <w:rPr>
            <w:rStyle w:val="Hyperlink"/>
            <w:rFonts w:cs="Arial"/>
          </w:rPr>
          <w:t>www.nmc.org.uk</w:t>
        </w:r>
      </w:hyperlink>
      <w:r>
        <w:rPr>
          <w:rFonts w:cs="Arial"/>
        </w:rPr>
        <w:t xml:space="preserve">  [accessed </w:t>
      </w:r>
      <w:r w:rsidRPr="00FC3153">
        <w:rPr>
          <w:rFonts w:cs="Arial"/>
        </w:rPr>
        <w:t>02/05/15]</w:t>
      </w:r>
    </w:p>
    <w:p w14:paraId="04842DC2" w14:textId="77777777" w:rsidR="00F13F5C" w:rsidRPr="00FC3153" w:rsidRDefault="00EC0CFA" w:rsidP="00F13F5C">
      <w:pPr>
        <w:pStyle w:val="ListParagraph"/>
        <w:numPr>
          <w:ilvl w:val="0"/>
          <w:numId w:val="10"/>
        </w:numPr>
        <w:spacing w:line="480" w:lineRule="auto"/>
        <w:rPr>
          <w:rFonts w:cs="Arial"/>
          <w:szCs w:val="24"/>
        </w:rPr>
      </w:pPr>
      <w:hyperlink r:id="rId14" w:history="1">
        <w:r w:rsidR="00F13F5C" w:rsidRPr="00FC3153">
          <w:rPr>
            <w:rFonts w:cs="Arial"/>
            <w:szCs w:val="24"/>
          </w:rPr>
          <w:t>Pang, A.S</w:t>
        </w:r>
      </w:hyperlink>
      <w:r w:rsidR="00F13F5C" w:rsidRPr="00FC3153">
        <w:rPr>
          <w:rFonts w:cs="Arial"/>
          <w:szCs w:val="24"/>
        </w:rPr>
        <w:t xml:space="preserve">. (2009) </w:t>
      </w:r>
      <w:hyperlink r:id="rId15" w:history="1">
        <w:r w:rsidR="00F13F5C" w:rsidRPr="00FC3153">
          <w:rPr>
            <w:rFonts w:cs="Arial"/>
            <w:szCs w:val="24"/>
          </w:rPr>
          <w:t>A new feeding tube which is secure and easy to change.</w:t>
        </w:r>
      </w:hyperlink>
      <w:r w:rsidR="00F13F5C" w:rsidRPr="00FC3153">
        <w:rPr>
          <w:rFonts w:cs="Arial"/>
          <w:szCs w:val="24"/>
        </w:rPr>
        <w:t xml:space="preserve"> Singapore Medical Journal. </w:t>
      </w:r>
      <w:r w:rsidR="00F13F5C" w:rsidRPr="00FC3153">
        <w:rPr>
          <w:rFonts w:cs="Arial"/>
          <w:b/>
          <w:szCs w:val="24"/>
        </w:rPr>
        <w:t>50</w:t>
      </w:r>
      <w:r w:rsidR="00F13F5C" w:rsidRPr="00FC3153">
        <w:rPr>
          <w:rFonts w:cs="Arial"/>
          <w:szCs w:val="24"/>
        </w:rPr>
        <w:t xml:space="preserve"> (7) pp.740-742</w:t>
      </w:r>
    </w:p>
    <w:p w14:paraId="061E9D60" w14:textId="77777777" w:rsidR="001F52C4" w:rsidRPr="001F52C4" w:rsidRDefault="00EC0CFA" w:rsidP="00F13F5C">
      <w:pPr>
        <w:pStyle w:val="ListParagraph"/>
        <w:numPr>
          <w:ilvl w:val="0"/>
          <w:numId w:val="10"/>
        </w:numPr>
        <w:spacing w:line="480" w:lineRule="auto"/>
        <w:rPr>
          <w:rFonts w:cs="Arial"/>
          <w:szCs w:val="24"/>
        </w:rPr>
      </w:pPr>
      <w:hyperlink r:id="rId16" w:tgtFrame="_blank" w:history="1">
        <w:r w:rsidR="001F52C4" w:rsidRPr="001F52C4">
          <w:rPr>
            <w:rStyle w:val="Hyperlink"/>
            <w:rFonts w:eastAsiaTheme="majorEastAsia" w:cs="Arial"/>
            <w:szCs w:val="24"/>
          </w:rPr>
          <w:t>PLoS Medicine</w:t>
        </w:r>
      </w:hyperlink>
      <w:r w:rsidR="001F52C4" w:rsidRPr="001F52C4">
        <w:rPr>
          <w:rFonts w:cs="Arial"/>
          <w:color w:val="333333"/>
          <w:szCs w:val="24"/>
        </w:rPr>
        <w:t xml:space="preserve"> (OPEN ACCESS) Moher D, Liberati A, Tetzlaff J, Altman DG, The PRISMA Group (2009). </w:t>
      </w:r>
      <w:r w:rsidR="001F52C4" w:rsidRPr="001F52C4">
        <w:rPr>
          <w:rStyle w:val="Emphasis"/>
          <w:rFonts w:cs="Arial"/>
          <w:color w:val="333333"/>
          <w:szCs w:val="24"/>
        </w:rPr>
        <w:t>Preferred Reporting Items for Systematic Reviews and Meta-Analyses:</w:t>
      </w:r>
      <w:r w:rsidR="001F52C4" w:rsidRPr="001F52C4">
        <w:rPr>
          <w:rFonts w:cs="Arial"/>
          <w:color w:val="333333"/>
          <w:szCs w:val="24"/>
        </w:rPr>
        <w:t xml:space="preserve"> The PRISMA Statement. </w:t>
      </w:r>
      <w:hyperlink r:id="rId17" w:tgtFrame="_blank" w:history="1">
        <w:r w:rsidR="001F52C4" w:rsidRPr="001F52C4">
          <w:rPr>
            <w:rStyle w:val="Hyperlink"/>
            <w:rFonts w:eastAsiaTheme="majorEastAsia" w:cs="Arial"/>
            <w:szCs w:val="24"/>
          </w:rPr>
          <w:t>PLoS Med 6(7): e1000097. doi:10.1371/journal.pmed1000097</w:t>
        </w:r>
      </w:hyperlink>
    </w:p>
    <w:p w14:paraId="5FD8D11B" w14:textId="5F880D84" w:rsidR="00F13F5C" w:rsidRPr="005F0FA3" w:rsidRDefault="00F13F5C" w:rsidP="00F13F5C">
      <w:pPr>
        <w:pStyle w:val="ListParagraph"/>
        <w:numPr>
          <w:ilvl w:val="0"/>
          <w:numId w:val="10"/>
        </w:numPr>
        <w:spacing w:line="480" w:lineRule="auto"/>
        <w:rPr>
          <w:rFonts w:cs="Arial"/>
        </w:rPr>
      </w:pPr>
      <w:r w:rsidRPr="00FC3153">
        <w:rPr>
          <w:rFonts w:cs="Arial"/>
        </w:rPr>
        <w:t xml:space="preserve">Quill, T.E. (1989) Utilization of Nasogastric Feeding Tubes in a Group of Chronically Ill, Elderley Patients in a Community Hospital. </w:t>
      </w:r>
      <w:r w:rsidRPr="00FC3153">
        <w:rPr>
          <w:rFonts w:cs="Arial"/>
          <w:i/>
          <w:iCs/>
        </w:rPr>
        <w:t xml:space="preserve">Archives of Internal Medicine. </w:t>
      </w:r>
      <w:r w:rsidRPr="00FC3153">
        <w:rPr>
          <w:rFonts w:cs="Arial"/>
          <w:b/>
          <w:bCs/>
        </w:rPr>
        <w:t>149</w:t>
      </w:r>
      <w:r w:rsidRPr="00FC3153">
        <w:rPr>
          <w:rFonts w:cs="Arial"/>
          <w:i/>
          <w:iCs/>
        </w:rPr>
        <w:t xml:space="preserve">, </w:t>
      </w:r>
      <w:r w:rsidRPr="00FC3153">
        <w:rPr>
          <w:rFonts w:cs="Arial"/>
        </w:rPr>
        <w:t>pp.1937-1941.</w:t>
      </w:r>
    </w:p>
    <w:p w14:paraId="1BDADDE4" w14:textId="77777777" w:rsidR="00F13F5C" w:rsidRPr="005F0FA3" w:rsidRDefault="00F13F5C" w:rsidP="00F13F5C">
      <w:pPr>
        <w:pStyle w:val="ListParagraph"/>
        <w:numPr>
          <w:ilvl w:val="0"/>
          <w:numId w:val="10"/>
        </w:numPr>
        <w:spacing w:line="480" w:lineRule="auto"/>
        <w:rPr>
          <w:rFonts w:cs="Arial"/>
        </w:rPr>
      </w:pPr>
      <w:r w:rsidRPr="00FC3153">
        <w:rPr>
          <w:rFonts w:cs="Arial"/>
        </w:rPr>
        <w:lastRenderedPageBreak/>
        <w:t xml:space="preserve">Royal College of Nursing </w:t>
      </w:r>
      <w:r>
        <w:rPr>
          <w:rFonts w:cs="Arial"/>
        </w:rPr>
        <w:t xml:space="preserve">(RCN) </w:t>
      </w:r>
      <w:r w:rsidRPr="00FC3153">
        <w:rPr>
          <w:rFonts w:cs="Arial"/>
        </w:rPr>
        <w:t xml:space="preserve">(2008) </w:t>
      </w:r>
      <w:r w:rsidRPr="00FC3153">
        <w:rPr>
          <w:rFonts w:cs="Arial"/>
          <w:i/>
        </w:rPr>
        <w:t>Let's talk about restraint rights, risks and responsibility.</w:t>
      </w:r>
      <w:r w:rsidRPr="00FC3153">
        <w:rPr>
          <w:rFonts w:cs="Arial"/>
        </w:rPr>
        <w:t xml:space="preserve"> London: Royal College of Nursing.</w:t>
      </w:r>
    </w:p>
    <w:p w14:paraId="367F2894" w14:textId="77777777" w:rsidR="00F13F5C" w:rsidRPr="005F0FA3" w:rsidRDefault="00F13F5C" w:rsidP="00F13F5C">
      <w:pPr>
        <w:pStyle w:val="ListParagraph"/>
        <w:numPr>
          <w:ilvl w:val="0"/>
          <w:numId w:val="10"/>
        </w:numPr>
        <w:spacing w:line="480" w:lineRule="auto"/>
        <w:rPr>
          <w:rFonts w:cs="Arial"/>
          <w:i/>
        </w:rPr>
      </w:pPr>
      <w:r w:rsidRPr="00FC3153">
        <w:rPr>
          <w:rFonts w:cs="Arial"/>
        </w:rPr>
        <w:t xml:space="preserve">Royal College of Physicians Intercollegiate Stroke Working Party </w:t>
      </w:r>
      <w:r>
        <w:rPr>
          <w:rFonts w:cs="Arial"/>
        </w:rPr>
        <w:t xml:space="preserve">(RCP) </w:t>
      </w:r>
      <w:r w:rsidRPr="00FC3153">
        <w:rPr>
          <w:rFonts w:cs="Arial"/>
        </w:rPr>
        <w:t xml:space="preserve">(2012). </w:t>
      </w:r>
      <w:r w:rsidRPr="00FC3153">
        <w:rPr>
          <w:rFonts w:cs="Arial"/>
          <w:i/>
        </w:rPr>
        <w:t>National Clinical Guideline for Stroke 4</w:t>
      </w:r>
      <w:r w:rsidRPr="00FC3153">
        <w:rPr>
          <w:rFonts w:cs="Arial"/>
          <w:i/>
          <w:vertAlign w:val="superscript"/>
        </w:rPr>
        <w:t>th</w:t>
      </w:r>
      <w:r w:rsidRPr="00FC3153">
        <w:rPr>
          <w:rFonts w:cs="Arial"/>
          <w:i/>
        </w:rPr>
        <w:t xml:space="preserve"> Ed.</w:t>
      </w:r>
      <w:r w:rsidRPr="00FC3153">
        <w:rPr>
          <w:rFonts w:cs="Arial"/>
        </w:rPr>
        <w:t xml:space="preserve"> London. Royal College of Physicians. </w:t>
      </w:r>
    </w:p>
    <w:p w14:paraId="47448ACF" w14:textId="77777777" w:rsidR="00F13F5C" w:rsidRDefault="00F13F5C" w:rsidP="00F13F5C">
      <w:pPr>
        <w:pStyle w:val="ListParagraph"/>
        <w:numPr>
          <w:ilvl w:val="0"/>
          <w:numId w:val="10"/>
        </w:numPr>
        <w:spacing w:line="480" w:lineRule="auto"/>
        <w:rPr>
          <w:rFonts w:cs="Arial"/>
        </w:rPr>
      </w:pPr>
      <w:r>
        <w:rPr>
          <w:rFonts w:cs="Arial"/>
        </w:rPr>
        <w:t>The Stroke Association (2016</w:t>
      </w:r>
      <w:r w:rsidRPr="00FC3153">
        <w:rPr>
          <w:rFonts w:cs="Arial"/>
        </w:rPr>
        <w:t xml:space="preserve">). </w:t>
      </w:r>
      <w:r>
        <w:rPr>
          <w:rFonts w:cs="Arial"/>
        </w:rPr>
        <w:t xml:space="preserve">State of the Nation: Stroke Statistics. </w:t>
      </w:r>
      <w:r w:rsidRPr="00FC3153">
        <w:rPr>
          <w:rFonts w:cs="Arial"/>
        </w:rPr>
        <w:t xml:space="preserve">Available from: </w:t>
      </w:r>
      <w:hyperlink r:id="rId18" w:history="1">
        <w:r w:rsidRPr="00EC2546">
          <w:rPr>
            <w:rStyle w:val="Hyperlink"/>
          </w:rPr>
          <w:t>https://www.stroke.org.uk/sites/default/files/state_of_the_nation_2016_110116_0.pdf</w:t>
        </w:r>
      </w:hyperlink>
      <w:r>
        <w:t xml:space="preserve"> </w:t>
      </w:r>
      <w:r>
        <w:rPr>
          <w:rFonts w:cs="Arial"/>
        </w:rPr>
        <w:t>[accessed 26/02/16</w:t>
      </w:r>
      <w:r w:rsidRPr="00FC3153">
        <w:rPr>
          <w:rFonts w:cs="Arial"/>
        </w:rPr>
        <w:t>]</w:t>
      </w:r>
    </w:p>
    <w:p w14:paraId="4DF8D42F" w14:textId="4EE41F04" w:rsidR="007C0445" w:rsidRPr="00FC3153" w:rsidRDefault="007C0445" w:rsidP="007C0445">
      <w:pPr>
        <w:pStyle w:val="ListParagraph"/>
        <w:numPr>
          <w:ilvl w:val="0"/>
          <w:numId w:val="10"/>
        </w:numPr>
        <w:spacing w:line="480" w:lineRule="auto"/>
        <w:rPr>
          <w:rFonts w:cs="Arial"/>
        </w:rPr>
      </w:pPr>
      <w:r>
        <w:rPr>
          <w:rFonts w:cs="Arial"/>
        </w:rPr>
        <w:t xml:space="preserve">Scottish Intercollegiate Guidelines Network (SIGN) (2017). SIGN Grading System. Healthcare Improvement Scotland. Available from: </w:t>
      </w:r>
      <w:hyperlink r:id="rId19" w:history="1">
        <w:r w:rsidRPr="00C67289">
          <w:rPr>
            <w:rStyle w:val="Hyperlink"/>
            <w:rFonts w:cs="Arial"/>
          </w:rPr>
          <w:t>http://www.sign.ac.uk/guidelines/fulltext/50/annexoldb.html#</w:t>
        </w:r>
      </w:hyperlink>
      <w:r>
        <w:rPr>
          <w:rFonts w:cs="Arial"/>
        </w:rPr>
        <w:t xml:space="preserve"> </w:t>
      </w:r>
    </w:p>
    <w:p w14:paraId="2B8E0742" w14:textId="77777777" w:rsidR="00F13F5C" w:rsidRPr="005F0FA3" w:rsidRDefault="00F13F5C" w:rsidP="00F13F5C">
      <w:pPr>
        <w:pStyle w:val="ListParagraph"/>
        <w:numPr>
          <w:ilvl w:val="0"/>
          <w:numId w:val="10"/>
        </w:numPr>
        <w:spacing w:line="480" w:lineRule="auto"/>
        <w:rPr>
          <w:rFonts w:cs="Arial"/>
        </w:rPr>
      </w:pPr>
      <w:r w:rsidRPr="00FC3153">
        <w:rPr>
          <w:rFonts w:cs="Arial"/>
        </w:rPr>
        <w:t xml:space="preserve">Williams, J. (2008) Exploring Ethically Sensitive Decision-Making in Acute Hospital Care: Using Hand-Control Mittens in Adult Patients. </w:t>
      </w:r>
      <w:r w:rsidRPr="00FC3153">
        <w:rPr>
          <w:rFonts w:cs="Arial"/>
          <w:i/>
        </w:rPr>
        <w:t>The Foundations of Nursing Studies</w:t>
      </w:r>
      <w:r w:rsidRPr="00FC3153">
        <w:rPr>
          <w:rFonts w:cs="Arial"/>
        </w:rPr>
        <w:t>.4 (8) pp.1-4</w:t>
      </w:r>
    </w:p>
    <w:p w14:paraId="02B94393" w14:textId="77777777" w:rsidR="00F13F5C" w:rsidRPr="005F0FA3" w:rsidRDefault="00F13F5C" w:rsidP="00F13F5C">
      <w:pPr>
        <w:pStyle w:val="ListParagraph"/>
        <w:numPr>
          <w:ilvl w:val="0"/>
          <w:numId w:val="10"/>
        </w:numPr>
        <w:spacing w:line="480" w:lineRule="auto"/>
        <w:rPr>
          <w:rFonts w:cs="Arial"/>
        </w:rPr>
      </w:pPr>
      <w:r w:rsidRPr="00FC3153">
        <w:rPr>
          <w:rFonts w:cs="Arial"/>
        </w:rPr>
        <w:t xml:space="preserve">Williams L.M., Morton, G.A. &amp; Patrick, C.H. (1990) The Emory cubicle bed: an alternative to restraints for agitated traumatically brain injured clients. </w:t>
      </w:r>
      <w:r w:rsidRPr="005F0FA3">
        <w:rPr>
          <w:rFonts w:cs="Arial"/>
          <w:i/>
        </w:rPr>
        <w:t>Rehabilitation Nursing</w:t>
      </w:r>
      <w:r w:rsidRPr="005F0FA3">
        <w:rPr>
          <w:rFonts w:cs="Arial"/>
        </w:rPr>
        <w:t xml:space="preserve">. </w:t>
      </w:r>
      <w:r w:rsidRPr="005F0FA3">
        <w:rPr>
          <w:rFonts w:cs="Arial"/>
          <w:b/>
        </w:rPr>
        <w:t>15</w:t>
      </w:r>
      <w:r>
        <w:rPr>
          <w:rFonts w:cs="Arial"/>
          <w:b/>
        </w:rPr>
        <w:t xml:space="preserve"> </w:t>
      </w:r>
      <w:r w:rsidRPr="005F0FA3">
        <w:rPr>
          <w:rFonts w:cs="Arial"/>
        </w:rPr>
        <w:t>(1), pp.30-33.</w:t>
      </w:r>
    </w:p>
    <w:p w14:paraId="186214A7" w14:textId="77777777" w:rsidR="00F13F5C" w:rsidRPr="00311E33" w:rsidRDefault="00F13F5C" w:rsidP="00F13F5C">
      <w:pPr>
        <w:pStyle w:val="ListParagraph"/>
        <w:numPr>
          <w:ilvl w:val="0"/>
          <w:numId w:val="10"/>
        </w:numPr>
        <w:spacing w:line="480" w:lineRule="auto"/>
        <w:rPr>
          <w:rFonts w:cs="Arial"/>
        </w:rPr>
      </w:pPr>
      <w:r w:rsidRPr="00311E33">
        <w:rPr>
          <w:rFonts w:cs="Arial"/>
        </w:rPr>
        <w:t xml:space="preserve">World Health Organisation (2014) </w:t>
      </w:r>
      <w:r w:rsidRPr="00311E33">
        <w:t>Global status report on non</w:t>
      </w:r>
      <w:r>
        <w:t>-</w:t>
      </w:r>
      <w:r w:rsidRPr="00311E33">
        <w:t>communicable diseases</w:t>
      </w:r>
      <w:r w:rsidRPr="00311E33">
        <w:rPr>
          <w:rFonts w:cs="Arial"/>
        </w:rPr>
        <w:t xml:space="preserve">: Available from: </w:t>
      </w:r>
      <w:hyperlink r:id="rId20" w:history="1">
        <w:r w:rsidRPr="00EC2546">
          <w:rPr>
            <w:rStyle w:val="Hyperlink"/>
          </w:rPr>
          <w:t>http://www.who.int/nmh/publications/ncd-status-report-2014/en/</w:t>
        </w:r>
      </w:hyperlink>
      <w:r>
        <w:t xml:space="preserve"> </w:t>
      </w:r>
      <w:r w:rsidRPr="00311E33">
        <w:rPr>
          <w:rFonts w:cs="Arial"/>
        </w:rPr>
        <w:t xml:space="preserve"> [accessed: 26/02/16]</w:t>
      </w:r>
    </w:p>
    <w:p w14:paraId="05BF11A2" w14:textId="77777777" w:rsidR="00F13F5C" w:rsidRPr="00FC3153" w:rsidRDefault="00F13F5C" w:rsidP="00F13F5C">
      <w:pPr>
        <w:pStyle w:val="ListParagraph"/>
        <w:numPr>
          <w:ilvl w:val="0"/>
          <w:numId w:val="10"/>
        </w:numPr>
        <w:spacing w:line="480" w:lineRule="auto"/>
        <w:rPr>
          <w:rFonts w:cs="Arial"/>
        </w:rPr>
      </w:pPr>
      <w:r w:rsidRPr="00FC3153">
        <w:rPr>
          <w:rFonts w:cs="Arial"/>
        </w:rPr>
        <w:t xml:space="preserve">Zaherah Mohamed Shah, F., Suraiya, H.S., Poi, P.J-H., Tan, K.S., Lai, P.S.M., Ramakrishnan, K. &amp; Mahadeva.S. (2012). Long-term nasogastric tube feeding in elderly stroke patients-an assessment of nutritional adequacy and attitudes to </w:t>
      </w:r>
      <w:r w:rsidRPr="00FC3153">
        <w:rPr>
          <w:rFonts w:cs="Arial"/>
        </w:rPr>
        <w:lastRenderedPageBreak/>
        <w:t xml:space="preserve">gastrostomy feeding in Asians. </w:t>
      </w:r>
      <w:r w:rsidRPr="00FC3153">
        <w:rPr>
          <w:rFonts w:cs="Arial"/>
          <w:i/>
        </w:rPr>
        <w:t>Journal of Nutrition, Health and Ageing.</w:t>
      </w:r>
      <w:r w:rsidRPr="00FC3153">
        <w:rPr>
          <w:rFonts w:cs="Arial"/>
        </w:rPr>
        <w:t xml:space="preserve"> </w:t>
      </w:r>
      <w:r w:rsidRPr="00FC3153">
        <w:rPr>
          <w:rFonts w:cs="Arial"/>
          <w:b/>
        </w:rPr>
        <w:t>16</w:t>
      </w:r>
      <w:r w:rsidRPr="00FC3153">
        <w:rPr>
          <w:rFonts w:cs="Arial"/>
        </w:rPr>
        <w:t xml:space="preserve"> (8) pp.701-706</w:t>
      </w:r>
    </w:p>
    <w:p w14:paraId="0E14187F" w14:textId="77777777" w:rsidR="00E443AE" w:rsidRDefault="00E443AE"/>
    <w:sectPr w:rsidR="00E443AE">
      <w:footerReference w:type="even"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AD7C3" w14:textId="77777777" w:rsidR="00CF1A94" w:rsidRDefault="00CF1A94" w:rsidP="00D1471D">
      <w:pPr>
        <w:spacing w:line="240" w:lineRule="auto"/>
      </w:pPr>
      <w:r>
        <w:separator/>
      </w:r>
    </w:p>
  </w:endnote>
  <w:endnote w:type="continuationSeparator" w:id="0">
    <w:p w14:paraId="454A8342" w14:textId="77777777" w:rsidR="00CF1A94" w:rsidRDefault="00CF1A94" w:rsidP="00D147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Utsaah">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111F8" w14:textId="77777777" w:rsidR="00142C50" w:rsidRDefault="00142C50" w:rsidP="00142C5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E20718" w14:textId="77777777" w:rsidR="00142C50" w:rsidRDefault="00142C50" w:rsidP="00524C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78B08" w14:textId="393FB822" w:rsidR="00142C50" w:rsidRDefault="00142C50" w:rsidP="00142C5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0CFA">
      <w:rPr>
        <w:rStyle w:val="PageNumber"/>
        <w:noProof/>
      </w:rPr>
      <w:t>1</w:t>
    </w:r>
    <w:r>
      <w:rPr>
        <w:rStyle w:val="PageNumber"/>
      </w:rPr>
      <w:fldChar w:fldCharType="end"/>
    </w:r>
  </w:p>
  <w:p w14:paraId="33FCAB52" w14:textId="77777777" w:rsidR="00142C50" w:rsidRDefault="00142C50" w:rsidP="00524CA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D5DCD" w14:textId="77777777" w:rsidR="00CF1A94" w:rsidRDefault="00CF1A94" w:rsidP="00D1471D">
      <w:pPr>
        <w:spacing w:line="240" w:lineRule="auto"/>
      </w:pPr>
      <w:r>
        <w:separator/>
      </w:r>
    </w:p>
  </w:footnote>
  <w:footnote w:type="continuationSeparator" w:id="0">
    <w:p w14:paraId="7D80BB88" w14:textId="77777777" w:rsidR="00CF1A94" w:rsidRDefault="00CF1A94" w:rsidP="00D1471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3599"/>
    <w:multiLevelType w:val="hybridMultilevel"/>
    <w:tmpl w:val="C5586CE8"/>
    <w:lvl w:ilvl="0" w:tplc="08090001">
      <w:start w:val="1"/>
      <w:numFmt w:val="bullet"/>
      <w:lvlText w:val=""/>
      <w:lvlJc w:val="left"/>
      <w:pPr>
        <w:tabs>
          <w:tab w:val="num" w:pos="1080"/>
        </w:tabs>
        <w:ind w:left="1080" w:hanging="360"/>
      </w:pPr>
      <w:rPr>
        <w:rFonts w:ascii="Symbol" w:hAnsi="Symbol" w:hint="default"/>
        <w:sz w:val="24"/>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719798B"/>
    <w:multiLevelType w:val="hybridMultilevel"/>
    <w:tmpl w:val="34342856"/>
    <w:lvl w:ilvl="0" w:tplc="08090001">
      <w:start w:val="1"/>
      <w:numFmt w:val="bullet"/>
      <w:lvlText w:val=""/>
      <w:lvlJc w:val="left"/>
      <w:pPr>
        <w:tabs>
          <w:tab w:val="num" w:pos="1080"/>
        </w:tabs>
        <w:ind w:left="1080" w:hanging="360"/>
      </w:pPr>
      <w:rPr>
        <w:rFonts w:ascii="Symbol" w:hAnsi="Symbol"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F22EC"/>
    <w:multiLevelType w:val="hybridMultilevel"/>
    <w:tmpl w:val="03A64DD0"/>
    <w:lvl w:ilvl="0" w:tplc="2912EF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23E24"/>
    <w:multiLevelType w:val="hybridMultilevel"/>
    <w:tmpl w:val="5FF0F98C"/>
    <w:lvl w:ilvl="0" w:tplc="0809000F">
      <w:start w:val="1"/>
      <w:numFmt w:val="decimal"/>
      <w:lvlText w:val="%1."/>
      <w:lvlJc w:val="left"/>
      <w:pPr>
        <w:tabs>
          <w:tab w:val="num" w:pos="1080"/>
        </w:tabs>
        <w:ind w:left="1080" w:hanging="360"/>
      </w:pPr>
      <w:rPr>
        <w:rFonts w:ascii="Arial" w:hAnsi="Arial" w:hint="default"/>
        <w:sz w:val="24"/>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23F7695E"/>
    <w:multiLevelType w:val="hybridMultilevel"/>
    <w:tmpl w:val="18F02AC4"/>
    <w:lvl w:ilvl="0" w:tplc="08090001">
      <w:start w:val="1"/>
      <w:numFmt w:val="bullet"/>
      <w:lvlText w:val=""/>
      <w:lvlJc w:val="left"/>
      <w:pPr>
        <w:tabs>
          <w:tab w:val="num" w:pos="720"/>
        </w:tabs>
        <w:ind w:left="720" w:hanging="360"/>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522194"/>
    <w:multiLevelType w:val="hybridMultilevel"/>
    <w:tmpl w:val="13504F60"/>
    <w:lvl w:ilvl="0" w:tplc="C4822ED0">
      <w:start w:val="1"/>
      <w:numFmt w:val="decimal"/>
      <w:lvlText w:val="%1."/>
      <w:lvlJc w:val="left"/>
      <w:pPr>
        <w:tabs>
          <w:tab w:val="num" w:pos="1080"/>
        </w:tabs>
        <w:ind w:left="1080" w:hanging="360"/>
      </w:pPr>
      <w:rPr>
        <w:rFonts w:ascii="Arial" w:hAnsi="Arial"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94676A"/>
    <w:multiLevelType w:val="hybridMultilevel"/>
    <w:tmpl w:val="8DE4F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837BFA"/>
    <w:multiLevelType w:val="hybridMultilevel"/>
    <w:tmpl w:val="9BF45108"/>
    <w:lvl w:ilvl="0" w:tplc="0809000F">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720"/>
        </w:tabs>
        <w:ind w:left="720" w:hanging="360"/>
      </w:pPr>
      <w:rPr>
        <w:b w:val="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EA03E11"/>
    <w:multiLevelType w:val="multilevel"/>
    <w:tmpl w:val="EE305922"/>
    <w:lvl w:ilvl="0">
      <w:start w:val="1"/>
      <w:numFmt w:val="decimal"/>
      <w:pStyle w:val="Heading1"/>
      <w:lvlText w:val="%1"/>
      <w:lvlJc w:val="left"/>
      <w:pPr>
        <w:tabs>
          <w:tab w:val="num" w:pos="432"/>
        </w:tabs>
        <w:ind w:left="432" w:hanging="432"/>
      </w:pPr>
    </w:lvl>
    <w:lvl w:ilvl="1">
      <w:start w:val="1"/>
      <w:numFmt w:val="decimal"/>
      <w:lvlText w:val="%1.%2"/>
      <w:lvlJc w:val="left"/>
      <w:pPr>
        <w:tabs>
          <w:tab w:val="num" w:pos="816"/>
        </w:tabs>
        <w:ind w:left="816"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1296"/>
        </w:tabs>
        <w:ind w:left="-1296"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4B733CBA"/>
    <w:multiLevelType w:val="hybridMultilevel"/>
    <w:tmpl w:val="8DE4F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050911"/>
    <w:multiLevelType w:val="hybridMultilevel"/>
    <w:tmpl w:val="048247CC"/>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200"/>
        </w:tabs>
        <w:ind w:left="1200" w:hanging="360"/>
      </w:pPr>
      <w:rPr>
        <w:rFonts w:ascii="Courier New" w:hAnsi="Courier New" w:cs="Courier New" w:hint="default"/>
      </w:rPr>
    </w:lvl>
    <w:lvl w:ilvl="2" w:tplc="FFFFFFFF" w:tentative="1">
      <w:start w:val="1"/>
      <w:numFmt w:val="bullet"/>
      <w:lvlText w:val=""/>
      <w:lvlJc w:val="left"/>
      <w:pPr>
        <w:tabs>
          <w:tab w:val="num" w:pos="1920"/>
        </w:tabs>
        <w:ind w:left="1920" w:hanging="360"/>
      </w:pPr>
      <w:rPr>
        <w:rFonts w:ascii="Wingdings" w:hAnsi="Wingdings" w:hint="default"/>
      </w:rPr>
    </w:lvl>
    <w:lvl w:ilvl="3" w:tplc="FFFFFFFF" w:tentative="1">
      <w:start w:val="1"/>
      <w:numFmt w:val="bullet"/>
      <w:lvlText w:val=""/>
      <w:lvlJc w:val="left"/>
      <w:pPr>
        <w:tabs>
          <w:tab w:val="num" w:pos="2640"/>
        </w:tabs>
        <w:ind w:left="2640" w:hanging="360"/>
      </w:pPr>
      <w:rPr>
        <w:rFonts w:ascii="Symbol" w:hAnsi="Symbol" w:hint="default"/>
      </w:rPr>
    </w:lvl>
    <w:lvl w:ilvl="4" w:tplc="FFFFFFFF" w:tentative="1">
      <w:start w:val="1"/>
      <w:numFmt w:val="bullet"/>
      <w:lvlText w:val="o"/>
      <w:lvlJc w:val="left"/>
      <w:pPr>
        <w:tabs>
          <w:tab w:val="num" w:pos="3360"/>
        </w:tabs>
        <w:ind w:left="3360" w:hanging="360"/>
      </w:pPr>
      <w:rPr>
        <w:rFonts w:ascii="Courier New" w:hAnsi="Courier New" w:cs="Courier New" w:hint="default"/>
      </w:rPr>
    </w:lvl>
    <w:lvl w:ilvl="5" w:tplc="FFFFFFFF" w:tentative="1">
      <w:start w:val="1"/>
      <w:numFmt w:val="bullet"/>
      <w:lvlText w:val=""/>
      <w:lvlJc w:val="left"/>
      <w:pPr>
        <w:tabs>
          <w:tab w:val="num" w:pos="4080"/>
        </w:tabs>
        <w:ind w:left="4080" w:hanging="360"/>
      </w:pPr>
      <w:rPr>
        <w:rFonts w:ascii="Wingdings" w:hAnsi="Wingdings" w:hint="default"/>
      </w:rPr>
    </w:lvl>
    <w:lvl w:ilvl="6" w:tplc="FFFFFFFF" w:tentative="1">
      <w:start w:val="1"/>
      <w:numFmt w:val="bullet"/>
      <w:lvlText w:val=""/>
      <w:lvlJc w:val="left"/>
      <w:pPr>
        <w:tabs>
          <w:tab w:val="num" w:pos="4800"/>
        </w:tabs>
        <w:ind w:left="4800" w:hanging="360"/>
      </w:pPr>
      <w:rPr>
        <w:rFonts w:ascii="Symbol" w:hAnsi="Symbol" w:hint="default"/>
      </w:rPr>
    </w:lvl>
    <w:lvl w:ilvl="7" w:tplc="FFFFFFFF" w:tentative="1">
      <w:start w:val="1"/>
      <w:numFmt w:val="bullet"/>
      <w:lvlText w:val="o"/>
      <w:lvlJc w:val="left"/>
      <w:pPr>
        <w:tabs>
          <w:tab w:val="num" w:pos="5520"/>
        </w:tabs>
        <w:ind w:left="5520" w:hanging="360"/>
      </w:pPr>
      <w:rPr>
        <w:rFonts w:ascii="Courier New" w:hAnsi="Courier New" w:cs="Courier New" w:hint="default"/>
      </w:rPr>
    </w:lvl>
    <w:lvl w:ilvl="8" w:tplc="FFFFFFFF" w:tentative="1">
      <w:start w:val="1"/>
      <w:numFmt w:val="bullet"/>
      <w:lvlText w:val=""/>
      <w:lvlJc w:val="left"/>
      <w:pPr>
        <w:tabs>
          <w:tab w:val="num" w:pos="6240"/>
        </w:tabs>
        <w:ind w:left="6240" w:hanging="360"/>
      </w:pPr>
      <w:rPr>
        <w:rFonts w:ascii="Wingdings" w:hAnsi="Wingdings" w:hint="default"/>
      </w:rPr>
    </w:lvl>
  </w:abstractNum>
  <w:abstractNum w:abstractNumId="11" w15:restartNumberingAfterBreak="0">
    <w:nsid w:val="6D3F4C9D"/>
    <w:multiLevelType w:val="hybridMultilevel"/>
    <w:tmpl w:val="D818D1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14E1B8D"/>
    <w:multiLevelType w:val="hybridMultilevel"/>
    <w:tmpl w:val="D068DB20"/>
    <w:lvl w:ilvl="0" w:tplc="FFFFFFFF">
      <w:start w:val="1"/>
      <w:numFmt w:val="decimal"/>
      <w:lvlText w:val="%1."/>
      <w:lvlJc w:val="left"/>
      <w:pPr>
        <w:tabs>
          <w:tab w:val="num" w:pos="720"/>
        </w:tabs>
        <w:ind w:left="720" w:hanging="360"/>
      </w:pPr>
      <w:rPr>
        <w:rFonts w:ascii="Arial" w:hAnsi="Aria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FF429C"/>
    <w:multiLevelType w:val="hybridMultilevel"/>
    <w:tmpl w:val="2AD23434"/>
    <w:lvl w:ilvl="0" w:tplc="2912EF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2"/>
  </w:num>
  <w:num w:numId="4">
    <w:abstractNumId w:val="8"/>
  </w:num>
  <w:num w:numId="5">
    <w:abstractNumId w:val="9"/>
  </w:num>
  <w:num w:numId="6">
    <w:abstractNumId w:val="6"/>
  </w:num>
  <w:num w:numId="7">
    <w:abstractNumId w:val="7"/>
  </w:num>
  <w:num w:numId="8">
    <w:abstractNumId w:val="10"/>
  </w:num>
  <w:num w:numId="9">
    <w:abstractNumId w:val="13"/>
  </w:num>
  <w:num w:numId="10">
    <w:abstractNumId w:val="11"/>
  </w:num>
  <w:num w:numId="11">
    <w:abstractNumId w:val="0"/>
  </w:num>
  <w:num w:numId="12">
    <w:abstractNumId w:val="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en-GB"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F5C"/>
    <w:rsid w:val="00006233"/>
    <w:rsid w:val="00020AEA"/>
    <w:rsid w:val="0003758D"/>
    <w:rsid w:val="00062717"/>
    <w:rsid w:val="00072D66"/>
    <w:rsid w:val="00077EEE"/>
    <w:rsid w:val="000B1B65"/>
    <w:rsid w:val="000B2B99"/>
    <w:rsid w:val="000B4053"/>
    <w:rsid w:val="000D1BA9"/>
    <w:rsid w:val="000D5C84"/>
    <w:rsid w:val="000D6045"/>
    <w:rsid w:val="000E7C20"/>
    <w:rsid w:val="000F18EA"/>
    <w:rsid w:val="000F1FBF"/>
    <w:rsid w:val="000F3D15"/>
    <w:rsid w:val="000F64DE"/>
    <w:rsid w:val="000F7581"/>
    <w:rsid w:val="001350C4"/>
    <w:rsid w:val="00142C50"/>
    <w:rsid w:val="001439A7"/>
    <w:rsid w:val="00145D24"/>
    <w:rsid w:val="00156C07"/>
    <w:rsid w:val="00173ACD"/>
    <w:rsid w:val="00181A65"/>
    <w:rsid w:val="00185436"/>
    <w:rsid w:val="001A59F4"/>
    <w:rsid w:val="001F0CFA"/>
    <w:rsid w:val="001F52C4"/>
    <w:rsid w:val="00201B4D"/>
    <w:rsid w:val="00215F00"/>
    <w:rsid w:val="00221DF5"/>
    <w:rsid w:val="00227239"/>
    <w:rsid w:val="00236A38"/>
    <w:rsid w:val="00247CD0"/>
    <w:rsid w:val="002534CB"/>
    <w:rsid w:val="00257779"/>
    <w:rsid w:val="00273C8D"/>
    <w:rsid w:val="00283B02"/>
    <w:rsid w:val="00285ACB"/>
    <w:rsid w:val="002B1AF7"/>
    <w:rsid w:val="002B6F41"/>
    <w:rsid w:val="002E11E6"/>
    <w:rsid w:val="002E3B2A"/>
    <w:rsid w:val="002F5380"/>
    <w:rsid w:val="00307DC0"/>
    <w:rsid w:val="00311A67"/>
    <w:rsid w:val="00311A75"/>
    <w:rsid w:val="00323FE4"/>
    <w:rsid w:val="00331846"/>
    <w:rsid w:val="00372280"/>
    <w:rsid w:val="003B4898"/>
    <w:rsid w:val="003C6BCB"/>
    <w:rsid w:val="003C7D7B"/>
    <w:rsid w:val="003E7CBC"/>
    <w:rsid w:val="00411C34"/>
    <w:rsid w:val="00434534"/>
    <w:rsid w:val="0045476C"/>
    <w:rsid w:val="00455779"/>
    <w:rsid w:val="00490CC4"/>
    <w:rsid w:val="00491759"/>
    <w:rsid w:val="004B43AC"/>
    <w:rsid w:val="005019D8"/>
    <w:rsid w:val="00524CAB"/>
    <w:rsid w:val="00535C78"/>
    <w:rsid w:val="00536B87"/>
    <w:rsid w:val="00574038"/>
    <w:rsid w:val="00574044"/>
    <w:rsid w:val="005812EF"/>
    <w:rsid w:val="005A3AAB"/>
    <w:rsid w:val="00606B7F"/>
    <w:rsid w:val="00672F27"/>
    <w:rsid w:val="0069394E"/>
    <w:rsid w:val="0069582A"/>
    <w:rsid w:val="006A45EC"/>
    <w:rsid w:val="006A63E1"/>
    <w:rsid w:val="006D167E"/>
    <w:rsid w:val="006F5276"/>
    <w:rsid w:val="0072407B"/>
    <w:rsid w:val="007311FC"/>
    <w:rsid w:val="00741A48"/>
    <w:rsid w:val="007424AA"/>
    <w:rsid w:val="0075643B"/>
    <w:rsid w:val="00757DAF"/>
    <w:rsid w:val="0076107C"/>
    <w:rsid w:val="00790261"/>
    <w:rsid w:val="00797DCE"/>
    <w:rsid w:val="007A4915"/>
    <w:rsid w:val="007A5982"/>
    <w:rsid w:val="007C0445"/>
    <w:rsid w:val="007C067E"/>
    <w:rsid w:val="00800F37"/>
    <w:rsid w:val="008076AB"/>
    <w:rsid w:val="00810D22"/>
    <w:rsid w:val="008126FA"/>
    <w:rsid w:val="00820B9D"/>
    <w:rsid w:val="00833039"/>
    <w:rsid w:val="00835A3C"/>
    <w:rsid w:val="008373CF"/>
    <w:rsid w:val="008D2FB8"/>
    <w:rsid w:val="009108BF"/>
    <w:rsid w:val="009163EE"/>
    <w:rsid w:val="009246E4"/>
    <w:rsid w:val="00945E02"/>
    <w:rsid w:val="0094688D"/>
    <w:rsid w:val="00956CED"/>
    <w:rsid w:val="009615CE"/>
    <w:rsid w:val="00962BDF"/>
    <w:rsid w:val="00982E73"/>
    <w:rsid w:val="009873C5"/>
    <w:rsid w:val="00995291"/>
    <w:rsid w:val="009E5A78"/>
    <w:rsid w:val="00A100F7"/>
    <w:rsid w:val="00A13414"/>
    <w:rsid w:val="00A2259F"/>
    <w:rsid w:val="00A47F30"/>
    <w:rsid w:val="00A76875"/>
    <w:rsid w:val="00A861B6"/>
    <w:rsid w:val="00A96815"/>
    <w:rsid w:val="00AB2C2A"/>
    <w:rsid w:val="00AB43E9"/>
    <w:rsid w:val="00AC2A59"/>
    <w:rsid w:val="00AC44CC"/>
    <w:rsid w:val="00AE4703"/>
    <w:rsid w:val="00AE793F"/>
    <w:rsid w:val="00B02420"/>
    <w:rsid w:val="00B30FF0"/>
    <w:rsid w:val="00B5766F"/>
    <w:rsid w:val="00B71307"/>
    <w:rsid w:val="00B93660"/>
    <w:rsid w:val="00B938FA"/>
    <w:rsid w:val="00B97AA1"/>
    <w:rsid w:val="00BA0237"/>
    <w:rsid w:val="00BA291D"/>
    <w:rsid w:val="00BD4BC6"/>
    <w:rsid w:val="00BD7D5A"/>
    <w:rsid w:val="00BF4FA0"/>
    <w:rsid w:val="00C03586"/>
    <w:rsid w:val="00C4232C"/>
    <w:rsid w:val="00C658FD"/>
    <w:rsid w:val="00C67B77"/>
    <w:rsid w:val="00C93C20"/>
    <w:rsid w:val="00C97C22"/>
    <w:rsid w:val="00CB47D9"/>
    <w:rsid w:val="00CB6C04"/>
    <w:rsid w:val="00CD576E"/>
    <w:rsid w:val="00CE020C"/>
    <w:rsid w:val="00CF1A94"/>
    <w:rsid w:val="00D1471D"/>
    <w:rsid w:val="00D53F55"/>
    <w:rsid w:val="00D55728"/>
    <w:rsid w:val="00D74C4A"/>
    <w:rsid w:val="00D74F4A"/>
    <w:rsid w:val="00D83E6D"/>
    <w:rsid w:val="00D91B8D"/>
    <w:rsid w:val="00D93983"/>
    <w:rsid w:val="00D96366"/>
    <w:rsid w:val="00DA0041"/>
    <w:rsid w:val="00DA7581"/>
    <w:rsid w:val="00DA7F24"/>
    <w:rsid w:val="00DB3EA4"/>
    <w:rsid w:val="00DF0ACE"/>
    <w:rsid w:val="00DF7ADE"/>
    <w:rsid w:val="00E14EEB"/>
    <w:rsid w:val="00E16C7D"/>
    <w:rsid w:val="00E22753"/>
    <w:rsid w:val="00E32519"/>
    <w:rsid w:val="00E36295"/>
    <w:rsid w:val="00E443AE"/>
    <w:rsid w:val="00E82233"/>
    <w:rsid w:val="00E876AE"/>
    <w:rsid w:val="00E927BA"/>
    <w:rsid w:val="00E96D65"/>
    <w:rsid w:val="00E9785C"/>
    <w:rsid w:val="00EB3C42"/>
    <w:rsid w:val="00EC0CFA"/>
    <w:rsid w:val="00EC4FB6"/>
    <w:rsid w:val="00EF4B77"/>
    <w:rsid w:val="00F113B9"/>
    <w:rsid w:val="00F13F5C"/>
    <w:rsid w:val="00F60137"/>
    <w:rsid w:val="00FC0422"/>
    <w:rsid w:val="00FC3E67"/>
    <w:rsid w:val="00FD5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8B79"/>
  <w15:docId w15:val="{CC00AB63-510A-4462-A9BE-81831C41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F5C"/>
    <w:pPr>
      <w:spacing w:after="0" w:line="360" w:lineRule="auto"/>
    </w:pPr>
    <w:rPr>
      <w:rFonts w:ascii="Arial" w:eastAsia="Times New Roman" w:hAnsi="Arial" w:cs="Times New Roman"/>
      <w:sz w:val="24"/>
      <w:szCs w:val="20"/>
      <w:lang w:eastAsia="en-GB"/>
    </w:rPr>
  </w:style>
  <w:style w:type="paragraph" w:styleId="Heading1">
    <w:name w:val="heading 1"/>
    <w:basedOn w:val="Normal"/>
    <w:next w:val="Normal"/>
    <w:link w:val="Heading1Char1"/>
    <w:qFormat/>
    <w:rsid w:val="00F13F5C"/>
    <w:pPr>
      <w:keepNext/>
      <w:numPr>
        <w:numId w:val="4"/>
      </w:numPr>
      <w:outlineLvl w:val="0"/>
    </w:pPr>
    <w:rPr>
      <w:rFonts w:cs="Arial"/>
      <w:b/>
      <w:sz w:val="28"/>
      <w:szCs w:val="22"/>
    </w:rPr>
  </w:style>
  <w:style w:type="paragraph" w:styleId="Heading2">
    <w:name w:val="heading 2"/>
    <w:basedOn w:val="Normal"/>
    <w:next w:val="Normal"/>
    <w:link w:val="Heading2Char"/>
    <w:autoRedefine/>
    <w:qFormat/>
    <w:rsid w:val="00E876AE"/>
    <w:pPr>
      <w:keepNext/>
      <w:spacing w:before="240" w:after="60" w:line="480" w:lineRule="auto"/>
      <w:ind w:left="360" w:hanging="360"/>
      <w:outlineLvl w:val="1"/>
    </w:pPr>
    <w:rPr>
      <w:rFonts w:eastAsia="MS Mincho" w:cs="Arial"/>
      <w:b/>
      <w:bCs/>
      <w:iCs/>
      <w:szCs w:val="24"/>
    </w:rPr>
  </w:style>
  <w:style w:type="paragraph" w:styleId="Heading3">
    <w:name w:val="heading 3"/>
    <w:basedOn w:val="Normal"/>
    <w:next w:val="Normal"/>
    <w:link w:val="Heading3Char"/>
    <w:autoRedefine/>
    <w:qFormat/>
    <w:rsid w:val="008126FA"/>
    <w:pPr>
      <w:keepNext/>
      <w:spacing w:before="240" w:after="60" w:line="480" w:lineRule="auto"/>
      <w:outlineLvl w:val="2"/>
    </w:pPr>
    <w:rPr>
      <w:rFonts w:eastAsia="MS Mincho" w:cs="Arial"/>
      <w:b/>
      <w:bCs/>
      <w:sz w:val="26"/>
      <w:szCs w:val="26"/>
    </w:rPr>
  </w:style>
  <w:style w:type="paragraph" w:styleId="Heading4">
    <w:name w:val="heading 4"/>
    <w:basedOn w:val="Normal"/>
    <w:next w:val="Normal"/>
    <w:link w:val="Heading4Char"/>
    <w:autoRedefine/>
    <w:qFormat/>
    <w:rsid w:val="000F18EA"/>
    <w:pPr>
      <w:keepNext/>
      <w:spacing w:line="480" w:lineRule="auto"/>
      <w:outlineLvl w:val="3"/>
    </w:pPr>
    <w:rPr>
      <w:rFonts w:eastAsia="MS Mincho" w:cs="Arial"/>
      <w:i/>
      <w:szCs w:val="24"/>
      <w:lang w:eastAsia="en-US"/>
    </w:rPr>
  </w:style>
  <w:style w:type="paragraph" w:styleId="Heading5">
    <w:name w:val="heading 5"/>
    <w:basedOn w:val="Normal"/>
    <w:next w:val="Normal"/>
    <w:link w:val="Heading5Char"/>
    <w:qFormat/>
    <w:rsid w:val="00F13F5C"/>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F13F5C"/>
    <w:pPr>
      <w:numPr>
        <w:ilvl w:val="5"/>
        <w:numId w:val="4"/>
      </w:numPr>
      <w:spacing w:before="240" w:after="60"/>
      <w:outlineLvl w:val="5"/>
    </w:pPr>
    <w:rPr>
      <w:b/>
      <w:bCs/>
      <w:sz w:val="22"/>
      <w:szCs w:val="22"/>
    </w:rPr>
  </w:style>
  <w:style w:type="paragraph" w:styleId="Heading7">
    <w:name w:val="heading 7"/>
    <w:basedOn w:val="Normal"/>
    <w:next w:val="Normal"/>
    <w:link w:val="Heading7Char"/>
    <w:qFormat/>
    <w:rsid w:val="00F13F5C"/>
    <w:pPr>
      <w:numPr>
        <w:ilvl w:val="6"/>
        <w:numId w:val="4"/>
      </w:numPr>
      <w:spacing w:before="240" w:after="60"/>
      <w:outlineLvl w:val="6"/>
    </w:pPr>
  </w:style>
  <w:style w:type="paragraph" w:styleId="Heading8">
    <w:name w:val="heading 8"/>
    <w:basedOn w:val="Normal"/>
    <w:next w:val="Normal"/>
    <w:link w:val="Heading8Char"/>
    <w:qFormat/>
    <w:rsid w:val="00F13F5C"/>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F13F5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13F5C"/>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rsid w:val="00E876AE"/>
    <w:rPr>
      <w:rFonts w:ascii="Arial" w:eastAsia="MS Mincho" w:hAnsi="Arial" w:cs="Arial"/>
      <w:b/>
      <w:bCs/>
      <w:iCs/>
      <w:sz w:val="24"/>
      <w:szCs w:val="24"/>
      <w:lang w:eastAsia="en-GB"/>
    </w:rPr>
  </w:style>
  <w:style w:type="character" w:customStyle="1" w:styleId="Heading3Char">
    <w:name w:val="Heading 3 Char"/>
    <w:basedOn w:val="DefaultParagraphFont"/>
    <w:link w:val="Heading3"/>
    <w:rsid w:val="008126FA"/>
    <w:rPr>
      <w:rFonts w:ascii="Arial" w:eastAsia="MS Mincho" w:hAnsi="Arial" w:cs="Arial"/>
      <w:b/>
      <w:bCs/>
      <w:sz w:val="26"/>
      <w:szCs w:val="26"/>
      <w:lang w:eastAsia="en-GB"/>
    </w:rPr>
  </w:style>
  <w:style w:type="character" w:customStyle="1" w:styleId="Heading4Char">
    <w:name w:val="Heading 4 Char"/>
    <w:basedOn w:val="DefaultParagraphFont"/>
    <w:link w:val="Heading4"/>
    <w:rsid w:val="000F18EA"/>
    <w:rPr>
      <w:rFonts w:ascii="Arial" w:eastAsia="MS Mincho" w:hAnsi="Arial" w:cs="Arial"/>
      <w:i/>
      <w:sz w:val="24"/>
      <w:szCs w:val="24"/>
    </w:rPr>
  </w:style>
  <w:style w:type="character" w:customStyle="1" w:styleId="Heading5Char">
    <w:name w:val="Heading 5 Char"/>
    <w:basedOn w:val="DefaultParagraphFont"/>
    <w:link w:val="Heading5"/>
    <w:rsid w:val="00F13F5C"/>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F13F5C"/>
    <w:rPr>
      <w:rFonts w:ascii="Arial" w:eastAsia="Times New Roman" w:hAnsi="Arial" w:cs="Times New Roman"/>
      <w:b/>
      <w:bCs/>
      <w:lang w:eastAsia="en-GB"/>
    </w:rPr>
  </w:style>
  <w:style w:type="character" w:customStyle="1" w:styleId="Heading7Char">
    <w:name w:val="Heading 7 Char"/>
    <w:basedOn w:val="DefaultParagraphFont"/>
    <w:link w:val="Heading7"/>
    <w:rsid w:val="00F13F5C"/>
    <w:rPr>
      <w:rFonts w:ascii="Arial" w:eastAsia="Times New Roman" w:hAnsi="Arial" w:cs="Times New Roman"/>
      <w:sz w:val="24"/>
      <w:szCs w:val="20"/>
      <w:lang w:eastAsia="en-GB"/>
    </w:rPr>
  </w:style>
  <w:style w:type="character" w:customStyle="1" w:styleId="Heading8Char">
    <w:name w:val="Heading 8 Char"/>
    <w:basedOn w:val="DefaultParagraphFont"/>
    <w:link w:val="Heading8"/>
    <w:rsid w:val="00F13F5C"/>
    <w:rPr>
      <w:rFonts w:ascii="Times New Roman" w:eastAsia="Times New Roman" w:hAnsi="Times New Roman" w:cs="Times New Roman"/>
      <w:i/>
      <w:iCs/>
      <w:sz w:val="24"/>
      <w:szCs w:val="20"/>
      <w:lang w:eastAsia="en-GB"/>
    </w:rPr>
  </w:style>
  <w:style w:type="character" w:customStyle="1" w:styleId="Heading9Char">
    <w:name w:val="Heading 9 Char"/>
    <w:basedOn w:val="DefaultParagraphFont"/>
    <w:link w:val="Heading9"/>
    <w:rsid w:val="00F13F5C"/>
    <w:rPr>
      <w:rFonts w:ascii="Arial" w:eastAsia="Times New Roman" w:hAnsi="Arial" w:cs="Arial"/>
      <w:lang w:eastAsia="en-GB"/>
    </w:rPr>
  </w:style>
  <w:style w:type="paragraph" w:styleId="BodyText2">
    <w:name w:val="Body Text 2"/>
    <w:basedOn w:val="Normal"/>
    <w:link w:val="BodyText2Char"/>
    <w:rsid w:val="00F13F5C"/>
    <w:rPr>
      <w:rFonts w:cs="Arial"/>
      <w:sz w:val="22"/>
      <w:lang w:eastAsia="en-US"/>
    </w:rPr>
  </w:style>
  <w:style w:type="character" w:customStyle="1" w:styleId="BodyText2Char">
    <w:name w:val="Body Text 2 Char"/>
    <w:basedOn w:val="DefaultParagraphFont"/>
    <w:link w:val="BodyText2"/>
    <w:rsid w:val="00F13F5C"/>
    <w:rPr>
      <w:rFonts w:ascii="Arial" w:eastAsia="Times New Roman" w:hAnsi="Arial" w:cs="Arial"/>
      <w:szCs w:val="20"/>
    </w:rPr>
  </w:style>
  <w:style w:type="character" w:customStyle="1" w:styleId="Heading1Char1">
    <w:name w:val="Heading 1 Char1"/>
    <w:basedOn w:val="DefaultParagraphFont"/>
    <w:link w:val="Heading1"/>
    <w:rsid w:val="00F13F5C"/>
    <w:rPr>
      <w:rFonts w:ascii="Arial" w:eastAsia="Times New Roman" w:hAnsi="Arial" w:cs="Arial"/>
      <w:b/>
      <w:sz w:val="28"/>
      <w:lang w:eastAsia="en-GB"/>
    </w:rPr>
  </w:style>
  <w:style w:type="character" w:styleId="Strong">
    <w:name w:val="Strong"/>
    <w:basedOn w:val="DefaultParagraphFont"/>
    <w:qFormat/>
    <w:rsid w:val="00F13F5C"/>
    <w:rPr>
      <w:b/>
      <w:bCs/>
    </w:rPr>
  </w:style>
  <w:style w:type="paragraph" w:styleId="ListParagraph">
    <w:name w:val="List Paragraph"/>
    <w:basedOn w:val="Normal"/>
    <w:uiPriority w:val="34"/>
    <w:qFormat/>
    <w:rsid w:val="00F13F5C"/>
    <w:pPr>
      <w:ind w:left="720"/>
      <w:contextualSpacing/>
    </w:pPr>
  </w:style>
  <w:style w:type="paragraph" w:styleId="Header">
    <w:name w:val="header"/>
    <w:basedOn w:val="Normal"/>
    <w:link w:val="HeaderChar"/>
    <w:unhideWhenUsed/>
    <w:rsid w:val="00F13F5C"/>
    <w:pPr>
      <w:tabs>
        <w:tab w:val="center" w:pos="4513"/>
        <w:tab w:val="right" w:pos="9026"/>
      </w:tabs>
      <w:spacing w:line="240" w:lineRule="auto"/>
    </w:pPr>
  </w:style>
  <w:style w:type="character" w:customStyle="1" w:styleId="HeaderChar">
    <w:name w:val="Header Char"/>
    <w:basedOn w:val="DefaultParagraphFont"/>
    <w:link w:val="Header"/>
    <w:rsid w:val="00F13F5C"/>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F13F5C"/>
    <w:pPr>
      <w:tabs>
        <w:tab w:val="center" w:pos="4513"/>
        <w:tab w:val="right" w:pos="9026"/>
      </w:tabs>
      <w:spacing w:line="240" w:lineRule="auto"/>
    </w:pPr>
  </w:style>
  <w:style w:type="character" w:customStyle="1" w:styleId="FooterChar">
    <w:name w:val="Footer Char"/>
    <w:basedOn w:val="DefaultParagraphFont"/>
    <w:link w:val="Footer"/>
    <w:uiPriority w:val="99"/>
    <w:rsid w:val="00F13F5C"/>
    <w:rPr>
      <w:rFonts w:ascii="Arial" w:eastAsia="Times New Roman" w:hAnsi="Arial" w:cs="Times New Roman"/>
      <w:sz w:val="24"/>
      <w:szCs w:val="20"/>
      <w:lang w:eastAsia="en-GB"/>
    </w:rPr>
  </w:style>
  <w:style w:type="character" w:styleId="Hyperlink">
    <w:name w:val="Hyperlink"/>
    <w:basedOn w:val="DefaultParagraphFont"/>
    <w:rsid w:val="00F13F5C"/>
    <w:rPr>
      <w:color w:val="0000FF"/>
      <w:u w:val="single"/>
    </w:rPr>
  </w:style>
  <w:style w:type="paragraph" w:styleId="BalloonText">
    <w:name w:val="Balloon Text"/>
    <w:basedOn w:val="Normal"/>
    <w:link w:val="BalloonTextChar"/>
    <w:uiPriority w:val="99"/>
    <w:semiHidden/>
    <w:unhideWhenUsed/>
    <w:rsid w:val="00F13F5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F5C"/>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94688D"/>
    <w:rPr>
      <w:sz w:val="18"/>
      <w:szCs w:val="18"/>
    </w:rPr>
  </w:style>
  <w:style w:type="paragraph" w:styleId="CommentText">
    <w:name w:val="annotation text"/>
    <w:basedOn w:val="Normal"/>
    <w:link w:val="CommentTextChar"/>
    <w:uiPriority w:val="99"/>
    <w:semiHidden/>
    <w:unhideWhenUsed/>
    <w:rsid w:val="0094688D"/>
    <w:pPr>
      <w:spacing w:line="240" w:lineRule="auto"/>
    </w:pPr>
    <w:rPr>
      <w:szCs w:val="24"/>
    </w:rPr>
  </w:style>
  <w:style w:type="character" w:customStyle="1" w:styleId="CommentTextChar">
    <w:name w:val="Comment Text Char"/>
    <w:basedOn w:val="DefaultParagraphFont"/>
    <w:link w:val="CommentText"/>
    <w:uiPriority w:val="99"/>
    <w:semiHidden/>
    <w:rsid w:val="0094688D"/>
    <w:rPr>
      <w:rFonts w:ascii="Arial" w:eastAsia="Times New Roman" w:hAnsi="Arial"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4688D"/>
    <w:rPr>
      <w:b/>
      <w:bCs/>
      <w:sz w:val="20"/>
      <w:szCs w:val="20"/>
    </w:rPr>
  </w:style>
  <w:style w:type="character" w:customStyle="1" w:styleId="CommentSubjectChar">
    <w:name w:val="Comment Subject Char"/>
    <w:basedOn w:val="CommentTextChar"/>
    <w:link w:val="CommentSubject"/>
    <w:uiPriority w:val="99"/>
    <w:semiHidden/>
    <w:rsid w:val="0094688D"/>
    <w:rPr>
      <w:rFonts w:ascii="Arial" w:eastAsia="Times New Roman" w:hAnsi="Arial" w:cs="Times New Roman"/>
      <w:b/>
      <w:bCs/>
      <w:sz w:val="20"/>
      <w:szCs w:val="20"/>
      <w:lang w:eastAsia="en-GB"/>
    </w:rPr>
  </w:style>
  <w:style w:type="character" w:styleId="PageNumber">
    <w:name w:val="page number"/>
    <w:basedOn w:val="DefaultParagraphFont"/>
    <w:uiPriority w:val="99"/>
    <w:semiHidden/>
    <w:unhideWhenUsed/>
    <w:rsid w:val="00D1471D"/>
  </w:style>
  <w:style w:type="paragraph" w:styleId="Revision">
    <w:name w:val="Revision"/>
    <w:hidden/>
    <w:uiPriority w:val="99"/>
    <w:semiHidden/>
    <w:rsid w:val="009E5A78"/>
    <w:pPr>
      <w:spacing w:after="0" w:line="240" w:lineRule="auto"/>
    </w:pPr>
    <w:rPr>
      <w:rFonts w:ascii="Arial" w:eastAsia="Times New Roman" w:hAnsi="Arial" w:cs="Times New Roman"/>
      <w:sz w:val="24"/>
      <w:szCs w:val="20"/>
      <w:lang w:eastAsia="en-GB"/>
    </w:rPr>
  </w:style>
  <w:style w:type="character" w:styleId="Emphasis">
    <w:name w:val="Emphasis"/>
    <w:basedOn w:val="DefaultParagraphFont"/>
    <w:uiPriority w:val="20"/>
    <w:qFormat/>
    <w:rsid w:val="001F52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rvamedica.it/en/journals/minerva-medica/article.php?cod=R10Y2009N02A0159" TargetMode="External"/><Relationship Id="rId13" Type="http://schemas.openxmlformats.org/officeDocument/2006/relationships/hyperlink" Target="http://www.nmc.org.uk" TargetMode="External"/><Relationship Id="rId18" Type="http://schemas.openxmlformats.org/officeDocument/2006/relationships/hyperlink" Target="https://www.stroke.org.uk/sites/default/files/state_of_the_nation_2016_110116_0.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inervamedica.it/en/journals/minerva-medica/article.php?cod=R10Y2009N02A0159" TargetMode="External"/><Relationship Id="rId12" Type="http://schemas.openxmlformats.org/officeDocument/2006/relationships/hyperlink" Target="http://www.thecochranelibrary.com" TargetMode="External"/><Relationship Id="rId17" Type="http://schemas.openxmlformats.org/officeDocument/2006/relationships/hyperlink" Target="http://journals.plos.org/plosmedicine/article?id=10.1371/journal.pmed.1000097" TargetMode="External"/><Relationship Id="rId2" Type="http://schemas.openxmlformats.org/officeDocument/2006/relationships/styles" Target="styles.xml"/><Relationship Id="rId16" Type="http://schemas.openxmlformats.org/officeDocument/2006/relationships/hyperlink" Target="http://journals.plos.org/plosmedicine/" TargetMode="External"/><Relationship Id="rId20" Type="http://schemas.openxmlformats.org/officeDocument/2006/relationships/hyperlink" Target="http://www.who.int/nmh/publications/ncd-status-report-2014/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itute.nhs.uk/patient_experience/guide/the_patient_experience_research.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uropepmc.org/abstract/MED/19644633" TargetMode="External"/><Relationship Id="rId23" Type="http://schemas.openxmlformats.org/officeDocument/2006/relationships/fontTable" Target="fontTable.xml"/><Relationship Id="rId10" Type="http://schemas.openxmlformats.org/officeDocument/2006/relationships/hyperlink" Target="http://community.cochrane.org/handbook" TargetMode="External"/><Relationship Id="rId19" Type="http://schemas.openxmlformats.org/officeDocument/2006/relationships/hyperlink" Target="http://www.sign.ac.uk/guidelines/fulltext/50/annexoldb.html" TargetMode="External"/><Relationship Id="rId4" Type="http://schemas.openxmlformats.org/officeDocument/2006/relationships/webSettings" Target="webSettings.xml"/><Relationship Id="rId9" Type="http://schemas.openxmlformats.org/officeDocument/2006/relationships/hyperlink" Target="http://endnote.com/support/online-user-manual/x7" TargetMode="External"/><Relationship Id="rId14" Type="http://schemas.openxmlformats.org/officeDocument/2006/relationships/hyperlink" Target="http://europepmc.org/search?page=1&amp;query=AUTH:%22Pang+AS%22&amp;restrict=All+result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4828</Words>
  <Characters>27523</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32287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Mahoney, Catherine</dc:creator>
  <cp:lastModifiedBy>Gibson, Lyn</cp:lastModifiedBy>
  <cp:revision>2</cp:revision>
  <dcterms:created xsi:type="dcterms:W3CDTF">2017-08-09T13:24:00Z</dcterms:created>
  <dcterms:modified xsi:type="dcterms:W3CDTF">2017-08-09T13:24:00Z</dcterms:modified>
</cp:coreProperties>
</file>