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ACBF6" w14:textId="77777777" w:rsidR="00284BDA" w:rsidRPr="00867F38" w:rsidRDefault="00284BDA" w:rsidP="00284BDA">
      <w:pPr>
        <w:spacing w:after="200" w:line="276" w:lineRule="auto"/>
        <w:jc w:val="both"/>
        <w:rPr>
          <w:rFonts w:ascii="Titillium" w:eastAsia="Times New Roman" w:hAnsi="Titillium" w:cs="Arial"/>
          <w:spacing w:val="-20"/>
          <w:sz w:val="40"/>
          <w:szCs w:val="22"/>
          <w:lang w:val="en-GB"/>
        </w:rPr>
      </w:pPr>
      <w:bookmarkStart w:id="0" w:name="_GoBack"/>
      <w:bookmarkEnd w:id="0"/>
    </w:p>
    <w:p w14:paraId="1D8F529E" w14:textId="77777777" w:rsidR="00284BDA" w:rsidRPr="00867F38" w:rsidRDefault="00284BDA" w:rsidP="00284BDA">
      <w:pPr>
        <w:spacing w:after="200" w:line="276" w:lineRule="auto"/>
        <w:rPr>
          <w:rFonts w:ascii="Titillium" w:eastAsia="Times New Roman" w:hAnsi="Titillium" w:cs="Arial"/>
          <w:i/>
          <w:iCs/>
          <w:color w:val="C0C0C0"/>
          <w:sz w:val="40"/>
          <w:szCs w:val="22"/>
          <w:lang w:val="en-GB"/>
        </w:rPr>
      </w:pPr>
      <w:r w:rsidRPr="00867F38">
        <w:rPr>
          <w:rFonts w:ascii="Titillium" w:eastAsia="Times New Roman" w:hAnsi="Titillium" w:cs="Arial"/>
          <w:i/>
          <w:iCs/>
          <w:noProof/>
          <w:color w:val="C0C0C0"/>
          <w:sz w:val="40"/>
          <w:szCs w:val="22"/>
          <w:lang w:val="en-GB" w:eastAsia="en-GB"/>
        </w:rPr>
        <mc:AlternateContent>
          <mc:Choice Requires="wpg">
            <w:drawing>
              <wp:anchor distT="0" distB="0" distL="114300" distR="114300" simplePos="0" relativeHeight="251659264" behindDoc="0" locked="0" layoutInCell="1" allowOverlap="1" wp14:anchorId="70F493F2" wp14:editId="71DC9FCD">
                <wp:simplePos x="0" y="0"/>
                <wp:positionH relativeFrom="margin">
                  <wp:align>left</wp:align>
                </wp:positionH>
                <wp:positionV relativeFrom="paragraph">
                  <wp:posOffset>445135</wp:posOffset>
                </wp:positionV>
                <wp:extent cx="7143750" cy="1228725"/>
                <wp:effectExtent l="0" t="0" r="0" b="9525"/>
                <wp:wrapNone/>
                <wp:docPr id="3" name="Group 3"/>
                <wp:cNvGraphicFramePr/>
                <a:graphic xmlns:a="http://schemas.openxmlformats.org/drawingml/2006/main">
                  <a:graphicData uri="http://schemas.microsoft.com/office/word/2010/wordprocessingGroup">
                    <wpg:wgp>
                      <wpg:cNvGrpSpPr/>
                      <wpg:grpSpPr>
                        <a:xfrm>
                          <a:off x="0" y="0"/>
                          <a:ext cx="7143750" cy="1228725"/>
                          <a:chOff x="0" y="0"/>
                          <a:chExt cx="7143750" cy="805180"/>
                        </a:xfrm>
                        <a:solidFill>
                          <a:srgbClr val="C00000"/>
                        </a:solidFill>
                      </wpg:grpSpPr>
                      <wps:wsp>
                        <wps:cNvPr id="7" name="Rectangle 6"/>
                        <wps:cNvSpPr/>
                        <wps:spPr>
                          <a:xfrm flipV="1">
                            <a:off x="0" y="0"/>
                            <a:ext cx="6271895" cy="805180"/>
                          </a:xfrm>
                          <a:prstGeom prst="rect">
                            <a:avLst/>
                          </a:prstGeom>
                          <a:grpFill/>
                          <a:ln w="6350" cap="flat" cmpd="sng" algn="ctr">
                            <a:noFill/>
                            <a:prstDash val="solid"/>
                            <a:miter lim="800000"/>
                          </a:ln>
                          <a:effectLst/>
                        </wps:spPr>
                        <wps:txbx>
                          <w:txbxContent>
                            <w:p w14:paraId="7C8FCE3D" w14:textId="77777777" w:rsidR="009A5E22" w:rsidRPr="00FB2B20" w:rsidRDefault="009A5E22" w:rsidP="00284BDA">
                              <w:pPr>
                                <w:rPr>
                                  <w:color w:val="FFFFFF" w:themeColor="background1"/>
                                </w:rPr>
                              </w:pPr>
                            </w:p>
                          </w:txbxContent>
                        </wps:txbx>
                        <wps:bodyPr rtlCol="0" anchor="ctr">
                          <a:noAutofit/>
                        </wps:bodyPr>
                      </wps:wsp>
                      <wps:wsp>
                        <wps:cNvPr id="11" name="Isosceles Triangle 10"/>
                        <wps:cNvSpPr/>
                        <wps:spPr>
                          <a:xfrm>
                            <a:off x="5400675" y="0"/>
                            <a:ext cx="1743075"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0F493F2" id="Group 3" o:spid="_x0000_s1026" style="position:absolute;margin-left:0;margin-top:35.05pt;width:562.5pt;height:96.75pt;z-index:251659264;mso-position-horizontal:left;mso-position-horizontal-relative:margin;mso-width-relative:margin;mso-height-relative:margin"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">
                <v:rect id="Rectangle 6" o:spid="_x0000_s1027" style="position:absolute;width:6271895;height:80518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MS77wwAA&#10;ANoAAAAPAAAAZHJzL2Rvd25yZXYueG1sRI9Ba8JAFITvQv/D8oTedGOLpqRuQluoSA+CtoLH1+wz&#10;CWbfxt1V47/vCkKPw8x8w8yL3rTiTM43lhVMxgkI4tLqhisFP9+foxcQPiBrbC2Tgit5KPKHwRwz&#10;bS+8pvMmVCJC2GeooA6hy6T0ZU0G/dh2xNHbW2cwROkqqR1eIty08ilJZtJgw3Ghxo4+aioPm5NR&#10;8Ltc8fvu2LORz9MtL46plV9Oqcdh//YKIlAf/sP39lIrSOF2Jd4Am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MS77wwAAANoAAAAPAAAAAAAAAAAAAAAAAJcCAABkcnMvZG93&#10;bnJldi54bWxQSwUGAAAAAAQABAD1AAAAhwMAAAAA&#10;" filled="f" stroked="f" strokeweight=".5pt">
                  <v:textbox>
                    <w:txbxContent>
                      <w:p w14:paraId="7C8FCE3D" w14:textId="77777777" w:rsidR="009A5E22" w:rsidRPr="00FB2B20" w:rsidRDefault="009A5E22" w:rsidP="00284BDA">
                        <w:pPr>
                          <w:rPr>
                            <w:color w:val="FFFFFF" w:themeColor="background1"/>
                          </w:rPr>
                        </w:pP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8" type="#_x0000_t5" style="position:absolute;left:5400675;width:1743075;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DGl8wQAA&#10;ANsAAAAPAAAAZHJzL2Rvd25yZXYueG1sRE/NasJAEL4X+g7LFLzVjSK2pNmEIEgEe6ntAwzZaRKa&#10;nV2yq4l5ercgeJuP73eyYjK9uNDgO8sKVssEBHFtdceNgp/v/es7CB+QNfaWScGVPBT581OGqbYj&#10;f9HlFBoRQ9inqKANwaVS+rolg35pHXHkfu1gMEQ4NFIPOMZw08t1kmylwY5jQ4uOdi3Vf6ezUTC/&#10;Vea4dp/Wzb4K2w2NujmXSi1epvIDRKApPMR390HH+Sv4/yUeIPM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AxpfMEAAADbAAAADwAAAAAAAAAAAAAAAACXAgAAZHJzL2Rvd25y&#10;ZXYueG1sUEsFBgAAAAAEAAQA9QAAAIUDAAAAAA==&#10;" filled="f" stroked="f" strokeweight=".5pt"/>
                <w10:wrap anchorx="margin"/>
              </v:group>
            </w:pict>
          </mc:Fallback>
        </mc:AlternateContent>
      </w:r>
      <w:r w:rsidRPr="00867F38">
        <w:rPr>
          <w:rFonts w:ascii="Titillium" w:eastAsia="Times New Roman" w:hAnsi="Titillium" w:cs="Arial"/>
          <w:noProof/>
          <w:spacing w:val="-20"/>
          <w:sz w:val="40"/>
          <w:szCs w:val="22"/>
          <w:lang w:val="en-GB" w:eastAsia="en-GB"/>
        </w:rPr>
        <mc:AlternateContent>
          <mc:Choice Requires="wps">
            <w:drawing>
              <wp:anchor distT="0" distB="0" distL="114300" distR="114300" simplePos="0" relativeHeight="251660288" behindDoc="0" locked="0" layoutInCell="1" allowOverlap="1" wp14:anchorId="37EB6319" wp14:editId="5C459803">
                <wp:simplePos x="0" y="0"/>
                <wp:positionH relativeFrom="column">
                  <wp:posOffset>93980</wp:posOffset>
                </wp:positionH>
                <wp:positionV relativeFrom="paragraph">
                  <wp:posOffset>407035</wp:posOffset>
                </wp:positionV>
                <wp:extent cx="5934075" cy="1295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34075" cy="1295400"/>
                        </a:xfrm>
                        <a:prstGeom prst="rect">
                          <a:avLst/>
                        </a:prstGeom>
                        <a:noFill/>
                        <a:ln w="6350">
                          <a:noFill/>
                        </a:ln>
                        <a:effectLst/>
                      </wps:spPr>
                      <wps:txbx>
                        <w:txbxContent>
                          <w:p w14:paraId="6590C9A1" w14:textId="77777777" w:rsidR="009A5E22" w:rsidRPr="005B6A4A" w:rsidRDefault="009A5E22" w:rsidP="00284BDA">
                            <w:pPr>
                              <w:pStyle w:val="Heading2"/>
                              <w:spacing w:before="120"/>
                              <w:rPr>
                                <w:rFonts w:ascii="Titillium" w:hAnsi="Titillium"/>
                                <w:color w:val="FFFFFF" w:themeColor="background1"/>
                                <w:spacing w:val="-20"/>
                                <w:sz w:val="72"/>
                                <w:szCs w:val="72"/>
                              </w:rPr>
                            </w:pPr>
                            <w:r>
                              <w:rPr>
                                <w:rFonts w:ascii="Titillium" w:hAnsi="Titillium"/>
                                <w:color w:val="FFFFFF" w:themeColor="background1"/>
                                <w:spacing w:val="-20"/>
                                <w:sz w:val="72"/>
                                <w:szCs w:val="72"/>
                              </w:rPr>
                              <w:t>Widening Participation Strategy</w:t>
                            </w:r>
                          </w:p>
                          <w:p w14:paraId="7E94064B" w14:textId="77777777" w:rsidR="009A5E22" w:rsidRPr="005B6A4A" w:rsidRDefault="009A5E22" w:rsidP="00284BDA">
                            <w:pPr>
                              <w:pStyle w:val="Heading2"/>
                              <w:spacing w:before="120"/>
                              <w:rPr>
                                <w:rFonts w:ascii="Titillium" w:hAnsi="Titillium" w:cs="Arial"/>
                                <w:i/>
                                <w:iCs/>
                                <w:color w:val="FFFFFF" w:themeColor="background1"/>
                                <w:sz w:val="28"/>
                              </w:rPr>
                            </w:pPr>
                            <w:r>
                              <w:rPr>
                                <w:rFonts w:ascii="Titillium" w:hAnsi="Titillium" w:cs="Arial"/>
                                <w:color w:val="FFFFFF" w:themeColor="background1"/>
                                <w:sz w:val="36"/>
                              </w:rPr>
                              <w:t>2016-2020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type w14:anchorId="37EB6319" id="_x0000_t202" coordsize="21600,21600" o:spt="202" path="m0,0l0,21600,21600,21600,21600,0xe">
                <v:stroke joinstyle="miter"/>
                <v:path gradientshapeok="t" o:connecttype="rect"/>
              </v:shapetype>
              <v:shape id="Text Box 5" o:spid="_x0000_s1029" type="#_x0000_t202" style="position:absolute;margin-left:7.4pt;margin-top:32.05pt;width:467.25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" filled="f" stroked="f" strokeweight=".5pt">
                <v:textbox>
                  <w:txbxContent>
                    <w:p w14:paraId="6590C9A1" w14:textId="77777777" w:rsidR="009A5E22" w:rsidRPr="005B6A4A" w:rsidRDefault="009A5E22" w:rsidP="00284BDA">
                      <w:pPr>
                        <w:pStyle w:val="Heading2"/>
                        <w:spacing w:before="120"/>
                        <w:rPr>
                          <w:rFonts w:ascii="Titillium" w:hAnsi="Titillium"/>
                          <w:color w:val="FFFFFF" w:themeColor="background1"/>
                          <w:spacing w:val="-20"/>
                          <w:sz w:val="72"/>
                          <w:szCs w:val="72"/>
                        </w:rPr>
                      </w:pPr>
                      <w:r>
                        <w:rPr>
                          <w:rFonts w:ascii="Titillium" w:hAnsi="Titillium"/>
                          <w:color w:val="FFFFFF" w:themeColor="background1"/>
                          <w:spacing w:val="-20"/>
                          <w:sz w:val="72"/>
                          <w:szCs w:val="72"/>
                        </w:rPr>
                        <w:t>Widening Participation Strategy</w:t>
                      </w:r>
                    </w:p>
                    <w:p w14:paraId="7E94064B" w14:textId="77777777" w:rsidR="009A5E22" w:rsidRPr="005B6A4A" w:rsidRDefault="009A5E22" w:rsidP="00284BDA">
                      <w:pPr>
                        <w:pStyle w:val="Heading2"/>
                        <w:spacing w:before="120"/>
                        <w:rPr>
                          <w:rFonts w:ascii="Titillium" w:hAnsi="Titillium" w:cs="Arial"/>
                          <w:i/>
                          <w:iCs/>
                          <w:color w:val="FFFFFF" w:themeColor="background1"/>
                          <w:sz w:val="28"/>
                        </w:rPr>
                      </w:pPr>
                      <w:r>
                        <w:rPr>
                          <w:rFonts w:ascii="Titillium" w:hAnsi="Titillium" w:cs="Arial"/>
                          <w:color w:val="FFFFFF" w:themeColor="background1"/>
                          <w:sz w:val="36"/>
                        </w:rPr>
                        <w:t>2016-2020</w:t>
                      </w:r>
                    </w:p>
                  </w:txbxContent>
                </v:textbox>
              </v:shape>
            </w:pict>
          </mc:Fallback>
        </mc:AlternateContent>
      </w:r>
    </w:p>
    <w:p w14:paraId="1E613E5C" w14:textId="77777777" w:rsidR="00284BDA" w:rsidRPr="00867F38" w:rsidRDefault="00284BDA" w:rsidP="00284BDA">
      <w:pPr>
        <w:spacing w:after="200" w:line="276" w:lineRule="auto"/>
        <w:jc w:val="center"/>
        <w:rPr>
          <w:rFonts w:ascii="Titillium" w:eastAsia="Times New Roman" w:hAnsi="Titillium" w:cs="Arial"/>
          <w:i/>
          <w:iCs/>
          <w:color w:val="C0C0C0"/>
          <w:sz w:val="40"/>
          <w:szCs w:val="22"/>
          <w:lang w:val="en-GB"/>
        </w:rPr>
      </w:pPr>
      <w:r w:rsidRPr="00867F38">
        <w:rPr>
          <w:rFonts w:ascii="Titillium" w:eastAsia="Times New Roman" w:hAnsi="Titillium" w:cs="Arial"/>
          <w:i/>
          <w:iCs/>
          <w:color w:val="C0C0C0"/>
          <w:sz w:val="40"/>
          <w:szCs w:val="22"/>
          <w:lang w:val="en-GB"/>
        </w:rPr>
        <w:t>Insert Picture if applicable</w:t>
      </w:r>
    </w:p>
    <w:tbl>
      <w:tblPr>
        <w:tblpPr w:leftFromText="181" w:rightFromText="181" w:vertAnchor="text" w:horzAnchor="margin" w:tblpY="3168"/>
        <w:tblOverlap w:val="never"/>
        <w:tblW w:w="0" w:type="auto"/>
        <w:tblBorders>
          <w:insideV w:val="single" w:sz="4" w:space="0" w:color="003366"/>
        </w:tblBorders>
        <w:tblLook w:val="0000" w:firstRow="0" w:lastRow="0" w:firstColumn="0" w:lastColumn="0" w:noHBand="0" w:noVBand="0"/>
      </w:tblPr>
      <w:tblGrid>
        <w:gridCol w:w="1403"/>
        <w:gridCol w:w="6473"/>
      </w:tblGrid>
      <w:tr w:rsidR="002A5A43" w:rsidRPr="00867F38" w14:paraId="07B386B3" w14:textId="77777777" w:rsidTr="002A5A43">
        <w:trPr>
          <w:trHeight w:val="282"/>
        </w:trPr>
        <w:tc>
          <w:tcPr>
            <w:tcW w:w="1403" w:type="dxa"/>
          </w:tcPr>
          <w:p w14:paraId="13A2036D" w14:textId="77777777" w:rsidR="002A5A43" w:rsidRPr="00867F38" w:rsidRDefault="002A5A43" w:rsidP="002A5A43">
            <w:pPr>
              <w:spacing w:line="276" w:lineRule="auto"/>
              <w:rPr>
                <w:rFonts w:ascii="Titillium" w:eastAsia="Times New Roman" w:hAnsi="Titillium" w:cs="Arial"/>
                <w:b/>
                <w:bCs/>
                <w:sz w:val="22"/>
                <w:szCs w:val="22"/>
                <w:lang w:val="en-GB"/>
              </w:rPr>
            </w:pPr>
            <w:r w:rsidRPr="00867F38">
              <w:rPr>
                <w:rFonts w:ascii="Titillium" w:eastAsia="Times New Roman" w:hAnsi="Titillium" w:cs="Arial"/>
                <w:b/>
                <w:bCs/>
                <w:sz w:val="22"/>
                <w:szCs w:val="22"/>
                <w:lang w:val="en-GB"/>
              </w:rPr>
              <w:t>Author</w:t>
            </w:r>
          </w:p>
        </w:tc>
        <w:tc>
          <w:tcPr>
            <w:tcW w:w="6473" w:type="dxa"/>
          </w:tcPr>
          <w:p w14:paraId="496A2252" w14:textId="77777777" w:rsidR="002A5A43" w:rsidRPr="00867F38" w:rsidRDefault="00556A7B" w:rsidP="002A5A43">
            <w:pPr>
              <w:spacing w:line="276" w:lineRule="auto"/>
              <w:ind w:left="284"/>
              <w:rPr>
                <w:rFonts w:ascii="Titillium" w:eastAsia="Times New Roman" w:hAnsi="Titillium" w:cs="Arial"/>
                <w:sz w:val="22"/>
                <w:szCs w:val="22"/>
                <w:lang w:val="en-GB"/>
              </w:rPr>
            </w:pPr>
            <w:r w:rsidRPr="00867F38">
              <w:rPr>
                <w:rFonts w:ascii="Titillium" w:eastAsia="Times New Roman" w:hAnsi="Titillium" w:cs="Arial"/>
                <w:sz w:val="22"/>
                <w:szCs w:val="22"/>
                <w:lang w:val="en-GB"/>
              </w:rPr>
              <w:t>Sandra Cairncross &amp; Katrina Castle</w:t>
            </w:r>
          </w:p>
        </w:tc>
      </w:tr>
      <w:tr w:rsidR="002A5A43" w:rsidRPr="00867F38" w14:paraId="5D996047" w14:textId="77777777" w:rsidTr="002A5A43">
        <w:trPr>
          <w:trHeight w:val="282"/>
        </w:trPr>
        <w:tc>
          <w:tcPr>
            <w:tcW w:w="1403" w:type="dxa"/>
          </w:tcPr>
          <w:p w14:paraId="0D432B84" w14:textId="77777777" w:rsidR="002A5A43" w:rsidRPr="00867F38" w:rsidRDefault="002A5A43" w:rsidP="002A5A43">
            <w:pPr>
              <w:spacing w:line="276" w:lineRule="auto"/>
              <w:rPr>
                <w:rFonts w:ascii="Titillium" w:eastAsia="Times New Roman" w:hAnsi="Titillium" w:cs="Arial"/>
                <w:b/>
                <w:bCs/>
                <w:sz w:val="22"/>
                <w:szCs w:val="22"/>
                <w:lang w:val="en-GB"/>
              </w:rPr>
            </w:pPr>
            <w:r w:rsidRPr="00867F38">
              <w:rPr>
                <w:rFonts w:ascii="Titillium" w:eastAsia="Times New Roman" w:hAnsi="Titillium" w:cs="Arial"/>
                <w:b/>
                <w:bCs/>
                <w:sz w:val="22"/>
                <w:szCs w:val="22"/>
                <w:lang w:val="en-GB"/>
              </w:rPr>
              <w:t>Date</w:t>
            </w:r>
          </w:p>
        </w:tc>
        <w:tc>
          <w:tcPr>
            <w:tcW w:w="6473" w:type="dxa"/>
          </w:tcPr>
          <w:p w14:paraId="64E91A0D" w14:textId="446E5048" w:rsidR="002A5A43" w:rsidRPr="00867F38" w:rsidRDefault="002C3981" w:rsidP="00B27B0E">
            <w:pPr>
              <w:spacing w:line="276" w:lineRule="auto"/>
              <w:ind w:left="284"/>
              <w:rPr>
                <w:rFonts w:ascii="Titillium" w:eastAsia="Times New Roman" w:hAnsi="Titillium" w:cs="Arial"/>
                <w:sz w:val="22"/>
                <w:szCs w:val="22"/>
                <w:lang w:val="en-GB"/>
              </w:rPr>
            </w:pPr>
            <w:r>
              <w:rPr>
                <w:rFonts w:ascii="Titillium" w:eastAsia="Times New Roman" w:hAnsi="Titillium" w:cs="Arial"/>
                <w:sz w:val="22"/>
                <w:szCs w:val="22"/>
                <w:lang w:val="en-GB"/>
              </w:rPr>
              <w:t>June 2017</w:t>
            </w:r>
          </w:p>
        </w:tc>
      </w:tr>
      <w:tr w:rsidR="002A5A43" w:rsidRPr="00867F38" w14:paraId="7FE0EFA7" w14:textId="77777777" w:rsidTr="002A5A43">
        <w:trPr>
          <w:trHeight w:val="282"/>
        </w:trPr>
        <w:tc>
          <w:tcPr>
            <w:tcW w:w="1403" w:type="dxa"/>
          </w:tcPr>
          <w:p w14:paraId="600F71C9" w14:textId="77777777" w:rsidR="002A5A43" w:rsidRPr="00867F38" w:rsidRDefault="002A5A43" w:rsidP="002A5A43">
            <w:pPr>
              <w:spacing w:line="276" w:lineRule="auto"/>
              <w:rPr>
                <w:rFonts w:ascii="Titillium" w:eastAsia="Times New Roman" w:hAnsi="Titillium" w:cs="Arial"/>
                <w:b/>
                <w:bCs/>
                <w:sz w:val="22"/>
                <w:szCs w:val="22"/>
                <w:lang w:val="en-GB"/>
              </w:rPr>
            </w:pPr>
            <w:r w:rsidRPr="00867F38">
              <w:rPr>
                <w:rFonts w:ascii="Titillium" w:eastAsia="Times New Roman" w:hAnsi="Titillium" w:cs="Arial"/>
                <w:b/>
                <w:bCs/>
                <w:sz w:val="22"/>
                <w:szCs w:val="22"/>
                <w:lang w:val="en-GB"/>
              </w:rPr>
              <w:t>Version</w:t>
            </w:r>
          </w:p>
        </w:tc>
        <w:tc>
          <w:tcPr>
            <w:tcW w:w="6473" w:type="dxa"/>
          </w:tcPr>
          <w:p w14:paraId="4B8D1EBC" w14:textId="21BAE8CA" w:rsidR="002A5A43" w:rsidRPr="00867F38" w:rsidRDefault="00101A98" w:rsidP="00FA0076">
            <w:pPr>
              <w:spacing w:line="276" w:lineRule="auto"/>
              <w:ind w:left="284"/>
              <w:rPr>
                <w:rFonts w:ascii="Titillium" w:eastAsia="Times New Roman" w:hAnsi="Titillium" w:cs="Arial"/>
                <w:sz w:val="22"/>
                <w:szCs w:val="22"/>
                <w:lang w:val="en-GB"/>
              </w:rPr>
            </w:pPr>
            <w:r>
              <w:rPr>
                <w:rFonts w:ascii="Titillium" w:eastAsia="Times New Roman" w:hAnsi="Titillium" w:cs="Arial"/>
                <w:sz w:val="22"/>
                <w:szCs w:val="22"/>
                <w:lang w:val="en-GB"/>
              </w:rPr>
              <w:t>Final</w:t>
            </w:r>
          </w:p>
        </w:tc>
      </w:tr>
      <w:tr w:rsidR="002A5A43" w:rsidRPr="00867F38" w14:paraId="6DEBC9C2" w14:textId="77777777" w:rsidTr="002A5A43">
        <w:trPr>
          <w:trHeight w:val="282"/>
        </w:trPr>
        <w:tc>
          <w:tcPr>
            <w:tcW w:w="1403" w:type="dxa"/>
          </w:tcPr>
          <w:p w14:paraId="7356E64E" w14:textId="77777777" w:rsidR="002A5A43" w:rsidRPr="00867F38" w:rsidRDefault="002A5A43" w:rsidP="002A5A43">
            <w:pPr>
              <w:spacing w:line="276" w:lineRule="auto"/>
              <w:rPr>
                <w:rFonts w:ascii="Titillium" w:eastAsia="Times New Roman" w:hAnsi="Titillium" w:cs="Arial"/>
                <w:b/>
                <w:bCs/>
                <w:sz w:val="22"/>
                <w:szCs w:val="22"/>
                <w:lang w:val="en-GB"/>
              </w:rPr>
            </w:pPr>
            <w:r w:rsidRPr="00867F38">
              <w:rPr>
                <w:rFonts w:ascii="Titillium" w:eastAsia="Times New Roman" w:hAnsi="Titillium" w:cs="Arial"/>
                <w:b/>
                <w:bCs/>
                <w:sz w:val="22"/>
                <w:szCs w:val="22"/>
                <w:lang w:val="en-GB"/>
              </w:rPr>
              <w:t>Status</w:t>
            </w:r>
          </w:p>
        </w:tc>
        <w:tc>
          <w:tcPr>
            <w:tcW w:w="6473" w:type="dxa"/>
          </w:tcPr>
          <w:p w14:paraId="67CE3C4A" w14:textId="60AB6BE5" w:rsidR="002A5A43" w:rsidRPr="00867F38" w:rsidRDefault="002A5A43" w:rsidP="002A5A43">
            <w:pPr>
              <w:spacing w:line="276" w:lineRule="auto"/>
              <w:ind w:left="284"/>
              <w:rPr>
                <w:rFonts w:ascii="Titillium" w:eastAsia="Times New Roman" w:hAnsi="Titillium" w:cs="Arial"/>
                <w:b/>
                <w:bCs/>
                <w:sz w:val="22"/>
                <w:szCs w:val="22"/>
                <w:lang w:val="en-GB"/>
              </w:rPr>
            </w:pPr>
          </w:p>
        </w:tc>
      </w:tr>
      <w:tr w:rsidR="002A5A43" w:rsidRPr="00867F38" w14:paraId="1D91F67F" w14:textId="77777777" w:rsidTr="002A5A43">
        <w:trPr>
          <w:trHeight w:val="282"/>
        </w:trPr>
        <w:tc>
          <w:tcPr>
            <w:tcW w:w="1403" w:type="dxa"/>
          </w:tcPr>
          <w:p w14:paraId="09A80061" w14:textId="77777777" w:rsidR="002A5A43" w:rsidRPr="00867F38" w:rsidRDefault="002A5A43" w:rsidP="002A5A43">
            <w:pPr>
              <w:spacing w:line="276" w:lineRule="auto"/>
              <w:rPr>
                <w:rFonts w:ascii="Titillium" w:eastAsia="Times New Roman" w:hAnsi="Titillium" w:cs="Arial"/>
                <w:b/>
                <w:bCs/>
                <w:sz w:val="22"/>
                <w:szCs w:val="22"/>
                <w:lang w:val="en-GB"/>
              </w:rPr>
            </w:pPr>
            <w:r w:rsidRPr="00867F38">
              <w:rPr>
                <w:rFonts w:ascii="Titillium" w:eastAsia="Times New Roman" w:hAnsi="Titillium" w:cs="Arial"/>
                <w:b/>
                <w:bCs/>
                <w:sz w:val="22"/>
                <w:szCs w:val="22"/>
                <w:lang w:val="en-GB"/>
              </w:rPr>
              <w:t>Owner</w:t>
            </w:r>
          </w:p>
        </w:tc>
        <w:tc>
          <w:tcPr>
            <w:tcW w:w="6473" w:type="dxa"/>
          </w:tcPr>
          <w:p w14:paraId="0D23481B" w14:textId="77777777" w:rsidR="002A5A43" w:rsidRPr="00867F38" w:rsidRDefault="00B5341F" w:rsidP="00B5341F">
            <w:pPr>
              <w:spacing w:line="276" w:lineRule="auto"/>
              <w:ind w:left="284"/>
              <w:rPr>
                <w:rFonts w:ascii="Titillium" w:eastAsia="Times New Roman" w:hAnsi="Titillium" w:cs="Arial"/>
                <w:sz w:val="22"/>
                <w:szCs w:val="22"/>
                <w:lang w:val="en-GB"/>
              </w:rPr>
            </w:pPr>
            <w:r w:rsidRPr="00867F38">
              <w:rPr>
                <w:rFonts w:ascii="Titillium" w:eastAsia="Times New Roman" w:hAnsi="Titillium" w:cs="Arial"/>
                <w:sz w:val="22"/>
                <w:szCs w:val="22"/>
                <w:lang w:val="en-GB"/>
              </w:rPr>
              <w:t>Assistant Principal Student Experience</w:t>
            </w:r>
          </w:p>
        </w:tc>
      </w:tr>
    </w:tbl>
    <w:p w14:paraId="03AA32F1" w14:textId="77777777" w:rsidR="00284BDA" w:rsidRPr="00867F38" w:rsidRDefault="00284BDA" w:rsidP="002A5A43">
      <w:pPr>
        <w:spacing w:line="276" w:lineRule="auto"/>
        <w:rPr>
          <w:rFonts w:ascii="Titillium" w:eastAsia="Times New Roman" w:hAnsi="Titillium" w:cs="Arial"/>
          <w:i/>
          <w:iCs/>
          <w:color w:val="C0C0C0"/>
          <w:sz w:val="40"/>
          <w:szCs w:val="22"/>
          <w:lang w:val="en-GB"/>
        </w:rPr>
      </w:pPr>
    </w:p>
    <w:p w14:paraId="337101FF" w14:textId="77777777" w:rsidR="00284BDA" w:rsidRPr="00867F38" w:rsidRDefault="00284BDA" w:rsidP="002A5A43">
      <w:pPr>
        <w:tabs>
          <w:tab w:val="center" w:pos="4513"/>
          <w:tab w:val="right" w:pos="9026"/>
        </w:tabs>
        <w:rPr>
          <w:rFonts w:ascii="Titillium" w:eastAsia="Times New Roman" w:hAnsi="Titillium" w:cs="Arial"/>
          <w:sz w:val="22"/>
          <w:szCs w:val="22"/>
          <w:lang w:val="en-GB"/>
        </w:rPr>
      </w:pPr>
    </w:p>
    <w:p w14:paraId="11666131" w14:textId="77777777" w:rsidR="00284BDA" w:rsidRDefault="00284BDA" w:rsidP="002A5A43">
      <w:pPr>
        <w:tabs>
          <w:tab w:val="center" w:pos="7088"/>
          <w:tab w:val="right" w:pos="14317"/>
        </w:tabs>
        <w:rPr>
          <w:rFonts w:ascii="Titillium" w:eastAsia="Times New Roman" w:hAnsi="Titillium" w:cs="Arial"/>
          <w:sz w:val="22"/>
          <w:szCs w:val="22"/>
          <w:lang w:val="en-GB"/>
        </w:rPr>
      </w:pPr>
    </w:p>
    <w:p w14:paraId="5AEF208A" w14:textId="77777777" w:rsidR="009A247B" w:rsidRPr="00867F38" w:rsidRDefault="009A247B" w:rsidP="002A5A43">
      <w:pPr>
        <w:tabs>
          <w:tab w:val="center" w:pos="7088"/>
          <w:tab w:val="right" w:pos="14317"/>
        </w:tabs>
        <w:rPr>
          <w:rFonts w:ascii="Titillium" w:eastAsia="Times New Roman" w:hAnsi="Titillium" w:cs="Arial"/>
          <w:sz w:val="22"/>
          <w:szCs w:val="22"/>
          <w:lang w:val="en-GB"/>
        </w:rPr>
      </w:pPr>
    </w:p>
    <w:p w14:paraId="095F4DBC" w14:textId="178A47B9" w:rsidR="002A5A43" w:rsidRDefault="000208AF" w:rsidP="002A5A43">
      <w:pPr>
        <w:tabs>
          <w:tab w:val="center" w:pos="7088"/>
          <w:tab w:val="right" w:pos="14317"/>
        </w:tabs>
        <w:rPr>
          <w:rFonts w:ascii="Titillium" w:eastAsia="Times New Roman" w:hAnsi="Titillium" w:cs="Arial"/>
          <w:sz w:val="22"/>
          <w:szCs w:val="22"/>
          <w:lang w:val="en-GB"/>
        </w:rPr>
      </w:pPr>
      <w:r>
        <w:rPr>
          <w:rFonts w:ascii="Titillium" w:eastAsia="Times New Roman" w:hAnsi="Titillium" w:cs="Arial"/>
          <w:noProof/>
          <w:sz w:val="22"/>
          <w:szCs w:val="22"/>
          <w:lang w:val="en-GB" w:eastAsia="en-GB"/>
        </w:rPr>
        <w:drawing>
          <wp:inline distT="0" distB="0" distL="0" distR="0" wp14:anchorId="2EEE4C5D" wp14:editId="4725F148">
            <wp:extent cx="1880235" cy="68585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Beyo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326" cy="701934"/>
                    </a:xfrm>
                    <a:prstGeom prst="rect">
                      <a:avLst/>
                    </a:prstGeom>
                  </pic:spPr>
                </pic:pic>
              </a:graphicData>
            </a:graphic>
          </wp:inline>
        </w:drawing>
      </w:r>
    </w:p>
    <w:p w14:paraId="5C6A7216" w14:textId="77777777" w:rsidR="009A247B" w:rsidRDefault="009A247B" w:rsidP="002A5A43">
      <w:pPr>
        <w:tabs>
          <w:tab w:val="center" w:pos="7088"/>
          <w:tab w:val="right" w:pos="14317"/>
        </w:tabs>
        <w:rPr>
          <w:rFonts w:ascii="Titillium" w:eastAsia="Times New Roman" w:hAnsi="Titillium" w:cs="Arial"/>
          <w:sz w:val="22"/>
          <w:szCs w:val="22"/>
          <w:lang w:val="en-GB"/>
        </w:rPr>
      </w:pPr>
    </w:p>
    <w:p w14:paraId="7AA7A795" w14:textId="77777777" w:rsidR="009A247B" w:rsidRPr="00867F38" w:rsidRDefault="009A247B" w:rsidP="002A5A43">
      <w:pPr>
        <w:tabs>
          <w:tab w:val="center" w:pos="7088"/>
          <w:tab w:val="right" w:pos="14317"/>
        </w:tabs>
        <w:rPr>
          <w:rFonts w:ascii="Titillium" w:eastAsia="Times New Roman" w:hAnsi="Titillium" w:cs="Arial"/>
          <w:sz w:val="22"/>
          <w:szCs w:val="22"/>
          <w:lang w:val="en-GB"/>
        </w:rPr>
      </w:pPr>
    </w:p>
    <w:p w14:paraId="32FE0A4B" w14:textId="77777777" w:rsidR="002A5A43" w:rsidRPr="00867F38" w:rsidRDefault="002A5A43" w:rsidP="002A5A43">
      <w:pPr>
        <w:tabs>
          <w:tab w:val="center" w:pos="7088"/>
          <w:tab w:val="right" w:pos="14317"/>
        </w:tabs>
        <w:rPr>
          <w:rFonts w:ascii="Titillium" w:eastAsia="Times New Roman" w:hAnsi="Titillium" w:cs="Arial"/>
          <w:sz w:val="22"/>
          <w:szCs w:val="22"/>
          <w:lang w:val="en-GB"/>
        </w:rPr>
      </w:pPr>
    </w:p>
    <w:p w14:paraId="56DDBFD4" w14:textId="77777777" w:rsidR="002A5A43" w:rsidRPr="00867F38" w:rsidRDefault="002A5A43" w:rsidP="002A5A43">
      <w:pPr>
        <w:tabs>
          <w:tab w:val="center" w:pos="7088"/>
          <w:tab w:val="right" w:pos="14317"/>
        </w:tabs>
        <w:rPr>
          <w:rFonts w:ascii="Titillium" w:eastAsia="Times New Roman" w:hAnsi="Titillium" w:cs="Arial"/>
          <w:sz w:val="22"/>
          <w:szCs w:val="22"/>
          <w:lang w:val="en-GB"/>
        </w:rPr>
      </w:pPr>
    </w:p>
    <w:p w14:paraId="14150707" w14:textId="77777777" w:rsidR="002A5A43" w:rsidRPr="00867F38" w:rsidRDefault="002A5A43" w:rsidP="002A5A43">
      <w:pPr>
        <w:tabs>
          <w:tab w:val="center" w:pos="7088"/>
          <w:tab w:val="right" w:pos="14317"/>
        </w:tabs>
        <w:rPr>
          <w:rFonts w:ascii="Titillium" w:eastAsia="Times New Roman" w:hAnsi="Titillium" w:cs="Arial"/>
          <w:sz w:val="22"/>
          <w:szCs w:val="22"/>
          <w:lang w:val="en-GB"/>
        </w:rPr>
      </w:pPr>
    </w:p>
    <w:p w14:paraId="05BB5750" w14:textId="77777777" w:rsidR="002A5A43" w:rsidRPr="00867F38" w:rsidRDefault="002A5A43" w:rsidP="002A5A43">
      <w:pPr>
        <w:tabs>
          <w:tab w:val="center" w:pos="7088"/>
          <w:tab w:val="right" w:pos="14317"/>
        </w:tabs>
        <w:rPr>
          <w:rFonts w:ascii="Titillium" w:eastAsia="Times New Roman" w:hAnsi="Titillium" w:cs="Arial"/>
          <w:sz w:val="22"/>
          <w:szCs w:val="22"/>
          <w:lang w:val="en-GB"/>
        </w:rPr>
      </w:pPr>
    </w:p>
    <w:p w14:paraId="7373FC06" w14:textId="77777777" w:rsidR="00325155" w:rsidRPr="00867F38" w:rsidRDefault="00325155" w:rsidP="004D43C0">
      <w:pPr>
        <w:spacing w:after="120"/>
        <w:rPr>
          <w:rFonts w:ascii="Titillium" w:eastAsia="Times New Roman" w:hAnsi="Titillium" w:cs="Arial"/>
          <w:b/>
          <w:bCs/>
          <w:color w:val="003366"/>
          <w:sz w:val="28"/>
          <w:szCs w:val="28"/>
          <w:lang w:val="en-GB" w:eastAsia="en-GB"/>
        </w:rPr>
        <w:sectPr w:rsidR="00325155" w:rsidRPr="00867F38" w:rsidSect="00FB489B">
          <w:footerReference w:type="default" r:id="rId9"/>
          <w:type w:val="continuous"/>
          <w:pgSz w:w="16838" w:h="11906" w:orient="landscape"/>
          <w:pgMar w:top="1440" w:right="1080" w:bottom="1440" w:left="1080" w:header="708" w:footer="708" w:gutter="0"/>
          <w:cols w:space="708"/>
          <w:titlePg/>
          <w:docGrid w:linePitch="360"/>
        </w:sectPr>
      </w:pPr>
    </w:p>
    <w:p w14:paraId="4DF53503" w14:textId="77777777" w:rsidR="00FF2229" w:rsidRPr="001C78C3" w:rsidRDefault="00FF2229" w:rsidP="00FF2229">
      <w:pPr>
        <w:spacing w:before="240"/>
        <w:jc w:val="center"/>
        <w:rPr>
          <w:rFonts w:ascii="Titillium" w:hAnsi="Titillium"/>
          <w:b/>
          <w:sz w:val="28"/>
          <w:szCs w:val="28"/>
        </w:rPr>
      </w:pPr>
      <w:r w:rsidRPr="001C78C3">
        <w:rPr>
          <w:rFonts w:ascii="Titillium" w:hAnsi="Titillium"/>
          <w:b/>
          <w:sz w:val="28"/>
          <w:szCs w:val="28"/>
        </w:rPr>
        <w:lastRenderedPageBreak/>
        <w:t>A Strategy for Widening Participation</w:t>
      </w:r>
      <w:r>
        <w:rPr>
          <w:rFonts w:ascii="Titillium" w:hAnsi="Titillium"/>
          <w:b/>
          <w:sz w:val="28"/>
          <w:szCs w:val="28"/>
        </w:rPr>
        <w:t xml:space="preserve"> </w:t>
      </w:r>
      <w:r w:rsidRPr="001C78C3">
        <w:rPr>
          <w:rFonts w:ascii="Titillium" w:hAnsi="Titillium"/>
          <w:b/>
          <w:sz w:val="28"/>
          <w:szCs w:val="28"/>
        </w:rPr>
        <w:t>2016-2020</w:t>
      </w:r>
    </w:p>
    <w:p w14:paraId="52FF8FE0" w14:textId="77777777" w:rsidR="00FF2229" w:rsidRPr="009D3A46" w:rsidRDefault="00960000" w:rsidP="00FF2229">
      <w:pPr>
        <w:jc w:val="center"/>
        <w:rPr>
          <w:rFonts w:ascii="Titillium" w:hAnsi="Titillium"/>
        </w:rPr>
      </w:pPr>
      <w:r>
        <w:rPr>
          <w:rFonts w:ascii="Titillium" w:hAnsi="Titillium"/>
          <w:b/>
        </w:rPr>
        <w:pict w14:anchorId="15864346">
          <v:rect id="_x0000_i1025" style="width:0;height:1.5pt" o:hralign="center" o:hrstd="t" o:hr="t" fillcolor="#a0a0a0" stroked="f"/>
        </w:pict>
      </w:r>
    </w:p>
    <w:p w14:paraId="313F71C6" w14:textId="77777777" w:rsidR="00FF2229" w:rsidRPr="00FD463A" w:rsidRDefault="00FF2229" w:rsidP="004D43C0">
      <w:pPr>
        <w:rPr>
          <w:rFonts w:ascii="Titillium" w:hAnsi="Titillium" w:cs="Arial"/>
          <w:b/>
          <w:sz w:val="22"/>
          <w:szCs w:val="22"/>
        </w:rPr>
      </w:pPr>
      <w:r w:rsidRPr="00FD463A">
        <w:rPr>
          <w:rFonts w:ascii="Titillium" w:hAnsi="Titillium" w:cs="Arial"/>
          <w:b/>
          <w:sz w:val="22"/>
          <w:szCs w:val="22"/>
        </w:rPr>
        <w:t>Strategic Aim</w:t>
      </w:r>
      <w:r w:rsidRPr="00FD463A">
        <w:rPr>
          <w:rFonts w:ascii="Titillium" w:hAnsi="Titillium" w:cs="Arial"/>
          <w:sz w:val="22"/>
          <w:szCs w:val="22"/>
        </w:rPr>
        <w:t xml:space="preserve"> -</w:t>
      </w:r>
      <w:r w:rsidRPr="00FD463A">
        <w:rPr>
          <w:rFonts w:ascii="Titillium" w:hAnsi="Titillium" w:cs="Arial"/>
          <w:b/>
          <w:sz w:val="22"/>
          <w:szCs w:val="22"/>
        </w:rPr>
        <w:t xml:space="preserve"> </w:t>
      </w:r>
      <w:r w:rsidRPr="00FD463A">
        <w:rPr>
          <w:rFonts w:ascii="Titillium" w:eastAsia="Times New Roman" w:hAnsi="Titillium" w:cs="Arial"/>
          <w:sz w:val="22"/>
          <w:szCs w:val="22"/>
          <w:lang w:eastAsia="en-GB"/>
        </w:rPr>
        <w:t>to become</w:t>
      </w:r>
      <w:r w:rsidRPr="00FD463A">
        <w:rPr>
          <w:rFonts w:ascii="Titillium" w:hAnsi="Titillium"/>
          <w:sz w:val="22"/>
          <w:szCs w:val="22"/>
        </w:rPr>
        <w:t xml:space="preserve"> the </w:t>
      </w:r>
      <w:r w:rsidRPr="00FD463A">
        <w:rPr>
          <w:rFonts w:ascii="Titillium" w:eastAsia="Times New Roman" w:hAnsi="Titillium" w:cs="Arial"/>
          <w:sz w:val="22"/>
          <w:szCs w:val="22"/>
          <w:lang w:eastAsia="en-GB"/>
        </w:rPr>
        <w:t>sector leader</w:t>
      </w:r>
      <w:r w:rsidRPr="00FD463A">
        <w:rPr>
          <w:rFonts w:ascii="Titillium" w:hAnsi="Titillium"/>
          <w:sz w:val="22"/>
          <w:szCs w:val="22"/>
        </w:rPr>
        <w:t xml:space="preserve"> for widening participation in </w:t>
      </w:r>
      <w:r w:rsidRPr="00FD463A">
        <w:rPr>
          <w:rFonts w:ascii="Titillium" w:eastAsia="Times New Roman" w:hAnsi="Titillium" w:cs="Arial"/>
          <w:sz w:val="22"/>
          <w:szCs w:val="22"/>
          <w:lang w:eastAsia="en-GB"/>
        </w:rPr>
        <w:t>our</w:t>
      </w:r>
      <w:r w:rsidRPr="00FD463A">
        <w:rPr>
          <w:rFonts w:ascii="Titillium" w:hAnsi="Titillium"/>
          <w:sz w:val="22"/>
          <w:szCs w:val="22"/>
        </w:rPr>
        <w:t xml:space="preserve"> communities</w:t>
      </w:r>
      <w:r w:rsidRPr="00FD463A">
        <w:rPr>
          <w:rFonts w:ascii="Titillium" w:eastAsia="Times New Roman" w:hAnsi="Titillium" w:cs="Arial"/>
          <w:sz w:val="22"/>
          <w:szCs w:val="22"/>
          <w:lang w:eastAsia="en-GB"/>
        </w:rPr>
        <w:t>, facilitating the future success of all students, irrespective of background, through a focus on access, engagement and attainment.</w:t>
      </w:r>
    </w:p>
    <w:p w14:paraId="69FC73E5" w14:textId="77777777" w:rsidR="00FF2229" w:rsidRPr="009D3A46" w:rsidRDefault="00960000" w:rsidP="00FF2229">
      <w:pPr>
        <w:jc w:val="both"/>
        <w:rPr>
          <w:rFonts w:ascii="Titillium" w:eastAsia="Times New Roman" w:hAnsi="Titillium" w:cs="Arial"/>
          <w:lang w:eastAsia="en-GB"/>
        </w:rPr>
      </w:pPr>
      <w:r>
        <w:rPr>
          <w:rFonts w:ascii="Titillium" w:hAnsi="Titillium"/>
        </w:rPr>
        <w:pict w14:anchorId="5ACF9A56">
          <v:rect id="_x0000_i1026" style="width:0;height:1.5pt" o:hralign="center" o:hrstd="t" o:hr="t" fillcolor="#a0a0a0" stroked="f"/>
        </w:pict>
      </w:r>
    </w:p>
    <w:p w14:paraId="14F71686" w14:textId="77777777" w:rsidR="00FF2229" w:rsidRPr="00FD463A" w:rsidRDefault="00FF2229" w:rsidP="004D43C0">
      <w:pPr>
        <w:rPr>
          <w:rFonts w:ascii="Titillium" w:eastAsia="Times New Roman" w:hAnsi="Titillium" w:cs="Arial"/>
          <w:b/>
          <w:sz w:val="22"/>
          <w:szCs w:val="24"/>
          <w:lang w:eastAsia="en-GB"/>
        </w:rPr>
      </w:pPr>
      <w:r w:rsidRPr="00FD463A">
        <w:rPr>
          <w:rFonts w:ascii="Titillium" w:eastAsia="Times New Roman" w:hAnsi="Titillium" w:cs="Arial"/>
          <w:b/>
          <w:sz w:val="22"/>
          <w:szCs w:val="24"/>
          <w:lang w:eastAsia="en-GB"/>
        </w:rPr>
        <w:t xml:space="preserve">Outcomes </w:t>
      </w:r>
      <w:r w:rsidRPr="00FD463A">
        <w:rPr>
          <w:rFonts w:ascii="Titillium" w:eastAsia="Times New Roman" w:hAnsi="Titillium" w:cs="Arial"/>
          <w:sz w:val="22"/>
          <w:szCs w:val="24"/>
          <w:lang w:eastAsia="en-GB"/>
        </w:rPr>
        <w:t>-</w:t>
      </w:r>
      <w:r w:rsidRPr="00FD463A">
        <w:rPr>
          <w:rFonts w:ascii="Titillium" w:eastAsia="Times New Roman" w:hAnsi="Titillium" w:cs="Arial"/>
          <w:b/>
          <w:sz w:val="22"/>
          <w:szCs w:val="24"/>
          <w:lang w:eastAsia="en-GB"/>
        </w:rPr>
        <w:t xml:space="preserve"> </w:t>
      </w:r>
      <w:r w:rsidRPr="00FD463A">
        <w:rPr>
          <w:rFonts w:ascii="Titillium" w:eastAsia="Times New Roman" w:hAnsi="Titillium" w:cs="Arial"/>
          <w:sz w:val="22"/>
          <w:szCs w:val="24"/>
          <w:lang w:eastAsia="en-GB"/>
        </w:rPr>
        <w:t>in delivering this strategy</w:t>
      </w:r>
      <w:r w:rsidRPr="00FD463A">
        <w:rPr>
          <w:rFonts w:ascii="Titillium" w:hAnsi="Titillium"/>
          <w:sz w:val="22"/>
          <w:szCs w:val="24"/>
        </w:rPr>
        <w:t xml:space="preserve"> we </w:t>
      </w:r>
      <w:r w:rsidRPr="00FD463A">
        <w:rPr>
          <w:rFonts w:ascii="Titillium" w:eastAsia="Times New Roman" w:hAnsi="Titillium" w:cs="Arial"/>
          <w:sz w:val="22"/>
          <w:szCs w:val="24"/>
          <w:lang w:eastAsia="en-GB"/>
        </w:rPr>
        <w:t>want to:</w:t>
      </w:r>
    </w:p>
    <w:p w14:paraId="6627CF98" w14:textId="77777777" w:rsidR="00FF2229" w:rsidRPr="00FD463A" w:rsidRDefault="00FF2229" w:rsidP="00FF2229">
      <w:pPr>
        <w:pStyle w:val="ListParagraph"/>
        <w:numPr>
          <w:ilvl w:val="0"/>
          <w:numId w:val="19"/>
        </w:numPr>
        <w:ind w:left="714" w:hanging="357"/>
        <w:contextualSpacing w:val="0"/>
        <w:jc w:val="both"/>
        <w:rPr>
          <w:rFonts w:ascii="Titillium" w:eastAsia="Times New Roman" w:hAnsi="Titillium" w:cs="Arial"/>
          <w:sz w:val="22"/>
          <w:lang w:eastAsia="en-GB"/>
        </w:rPr>
      </w:pPr>
      <w:r w:rsidRPr="00FD463A">
        <w:rPr>
          <w:rFonts w:ascii="Titillium" w:eastAsia="Times New Roman" w:hAnsi="Titillium" w:cs="Arial"/>
          <w:sz w:val="22"/>
          <w:lang w:eastAsia="en-GB"/>
        </w:rPr>
        <w:t>Increase students from under-represented groups;</w:t>
      </w:r>
    </w:p>
    <w:p w14:paraId="2053EDE9" w14:textId="77777777" w:rsidR="00FF2229" w:rsidRPr="00FD463A" w:rsidRDefault="00FF2229" w:rsidP="00FF2229">
      <w:pPr>
        <w:pStyle w:val="ListParagraph"/>
        <w:numPr>
          <w:ilvl w:val="0"/>
          <w:numId w:val="19"/>
        </w:numPr>
        <w:ind w:left="714" w:hanging="357"/>
        <w:contextualSpacing w:val="0"/>
        <w:jc w:val="both"/>
        <w:rPr>
          <w:rFonts w:ascii="Titillium" w:eastAsia="Times New Roman" w:hAnsi="Titillium" w:cs="Arial"/>
          <w:sz w:val="22"/>
          <w:lang w:eastAsia="en-GB"/>
        </w:rPr>
      </w:pPr>
      <w:r w:rsidRPr="00FD463A">
        <w:rPr>
          <w:rFonts w:ascii="Titillium" w:eastAsia="Times New Roman" w:hAnsi="Titillium" w:cs="Arial"/>
          <w:sz w:val="22"/>
          <w:lang w:eastAsia="en-GB"/>
        </w:rPr>
        <w:t>Improve rates of progression, retention and success of under-represented groups;</w:t>
      </w:r>
    </w:p>
    <w:p w14:paraId="4EDAC881" w14:textId="64724687" w:rsidR="00FF2229" w:rsidRPr="00FD463A" w:rsidRDefault="00FF2229" w:rsidP="00FF2229">
      <w:pPr>
        <w:pStyle w:val="ListParagraph"/>
        <w:numPr>
          <w:ilvl w:val="0"/>
          <w:numId w:val="19"/>
        </w:numPr>
        <w:ind w:left="714" w:hanging="357"/>
        <w:contextualSpacing w:val="0"/>
        <w:jc w:val="both"/>
        <w:rPr>
          <w:rFonts w:ascii="Titillium" w:eastAsia="Times New Roman" w:hAnsi="Titillium" w:cs="Arial"/>
          <w:sz w:val="22"/>
          <w:lang w:eastAsia="en-GB"/>
        </w:rPr>
      </w:pPr>
      <w:r w:rsidRPr="00FD463A">
        <w:rPr>
          <w:rFonts w:ascii="Titillium" w:eastAsia="Times New Roman" w:hAnsi="Titillium" w:cs="Arial"/>
          <w:sz w:val="22"/>
          <w:lang w:eastAsia="en-GB"/>
        </w:rPr>
        <w:t>Establish an environment which enables widening participation groups to realise their full potential;</w:t>
      </w:r>
    </w:p>
    <w:p w14:paraId="3A4AD3EE" w14:textId="77777777" w:rsidR="00FF2229" w:rsidRPr="00FD463A" w:rsidRDefault="00FF2229" w:rsidP="00FF2229">
      <w:pPr>
        <w:pStyle w:val="ListParagraph"/>
        <w:numPr>
          <w:ilvl w:val="0"/>
          <w:numId w:val="19"/>
        </w:numPr>
        <w:ind w:left="714" w:hanging="357"/>
        <w:contextualSpacing w:val="0"/>
        <w:jc w:val="both"/>
        <w:rPr>
          <w:rFonts w:ascii="Titillium" w:eastAsia="Times New Roman" w:hAnsi="Titillium" w:cs="Arial"/>
          <w:sz w:val="22"/>
          <w:lang w:eastAsia="en-GB"/>
        </w:rPr>
      </w:pPr>
      <w:r w:rsidRPr="00FD463A">
        <w:rPr>
          <w:rFonts w:ascii="Titillium" w:eastAsia="Times New Roman" w:hAnsi="Titillium" w:cs="Arial"/>
          <w:sz w:val="22"/>
          <w:lang w:eastAsia="en-GB"/>
        </w:rPr>
        <w:t xml:space="preserve">Become </w:t>
      </w:r>
      <w:r w:rsidRPr="00FD463A">
        <w:rPr>
          <w:rFonts w:ascii="Titillium" w:eastAsia="Arial Unicode MS" w:hAnsi="Titillium" w:cs="Arial"/>
          <w:sz w:val="22"/>
          <w:lang w:eastAsia="en-GB"/>
        </w:rPr>
        <w:t>the sector leader in supporting educational attainment and outcomes for care experienced young people and care leavers; and</w:t>
      </w:r>
    </w:p>
    <w:p w14:paraId="63B12DD8" w14:textId="77777777" w:rsidR="00FF2229" w:rsidRPr="00FD463A" w:rsidRDefault="00FF2229" w:rsidP="00FF2229">
      <w:pPr>
        <w:pStyle w:val="ListParagraph"/>
        <w:numPr>
          <w:ilvl w:val="0"/>
          <w:numId w:val="19"/>
        </w:numPr>
        <w:ind w:left="714" w:hanging="357"/>
        <w:contextualSpacing w:val="0"/>
        <w:jc w:val="both"/>
        <w:rPr>
          <w:rFonts w:ascii="Titillium" w:eastAsia="Times New Roman" w:hAnsi="Titillium" w:cs="Arial"/>
          <w:sz w:val="22"/>
          <w:lang w:eastAsia="en-GB"/>
        </w:rPr>
      </w:pPr>
      <w:r w:rsidRPr="00FD463A">
        <w:rPr>
          <w:rFonts w:ascii="Titillium" w:eastAsia="Arial Unicode MS" w:hAnsi="Titillium" w:cs="Arial"/>
          <w:bCs/>
          <w:sz w:val="22"/>
          <w:lang w:eastAsia="en-GB"/>
        </w:rPr>
        <w:t>Play a lead role in the national conversation on widening participation.</w:t>
      </w:r>
    </w:p>
    <w:p w14:paraId="1F38B640" w14:textId="77777777" w:rsidR="00FF2229" w:rsidRPr="009D3A46" w:rsidRDefault="00960000" w:rsidP="00FF2229">
      <w:pPr>
        <w:jc w:val="center"/>
        <w:rPr>
          <w:rFonts w:ascii="Titillium" w:hAnsi="Titillium" w:cs="Arial"/>
        </w:rPr>
      </w:pPr>
      <w:r>
        <w:rPr>
          <w:rFonts w:ascii="Titillium" w:hAnsi="Titillium"/>
          <w:b/>
          <w:sz w:val="32"/>
          <w:szCs w:val="32"/>
        </w:rPr>
        <w:pict w14:anchorId="6960C123">
          <v:rect id="_x0000_i1027" style="width:0;height:1.5pt" o:hralign="center" o:hrstd="t" o:hr="t" fillcolor="#a0a0a0" stroked="f"/>
        </w:pict>
      </w:r>
    </w:p>
    <w:p w14:paraId="5DB4759D" w14:textId="77777777" w:rsidR="00FF2229" w:rsidRPr="00FD463A" w:rsidRDefault="00FF2229" w:rsidP="00FF2229">
      <w:pPr>
        <w:rPr>
          <w:rFonts w:ascii="Titillium" w:hAnsi="Titillium" w:cs="Arial"/>
          <w:b/>
          <w:sz w:val="22"/>
          <w:szCs w:val="22"/>
        </w:rPr>
      </w:pPr>
      <w:r w:rsidRPr="00FD463A">
        <w:rPr>
          <w:rFonts w:ascii="Titillium" w:hAnsi="Titillium" w:cs="Arial"/>
          <w:b/>
          <w:sz w:val="22"/>
          <w:szCs w:val="22"/>
        </w:rPr>
        <w:t xml:space="preserve">Actions </w:t>
      </w:r>
      <w:r w:rsidRPr="00FD463A">
        <w:rPr>
          <w:rFonts w:ascii="Titillium" w:hAnsi="Titillium" w:cs="Arial"/>
          <w:sz w:val="22"/>
          <w:szCs w:val="22"/>
        </w:rPr>
        <w:t>- t</w:t>
      </w:r>
      <w:r w:rsidRPr="00FD463A">
        <w:rPr>
          <w:rFonts w:ascii="Titillium" w:eastAsia="Times New Roman" w:hAnsi="Titillium" w:cs="Arial"/>
          <w:sz w:val="22"/>
          <w:szCs w:val="22"/>
          <w:lang w:eastAsia="en-GB"/>
        </w:rPr>
        <w:t>o deliver this strategy</w:t>
      </w:r>
      <w:r w:rsidRPr="00FD463A">
        <w:rPr>
          <w:rFonts w:ascii="Titillium" w:hAnsi="Titillium"/>
          <w:sz w:val="22"/>
          <w:szCs w:val="22"/>
        </w:rPr>
        <w:t xml:space="preserve"> we </w:t>
      </w:r>
      <w:r w:rsidRPr="00FD463A">
        <w:rPr>
          <w:rFonts w:ascii="Titillium" w:eastAsia="Times New Roman" w:hAnsi="Titillium" w:cs="Arial"/>
          <w:sz w:val="22"/>
          <w:szCs w:val="22"/>
          <w:lang w:eastAsia="en-GB"/>
        </w:rPr>
        <w:t>will:</w:t>
      </w:r>
    </w:p>
    <w:p w14:paraId="6F10E2FF" w14:textId="269867DB" w:rsidR="00FF2229" w:rsidRPr="00FD463A" w:rsidRDefault="00FF2229" w:rsidP="00FF2229">
      <w:pPr>
        <w:numPr>
          <w:ilvl w:val="0"/>
          <w:numId w:val="4"/>
        </w:numPr>
        <w:tabs>
          <w:tab w:val="clear" w:pos="720"/>
          <w:tab w:val="num" w:pos="426"/>
        </w:tabs>
        <w:ind w:left="425" w:hanging="425"/>
        <w:jc w:val="both"/>
        <w:rPr>
          <w:rFonts w:ascii="Titillium" w:eastAsia="Arial Unicode MS" w:hAnsi="Titillium" w:cs="Arial"/>
          <w:sz w:val="22"/>
          <w:szCs w:val="22"/>
          <w:lang w:eastAsia="en-GB"/>
        </w:rPr>
      </w:pPr>
      <w:r w:rsidRPr="00FD463A">
        <w:rPr>
          <w:rFonts w:ascii="Titillium" w:eastAsia="Arial Unicode MS" w:hAnsi="Titillium" w:cs="Arial"/>
          <w:bCs/>
          <w:sz w:val="22"/>
          <w:szCs w:val="22"/>
          <w:lang w:eastAsia="en-GB"/>
        </w:rPr>
        <w:t>Raise expectations and drive increased attainment in our communities by working in partnership with key schools, colleges, universities and other organisations</w:t>
      </w:r>
      <w:r w:rsidR="002C02DE">
        <w:rPr>
          <w:rFonts w:ascii="Titillium" w:eastAsia="Arial Unicode MS" w:hAnsi="Titillium" w:cs="Arial"/>
          <w:bCs/>
          <w:sz w:val="22"/>
          <w:szCs w:val="22"/>
          <w:lang w:eastAsia="en-GB"/>
        </w:rPr>
        <w:t>.</w:t>
      </w:r>
    </w:p>
    <w:p w14:paraId="75E13E1B" w14:textId="3FD5071D" w:rsidR="00FF2229" w:rsidRPr="00FD463A" w:rsidRDefault="00FF2229" w:rsidP="00FF2229">
      <w:pPr>
        <w:numPr>
          <w:ilvl w:val="0"/>
          <w:numId w:val="4"/>
        </w:numPr>
        <w:tabs>
          <w:tab w:val="clear" w:pos="720"/>
          <w:tab w:val="num" w:pos="426"/>
        </w:tabs>
        <w:ind w:left="425" w:hanging="425"/>
        <w:jc w:val="both"/>
        <w:rPr>
          <w:rFonts w:ascii="Titillium" w:eastAsia="Arial Unicode MS" w:hAnsi="Titillium" w:cs="Arial"/>
          <w:sz w:val="22"/>
          <w:szCs w:val="22"/>
          <w:lang w:eastAsia="en-GB"/>
        </w:rPr>
      </w:pPr>
      <w:r w:rsidRPr="00FD463A">
        <w:rPr>
          <w:rFonts w:ascii="Titillium" w:eastAsia="Arial Unicode MS" w:hAnsi="Titillium" w:cs="Arial"/>
          <w:bCs/>
          <w:sz w:val="22"/>
          <w:szCs w:val="22"/>
          <w:lang w:eastAsia="en-GB"/>
        </w:rPr>
        <w:t>Provide tailored transitions, moving in, moving through and moving on, to improve retention, engagement and graduate employability</w:t>
      </w:r>
      <w:r w:rsidR="002C02DE">
        <w:rPr>
          <w:rFonts w:ascii="Titillium" w:eastAsia="Arial Unicode MS" w:hAnsi="Titillium" w:cs="Arial"/>
          <w:bCs/>
          <w:sz w:val="22"/>
          <w:szCs w:val="22"/>
          <w:lang w:eastAsia="en-GB"/>
        </w:rPr>
        <w:t>.</w:t>
      </w:r>
    </w:p>
    <w:p w14:paraId="5D187A2F" w14:textId="535C08EB" w:rsidR="00FF2229" w:rsidRPr="00FD463A" w:rsidRDefault="00FF2229" w:rsidP="00FF2229">
      <w:pPr>
        <w:numPr>
          <w:ilvl w:val="0"/>
          <w:numId w:val="4"/>
        </w:numPr>
        <w:tabs>
          <w:tab w:val="clear" w:pos="720"/>
          <w:tab w:val="num" w:pos="426"/>
        </w:tabs>
        <w:ind w:left="425" w:hanging="425"/>
        <w:jc w:val="both"/>
        <w:rPr>
          <w:rFonts w:ascii="Titillium" w:hAnsi="Titillium"/>
          <w:sz w:val="22"/>
          <w:szCs w:val="22"/>
        </w:rPr>
      </w:pPr>
      <w:r w:rsidRPr="00FD463A">
        <w:rPr>
          <w:rFonts w:ascii="Titillium" w:eastAsia="Arial Unicode MS" w:hAnsi="Titillium" w:cs="Arial"/>
          <w:bCs/>
          <w:sz w:val="22"/>
          <w:szCs w:val="22"/>
          <w:lang w:eastAsia="en-GB"/>
        </w:rPr>
        <w:t>Embed reporting and evaluative practices to ensure an evidence</w:t>
      </w:r>
      <w:r w:rsidR="006A5B49">
        <w:rPr>
          <w:rFonts w:ascii="Titillium" w:eastAsia="Arial Unicode MS" w:hAnsi="Titillium" w:cs="Arial"/>
          <w:bCs/>
          <w:sz w:val="22"/>
          <w:szCs w:val="22"/>
          <w:lang w:eastAsia="en-GB"/>
        </w:rPr>
        <w:t>-</w:t>
      </w:r>
      <w:r w:rsidRPr="00FD463A">
        <w:rPr>
          <w:rFonts w:ascii="Titillium" w:eastAsia="Arial Unicode MS" w:hAnsi="Titillium" w:cs="Arial"/>
          <w:bCs/>
          <w:sz w:val="22"/>
          <w:szCs w:val="22"/>
          <w:lang w:eastAsia="en-GB"/>
        </w:rPr>
        <w:t>based approach</w:t>
      </w:r>
      <w:r w:rsidR="002C02DE">
        <w:rPr>
          <w:rFonts w:ascii="Titillium" w:eastAsia="Arial Unicode MS" w:hAnsi="Titillium" w:cs="Arial"/>
          <w:bCs/>
          <w:sz w:val="22"/>
          <w:szCs w:val="22"/>
          <w:lang w:eastAsia="en-GB"/>
        </w:rPr>
        <w:t>.</w:t>
      </w:r>
    </w:p>
    <w:p w14:paraId="0F1437F7" w14:textId="77777777" w:rsidR="00FF2229" w:rsidRPr="009D3A46" w:rsidRDefault="00960000" w:rsidP="00FF2229">
      <w:pPr>
        <w:jc w:val="center"/>
        <w:rPr>
          <w:rFonts w:ascii="Titillium" w:hAnsi="Titillium" w:cs="Arial"/>
        </w:rPr>
      </w:pPr>
      <w:r>
        <w:rPr>
          <w:rFonts w:ascii="Titillium" w:hAnsi="Titillium"/>
          <w:b/>
          <w:sz w:val="32"/>
          <w:szCs w:val="32"/>
        </w:rPr>
        <w:pict w14:anchorId="3FDE4B22">
          <v:rect id="_x0000_i1028" style="width:0;height:1.5pt" o:hralign="center" o:hrstd="t" o:hr="t" fillcolor="#a0a0a0" stroked="f"/>
        </w:pict>
      </w:r>
    </w:p>
    <w:p w14:paraId="15B3BEDF" w14:textId="77777777" w:rsidR="00FF2229" w:rsidRPr="003F4882" w:rsidRDefault="00FF2229" w:rsidP="004D43C0">
      <w:pPr>
        <w:rPr>
          <w:rFonts w:ascii="Titillium" w:hAnsi="Titillium" w:cs="Arial"/>
          <w:sz w:val="22"/>
          <w:szCs w:val="22"/>
        </w:rPr>
      </w:pPr>
      <w:r w:rsidRPr="003F4882">
        <w:rPr>
          <w:rFonts w:ascii="Titillium" w:hAnsi="Titillium" w:cs="Arial"/>
          <w:b/>
          <w:sz w:val="22"/>
          <w:szCs w:val="22"/>
        </w:rPr>
        <w:t xml:space="preserve">Indicators </w:t>
      </w:r>
      <w:r w:rsidRPr="003F4882">
        <w:rPr>
          <w:rFonts w:ascii="Titillium" w:hAnsi="Titillium" w:cs="Arial"/>
          <w:sz w:val="22"/>
          <w:szCs w:val="22"/>
        </w:rPr>
        <w:t>– our headline success measures will include:</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8363"/>
        <w:gridCol w:w="1984"/>
        <w:gridCol w:w="2349"/>
      </w:tblGrid>
      <w:tr w:rsidR="00FF2229" w:rsidRPr="003F4882" w14:paraId="4C1F0742" w14:textId="77777777" w:rsidTr="00FF2229">
        <w:tc>
          <w:tcPr>
            <w:tcW w:w="2694" w:type="dxa"/>
            <w:tcBorders>
              <w:top w:val="nil"/>
              <w:bottom w:val="single" w:sz="18" w:space="0" w:color="BFBFBF" w:themeColor="background1" w:themeShade="BF"/>
            </w:tcBorders>
          </w:tcPr>
          <w:p w14:paraId="2BAE3712" w14:textId="77777777" w:rsidR="00FF2229" w:rsidRPr="003F4882" w:rsidRDefault="00FF2229" w:rsidP="00FF2229">
            <w:pPr>
              <w:rPr>
                <w:rFonts w:ascii="Titillium" w:hAnsi="Titillium" w:cs="Arial"/>
                <w:b/>
                <w:sz w:val="22"/>
                <w:szCs w:val="22"/>
              </w:rPr>
            </w:pPr>
            <w:r w:rsidRPr="003F4882">
              <w:rPr>
                <w:rFonts w:ascii="Titillium" w:hAnsi="Titillium" w:cs="Arial"/>
                <w:b/>
                <w:sz w:val="22"/>
                <w:szCs w:val="22"/>
              </w:rPr>
              <w:t>Theme</w:t>
            </w:r>
          </w:p>
        </w:tc>
        <w:tc>
          <w:tcPr>
            <w:tcW w:w="8363" w:type="dxa"/>
            <w:tcBorders>
              <w:top w:val="nil"/>
              <w:bottom w:val="single" w:sz="18" w:space="0" w:color="BFBFBF" w:themeColor="background1" w:themeShade="BF"/>
            </w:tcBorders>
          </w:tcPr>
          <w:p w14:paraId="55838102" w14:textId="77777777" w:rsidR="00FF2229" w:rsidRPr="003F4882" w:rsidRDefault="00FF2229" w:rsidP="00FF2229">
            <w:pPr>
              <w:jc w:val="center"/>
              <w:rPr>
                <w:rFonts w:ascii="Titillium" w:hAnsi="Titillium" w:cs="Arial"/>
                <w:b/>
                <w:sz w:val="22"/>
                <w:szCs w:val="22"/>
              </w:rPr>
            </w:pPr>
            <w:r w:rsidRPr="003F4882">
              <w:rPr>
                <w:rFonts w:ascii="Titillium" w:hAnsi="Titillium" w:cs="Arial"/>
                <w:b/>
                <w:sz w:val="22"/>
                <w:szCs w:val="22"/>
              </w:rPr>
              <w:t>Headline Measure</w:t>
            </w:r>
          </w:p>
        </w:tc>
        <w:tc>
          <w:tcPr>
            <w:tcW w:w="1984" w:type="dxa"/>
            <w:tcBorders>
              <w:top w:val="nil"/>
              <w:bottom w:val="single" w:sz="18" w:space="0" w:color="BFBFBF" w:themeColor="background1" w:themeShade="BF"/>
            </w:tcBorders>
          </w:tcPr>
          <w:p w14:paraId="30F910E7" w14:textId="77777777" w:rsidR="00FF2229" w:rsidRPr="003F4882" w:rsidRDefault="00FF2229" w:rsidP="00FF2229">
            <w:pPr>
              <w:jc w:val="center"/>
              <w:rPr>
                <w:rFonts w:ascii="Titillium" w:hAnsi="Titillium" w:cs="Arial"/>
                <w:b/>
                <w:sz w:val="22"/>
                <w:szCs w:val="22"/>
              </w:rPr>
            </w:pPr>
            <w:r w:rsidRPr="003F4882">
              <w:rPr>
                <w:rFonts w:ascii="Titillium" w:hAnsi="Titillium" w:cs="Arial"/>
                <w:b/>
                <w:sz w:val="22"/>
                <w:szCs w:val="22"/>
              </w:rPr>
              <w:t>Baseline</w:t>
            </w:r>
          </w:p>
        </w:tc>
        <w:tc>
          <w:tcPr>
            <w:tcW w:w="2349" w:type="dxa"/>
            <w:tcBorders>
              <w:top w:val="nil"/>
              <w:bottom w:val="single" w:sz="18" w:space="0" w:color="BFBFBF" w:themeColor="background1" w:themeShade="BF"/>
            </w:tcBorders>
          </w:tcPr>
          <w:p w14:paraId="5E0A4C53" w14:textId="77777777" w:rsidR="00FF2229" w:rsidRPr="003F4882" w:rsidRDefault="00FF2229" w:rsidP="00FF2229">
            <w:pPr>
              <w:jc w:val="center"/>
              <w:rPr>
                <w:rFonts w:ascii="Titillium" w:hAnsi="Titillium" w:cs="Arial"/>
                <w:b/>
                <w:sz w:val="22"/>
                <w:szCs w:val="22"/>
              </w:rPr>
            </w:pPr>
            <w:r w:rsidRPr="003F4882">
              <w:rPr>
                <w:rFonts w:ascii="Titillium" w:hAnsi="Titillium" w:cs="Arial"/>
                <w:b/>
                <w:sz w:val="22"/>
                <w:szCs w:val="22"/>
              </w:rPr>
              <w:t>2020 Target</w:t>
            </w:r>
          </w:p>
        </w:tc>
      </w:tr>
      <w:tr w:rsidR="00FF2229" w:rsidRPr="003F4882" w14:paraId="68DD739C" w14:textId="77777777" w:rsidTr="00FF2229">
        <w:trPr>
          <w:trHeight w:val="339"/>
        </w:trPr>
        <w:tc>
          <w:tcPr>
            <w:tcW w:w="2694" w:type="dxa"/>
            <w:tcBorders>
              <w:top w:val="single" w:sz="18" w:space="0" w:color="BFBFBF" w:themeColor="background1" w:themeShade="BF"/>
            </w:tcBorders>
          </w:tcPr>
          <w:p w14:paraId="5D665986" w14:textId="77777777" w:rsidR="00FF2229" w:rsidRPr="003F4882" w:rsidRDefault="00FF2229" w:rsidP="00FF2229">
            <w:pPr>
              <w:rPr>
                <w:rFonts w:ascii="Titillium" w:hAnsi="Titillium" w:cs="Arial"/>
                <w:sz w:val="22"/>
                <w:szCs w:val="22"/>
              </w:rPr>
            </w:pPr>
            <w:r w:rsidRPr="003F4882">
              <w:rPr>
                <w:rFonts w:ascii="Titillium" w:hAnsi="Titillium" w:cs="Arial"/>
                <w:sz w:val="22"/>
                <w:szCs w:val="22"/>
              </w:rPr>
              <w:t>Expectations/Awareness</w:t>
            </w:r>
          </w:p>
        </w:tc>
        <w:tc>
          <w:tcPr>
            <w:tcW w:w="8363" w:type="dxa"/>
            <w:tcBorders>
              <w:top w:val="single" w:sz="18" w:space="0" w:color="BFBFBF" w:themeColor="background1" w:themeShade="BF"/>
            </w:tcBorders>
          </w:tcPr>
          <w:p w14:paraId="3A854EC2"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Increased applications from widening participation students</w:t>
            </w:r>
          </w:p>
        </w:tc>
        <w:tc>
          <w:tcPr>
            <w:tcW w:w="1984" w:type="dxa"/>
            <w:tcBorders>
              <w:top w:val="single" w:sz="18" w:space="0" w:color="BFBFBF" w:themeColor="background1" w:themeShade="BF"/>
            </w:tcBorders>
          </w:tcPr>
          <w:p w14:paraId="272B4397"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23.5% (2016/17)</w:t>
            </w:r>
          </w:p>
        </w:tc>
        <w:tc>
          <w:tcPr>
            <w:tcW w:w="2349" w:type="dxa"/>
            <w:tcBorders>
              <w:top w:val="single" w:sz="18" w:space="0" w:color="BFBFBF" w:themeColor="background1" w:themeShade="BF"/>
            </w:tcBorders>
          </w:tcPr>
          <w:p w14:paraId="41CCCCE6" w14:textId="15A79C0A" w:rsidR="00FF2229" w:rsidRPr="003F4882" w:rsidRDefault="00B5775E" w:rsidP="00B5775E">
            <w:pPr>
              <w:jc w:val="center"/>
              <w:rPr>
                <w:rFonts w:ascii="Titillium" w:hAnsi="Titillium" w:cs="Arial"/>
                <w:sz w:val="22"/>
                <w:szCs w:val="22"/>
              </w:rPr>
            </w:pPr>
            <w:r>
              <w:rPr>
                <w:rFonts w:ascii="Titillium" w:hAnsi="Titillium" w:cs="Arial"/>
                <w:sz w:val="22"/>
                <w:szCs w:val="22"/>
              </w:rPr>
              <w:t>30</w:t>
            </w:r>
            <w:r w:rsidR="00FF2229" w:rsidRPr="003F4882">
              <w:rPr>
                <w:rFonts w:ascii="Titillium" w:hAnsi="Titillium" w:cs="Arial"/>
                <w:sz w:val="22"/>
                <w:szCs w:val="22"/>
              </w:rPr>
              <w:t>%</w:t>
            </w:r>
          </w:p>
        </w:tc>
      </w:tr>
      <w:tr w:rsidR="00FF2229" w:rsidRPr="003F4882" w14:paraId="0780F89E" w14:textId="77777777" w:rsidTr="00FF2229">
        <w:tc>
          <w:tcPr>
            <w:tcW w:w="2694" w:type="dxa"/>
          </w:tcPr>
          <w:p w14:paraId="12A922A2" w14:textId="77777777" w:rsidR="00FF2229" w:rsidRPr="003F4882" w:rsidRDefault="00FF2229" w:rsidP="00FF2229">
            <w:pPr>
              <w:rPr>
                <w:rFonts w:ascii="Titillium" w:hAnsi="Titillium" w:cs="Arial"/>
                <w:sz w:val="22"/>
                <w:szCs w:val="22"/>
              </w:rPr>
            </w:pPr>
            <w:r w:rsidRPr="003F4882">
              <w:rPr>
                <w:rFonts w:ascii="Titillium" w:hAnsi="Titillium" w:cs="Arial"/>
                <w:sz w:val="22"/>
                <w:szCs w:val="22"/>
              </w:rPr>
              <w:t>Access</w:t>
            </w:r>
          </w:p>
        </w:tc>
        <w:tc>
          <w:tcPr>
            <w:tcW w:w="8363" w:type="dxa"/>
          </w:tcPr>
          <w:p w14:paraId="7DA25719"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SIMD20 Scottish domiciled UG entrants</w:t>
            </w:r>
          </w:p>
        </w:tc>
        <w:tc>
          <w:tcPr>
            <w:tcW w:w="1984" w:type="dxa"/>
          </w:tcPr>
          <w:p w14:paraId="57F44767"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11.2% (2015/16)</w:t>
            </w:r>
          </w:p>
        </w:tc>
        <w:tc>
          <w:tcPr>
            <w:tcW w:w="2349" w:type="dxa"/>
          </w:tcPr>
          <w:p w14:paraId="516414DB"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14%</w:t>
            </w:r>
          </w:p>
        </w:tc>
      </w:tr>
      <w:tr w:rsidR="00FF2229" w:rsidRPr="003F4882" w14:paraId="65FEBAED" w14:textId="77777777" w:rsidTr="00FF2229">
        <w:tc>
          <w:tcPr>
            <w:tcW w:w="2694" w:type="dxa"/>
          </w:tcPr>
          <w:p w14:paraId="79CE7DD1" w14:textId="77777777" w:rsidR="00FF2229" w:rsidRPr="003F4882" w:rsidRDefault="00FF2229" w:rsidP="00FF2229">
            <w:pPr>
              <w:rPr>
                <w:rFonts w:ascii="Titillium" w:hAnsi="Titillium" w:cs="Arial"/>
                <w:sz w:val="22"/>
                <w:szCs w:val="22"/>
              </w:rPr>
            </w:pPr>
            <w:r w:rsidRPr="003F4882">
              <w:rPr>
                <w:rFonts w:ascii="Titillium" w:hAnsi="Titillium" w:cs="Arial"/>
                <w:sz w:val="22"/>
                <w:szCs w:val="22"/>
              </w:rPr>
              <w:t>Engagement</w:t>
            </w:r>
          </w:p>
        </w:tc>
        <w:tc>
          <w:tcPr>
            <w:tcW w:w="8363" w:type="dxa"/>
          </w:tcPr>
          <w:p w14:paraId="01BDB284"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Engagement of widening participation students in employability/mobility opportunities</w:t>
            </w:r>
          </w:p>
        </w:tc>
        <w:tc>
          <w:tcPr>
            <w:tcW w:w="1984" w:type="dxa"/>
          </w:tcPr>
          <w:p w14:paraId="65762188"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Not available</w:t>
            </w:r>
          </w:p>
        </w:tc>
        <w:tc>
          <w:tcPr>
            <w:tcW w:w="2349" w:type="dxa"/>
          </w:tcPr>
          <w:p w14:paraId="7FF1455B"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 xml:space="preserve">Mirror </w:t>
            </w:r>
            <w:r>
              <w:rPr>
                <w:rFonts w:ascii="Titillium" w:hAnsi="Titillium" w:cs="Arial"/>
                <w:sz w:val="22"/>
                <w:szCs w:val="22"/>
              </w:rPr>
              <w:t>student pop.</w:t>
            </w:r>
          </w:p>
        </w:tc>
      </w:tr>
      <w:tr w:rsidR="00FF2229" w:rsidRPr="003F4882" w14:paraId="672E217C" w14:textId="77777777" w:rsidTr="00FF2229">
        <w:tc>
          <w:tcPr>
            <w:tcW w:w="2694" w:type="dxa"/>
          </w:tcPr>
          <w:p w14:paraId="78561480" w14:textId="77777777" w:rsidR="00FF2229" w:rsidRPr="003F4882" w:rsidRDefault="00FF2229" w:rsidP="00FF2229">
            <w:pPr>
              <w:rPr>
                <w:rFonts w:ascii="Titillium" w:hAnsi="Titillium" w:cs="Arial"/>
                <w:sz w:val="22"/>
                <w:szCs w:val="22"/>
              </w:rPr>
            </w:pPr>
            <w:r w:rsidRPr="003F4882">
              <w:rPr>
                <w:rFonts w:ascii="Titillium" w:hAnsi="Titillium" w:cs="Arial"/>
                <w:sz w:val="22"/>
                <w:szCs w:val="22"/>
              </w:rPr>
              <w:t>Attainment</w:t>
            </w:r>
          </w:p>
        </w:tc>
        <w:tc>
          <w:tcPr>
            <w:tcW w:w="8363" w:type="dxa"/>
          </w:tcPr>
          <w:p w14:paraId="195D5CC0" w14:textId="56CEAFFA"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 xml:space="preserve">Increased </w:t>
            </w:r>
            <w:r w:rsidR="00B5775E">
              <w:rPr>
                <w:rFonts w:ascii="Titillium" w:hAnsi="Titillium" w:cs="Arial"/>
                <w:sz w:val="22"/>
                <w:szCs w:val="22"/>
              </w:rPr>
              <w:t xml:space="preserve">percentage of </w:t>
            </w:r>
            <w:r w:rsidRPr="003F4882">
              <w:rPr>
                <w:rFonts w:ascii="Titillium" w:hAnsi="Titillium" w:cs="Arial"/>
                <w:sz w:val="22"/>
                <w:szCs w:val="22"/>
              </w:rPr>
              <w:t>offers to widening participation applicants</w:t>
            </w:r>
          </w:p>
        </w:tc>
        <w:tc>
          <w:tcPr>
            <w:tcW w:w="1984" w:type="dxa"/>
          </w:tcPr>
          <w:p w14:paraId="2DBBFB1B" w14:textId="1D2FA2E8" w:rsidR="00FF2229" w:rsidRPr="003F4882" w:rsidRDefault="00B5775E" w:rsidP="00B5775E">
            <w:pPr>
              <w:jc w:val="center"/>
              <w:rPr>
                <w:rFonts w:ascii="Titillium" w:hAnsi="Titillium" w:cs="Arial"/>
                <w:sz w:val="22"/>
                <w:szCs w:val="22"/>
              </w:rPr>
            </w:pPr>
            <w:r>
              <w:rPr>
                <w:rFonts w:ascii="Titillium" w:hAnsi="Titillium" w:cs="Arial"/>
                <w:sz w:val="22"/>
                <w:szCs w:val="22"/>
              </w:rPr>
              <w:t>61</w:t>
            </w:r>
            <w:r w:rsidR="00FF2229" w:rsidRPr="003F4882">
              <w:rPr>
                <w:rFonts w:ascii="Titillium" w:hAnsi="Titillium" w:cs="Arial"/>
                <w:sz w:val="22"/>
                <w:szCs w:val="22"/>
              </w:rPr>
              <w:t>% (2016/17)</w:t>
            </w:r>
          </w:p>
        </w:tc>
        <w:tc>
          <w:tcPr>
            <w:tcW w:w="2349" w:type="dxa"/>
          </w:tcPr>
          <w:p w14:paraId="1F9D0DFB" w14:textId="2C5306E8" w:rsidR="00FF2229" w:rsidRPr="003F4882" w:rsidRDefault="00B5775E" w:rsidP="007431C5">
            <w:pPr>
              <w:jc w:val="center"/>
              <w:rPr>
                <w:rFonts w:ascii="Titillium" w:hAnsi="Titillium" w:cs="Arial"/>
                <w:sz w:val="22"/>
                <w:szCs w:val="22"/>
              </w:rPr>
            </w:pPr>
            <w:r>
              <w:rPr>
                <w:rFonts w:ascii="Titillium" w:hAnsi="Titillium" w:cs="Arial"/>
                <w:sz w:val="22"/>
                <w:szCs w:val="22"/>
              </w:rPr>
              <w:t>65</w:t>
            </w:r>
            <w:r w:rsidR="00FF2229" w:rsidRPr="003F4882">
              <w:rPr>
                <w:rFonts w:ascii="Titillium" w:hAnsi="Titillium" w:cs="Arial"/>
                <w:sz w:val="22"/>
                <w:szCs w:val="22"/>
              </w:rPr>
              <w:t>%</w:t>
            </w:r>
          </w:p>
        </w:tc>
      </w:tr>
      <w:tr w:rsidR="00FF2229" w:rsidRPr="003F4882" w14:paraId="093E889B" w14:textId="77777777" w:rsidTr="00FF2229">
        <w:tc>
          <w:tcPr>
            <w:tcW w:w="2694" w:type="dxa"/>
          </w:tcPr>
          <w:p w14:paraId="6FC780F0" w14:textId="77777777" w:rsidR="00FF2229" w:rsidRPr="003F4882" w:rsidRDefault="00FF2229" w:rsidP="00FF2229">
            <w:pPr>
              <w:rPr>
                <w:rFonts w:ascii="Titillium" w:hAnsi="Titillium" w:cs="Arial"/>
                <w:sz w:val="22"/>
                <w:szCs w:val="22"/>
              </w:rPr>
            </w:pPr>
            <w:r w:rsidRPr="003F4882">
              <w:rPr>
                <w:rFonts w:ascii="Titillium" w:hAnsi="Titillium" w:cs="Arial"/>
                <w:sz w:val="22"/>
                <w:szCs w:val="22"/>
              </w:rPr>
              <w:t>Continuation</w:t>
            </w:r>
          </w:p>
        </w:tc>
        <w:tc>
          <w:tcPr>
            <w:tcW w:w="8363" w:type="dxa"/>
          </w:tcPr>
          <w:p w14:paraId="53AA70CC"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%FT Scottish UG SIMD20 entrants continuing or qualifying following year of entry</w:t>
            </w:r>
          </w:p>
        </w:tc>
        <w:tc>
          <w:tcPr>
            <w:tcW w:w="1984" w:type="dxa"/>
          </w:tcPr>
          <w:p w14:paraId="4CB61475"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84% (2015/16)</w:t>
            </w:r>
          </w:p>
        </w:tc>
        <w:tc>
          <w:tcPr>
            <w:tcW w:w="2349" w:type="dxa"/>
          </w:tcPr>
          <w:p w14:paraId="003B97E3"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90%</w:t>
            </w:r>
          </w:p>
        </w:tc>
      </w:tr>
      <w:tr w:rsidR="00FF2229" w:rsidRPr="003F4882" w14:paraId="69591E39" w14:textId="77777777" w:rsidTr="00FF2229">
        <w:tc>
          <w:tcPr>
            <w:tcW w:w="2694" w:type="dxa"/>
          </w:tcPr>
          <w:p w14:paraId="3F0B4B12" w14:textId="77777777" w:rsidR="00FF2229" w:rsidRPr="003F4882" w:rsidRDefault="00FF2229" w:rsidP="00FF2229">
            <w:pPr>
              <w:rPr>
                <w:rFonts w:ascii="Titillium" w:hAnsi="Titillium" w:cs="Arial"/>
                <w:sz w:val="22"/>
                <w:szCs w:val="22"/>
              </w:rPr>
            </w:pPr>
            <w:r w:rsidRPr="003F4882">
              <w:rPr>
                <w:rFonts w:ascii="Titillium" w:hAnsi="Titillium" w:cs="Arial"/>
                <w:sz w:val="22"/>
                <w:szCs w:val="22"/>
              </w:rPr>
              <w:t>National profile &amp; impact</w:t>
            </w:r>
          </w:p>
        </w:tc>
        <w:tc>
          <w:tcPr>
            <w:tcW w:w="8363" w:type="dxa"/>
          </w:tcPr>
          <w:p w14:paraId="2F4BD290"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Dissemination of evaluation and good practice</w:t>
            </w:r>
          </w:p>
        </w:tc>
        <w:tc>
          <w:tcPr>
            <w:tcW w:w="1984" w:type="dxa"/>
          </w:tcPr>
          <w:p w14:paraId="0AD9B17D"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Not available</w:t>
            </w:r>
          </w:p>
        </w:tc>
        <w:tc>
          <w:tcPr>
            <w:tcW w:w="2349" w:type="dxa"/>
          </w:tcPr>
          <w:p w14:paraId="5C7AAD59" w14:textId="77777777" w:rsidR="00FF2229" w:rsidRPr="003F4882" w:rsidRDefault="00FF2229" w:rsidP="00FF2229">
            <w:pPr>
              <w:jc w:val="center"/>
              <w:rPr>
                <w:rFonts w:ascii="Titillium" w:hAnsi="Titillium" w:cs="Arial"/>
                <w:sz w:val="22"/>
                <w:szCs w:val="22"/>
              </w:rPr>
            </w:pPr>
            <w:r w:rsidRPr="003F4882">
              <w:rPr>
                <w:rFonts w:ascii="Titillium" w:hAnsi="Titillium" w:cs="Arial"/>
                <w:sz w:val="22"/>
                <w:szCs w:val="22"/>
              </w:rPr>
              <w:t>Increased outputs</w:t>
            </w:r>
          </w:p>
        </w:tc>
      </w:tr>
    </w:tbl>
    <w:p w14:paraId="43C446BB" w14:textId="2EF36139" w:rsidR="00FF2229" w:rsidRPr="00FF2229" w:rsidRDefault="00FF2229" w:rsidP="00284BDA">
      <w:pPr>
        <w:spacing w:after="120"/>
        <w:jc w:val="both"/>
        <w:rPr>
          <w:rFonts w:ascii="Titillium" w:eastAsia="Times New Roman" w:hAnsi="Titillium" w:cs="Arial"/>
          <w:bCs/>
          <w:sz w:val="22"/>
          <w:szCs w:val="22"/>
          <w:lang w:val="en-GB" w:eastAsia="en-GB"/>
        </w:rPr>
        <w:sectPr w:rsidR="00FF2229" w:rsidRPr="00FF2229" w:rsidSect="00FF2229">
          <w:headerReference w:type="even" r:id="rId10"/>
          <w:headerReference w:type="default" r:id="rId11"/>
          <w:headerReference w:type="first" r:id="rId12"/>
          <w:pgSz w:w="16838" w:h="11906" w:orient="landscape"/>
          <w:pgMar w:top="720" w:right="720" w:bottom="720" w:left="720" w:header="708" w:footer="708" w:gutter="0"/>
          <w:pgNumType w:start="1"/>
          <w:cols w:space="708"/>
          <w:docGrid w:linePitch="360"/>
        </w:sectPr>
      </w:pPr>
    </w:p>
    <w:p w14:paraId="4398692A" w14:textId="325071CF" w:rsidR="00284BDA" w:rsidRPr="00867F38" w:rsidRDefault="00284BDA" w:rsidP="00284BDA">
      <w:pPr>
        <w:spacing w:after="120"/>
        <w:jc w:val="both"/>
        <w:rPr>
          <w:rFonts w:ascii="Titillium" w:eastAsia="Arial Unicode MS" w:hAnsi="Titillium" w:cs="Arial"/>
          <w:color w:val="003366"/>
          <w:sz w:val="28"/>
          <w:szCs w:val="28"/>
          <w:lang w:val="en-GB" w:eastAsia="en-GB"/>
        </w:rPr>
      </w:pPr>
      <w:r w:rsidRPr="00867F38">
        <w:rPr>
          <w:rFonts w:ascii="Titillium" w:eastAsia="Times New Roman" w:hAnsi="Titillium" w:cs="Arial"/>
          <w:b/>
          <w:bCs/>
          <w:color w:val="003366"/>
          <w:sz w:val="28"/>
          <w:szCs w:val="28"/>
          <w:lang w:val="en-GB" w:eastAsia="en-GB"/>
        </w:rPr>
        <w:lastRenderedPageBreak/>
        <w:t>Our Strategic Aim</w:t>
      </w:r>
    </w:p>
    <w:p w14:paraId="5B81AEDF" w14:textId="78D205C8" w:rsidR="005D078F" w:rsidRPr="00890B62" w:rsidRDefault="0096408E" w:rsidP="00514D53">
      <w:pPr>
        <w:spacing w:before="120" w:after="120"/>
        <w:jc w:val="both"/>
        <w:rPr>
          <w:rFonts w:ascii="Titillium" w:eastAsia="Times New Roman" w:hAnsi="Titillium" w:cs="Arial"/>
          <w:sz w:val="22"/>
          <w:szCs w:val="22"/>
          <w:lang w:val="en-GB" w:eastAsia="en-GB"/>
        </w:rPr>
      </w:pPr>
      <w:r w:rsidRPr="00890B62">
        <w:rPr>
          <w:rFonts w:ascii="Titillium" w:eastAsia="Times New Roman" w:hAnsi="Titillium" w:cs="Arial"/>
          <w:sz w:val="22"/>
          <w:szCs w:val="22"/>
          <w:lang w:val="en-GB" w:eastAsia="en-GB"/>
        </w:rPr>
        <w:t>T</w:t>
      </w:r>
      <w:r w:rsidR="004B30CD" w:rsidRPr="00890B62">
        <w:rPr>
          <w:rFonts w:ascii="Titillium" w:eastAsia="Times New Roman" w:hAnsi="Titillium" w:cs="Arial"/>
          <w:sz w:val="22"/>
          <w:szCs w:val="22"/>
          <w:lang w:val="en-GB" w:eastAsia="en-GB"/>
        </w:rPr>
        <w:t>o</w:t>
      </w:r>
      <w:r w:rsidR="00A74CF7" w:rsidRPr="00890B62">
        <w:rPr>
          <w:rFonts w:ascii="Titillium" w:eastAsia="Times New Roman" w:hAnsi="Titillium" w:cs="Arial"/>
          <w:sz w:val="22"/>
          <w:szCs w:val="22"/>
          <w:lang w:val="en-GB" w:eastAsia="en-GB"/>
        </w:rPr>
        <w:t xml:space="preserve"> become</w:t>
      </w:r>
      <w:r w:rsidR="00A74CF7" w:rsidRPr="00890B62">
        <w:rPr>
          <w:rFonts w:ascii="Titillium" w:hAnsi="Titillium"/>
          <w:sz w:val="22"/>
          <w:szCs w:val="22"/>
          <w:lang w:val="en-GB"/>
        </w:rPr>
        <w:t xml:space="preserve"> the </w:t>
      </w:r>
      <w:r w:rsidR="00A74CF7" w:rsidRPr="00890B62">
        <w:rPr>
          <w:rFonts w:ascii="Titillium" w:eastAsia="Times New Roman" w:hAnsi="Titillium" w:cs="Arial"/>
          <w:sz w:val="22"/>
          <w:szCs w:val="22"/>
          <w:lang w:val="en-GB" w:eastAsia="en-GB"/>
        </w:rPr>
        <w:t>sector leader</w:t>
      </w:r>
      <w:r w:rsidR="00A74CF7" w:rsidRPr="00890B62">
        <w:rPr>
          <w:rFonts w:ascii="Titillium" w:hAnsi="Titillium"/>
          <w:sz w:val="22"/>
          <w:szCs w:val="22"/>
          <w:lang w:val="en-GB"/>
        </w:rPr>
        <w:t xml:space="preserve"> for widening participation in </w:t>
      </w:r>
      <w:r w:rsidR="00B56AF0" w:rsidRPr="00890B62">
        <w:rPr>
          <w:rFonts w:ascii="Titillium" w:eastAsia="Times New Roman" w:hAnsi="Titillium" w:cs="Arial"/>
          <w:sz w:val="22"/>
          <w:szCs w:val="22"/>
          <w:lang w:val="en-GB" w:eastAsia="en-GB"/>
        </w:rPr>
        <w:t>our</w:t>
      </w:r>
      <w:r w:rsidR="00B56AF0" w:rsidRPr="00890B62">
        <w:rPr>
          <w:rFonts w:ascii="Titillium" w:hAnsi="Titillium"/>
          <w:sz w:val="22"/>
          <w:szCs w:val="22"/>
          <w:lang w:val="en-GB"/>
        </w:rPr>
        <w:t xml:space="preserve"> communities</w:t>
      </w:r>
      <w:r w:rsidR="00B56AF0" w:rsidRPr="00890B62">
        <w:rPr>
          <w:rFonts w:ascii="Titillium" w:eastAsia="Times New Roman" w:hAnsi="Titillium" w:cs="Arial"/>
          <w:sz w:val="22"/>
          <w:szCs w:val="22"/>
          <w:lang w:val="en-GB" w:eastAsia="en-GB"/>
        </w:rPr>
        <w:t>,</w:t>
      </w:r>
      <w:r w:rsidR="00A74CF7" w:rsidRPr="00890B62">
        <w:rPr>
          <w:rFonts w:ascii="Titillium" w:eastAsia="Times New Roman" w:hAnsi="Titillium" w:cs="Arial"/>
          <w:sz w:val="22"/>
          <w:szCs w:val="22"/>
          <w:lang w:val="en-GB" w:eastAsia="en-GB"/>
        </w:rPr>
        <w:t xml:space="preserve"> facilitating </w:t>
      </w:r>
      <w:r w:rsidR="005D078F" w:rsidRPr="00890B62">
        <w:rPr>
          <w:rFonts w:ascii="Titillium" w:eastAsia="Times New Roman" w:hAnsi="Titillium" w:cs="Arial"/>
          <w:sz w:val="22"/>
          <w:szCs w:val="22"/>
          <w:lang w:val="en-GB" w:eastAsia="en-GB"/>
        </w:rPr>
        <w:t>the future success of all students</w:t>
      </w:r>
      <w:r w:rsidR="00F35BFB" w:rsidRPr="00890B62">
        <w:rPr>
          <w:rFonts w:ascii="Titillium" w:eastAsia="Times New Roman" w:hAnsi="Titillium" w:cs="Arial"/>
          <w:sz w:val="22"/>
          <w:szCs w:val="22"/>
          <w:lang w:val="en-GB" w:eastAsia="en-GB"/>
        </w:rPr>
        <w:t>,</w:t>
      </w:r>
      <w:r w:rsidR="005D078F" w:rsidRPr="00890B62">
        <w:rPr>
          <w:rFonts w:ascii="Titillium" w:eastAsia="Times New Roman" w:hAnsi="Titillium" w:cs="Arial"/>
          <w:sz w:val="22"/>
          <w:szCs w:val="22"/>
          <w:lang w:val="en-GB" w:eastAsia="en-GB"/>
        </w:rPr>
        <w:t xml:space="preserve"> irrespective of background</w:t>
      </w:r>
      <w:r w:rsidR="00E65D60" w:rsidRPr="00890B62">
        <w:rPr>
          <w:rFonts w:ascii="Titillium" w:eastAsia="Times New Roman" w:hAnsi="Titillium" w:cs="Arial"/>
          <w:sz w:val="22"/>
          <w:szCs w:val="22"/>
          <w:lang w:val="en-GB" w:eastAsia="en-GB"/>
        </w:rPr>
        <w:t>, through a focus on access, engagement and attainment</w:t>
      </w:r>
      <w:r w:rsidR="005D078F" w:rsidRPr="00890B62">
        <w:rPr>
          <w:rFonts w:ascii="Titillium" w:eastAsia="Times New Roman" w:hAnsi="Titillium" w:cs="Arial"/>
          <w:sz w:val="22"/>
          <w:szCs w:val="22"/>
          <w:lang w:val="en-GB" w:eastAsia="en-GB"/>
        </w:rPr>
        <w:t>.</w:t>
      </w:r>
    </w:p>
    <w:p w14:paraId="5ECEE1FF" w14:textId="3F57DEB9" w:rsidR="00E65D60" w:rsidRPr="00A659D3" w:rsidRDefault="004220DF" w:rsidP="00B56AF0">
      <w:pPr>
        <w:spacing w:before="120" w:after="60"/>
        <w:jc w:val="both"/>
        <w:rPr>
          <w:rFonts w:ascii="Titillium" w:eastAsia="Times New Roman" w:hAnsi="Titillium" w:cs="Arial"/>
          <w:sz w:val="22"/>
          <w:szCs w:val="22"/>
          <w:lang w:val="en-GB" w:eastAsia="en-GB"/>
        </w:rPr>
      </w:pPr>
      <w:r w:rsidRPr="00A659D3">
        <w:rPr>
          <w:rFonts w:ascii="Titillium" w:eastAsia="Times New Roman" w:hAnsi="Titillium" w:cs="Arial"/>
          <w:i/>
          <w:noProof/>
          <w:sz w:val="22"/>
          <w:szCs w:val="22"/>
          <w:lang w:val="en-GB" w:eastAsia="en-GB"/>
        </w:rPr>
        <mc:AlternateContent>
          <mc:Choice Requires="wps">
            <w:drawing>
              <wp:anchor distT="45720" distB="45720" distL="114300" distR="114300" simplePos="0" relativeHeight="251662336" behindDoc="0" locked="0" layoutInCell="1" allowOverlap="1" wp14:anchorId="116D3B59" wp14:editId="310B9B83">
                <wp:simplePos x="0" y="0"/>
                <wp:positionH relativeFrom="column">
                  <wp:posOffset>7048500</wp:posOffset>
                </wp:positionH>
                <wp:positionV relativeFrom="paragraph">
                  <wp:posOffset>10160</wp:posOffset>
                </wp:positionV>
                <wp:extent cx="1876425" cy="542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42925"/>
                        </a:xfrm>
                        <a:prstGeom prst="rect">
                          <a:avLst/>
                        </a:prstGeom>
                        <a:solidFill>
                          <a:srgbClr val="FFFFFF"/>
                        </a:solidFill>
                        <a:ln w="9525">
                          <a:noFill/>
                          <a:miter lim="800000"/>
                          <a:headEnd/>
                          <a:tailEnd/>
                        </a:ln>
                      </wps:spPr>
                      <wps:txbx>
                        <w:txbxContent>
                          <w:p w14:paraId="3FBBD040" w14:textId="5B577E6C" w:rsidR="009A5E22" w:rsidRPr="00E23DE7" w:rsidRDefault="009A5E22" w:rsidP="004220DF">
                            <w:pPr>
                              <w:jc w:val="center"/>
                              <w:rPr>
                                <w:rFonts w:ascii="Titillium" w:eastAsia="Times New Roman" w:hAnsi="Titillium" w:cs="Arial"/>
                                <w:i/>
                                <w:color w:val="003366"/>
                                <w:sz w:val="28"/>
                                <w:szCs w:val="28"/>
                                <w:lang w:val="en-GB" w:eastAsia="en-GB"/>
                              </w:rPr>
                            </w:pPr>
                            <w:r w:rsidRPr="00E23DE7">
                              <w:rPr>
                                <w:rFonts w:ascii="Titillium" w:eastAsia="Times New Roman" w:hAnsi="Titillium" w:cs="Arial"/>
                                <w:i/>
                                <w:color w:val="003366"/>
                                <w:sz w:val="28"/>
                                <w:szCs w:val="28"/>
                                <w:lang w:val="en-GB" w:eastAsia="en-GB"/>
                              </w:rPr>
                              <w:t xml:space="preserve">“We </w:t>
                            </w:r>
                            <w:r w:rsidRPr="00E23DE7">
                              <w:rPr>
                                <w:rFonts w:ascii="Titillium" w:eastAsia="Times New Roman" w:hAnsi="Titillium" w:cs="Arial"/>
                                <w:b/>
                                <w:i/>
                                <w:color w:val="003366"/>
                                <w:sz w:val="28"/>
                                <w:szCs w:val="28"/>
                                <w:lang w:val="en-GB" w:eastAsia="en-GB"/>
                              </w:rPr>
                              <w:t>create knowledge</w:t>
                            </w:r>
                            <w:r w:rsidRPr="00E23DE7">
                              <w:rPr>
                                <w:rFonts w:ascii="Titillium" w:eastAsia="Times New Roman" w:hAnsi="Titillium" w:cs="Arial"/>
                                <w:i/>
                                <w:color w:val="003366"/>
                                <w:sz w:val="28"/>
                                <w:szCs w:val="28"/>
                                <w:lang w:val="en-GB" w:eastAsia="en-GB"/>
                              </w:rPr>
                              <w:t xml:space="preserve"> and </w:t>
                            </w:r>
                            <w:r w:rsidRPr="00E23DE7">
                              <w:rPr>
                                <w:rFonts w:ascii="Titillium" w:eastAsia="Times New Roman" w:hAnsi="Titillium" w:cs="Arial"/>
                                <w:b/>
                                <w:i/>
                                <w:color w:val="003366"/>
                                <w:sz w:val="28"/>
                                <w:szCs w:val="28"/>
                                <w:lang w:val="en-GB" w:eastAsia="en-GB"/>
                              </w:rPr>
                              <w:t>nurture talent</w:t>
                            </w:r>
                            <w:r w:rsidRPr="00E23DE7">
                              <w:rPr>
                                <w:rFonts w:ascii="Titillium" w:eastAsia="Times New Roman" w:hAnsi="Titillium" w:cs="Arial"/>
                                <w:i/>
                                <w:color w:val="003366"/>
                                <w:sz w:val="28"/>
                                <w:szCs w:val="28"/>
                                <w:lang w:val="en-GB"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116D3B59" id="Text Box 2" o:spid="_x0000_s1030" type="#_x0000_t202" style="position:absolute;left:0;text-align:left;margin-left:555pt;margin-top:.8pt;width:147.7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" stroked="f">
                <v:textbox>
                  <w:txbxContent>
                    <w:p w14:paraId="3FBBD040" w14:textId="5B577E6C" w:rsidR="009A5E22" w:rsidRPr="00E23DE7" w:rsidRDefault="009A5E22" w:rsidP="004220DF">
                      <w:pPr>
                        <w:jc w:val="center"/>
                        <w:rPr>
                          <w:rFonts w:ascii="Titillium" w:eastAsia="Times New Roman" w:hAnsi="Titillium" w:cs="Arial"/>
                          <w:i/>
                          <w:color w:val="003366"/>
                          <w:sz w:val="28"/>
                          <w:szCs w:val="28"/>
                          <w:lang w:val="en-GB" w:eastAsia="en-GB"/>
                        </w:rPr>
                      </w:pPr>
                      <w:r w:rsidRPr="00E23DE7">
                        <w:rPr>
                          <w:rFonts w:ascii="Titillium" w:eastAsia="Times New Roman" w:hAnsi="Titillium" w:cs="Arial"/>
                          <w:i/>
                          <w:color w:val="003366"/>
                          <w:sz w:val="28"/>
                          <w:szCs w:val="28"/>
                          <w:lang w:val="en-GB" w:eastAsia="en-GB"/>
                        </w:rPr>
                        <w:t xml:space="preserve">“We </w:t>
                      </w:r>
                      <w:r w:rsidRPr="00E23DE7">
                        <w:rPr>
                          <w:rFonts w:ascii="Titillium" w:eastAsia="Times New Roman" w:hAnsi="Titillium" w:cs="Arial"/>
                          <w:b/>
                          <w:i/>
                          <w:color w:val="003366"/>
                          <w:sz w:val="28"/>
                          <w:szCs w:val="28"/>
                          <w:lang w:val="en-GB" w:eastAsia="en-GB"/>
                        </w:rPr>
                        <w:t>create knowledge</w:t>
                      </w:r>
                      <w:r w:rsidRPr="00E23DE7">
                        <w:rPr>
                          <w:rFonts w:ascii="Titillium" w:eastAsia="Times New Roman" w:hAnsi="Titillium" w:cs="Arial"/>
                          <w:i/>
                          <w:color w:val="003366"/>
                          <w:sz w:val="28"/>
                          <w:szCs w:val="28"/>
                          <w:lang w:val="en-GB" w:eastAsia="en-GB"/>
                        </w:rPr>
                        <w:t xml:space="preserve"> and </w:t>
                      </w:r>
                      <w:r w:rsidRPr="00E23DE7">
                        <w:rPr>
                          <w:rFonts w:ascii="Titillium" w:eastAsia="Times New Roman" w:hAnsi="Titillium" w:cs="Arial"/>
                          <w:b/>
                          <w:i/>
                          <w:color w:val="003366"/>
                          <w:sz w:val="28"/>
                          <w:szCs w:val="28"/>
                          <w:lang w:val="en-GB" w:eastAsia="en-GB"/>
                        </w:rPr>
                        <w:t>nurture talent</w:t>
                      </w:r>
                      <w:r w:rsidRPr="00E23DE7">
                        <w:rPr>
                          <w:rFonts w:ascii="Titillium" w:eastAsia="Times New Roman" w:hAnsi="Titillium" w:cs="Arial"/>
                          <w:i/>
                          <w:color w:val="003366"/>
                          <w:sz w:val="28"/>
                          <w:szCs w:val="28"/>
                          <w:lang w:val="en-GB" w:eastAsia="en-GB"/>
                        </w:rPr>
                        <w:t>”</w:t>
                      </w:r>
                    </w:p>
                  </w:txbxContent>
                </v:textbox>
                <w10:wrap type="square"/>
              </v:shape>
            </w:pict>
          </mc:Fallback>
        </mc:AlternateContent>
      </w:r>
      <w:r w:rsidR="00E65D60" w:rsidRPr="00A659D3">
        <w:rPr>
          <w:rFonts w:ascii="Titillium" w:eastAsia="Times New Roman" w:hAnsi="Titillium" w:cs="Arial"/>
          <w:sz w:val="22"/>
          <w:szCs w:val="22"/>
          <w:lang w:val="en-GB" w:eastAsia="en-GB"/>
        </w:rPr>
        <w:t>In deli</w:t>
      </w:r>
      <w:r w:rsidR="00031001" w:rsidRPr="00A659D3">
        <w:rPr>
          <w:rFonts w:ascii="Titillium" w:eastAsia="Times New Roman" w:hAnsi="Titillium" w:cs="Arial"/>
          <w:sz w:val="22"/>
          <w:szCs w:val="22"/>
          <w:lang w:val="en-GB" w:eastAsia="en-GB"/>
        </w:rPr>
        <w:t>vering this strategy</w:t>
      </w:r>
      <w:r w:rsidR="00031001" w:rsidRPr="006E1133">
        <w:rPr>
          <w:rFonts w:ascii="Titillium" w:hAnsi="Titillium"/>
          <w:lang w:val="en-GB"/>
        </w:rPr>
        <w:t xml:space="preserve"> we </w:t>
      </w:r>
      <w:r w:rsidR="00031001" w:rsidRPr="00A659D3">
        <w:rPr>
          <w:rFonts w:ascii="Titillium" w:eastAsia="Times New Roman" w:hAnsi="Titillium" w:cs="Arial"/>
          <w:sz w:val="22"/>
          <w:szCs w:val="22"/>
          <w:lang w:val="en-GB" w:eastAsia="en-GB"/>
        </w:rPr>
        <w:t>want to:</w:t>
      </w:r>
    </w:p>
    <w:p w14:paraId="1E29181A" w14:textId="74890690" w:rsidR="00102FDC" w:rsidRPr="00A659D3" w:rsidRDefault="00031001" w:rsidP="004220DF">
      <w:pPr>
        <w:pStyle w:val="ListParagraph"/>
        <w:numPr>
          <w:ilvl w:val="0"/>
          <w:numId w:val="19"/>
        </w:numPr>
        <w:ind w:left="714" w:hanging="357"/>
        <w:contextualSpacing w:val="0"/>
        <w:jc w:val="both"/>
        <w:rPr>
          <w:rFonts w:ascii="Titillium" w:eastAsia="Times New Roman" w:hAnsi="Titillium" w:cs="Arial"/>
          <w:sz w:val="22"/>
          <w:szCs w:val="22"/>
          <w:lang w:val="en-GB" w:eastAsia="en-GB"/>
        </w:rPr>
      </w:pPr>
      <w:r w:rsidRPr="00A659D3">
        <w:rPr>
          <w:rFonts w:ascii="Titillium" w:eastAsia="Times New Roman" w:hAnsi="Titillium" w:cs="Arial"/>
          <w:sz w:val="22"/>
          <w:szCs w:val="22"/>
          <w:lang w:val="en-GB" w:eastAsia="en-GB"/>
        </w:rPr>
        <w:t>I</w:t>
      </w:r>
      <w:r w:rsidR="00E65D60" w:rsidRPr="00A659D3">
        <w:rPr>
          <w:rFonts w:ascii="Titillium" w:eastAsia="Times New Roman" w:hAnsi="Titillium" w:cs="Arial"/>
          <w:sz w:val="22"/>
          <w:szCs w:val="22"/>
          <w:lang w:val="en-GB" w:eastAsia="en-GB"/>
        </w:rPr>
        <w:t xml:space="preserve">ncrease </w:t>
      </w:r>
      <w:r w:rsidR="00D60B90" w:rsidRPr="00A659D3">
        <w:rPr>
          <w:rFonts w:ascii="Titillium" w:eastAsia="Times New Roman" w:hAnsi="Titillium" w:cs="Arial"/>
          <w:sz w:val="22"/>
          <w:szCs w:val="22"/>
          <w:lang w:val="en-GB" w:eastAsia="en-GB"/>
        </w:rPr>
        <w:t>student</w:t>
      </w:r>
      <w:r w:rsidRPr="00A659D3">
        <w:rPr>
          <w:rFonts w:ascii="Titillium" w:eastAsia="Times New Roman" w:hAnsi="Titillium" w:cs="Arial"/>
          <w:sz w:val="22"/>
          <w:szCs w:val="22"/>
          <w:lang w:val="en-GB" w:eastAsia="en-GB"/>
        </w:rPr>
        <w:t>s</w:t>
      </w:r>
      <w:r w:rsidR="00E65D60" w:rsidRPr="00A659D3">
        <w:rPr>
          <w:rFonts w:ascii="Titillium" w:eastAsia="Times New Roman" w:hAnsi="Titillium" w:cs="Arial"/>
          <w:sz w:val="22"/>
          <w:szCs w:val="22"/>
          <w:lang w:val="en-GB" w:eastAsia="en-GB"/>
        </w:rPr>
        <w:t xml:space="preserve"> from </w:t>
      </w:r>
      <w:r w:rsidR="006E1133">
        <w:rPr>
          <w:rFonts w:ascii="Titillium" w:eastAsia="Times New Roman" w:hAnsi="Titillium" w:cs="Arial"/>
          <w:sz w:val="22"/>
          <w:szCs w:val="22"/>
          <w:lang w:val="en-GB" w:eastAsia="en-GB"/>
        </w:rPr>
        <w:t>under-represented</w:t>
      </w:r>
      <w:r w:rsidR="00E65D60" w:rsidRPr="00A659D3">
        <w:rPr>
          <w:rFonts w:ascii="Titillium" w:eastAsia="Times New Roman" w:hAnsi="Titillium" w:cs="Arial"/>
          <w:sz w:val="22"/>
          <w:szCs w:val="22"/>
          <w:lang w:val="en-GB" w:eastAsia="en-GB"/>
        </w:rPr>
        <w:t xml:space="preserve"> groups;</w:t>
      </w:r>
    </w:p>
    <w:p w14:paraId="227549BD" w14:textId="200D2976" w:rsidR="00031001" w:rsidRPr="00A659D3" w:rsidRDefault="00E65D60" w:rsidP="00031001">
      <w:pPr>
        <w:pStyle w:val="ListParagraph"/>
        <w:numPr>
          <w:ilvl w:val="0"/>
          <w:numId w:val="19"/>
        </w:numPr>
        <w:ind w:left="714" w:hanging="357"/>
        <w:contextualSpacing w:val="0"/>
        <w:jc w:val="both"/>
        <w:rPr>
          <w:rFonts w:ascii="Titillium" w:eastAsia="Times New Roman" w:hAnsi="Titillium" w:cs="Arial"/>
          <w:sz w:val="22"/>
          <w:szCs w:val="22"/>
          <w:lang w:val="en-GB" w:eastAsia="en-GB"/>
        </w:rPr>
      </w:pPr>
      <w:r w:rsidRPr="00A659D3">
        <w:rPr>
          <w:rFonts w:ascii="Titillium" w:eastAsia="Times New Roman" w:hAnsi="Titillium" w:cs="Arial"/>
          <w:sz w:val="22"/>
          <w:szCs w:val="22"/>
          <w:lang w:val="en-GB" w:eastAsia="en-GB"/>
        </w:rPr>
        <w:t>Improve rates of progression, retention and success of under-represented groups;</w:t>
      </w:r>
    </w:p>
    <w:p w14:paraId="0F755DAD" w14:textId="33FC5189" w:rsidR="00E65D60" w:rsidRPr="00A659D3" w:rsidRDefault="00031001" w:rsidP="004220DF">
      <w:pPr>
        <w:pStyle w:val="ListParagraph"/>
        <w:numPr>
          <w:ilvl w:val="0"/>
          <w:numId w:val="19"/>
        </w:numPr>
        <w:ind w:left="714" w:hanging="357"/>
        <w:contextualSpacing w:val="0"/>
        <w:jc w:val="both"/>
        <w:rPr>
          <w:rFonts w:ascii="Titillium" w:eastAsia="Times New Roman" w:hAnsi="Titillium" w:cs="Arial"/>
          <w:sz w:val="22"/>
          <w:szCs w:val="22"/>
          <w:lang w:val="en-GB" w:eastAsia="en-GB"/>
        </w:rPr>
      </w:pPr>
      <w:r w:rsidRPr="00A659D3">
        <w:rPr>
          <w:rFonts w:ascii="Titillium" w:eastAsia="Times New Roman" w:hAnsi="Titillium" w:cs="Arial"/>
          <w:sz w:val="22"/>
          <w:szCs w:val="22"/>
          <w:lang w:val="en-GB" w:eastAsia="en-GB"/>
        </w:rPr>
        <w:t>Establish a</w:t>
      </w:r>
      <w:r w:rsidR="00E65D60" w:rsidRPr="00A659D3">
        <w:rPr>
          <w:rFonts w:ascii="Titillium" w:eastAsia="Times New Roman" w:hAnsi="Titillium" w:cs="Arial"/>
          <w:sz w:val="22"/>
          <w:szCs w:val="22"/>
          <w:lang w:val="en-GB" w:eastAsia="en-GB"/>
        </w:rPr>
        <w:t>n environment, which enables widening participation groups to realise their full potential</w:t>
      </w:r>
      <w:r w:rsidR="00F02F07" w:rsidRPr="00A659D3">
        <w:rPr>
          <w:rFonts w:ascii="Titillium" w:eastAsia="Times New Roman" w:hAnsi="Titillium" w:cs="Arial"/>
          <w:sz w:val="22"/>
          <w:szCs w:val="22"/>
          <w:lang w:val="en-GB" w:eastAsia="en-GB"/>
        </w:rPr>
        <w:t>;</w:t>
      </w:r>
    </w:p>
    <w:p w14:paraId="4551A293" w14:textId="71D0BB0D" w:rsidR="00031001" w:rsidRPr="00A659D3" w:rsidRDefault="00031001" w:rsidP="004220DF">
      <w:pPr>
        <w:pStyle w:val="ListParagraph"/>
        <w:numPr>
          <w:ilvl w:val="0"/>
          <w:numId w:val="19"/>
        </w:numPr>
        <w:ind w:left="714" w:hanging="357"/>
        <w:contextualSpacing w:val="0"/>
        <w:jc w:val="both"/>
        <w:rPr>
          <w:rFonts w:ascii="Titillium" w:eastAsia="Times New Roman" w:hAnsi="Titillium" w:cs="Arial"/>
          <w:sz w:val="22"/>
          <w:szCs w:val="22"/>
          <w:lang w:val="en-GB" w:eastAsia="en-GB"/>
        </w:rPr>
      </w:pPr>
      <w:r w:rsidRPr="00A659D3">
        <w:rPr>
          <w:rFonts w:ascii="Titillium" w:eastAsia="Times New Roman" w:hAnsi="Titillium" w:cs="Arial"/>
          <w:sz w:val="22"/>
          <w:szCs w:val="22"/>
          <w:lang w:val="en-GB" w:eastAsia="en-GB"/>
        </w:rPr>
        <w:t xml:space="preserve">Become </w:t>
      </w:r>
      <w:r w:rsidRPr="00A659D3">
        <w:rPr>
          <w:rFonts w:ascii="Titillium" w:eastAsia="Arial Unicode MS" w:hAnsi="Titillium" w:cs="Arial"/>
          <w:sz w:val="22"/>
          <w:szCs w:val="22"/>
          <w:lang w:val="en-GB" w:eastAsia="en-GB"/>
        </w:rPr>
        <w:t>the sector leader in supporting educational attainment and outcomes for care experienced young people and care leavers</w:t>
      </w:r>
      <w:r w:rsidR="00F02F07" w:rsidRPr="00A659D3">
        <w:rPr>
          <w:rFonts w:ascii="Titillium" w:eastAsia="Arial Unicode MS" w:hAnsi="Titillium" w:cs="Arial"/>
          <w:sz w:val="22"/>
          <w:szCs w:val="22"/>
          <w:lang w:val="en-GB" w:eastAsia="en-GB"/>
        </w:rPr>
        <w:t>; and</w:t>
      </w:r>
    </w:p>
    <w:p w14:paraId="5B282BAC" w14:textId="4B5BA79A" w:rsidR="00F02F07" w:rsidRPr="00A659D3" w:rsidRDefault="00F02F07" w:rsidP="004220DF">
      <w:pPr>
        <w:pStyle w:val="ListParagraph"/>
        <w:numPr>
          <w:ilvl w:val="0"/>
          <w:numId w:val="19"/>
        </w:numPr>
        <w:ind w:left="714" w:hanging="357"/>
        <w:contextualSpacing w:val="0"/>
        <w:jc w:val="both"/>
        <w:rPr>
          <w:rFonts w:ascii="Titillium" w:eastAsia="Times New Roman" w:hAnsi="Titillium" w:cs="Arial"/>
          <w:sz w:val="22"/>
          <w:szCs w:val="22"/>
          <w:lang w:val="en-GB" w:eastAsia="en-GB"/>
        </w:rPr>
      </w:pPr>
      <w:r w:rsidRPr="00A659D3">
        <w:rPr>
          <w:rFonts w:ascii="Titillium" w:eastAsia="Arial Unicode MS" w:hAnsi="Titillium" w:cs="Arial"/>
          <w:bCs/>
          <w:sz w:val="22"/>
          <w:szCs w:val="22"/>
          <w:lang w:val="en-GB" w:eastAsia="en-GB"/>
        </w:rPr>
        <w:t>Play a lead role in the national conversation on widening participation</w:t>
      </w:r>
      <w:r w:rsidR="009B1950">
        <w:rPr>
          <w:rFonts w:ascii="Titillium" w:eastAsia="Arial Unicode MS" w:hAnsi="Titillium" w:cs="Arial"/>
          <w:bCs/>
          <w:sz w:val="22"/>
          <w:szCs w:val="22"/>
          <w:lang w:val="en-GB" w:eastAsia="en-GB"/>
        </w:rPr>
        <w:t>.</w:t>
      </w:r>
    </w:p>
    <w:p w14:paraId="0A9F7E94" w14:textId="77777777" w:rsidR="00284BDA" w:rsidRPr="00867F38" w:rsidRDefault="00960000" w:rsidP="00A659D3">
      <w:pPr>
        <w:jc w:val="both"/>
        <w:rPr>
          <w:rFonts w:ascii="Titillium" w:eastAsia="Times New Roman" w:hAnsi="Titillium" w:cs="Arial"/>
          <w:b/>
          <w:bCs/>
          <w:color w:val="000080"/>
          <w:szCs w:val="24"/>
          <w:lang w:val="en-GB" w:eastAsia="en-GB"/>
        </w:rPr>
      </w:pPr>
      <w:r>
        <w:rPr>
          <w:rFonts w:ascii="Titillium" w:eastAsia="Times New Roman" w:hAnsi="Titillium" w:cs="Arial"/>
          <w:b/>
          <w:bCs/>
          <w:color w:val="000080"/>
          <w:szCs w:val="24"/>
          <w:lang w:val="en-GB" w:eastAsia="en-GB"/>
        </w:rPr>
        <w:pict w14:anchorId="74E59470">
          <v:rect id="_x0000_i1029" style="width:0;height:1.5pt" o:hralign="center" o:hrstd="t" o:hr="t" fillcolor="#aca899" stroked="f"/>
        </w:pict>
      </w:r>
    </w:p>
    <w:p w14:paraId="23C7A452" w14:textId="677D2899" w:rsidR="00284BDA" w:rsidRPr="00867F38" w:rsidRDefault="00284BDA" w:rsidP="00514D53">
      <w:pPr>
        <w:spacing w:before="120" w:after="120"/>
        <w:jc w:val="both"/>
        <w:rPr>
          <w:rFonts w:ascii="Titillium" w:eastAsia="Arial Unicode MS" w:hAnsi="Titillium" w:cs="Arial"/>
          <w:b/>
          <w:bCs/>
          <w:color w:val="003366"/>
          <w:sz w:val="28"/>
          <w:szCs w:val="24"/>
          <w:lang w:val="en-GB" w:eastAsia="en-GB"/>
        </w:rPr>
      </w:pPr>
      <w:r w:rsidRPr="00867F38">
        <w:rPr>
          <w:rFonts w:ascii="Titillium" w:eastAsia="Arial Unicode MS" w:hAnsi="Titillium" w:cs="Arial"/>
          <w:b/>
          <w:bCs/>
          <w:color w:val="003366"/>
          <w:sz w:val="28"/>
          <w:szCs w:val="24"/>
          <w:lang w:val="en-GB" w:eastAsia="en-GB"/>
        </w:rPr>
        <w:t>Key Drivers &amp; Strategic Alignment</w:t>
      </w:r>
    </w:p>
    <w:p w14:paraId="4335B7E7" w14:textId="03CE054C" w:rsidR="00B5341F" w:rsidRPr="007575E7" w:rsidRDefault="00B840AC" w:rsidP="004D43C0">
      <w:pPr>
        <w:spacing w:before="120" w:after="120"/>
        <w:jc w:val="both"/>
        <w:rPr>
          <w:rFonts w:ascii="Titillium" w:hAnsi="Titillium"/>
          <w:sz w:val="22"/>
          <w:lang w:val="en-GB"/>
        </w:rPr>
      </w:pPr>
      <w:r w:rsidRPr="00A659D3">
        <w:rPr>
          <w:rFonts w:ascii="Titillium" w:eastAsia="Times New Roman" w:hAnsi="Titillium" w:cs="Arial"/>
          <w:sz w:val="22"/>
          <w:szCs w:val="22"/>
          <w:lang w:val="en-GB" w:eastAsia="en-GB"/>
        </w:rPr>
        <w:t>At Edinburgh Napier</w:t>
      </w:r>
      <w:r w:rsidRPr="007575E7">
        <w:rPr>
          <w:rFonts w:ascii="Titillium" w:hAnsi="Titillium"/>
          <w:sz w:val="22"/>
          <w:lang w:val="en-GB"/>
        </w:rPr>
        <w:t xml:space="preserve"> University </w:t>
      </w:r>
      <w:r w:rsidRPr="00A659D3">
        <w:rPr>
          <w:rFonts w:ascii="Titillium" w:eastAsia="Times New Roman" w:hAnsi="Titillium" w:cs="Arial"/>
          <w:sz w:val="22"/>
          <w:szCs w:val="22"/>
          <w:lang w:val="en-GB" w:eastAsia="en-GB"/>
        </w:rPr>
        <w:t>we are</w:t>
      </w:r>
      <w:r w:rsidR="00E65D60" w:rsidRPr="007575E7">
        <w:rPr>
          <w:rFonts w:ascii="Titillium" w:hAnsi="Titillium"/>
          <w:sz w:val="22"/>
          <w:lang w:val="en-GB"/>
        </w:rPr>
        <w:t xml:space="preserve"> committed to the principle of fairness in access to higher education, and promoting the success of under-represented groups who may have experienced barriers to entering higher education for social, cultural or economic reasons. </w:t>
      </w:r>
      <w:r w:rsidR="00097F80">
        <w:rPr>
          <w:rFonts w:ascii="Titillium" w:hAnsi="Titillium"/>
          <w:sz w:val="22"/>
          <w:lang w:val="en-GB"/>
        </w:rPr>
        <w:t xml:space="preserve"> </w:t>
      </w:r>
      <w:r w:rsidR="00B5341F" w:rsidRPr="007575E7">
        <w:rPr>
          <w:rFonts w:ascii="Titillium" w:hAnsi="Titillium"/>
          <w:sz w:val="22"/>
          <w:lang w:val="en-GB"/>
        </w:rPr>
        <w:t>Through Strategy 2020</w:t>
      </w:r>
      <w:r w:rsidR="004220DF" w:rsidRPr="00A659D3">
        <w:rPr>
          <w:rFonts w:ascii="Titillium" w:eastAsia="Times New Roman" w:hAnsi="Titillium" w:cs="Arial"/>
          <w:sz w:val="22"/>
          <w:szCs w:val="22"/>
          <w:lang w:val="en-GB" w:eastAsia="en-GB"/>
        </w:rPr>
        <w:t>: Building</w:t>
      </w:r>
      <w:r w:rsidR="00F35BFB" w:rsidRPr="00A659D3">
        <w:rPr>
          <w:rFonts w:ascii="Titillium" w:eastAsia="Times New Roman" w:hAnsi="Titillium" w:cs="Arial"/>
          <w:sz w:val="22"/>
          <w:szCs w:val="22"/>
          <w:lang w:val="en-GB" w:eastAsia="en-GB"/>
        </w:rPr>
        <w:t xml:space="preserve"> Success</w:t>
      </w:r>
      <w:r w:rsidR="00B5341F" w:rsidRPr="00A659D3">
        <w:rPr>
          <w:rFonts w:ascii="Titillium" w:eastAsia="Times New Roman" w:hAnsi="Titillium" w:cs="Arial"/>
          <w:sz w:val="22"/>
          <w:szCs w:val="22"/>
          <w:lang w:val="en-GB" w:eastAsia="en-GB"/>
        </w:rPr>
        <w:t xml:space="preserve">, </w:t>
      </w:r>
      <w:r w:rsidRPr="00A659D3">
        <w:rPr>
          <w:rFonts w:ascii="Titillium" w:eastAsia="Times New Roman" w:hAnsi="Titillium" w:cs="Arial"/>
          <w:sz w:val="22"/>
          <w:szCs w:val="22"/>
          <w:lang w:val="en-GB" w:eastAsia="en-GB"/>
        </w:rPr>
        <w:t xml:space="preserve">we </w:t>
      </w:r>
      <w:r w:rsidR="00B5341F" w:rsidRPr="00A659D3">
        <w:rPr>
          <w:rFonts w:ascii="Titillium" w:eastAsia="Times New Roman" w:hAnsi="Titillium" w:cs="Arial"/>
          <w:sz w:val="22"/>
          <w:szCs w:val="22"/>
          <w:lang w:val="en-GB" w:eastAsia="en-GB"/>
        </w:rPr>
        <w:t>outline</w:t>
      </w:r>
      <w:r w:rsidRPr="00A659D3">
        <w:rPr>
          <w:rFonts w:ascii="Titillium" w:eastAsia="Times New Roman" w:hAnsi="Titillium" w:cs="Arial"/>
          <w:sz w:val="22"/>
          <w:szCs w:val="22"/>
          <w:lang w:val="en-GB" w:eastAsia="en-GB"/>
        </w:rPr>
        <w:t xml:space="preserve"> our </w:t>
      </w:r>
      <w:r w:rsidR="00B5341F" w:rsidRPr="007575E7">
        <w:rPr>
          <w:rFonts w:ascii="Titillium" w:hAnsi="Titillium"/>
          <w:sz w:val="22"/>
          <w:lang w:val="en-GB"/>
        </w:rPr>
        <w:t xml:space="preserve">commitment to delivering high quality education </w:t>
      </w:r>
      <w:r w:rsidR="004220DF" w:rsidRPr="00A659D3">
        <w:rPr>
          <w:rFonts w:ascii="Titillium" w:eastAsia="Times New Roman" w:hAnsi="Titillium" w:cs="Arial"/>
          <w:sz w:val="22"/>
          <w:szCs w:val="22"/>
          <w:lang w:val="en-GB" w:eastAsia="en-GB"/>
        </w:rPr>
        <w:t>that adds</w:t>
      </w:r>
      <w:r w:rsidR="004220DF" w:rsidRPr="007575E7">
        <w:rPr>
          <w:rFonts w:ascii="Titillium" w:hAnsi="Titillium"/>
          <w:sz w:val="22"/>
          <w:lang w:val="en-GB"/>
        </w:rPr>
        <w:t xml:space="preserve"> </w:t>
      </w:r>
      <w:r w:rsidR="00B5341F" w:rsidRPr="007575E7">
        <w:rPr>
          <w:rFonts w:ascii="Titillium" w:hAnsi="Titillium"/>
          <w:sz w:val="22"/>
          <w:lang w:val="en-GB"/>
        </w:rPr>
        <w:t xml:space="preserve">value to the social, cultural </w:t>
      </w:r>
      <w:r w:rsidRPr="007575E7">
        <w:rPr>
          <w:rFonts w:ascii="Titillium" w:hAnsi="Titillium"/>
          <w:sz w:val="22"/>
          <w:lang w:val="en-GB"/>
        </w:rPr>
        <w:t xml:space="preserve">and economic communities </w:t>
      </w:r>
      <w:r w:rsidRPr="00A659D3">
        <w:rPr>
          <w:rFonts w:ascii="Titillium" w:eastAsia="Times New Roman" w:hAnsi="Titillium" w:cs="Arial"/>
          <w:sz w:val="22"/>
          <w:szCs w:val="22"/>
          <w:lang w:val="en-GB" w:eastAsia="en-GB"/>
        </w:rPr>
        <w:t>we</w:t>
      </w:r>
      <w:r w:rsidR="00B5341F" w:rsidRPr="00A659D3">
        <w:rPr>
          <w:rFonts w:ascii="Titillium" w:eastAsia="Times New Roman" w:hAnsi="Titillium" w:cs="Arial"/>
          <w:sz w:val="22"/>
          <w:szCs w:val="22"/>
          <w:lang w:val="en-GB" w:eastAsia="en-GB"/>
        </w:rPr>
        <w:t xml:space="preserve"> serve.  </w:t>
      </w:r>
      <w:r w:rsidRPr="00A659D3">
        <w:rPr>
          <w:rFonts w:ascii="Titillium" w:eastAsia="Times New Roman" w:hAnsi="Titillium" w:cs="Arial"/>
          <w:sz w:val="22"/>
          <w:szCs w:val="22"/>
          <w:lang w:val="en-GB" w:eastAsia="en-GB"/>
        </w:rPr>
        <w:t>Our strategy also</w:t>
      </w:r>
      <w:r w:rsidRPr="007575E7">
        <w:rPr>
          <w:rFonts w:ascii="Titillium" w:hAnsi="Titillium"/>
          <w:sz w:val="22"/>
          <w:lang w:val="en-GB"/>
        </w:rPr>
        <w:t xml:space="preserve"> high</w:t>
      </w:r>
      <w:r w:rsidR="00B5341F" w:rsidRPr="007575E7">
        <w:rPr>
          <w:rFonts w:ascii="Titillium" w:hAnsi="Titillium"/>
          <w:sz w:val="22"/>
          <w:lang w:val="en-GB"/>
        </w:rPr>
        <w:t>light</w:t>
      </w:r>
      <w:r w:rsidR="00A4760E" w:rsidRPr="007575E7">
        <w:rPr>
          <w:rFonts w:ascii="Titillium" w:hAnsi="Titillium"/>
          <w:sz w:val="22"/>
          <w:lang w:val="en-GB"/>
        </w:rPr>
        <w:t>s</w:t>
      </w:r>
      <w:r w:rsidR="00B5341F" w:rsidRPr="007575E7">
        <w:rPr>
          <w:rFonts w:ascii="Titillium" w:hAnsi="Titillium"/>
          <w:sz w:val="22"/>
          <w:lang w:val="en-GB"/>
        </w:rPr>
        <w:t xml:space="preserve"> the value placed on the rich diversity of our student community and </w:t>
      </w:r>
      <w:r w:rsidRPr="00A659D3">
        <w:rPr>
          <w:rFonts w:ascii="Titillium" w:eastAsia="Times New Roman" w:hAnsi="Titillium" w:cs="Arial"/>
          <w:sz w:val="22"/>
          <w:szCs w:val="22"/>
          <w:lang w:val="en-GB" w:eastAsia="en-GB"/>
        </w:rPr>
        <w:t xml:space="preserve">sets out </w:t>
      </w:r>
      <w:r w:rsidRPr="007575E7">
        <w:rPr>
          <w:rFonts w:ascii="Titillium" w:hAnsi="Titillium"/>
          <w:sz w:val="22"/>
          <w:lang w:val="en-GB"/>
        </w:rPr>
        <w:t>a</w:t>
      </w:r>
      <w:r w:rsidR="00B5341F" w:rsidRPr="007575E7">
        <w:rPr>
          <w:rFonts w:ascii="Titillium" w:hAnsi="Titillium"/>
          <w:sz w:val="22"/>
          <w:lang w:val="en-GB"/>
        </w:rPr>
        <w:t xml:space="preserve"> commi</w:t>
      </w:r>
      <w:r w:rsidRPr="007575E7">
        <w:rPr>
          <w:rFonts w:ascii="Titillium" w:hAnsi="Titillium"/>
          <w:sz w:val="22"/>
          <w:lang w:val="en-GB"/>
        </w:rPr>
        <w:t xml:space="preserve">tment to </w:t>
      </w:r>
      <w:r w:rsidRPr="00A659D3">
        <w:rPr>
          <w:rFonts w:ascii="Titillium" w:eastAsia="Times New Roman" w:hAnsi="Titillium" w:cs="Arial"/>
          <w:sz w:val="22"/>
          <w:szCs w:val="22"/>
          <w:lang w:val="en-GB" w:eastAsia="en-GB"/>
        </w:rPr>
        <w:t>offer</w:t>
      </w:r>
      <w:r w:rsidR="00B5341F" w:rsidRPr="007575E7">
        <w:rPr>
          <w:rFonts w:ascii="Titillium" w:hAnsi="Titillium"/>
          <w:sz w:val="22"/>
          <w:lang w:val="en-GB"/>
        </w:rPr>
        <w:t xml:space="preserve"> our students an excellent</w:t>
      </w:r>
      <w:r w:rsidRPr="00A659D3">
        <w:rPr>
          <w:rFonts w:ascii="Titillium" w:eastAsia="Times New Roman" w:hAnsi="Titillium" w:cs="Arial"/>
          <w:sz w:val="22"/>
          <w:szCs w:val="22"/>
          <w:lang w:val="en-GB" w:eastAsia="en-GB"/>
        </w:rPr>
        <w:t>,</w:t>
      </w:r>
      <w:r w:rsidR="00B5341F" w:rsidRPr="007575E7">
        <w:rPr>
          <w:rFonts w:ascii="Titillium" w:hAnsi="Titillium"/>
          <w:sz w:val="22"/>
          <w:lang w:val="en-GB"/>
        </w:rPr>
        <w:t xml:space="preserve"> personalised experience and a wide range of opportunities, both academic and for their own personal growth.</w:t>
      </w:r>
      <w:r w:rsidRPr="007575E7">
        <w:rPr>
          <w:rFonts w:ascii="Titillium" w:hAnsi="Titillium"/>
          <w:sz w:val="22"/>
          <w:lang w:val="en-GB"/>
        </w:rPr>
        <w:t xml:space="preserve"> </w:t>
      </w:r>
      <w:r w:rsidRPr="00A659D3">
        <w:rPr>
          <w:rFonts w:ascii="Titillium" w:eastAsia="Times New Roman" w:hAnsi="Titillium" w:cs="Arial"/>
          <w:sz w:val="22"/>
          <w:szCs w:val="22"/>
          <w:lang w:val="en-GB" w:eastAsia="en-GB"/>
        </w:rPr>
        <w:t xml:space="preserve">The </w:t>
      </w:r>
      <w:r w:rsidR="00B5341F" w:rsidRPr="00A659D3">
        <w:rPr>
          <w:rFonts w:ascii="Titillium" w:eastAsia="Times New Roman" w:hAnsi="Titillium" w:cs="Arial"/>
          <w:sz w:val="22"/>
          <w:szCs w:val="22"/>
          <w:lang w:val="en-GB" w:eastAsia="en-GB"/>
        </w:rPr>
        <w:t>principle</w:t>
      </w:r>
      <w:r w:rsidR="004220DF" w:rsidRPr="00A659D3">
        <w:rPr>
          <w:rFonts w:ascii="Titillium" w:eastAsia="Times New Roman" w:hAnsi="Titillium" w:cs="Arial"/>
          <w:sz w:val="22"/>
          <w:szCs w:val="22"/>
          <w:lang w:val="en-GB" w:eastAsia="en-GB"/>
        </w:rPr>
        <w:t>s</w:t>
      </w:r>
      <w:r w:rsidR="00B5341F" w:rsidRPr="007575E7">
        <w:rPr>
          <w:rFonts w:ascii="Titillium" w:hAnsi="Titillium"/>
          <w:sz w:val="22"/>
          <w:lang w:val="en-GB"/>
        </w:rPr>
        <w:t xml:space="preserve"> of widening access to our programmes and expertise, </w:t>
      </w:r>
      <w:r w:rsidR="004220DF" w:rsidRPr="00A659D3">
        <w:rPr>
          <w:rFonts w:ascii="Titillium" w:eastAsia="Times New Roman" w:hAnsi="Titillium" w:cs="Arial"/>
          <w:sz w:val="22"/>
          <w:szCs w:val="22"/>
          <w:lang w:val="en-GB" w:eastAsia="en-GB"/>
        </w:rPr>
        <w:t xml:space="preserve">and </w:t>
      </w:r>
      <w:r w:rsidR="00B5341F" w:rsidRPr="007575E7">
        <w:rPr>
          <w:rFonts w:ascii="Titillium" w:hAnsi="Titillium"/>
          <w:sz w:val="22"/>
          <w:lang w:val="en-GB"/>
        </w:rPr>
        <w:t>supporting students from diverse backgrounds to be successful</w:t>
      </w:r>
      <w:r w:rsidRPr="00A659D3">
        <w:rPr>
          <w:rFonts w:ascii="Titillium" w:eastAsia="Times New Roman" w:hAnsi="Titillium" w:cs="Arial"/>
          <w:sz w:val="22"/>
          <w:szCs w:val="22"/>
          <w:lang w:val="en-GB" w:eastAsia="en-GB"/>
        </w:rPr>
        <w:t xml:space="preserve"> </w:t>
      </w:r>
      <w:r w:rsidR="004220DF" w:rsidRPr="00A659D3">
        <w:rPr>
          <w:rFonts w:ascii="Titillium" w:eastAsia="Times New Roman" w:hAnsi="Titillium" w:cs="Arial"/>
          <w:sz w:val="22"/>
          <w:szCs w:val="22"/>
          <w:lang w:val="en-GB" w:eastAsia="en-GB"/>
        </w:rPr>
        <w:t>are</w:t>
      </w:r>
      <w:r w:rsidRPr="00A659D3">
        <w:rPr>
          <w:rFonts w:ascii="Titillium" w:eastAsia="Times New Roman" w:hAnsi="Titillium" w:cs="Arial"/>
          <w:sz w:val="22"/>
          <w:szCs w:val="22"/>
          <w:lang w:val="en-GB" w:eastAsia="en-GB"/>
        </w:rPr>
        <w:t xml:space="preserve"> core aspect</w:t>
      </w:r>
      <w:r w:rsidR="004220DF" w:rsidRPr="00A659D3">
        <w:rPr>
          <w:rFonts w:ascii="Titillium" w:eastAsia="Times New Roman" w:hAnsi="Titillium" w:cs="Arial"/>
          <w:sz w:val="22"/>
          <w:szCs w:val="22"/>
          <w:lang w:val="en-GB" w:eastAsia="en-GB"/>
        </w:rPr>
        <w:t>s</w:t>
      </w:r>
      <w:r w:rsidRPr="00A659D3">
        <w:rPr>
          <w:rFonts w:ascii="Titillium" w:eastAsia="Times New Roman" w:hAnsi="Titillium" w:cs="Arial"/>
          <w:sz w:val="22"/>
          <w:szCs w:val="22"/>
          <w:lang w:val="en-GB" w:eastAsia="en-GB"/>
        </w:rPr>
        <w:t xml:space="preserve"> of this commitment</w:t>
      </w:r>
      <w:r w:rsidR="00B5341F" w:rsidRPr="007575E7">
        <w:rPr>
          <w:rFonts w:ascii="Titillium" w:hAnsi="Titillium"/>
          <w:sz w:val="22"/>
          <w:lang w:val="en-GB"/>
        </w:rPr>
        <w:t>.</w:t>
      </w:r>
    </w:p>
    <w:p w14:paraId="7E93200C" w14:textId="0733483A" w:rsidR="00F02E6A" w:rsidRPr="0006505D" w:rsidRDefault="00514D53" w:rsidP="007575E7">
      <w:pPr>
        <w:spacing w:before="120" w:after="120" w:line="250" w:lineRule="auto"/>
        <w:ind w:right="80"/>
        <w:rPr>
          <w:rFonts w:ascii="Titillium" w:hAnsi="Titillium"/>
          <w:sz w:val="22"/>
          <w:lang w:val="en-GB"/>
        </w:rPr>
      </w:pPr>
      <w:r w:rsidRPr="00A659D3">
        <w:rPr>
          <w:rFonts w:ascii="Titillium" w:eastAsia="Times New Roman" w:hAnsi="Titillium" w:cs="Arial"/>
          <w:sz w:val="22"/>
          <w:szCs w:val="22"/>
          <w:lang w:val="en-GB" w:eastAsia="en-GB"/>
        </w:rPr>
        <w:t>T</w:t>
      </w:r>
      <w:r w:rsidR="00F02E6A" w:rsidRPr="00A659D3">
        <w:rPr>
          <w:rFonts w:ascii="Titillium" w:eastAsia="Times New Roman" w:hAnsi="Titillium" w:cs="Arial"/>
          <w:sz w:val="22"/>
          <w:szCs w:val="22"/>
          <w:lang w:val="en-GB" w:eastAsia="en-GB"/>
        </w:rPr>
        <w:t>h</w:t>
      </w:r>
      <w:r w:rsidRPr="00A659D3">
        <w:rPr>
          <w:rFonts w:ascii="Titillium" w:eastAsia="Times New Roman" w:hAnsi="Titillium" w:cs="Arial"/>
          <w:sz w:val="22"/>
          <w:szCs w:val="22"/>
          <w:lang w:val="en-GB" w:eastAsia="en-GB"/>
        </w:rPr>
        <w:t>is</w:t>
      </w:r>
      <w:r w:rsidR="00B840AC" w:rsidRPr="0006505D">
        <w:rPr>
          <w:rFonts w:ascii="Titillium" w:hAnsi="Titillium"/>
          <w:sz w:val="22"/>
          <w:lang w:val="en-GB"/>
        </w:rPr>
        <w:t xml:space="preserve"> </w:t>
      </w:r>
      <w:r w:rsidR="00F02E6A" w:rsidRPr="0006505D">
        <w:rPr>
          <w:rFonts w:ascii="Titillium" w:hAnsi="Titillium"/>
          <w:sz w:val="22"/>
          <w:lang w:val="en-GB"/>
        </w:rPr>
        <w:t>Widening Participation Strategy has</w:t>
      </w:r>
      <w:r w:rsidR="00B840AC" w:rsidRPr="0006505D">
        <w:rPr>
          <w:rFonts w:ascii="Titillium" w:hAnsi="Titillium"/>
          <w:sz w:val="22"/>
          <w:lang w:val="en-GB"/>
        </w:rPr>
        <w:t xml:space="preserve"> </w:t>
      </w:r>
      <w:r w:rsidR="00B840AC" w:rsidRPr="00A659D3">
        <w:rPr>
          <w:rFonts w:ascii="Titillium" w:eastAsia="Times New Roman" w:hAnsi="Titillium" w:cs="Arial"/>
          <w:sz w:val="22"/>
          <w:szCs w:val="22"/>
          <w:lang w:val="en-GB" w:eastAsia="en-GB"/>
        </w:rPr>
        <w:t xml:space="preserve">therefore </w:t>
      </w:r>
      <w:r w:rsidR="00F02E6A" w:rsidRPr="0006505D">
        <w:rPr>
          <w:rFonts w:ascii="Titillium" w:hAnsi="Titillium"/>
          <w:sz w:val="22"/>
          <w:lang w:val="en-GB"/>
        </w:rPr>
        <w:t>been developed to deliver upo</w:t>
      </w:r>
      <w:r w:rsidR="004220DF" w:rsidRPr="0006505D">
        <w:rPr>
          <w:rFonts w:ascii="Titillium" w:hAnsi="Titillium"/>
          <w:sz w:val="22"/>
          <w:lang w:val="en-GB"/>
        </w:rPr>
        <w:t xml:space="preserve">n the ambitions outlined in </w:t>
      </w:r>
      <w:r w:rsidR="00F02E6A" w:rsidRPr="0006505D">
        <w:rPr>
          <w:rFonts w:ascii="Titillium" w:hAnsi="Titillium"/>
          <w:sz w:val="22"/>
          <w:lang w:val="en-GB"/>
        </w:rPr>
        <w:t>Strategy 2020</w:t>
      </w:r>
      <w:r w:rsidR="00624937">
        <w:rPr>
          <w:rFonts w:ascii="Titillium" w:hAnsi="Titillium"/>
          <w:sz w:val="22"/>
          <w:lang w:val="en-GB"/>
        </w:rPr>
        <w:t xml:space="preserve"> and builds upon</w:t>
      </w:r>
      <w:r w:rsidR="001F16D1">
        <w:rPr>
          <w:rFonts w:ascii="Titillium" w:hAnsi="Titillium"/>
          <w:sz w:val="22"/>
          <w:lang w:val="en-GB"/>
        </w:rPr>
        <w:t xml:space="preserve"> and is supported by</w:t>
      </w:r>
      <w:r w:rsidR="00624937">
        <w:rPr>
          <w:rFonts w:ascii="Titillium" w:hAnsi="Titillium"/>
          <w:sz w:val="22"/>
          <w:lang w:val="en-GB"/>
        </w:rPr>
        <w:t xml:space="preserve"> </w:t>
      </w:r>
      <w:r w:rsidR="004220DF" w:rsidRPr="00A659D3">
        <w:rPr>
          <w:rFonts w:ascii="Titillium" w:eastAsia="Times New Roman" w:hAnsi="Titillium" w:cs="Arial"/>
          <w:sz w:val="22"/>
          <w:szCs w:val="22"/>
          <w:lang w:val="en-GB" w:eastAsia="en-GB"/>
        </w:rPr>
        <w:t>our</w:t>
      </w:r>
      <w:r w:rsidR="00F02E6A" w:rsidRPr="0006505D">
        <w:rPr>
          <w:rFonts w:ascii="Titillium" w:hAnsi="Titillium"/>
          <w:sz w:val="22"/>
          <w:lang w:val="en-GB"/>
        </w:rPr>
        <w:t xml:space="preserve"> associated Student Experience and UK &amp; EU Recruitment Strategies</w:t>
      </w:r>
      <w:r w:rsidR="004220DF" w:rsidRPr="0006505D">
        <w:rPr>
          <w:rFonts w:ascii="Titillium" w:hAnsi="Titillium"/>
          <w:sz w:val="22"/>
          <w:lang w:val="en-GB"/>
        </w:rPr>
        <w:t xml:space="preserve">, </w:t>
      </w:r>
      <w:r w:rsidR="002C02DE" w:rsidRPr="0006505D">
        <w:rPr>
          <w:rFonts w:ascii="Titillium" w:hAnsi="Titillium"/>
          <w:sz w:val="22"/>
          <w:lang w:val="en-GB"/>
        </w:rPr>
        <w:t>Corporate Parenting Plan</w:t>
      </w:r>
      <w:r w:rsidR="002C02DE" w:rsidRPr="00A659D3">
        <w:rPr>
          <w:rFonts w:ascii="Titillium" w:eastAsia="Times New Roman" w:hAnsi="Titillium" w:cs="Arial"/>
          <w:sz w:val="22"/>
          <w:szCs w:val="22"/>
          <w:lang w:val="en-GB" w:eastAsia="en-GB"/>
        </w:rPr>
        <w:t xml:space="preserve"> </w:t>
      </w:r>
      <w:r w:rsidR="002C02DE">
        <w:rPr>
          <w:rFonts w:ascii="Titillium" w:eastAsia="Times New Roman" w:hAnsi="Titillium" w:cs="Arial"/>
          <w:sz w:val="22"/>
          <w:szCs w:val="22"/>
          <w:lang w:val="en-GB" w:eastAsia="en-GB"/>
        </w:rPr>
        <w:t xml:space="preserve">and </w:t>
      </w:r>
      <w:r w:rsidR="004220DF" w:rsidRPr="00A659D3">
        <w:rPr>
          <w:rFonts w:ascii="Titillium" w:eastAsia="Times New Roman" w:hAnsi="Titillium" w:cs="Arial"/>
          <w:sz w:val="22"/>
          <w:szCs w:val="22"/>
          <w:lang w:val="en-GB" w:eastAsia="en-GB"/>
        </w:rPr>
        <w:t>our</w:t>
      </w:r>
      <w:r w:rsidR="00F02E6A" w:rsidRPr="0006505D">
        <w:rPr>
          <w:rFonts w:ascii="Titillium" w:hAnsi="Titillium"/>
          <w:sz w:val="22"/>
          <w:lang w:val="en-GB"/>
        </w:rPr>
        <w:t xml:space="preserve"> </w:t>
      </w:r>
      <w:r w:rsidR="00FF2229">
        <w:rPr>
          <w:rFonts w:ascii="Titillium" w:hAnsi="Titillium"/>
          <w:sz w:val="22"/>
          <w:lang w:val="en-GB"/>
        </w:rPr>
        <w:t>c</w:t>
      </w:r>
      <w:r w:rsidR="001C1EBF" w:rsidRPr="0006505D">
        <w:rPr>
          <w:rFonts w:ascii="Titillium" w:hAnsi="Titillium"/>
          <w:sz w:val="22"/>
          <w:lang w:val="en-GB"/>
        </w:rPr>
        <w:t xml:space="preserve">ommunity </w:t>
      </w:r>
      <w:r w:rsidR="00FF2229">
        <w:rPr>
          <w:rFonts w:ascii="Titillium" w:hAnsi="Titillium"/>
          <w:sz w:val="22"/>
          <w:lang w:val="en-GB"/>
        </w:rPr>
        <w:t>e</w:t>
      </w:r>
      <w:r w:rsidR="001C1EBF" w:rsidRPr="0006505D">
        <w:rPr>
          <w:rFonts w:ascii="Titillium" w:hAnsi="Titillium"/>
          <w:sz w:val="22"/>
          <w:lang w:val="en-GB"/>
        </w:rPr>
        <w:t>ngagement</w:t>
      </w:r>
      <w:r w:rsidR="00F02E6A" w:rsidRPr="00A659D3">
        <w:rPr>
          <w:rFonts w:ascii="Titillium" w:eastAsia="Times New Roman" w:hAnsi="Titillium" w:cs="Arial"/>
          <w:sz w:val="22"/>
          <w:szCs w:val="22"/>
          <w:lang w:val="en-GB" w:eastAsia="en-GB"/>
        </w:rPr>
        <w:t>.</w:t>
      </w:r>
      <w:r w:rsidR="00FF2229">
        <w:rPr>
          <w:rFonts w:ascii="Titillium" w:eastAsia="Times New Roman" w:hAnsi="Titillium" w:cs="Arial"/>
          <w:sz w:val="22"/>
          <w:szCs w:val="22"/>
          <w:lang w:val="en-GB" w:eastAsia="en-GB"/>
        </w:rPr>
        <w:t xml:space="preserve">  </w:t>
      </w:r>
      <w:r w:rsidR="001F16D1">
        <w:rPr>
          <w:rFonts w:ascii="Titillium" w:eastAsia="Times New Roman" w:hAnsi="Titillium" w:cs="Arial"/>
          <w:sz w:val="22"/>
          <w:szCs w:val="22"/>
          <w:lang w:val="en-GB" w:eastAsia="en-GB"/>
        </w:rPr>
        <w:t>Furthermore it will deliver commitments as outlined in the Scottish Government</w:t>
      </w:r>
      <w:r w:rsidR="00686941">
        <w:rPr>
          <w:rFonts w:ascii="Titillium" w:eastAsia="Times New Roman" w:hAnsi="Titillium" w:cs="Arial"/>
          <w:sz w:val="22"/>
          <w:szCs w:val="22"/>
          <w:lang w:val="en-GB" w:eastAsia="en-GB"/>
        </w:rPr>
        <w:t xml:space="preserve">’s acceptance for </w:t>
      </w:r>
      <w:r w:rsidR="002C02DE">
        <w:rPr>
          <w:rFonts w:ascii="Titillium" w:eastAsia="Times New Roman" w:hAnsi="Titillium" w:cs="Arial"/>
          <w:sz w:val="22"/>
          <w:szCs w:val="22"/>
          <w:lang w:val="en-GB" w:eastAsia="en-GB"/>
        </w:rPr>
        <w:t>‘</w:t>
      </w:r>
      <w:r w:rsidR="00686941">
        <w:rPr>
          <w:rFonts w:ascii="Titillium" w:eastAsia="Times New Roman" w:hAnsi="Titillium" w:cs="Arial"/>
          <w:sz w:val="22"/>
          <w:szCs w:val="22"/>
          <w:lang w:val="en-GB" w:eastAsia="en-GB"/>
        </w:rPr>
        <w:t>A Blueprint to Fairness</w:t>
      </w:r>
      <w:r w:rsidR="002C02DE">
        <w:rPr>
          <w:rFonts w:ascii="Titillium" w:eastAsia="Times New Roman" w:hAnsi="Titillium" w:cs="Arial"/>
          <w:sz w:val="22"/>
          <w:szCs w:val="22"/>
          <w:lang w:val="en-GB" w:eastAsia="en-GB"/>
        </w:rPr>
        <w:t>’</w:t>
      </w:r>
      <w:r w:rsidR="002C02DE" w:rsidRPr="00A659D3">
        <w:rPr>
          <w:rStyle w:val="FootnoteReference"/>
          <w:rFonts w:ascii="Titillium" w:eastAsia="Times New Roman" w:hAnsi="Titillium" w:cs="Arial"/>
          <w:sz w:val="22"/>
          <w:szCs w:val="22"/>
          <w:lang w:val="en-GB" w:eastAsia="en-GB"/>
        </w:rPr>
        <w:footnoteReference w:id="2"/>
      </w:r>
      <w:r w:rsidR="00686941">
        <w:rPr>
          <w:rFonts w:ascii="Titillium" w:eastAsia="Times New Roman" w:hAnsi="Titillium" w:cs="Arial"/>
          <w:sz w:val="22"/>
          <w:szCs w:val="22"/>
          <w:lang w:val="en-GB" w:eastAsia="en-GB"/>
        </w:rPr>
        <w:t>.</w:t>
      </w:r>
      <w:r w:rsidR="001F16D1">
        <w:rPr>
          <w:rFonts w:ascii="Titillium" w:eastAsia="Times New Roman" w:hAnsi="Titillium" w:cs="Arial"/>
          <w:sz w:val="22"/>
          <w:szCs w:val="22"/>
          <w:lang w:val="en-GB" w:eastAsia="en-GB"/>
        </w:rPr>
        <w:t xml:space="preserve"> </w:t>
      </w:r>
      <w:r w:rsidR="00F02E6A" w:rsidRPr="00A659D3">
        <w:rPr>
          <w:rFonts w:ascii="Titillium" w:eastAsia="Times New Roman" w:hAnsi="Titillium" w:cs="Arial"/>
          <w:sz w:val="22"/>
          <w:szCs w:val="22"/>
          <w:lang w:val="en-GB" w:eastAsia="en-GB"/>
        </w:rPr>
        <w:t>Th</w:t>
      </w:r>
      <w:r w:rsidR="00B840AC" w:rsidRPr="00A659D3">
        <w:rPr>
          <w:rFonts w:ascii="Titillium" w:eastAsia="Times New Roman" w:hAnsi="Titillium" w:cs="Arial"/>
          <w:sz w:val="22"/>
          <w:szCs w:val="22"/>
          <w:lang w:val="en-GB" w:eastAsia="en-GB"/>
        </w:rPr>
        <w:t>e delivery of this s</w:t>
      </w:r>
      <w:r w:rsidR="00F02E6A" w:rsidRPr="00A659D3">
        <w:rPr>
          <w:rFonts w:ascii="Titillium" w:eastAsia="Times New Roman" w:hAnsi="Titillium" w:cs="Arial"/>
          <w:sz w:val="22"/>
          <w:szCs w:val="22"/>
          <w:lang w:val="en-GB" w:eastAsia="en-GB"/>
        </w:rPr>
        <w:t xml:space="preserve">trategy </w:t>
      </w:r>
      <w:r w:rsidR="00CE517D">
        <w:rPr>
          <w:rFonts w:ascii="Titillium" w:eastAsia="Times New Roman" w:hAnsi="Titillium" w:cs="Arial"/>
          <w:sz w:val="22"/>
          <w:szCs w:val="22"/>
          <w:lang w:val="en-GB" w:eastAsia="en-GB"/>
        </w:rPr>
        <w:t xml:space="preserve">will be assessed through measures and targets developed and </w:t>
      </w:r>
      <w:r w:rsidR="00EB7D61">
        <w:rPr>
          <w:rFonts w:ascii="Titillium" w:eastAsia="Times New Roman" w:hAnsi="Titillium" w:cs="Arial"/>
          <w:sz w:val="22"/>
          <w:szCs w:val="22"/>
          <w:lang w:val="en-GB" w:eastAsia="en-GB"/>
        </w:rPr>
        <w:t xml:space="preserve">agreed in our </w:t>
      </w:r>
      <w:r w:rsidR="00F02E6A" w:rsidRPr="0006505D">
        <w:rPr>
          <w:rFonts w:ascii="Titillium" w:hAnsi="Titillium"/>
          <w:sz w:val="22"/>
          <w:lang w:val="en-GB"/>
        </w:rPr>
        <w:t>Outcome Agreement with SFC</w:t>
      </w:r>
      <w:r w:rsidR="00953256" w:rsidRPr="00A659D3">
        <w:rPr>
          <w:rFonts w:ascii="Titillium" w:eastAsia="Times New Roman" w:hAnsi="Titillium" w:cs="Arial"/>
          <w:sz w:val="22"/>
          <w:szCs w:val="22"/>
          <w:lang w:val="en-GB" w:eastAsia="en-GB"/>
        </w:rPr>
        <w:t xml:space="preserve">, including </w:t>
      </w:r>
      <w:r w:rsidR="001251DF" w:rsidRPr="00A659D3">
        <w:rPr>
          <w:rFonts w:ascii="Titillium" w:eastAsia="Times New Roman" w:hAnsi="Titillium" w:cs="Arial"/>
          <w:sz w:val="22"/>
          <w:szCs w:val="22"/>
          <w:lang w:val="en-GB" w:eastAsia="en-GB"/>
        </w:rPr>
        <w:t xml:space="preserve">relevant </w:t>
      </w:r>
      <w:r w:rsidR="00953256" w:rsidRPr="00A659D3">
        <w:rPr>
          <w:rFonts w:ascii="Titillium" w:eastAsia="Times New Roman" w:hAnsi="Titillium" w:cs="Arial"/>
          <w:sz w:val="22"/>
          <w:szCs w:val="22"/>
          <w:lang w:val="en-GB" w:eastAsia="en-GB"/>
        </w:rPr>
        <w:t xml:space="preserve">Gender Action Plan requirements, </w:t>
      </w:r>
      <w:r w:rsidR="0096408E" w:rsidRPr="00A659D3">
        <w:rPr>
          <w:rFonts w:ascii="Titillium" w:eastAsia="Times New Roman" w:hAnsi="Titillium" w:cs="Arial"/>
          <w:sz w:val="22"/>
          <w:szCs w:val="22"/>
          <w:lang w:val="en-GB" w:eastAsia="en-GB"/>
        </w:rPr>
        <w:t>build</w:t>
      </w:r>
      <w:r w:rsidR="004220DF" w:rsidRPr="00A659D3">
        <w:rPr>
          <w:rFonts w:ascii="Titillium" w:eastAsia="Times New Roman" w:hAnsi="Titillium" w:cs="Arial"/>
          <w:sz w:val="22"/>
          <w:szCs w:val="22"/>
          <w:lang w:val="en-GB" w:eastAsia="en-GB"/>
        </w:rPr>
        <w:t>ing</w:t>
      </w:r>
      <w:r w:rsidR="0096408E" w:rsidRPr="00A659D3">
        <w:rPr>
          <w:rFonts w:ascii="Titillium" w:eastAsia="Times New Roman" w:hAnsi="Titillium" w:cs="Arial"/>
          <w:sz w:val="22"/>
          <w:szCs w:val="22"/>
          <w:lang w:val="en-GB" w:eastAsia="en-GB"/>
        </w:rPr>
        <w:t xml:space="preserve"> on</w:t>
      </w:r>
      <w:r w:rsidR="00F35BFB" w:rsidRPr="00A659D3">
        <w:rPr>
          <w:rFonts w:ascii="Titillium" w:eastAsia="Times New Roman" w:hAnsi="Titillium" w:cs="Arial"/>
          <w:sz w:val="22"/>
          <w:szCs w:val="22"/>
          <w:lang w:val="en-GB" w:eastAsia="en-GB"/>
        </w:rPr>
        <w:t xml:space="preserve"> previous</w:t>
      </w:r>
      <w:r w:rsidR="00EB7D61">
        <w:rPr>
          <w:rFonts w:ascii="Titillium" w:eastAsia="Times New Roman" w:hAnsi="Titillium" w:cs="Arial"/>
          <w:sz w:val="22"/>
          <w:szCs w:val="22"/>
          <w:lang w:val="en-GB" w:eastAsia="en-GB"/>
        </w:rPr>
        <w:t xml:space="preserve"> achievement</w:t>
      </w:r>
      <w:r w:rsidR="00FF2229">
        <w:rPr>
          <w:rFonts w:ascii="Titillium" w:eastAsia="Times New Roman" w:hAnsi="Titillium" w:cs="Arial"/>
          <w:sz w:val="22"/>
          <w:szCs w:val="22"/>
          <w:lang w:val="en-GB" w:eastAsia="en-GB"/>
        </w:rPr>
        <w:t>.</w:t>
      </w:r>
    </w:p>
    <w:p w14:paraId="54442B2D" w14:textId="78FAF9AE" w:rsidR="00EE415E" w:rsidRDefault="00EE415E">
      <w:pPr>
        <w:spacing w:after="160" w:line="259" w:lineRule="auto"/>
        <w:rPr>
          <w:rFonts w:ascii="Titillium" w:eastAsia="Times New Roman" w:hAnsi="Titillium" w:cs="Arial"/>
          <w:szCs w:val="24"/>
          <w:lang w:val="en-GB" w:eastAsia="en-GB"/>
        </w:rPr>
      </w:pPr>
      <w:r>
        <w:rPr>
          <w:rFonts w:ascii="Titillium" w:eastAsia="Times New Roman" w:hAnsi="Titillium" w:cs="Arial"/>
          <w:szCs w:val="24"/>
          <w:lang w:val="en-GB" w:eastAsia="en-GB"/>
        </w:rPr>
        <w:br w:type="page"/>
      </w:r>
    </w:p>
    <w:p w14:paraId="6E189778" w14:textId="1DA18D86" w:rsidR="00A24306" w:rsidRDefault="00641FE8" w:rsidP="007575E7">
      <w:pPr>
        <w:spacing w:before="120" w:after="120" w:line="250" w:lineRule="auto"/>
        <w:ind w:right="80"/>
        <w:rPr>
          <w:rFonts w:ascii="Titillium" w:eastAsia="Times New Roman" w:hAnsi="Titillium" w:cs="Arial"/>
          <w:sz w:val="22"/>
          <w:szCs w:val="22"/>
          <w:lang w:val="en-GB" w:eastAsia="en-GB"/>
        </w:rPr>
      </w:pPr>
      <w:r>
        <w:rPr>
          <w:rFonts w:ascii="Titillium" w:eastAsia="Times New Roman" w:hAnsi="Titillium" w:cs="Arial"/>
          <w:sz w:val="22"/>
          <w:szCs w:val="22"/>
          <w:lang w:val="en-GB" w:eastAsia="en-GB"/>
        </w:rPr>
        <w:lastRenderedPageBreak/>
        <w:t xml:space="preserve">As a </w:t>
      </w:r>
      <w:r w:rsidR="00F61ABA">
        <w:rPr>
          <w:rFonts w:ascii="Titillium" w:eastAsia="Times New Roman" w:hAnsi="Titillium" w:cs="Arial"/>
          <w:sz w:val="22"/>
          <w:szCs w:val="22"/>
          <w:lang w:val="en-GB" w:eastAsia="en-GB"/>
        </w:rPr>
        <w:t>University</w:t>
      </w:r>
      <w:r>
        <w:rPr>
          <w:rFonts w:ascii="Titillium" w:eastAsia="Times New Roman" w:hAnsi="Titillium" w:cs="Arial"/>
          <w:sz w:val="22"/>
          <w:szCs w:val="22"/>
          <w:lang w:val="en-GB" w:eastAsia="en-GB"/>
        </w:rPr>
        <w:t xml:space="preserve"> community we are committed to </w:t>
      </w:r>
      <w:r w:rsidR="00097F80">
        <w:rPr>
          <w:rFonts w:ascii="Titillium" w:eastAsia="Times New Roman" w:hAnsi="Titillium" w:cs="Arial"/>
          <w:sz w:val="22"/>
          <w:szCs w:val="22"/>
          <w:lang w:val="en-GB" w:eastAsia="en-GB"/>
        </w:rPr>
        <w:t xml:space="preserve">the belief that </w:t>
      </w:r>
      <w:r w:rsidR="00097F80" w:rsidRPr="007575E7">
        <w:rPr>
          <w:rFonts w:ascii="Titillium" w:hAnsi="Titillium"/>
          <w:sz w:val="22"/>
          <w:lang w:val="en-GB"/>
        </w:rPr>
        <w:t>anyone with the talent and potential to succeed should have the opportunity to attend university, regardless of their place of birth, personal circumstances or socio-economic status.</w:t>
      </w:r>
      <w:r>
        <w:rPr>
          <w:rFonts w:ascii="Titillium" w:eastAsia="Times New Roman" w:hAnsi="Titillium" w:cs="Arial"/>
          <w:sz w:val="22"/>
          <w:szCs w:val="22"/>
          <w:lang w:val="en-GB" w:eastAsia="en-GB"/>
        </w:rPr>
        <w:t xml:space="preserve"> </w:t>
      </w:r>
    </w:p>
    <w:p w14:paraId="448A5EB9" w14:textId="3017E77C" w:rsidR="004220DF" w:rsidRPr="00EE415E" w:rsidRDefault="00641FE8" w:rsidP="007575E7">
      <w:pPr>
        <w:spacing w:before="120" w:after="120" w:line="250" w:lineRule="auto"/>
        <w:ind w:right="80"/>
        <w:rPr>
          <w:rFonts w:ascii="Titillium" w:hAnsi="Titillium"/>
          <w:sz w:val="22"/>
          <w:lang w:val="en-GB"/>
        </w:rPr>
      </w:pPr>
      <w:r>
        <w:rPr>
          <w:rFonts w:ascii="Titillium" w:eastAsia="Times New Roman" w:hAnsi="Titillium" w:cs="Arial"/>
          <w:sz w:val="22"/>
          <w:szCs w:val="22"/>
          <w:lang w:val="en-GB" w:eastAsia="en-GB"/>
        </w:rPr>
        <w:t>Our commitment</w:t>
      </w:r>
      <w:r w:rsidR="0096408E" w:rsidRPr="00A659D3">
        <w:rPr>
          <w:rFonts w:ascii="Titillium" w:eastAsia="Times New Roman" w:hAnsi="Titillium" w:cs="Arial"/>
          <w:sz w:val="22"/>
          <w:szCs w:val="22"/>
          <w:lang w:val="en-GB" w:eastAsia="en-GB"/>
        </w:rPr>
        <w:t xml:space="preserve"> </w:t>
      </w:r>
      <w:r>
        <w:rPr>
          <w:rFonts w:ascii="Titillium" w:eastAsia="Times New Roman" w:hAnsi="Titillium" w:cs="Arial"/>
          <w:sz w:val="22"/>
          <w:szCs w:val="22"/>
          <w:lang w:val="en-GB" w:eastAsia="en-GB"/>
        </w:rPr>
        <w:t xml:space="preserve">aligns </w:t>
      </w:r>
      <w:r w:rsidR="0096408E" w:rsidRPr="00A659D3">
        <w:rPr>
          <w:rFonts w:ascii="Titillium" w:eastAsia="Times New Roman" w:hAnsi="Titillium" w:cs="Arial"/>
          <w:sz w:val="22"/>
          <w:szCs w:val="22"/>
          <w:lang w:val="en-GB" w:eastAsia="en-GB"/>
        </w:rPr>
        <w:t>with</w:t>
      </w:r>
      <w:r w:rsidR="00B5341F" w:rsidRPr="00A659D3">
        <w:rPr>
          <w:rFonts w:ascii="Titillium" w:eastAsia="Times New Roman" w:hAnsi="Titillium" w:cs="Arial"/>
          <w:sz w:val="22"/>
          <w:szCs w:val="22"/>
          <w:lang w:val="en-GB" w:eastAsia="en-GB"/>
        </w:rPr>
        <w:t xml:space="preserve"> </w:t>
      </w:r>
      <w:r w:rsidR="00B840AC" w:rsidRPr="00A659D3">
        <w:rPr>
          <w:rFonts w:ascii="Titillium" w:eastAsia="Times New Roman" w:hAnsi="Titillium" w:cs="Arial"/>
          <w:sz w:val="22"/>
          <w:szCs w:val="22"/>
          <w:lang w:val="en-GB" w:eastAsia="en-GB"/>
        </w:rPr>
        <w:t>Scottish Government priorities a</w:t>
      </w:r>
      <w:r>
        <w:rPr>
          <w:rFonts w:ascii="Titillium" w:eastAsia="Times New Roman" w:hAnsi="Titillium" w:cs="Arial"/>
          <w:sz w:val="22"/>
          <w:szCs w:val="22"/>
          <w:lang w:val="en-GB" w:eastAsia="en-GB"/>
        </w:rPr>
        <w:t>rticulated by the First Minister</w:t>
      </w:r>
      <w:r w:rsidR="00B5341F" w:rsidRPr="00A659D3">
        <w:rPr>
          <w:rFonts w:ascii="Titillium" w:eastAsia="Times New Roman" w:hAnsi="Titillium" w:cs="Arial"/>
          <w:sz w:val="22"/>
          <w:szCs w:val="22"/>
          <w:lang w:val="en-GB" w:eastAsia="en-GB"/>
        </w:rPr>
        <w:t xml:space="preserve"> </w:t>
      </w:r>
    </w:p>
    <w:p w14:paraId="29B0FDFF" w14:textId="4029FC3A" w:rsidR="004220DF" w:rsidRPr="00EE415E" w:rsidRDefault="004220DF" w:rsidP="00EE415E">
      <w:pPr>
        <w:spacing w:before="120" w:after="120"/>
        <w:ind w:left="567" w:right="1213"/>
        <w:jc w:val="center"/>
        <w:rPr>
          <w:rFonts w:ascii="Titillium" w:hAnsi="Titillium"/>
          <w:b/>
          <w:color w:val="003366"/>
          <w:sz w:val="22"/>
          <w:lang w:val="en-GB"/>
        </w:rPr>
      </w:pPr>
      <w:r w:rsidRPr="00EE415E">
        <w:rPr>
          <w:rFonts w:ascii="Titillium" w:hAnsi="Titillium"/>
          <w:b/>
          <w:i/>
          <w:color w:val="003366"/>
          <w:sz w:val="22"/>
          <w:lang w:val="en-GB"/>
        </w:rPr>
        <w:t>“</w:t>
      </w:r>
      <w:r w:rsidR="00B5341F" w:rsidRPr="00EE415E">
        <w:rPr>
          <w:rFonts w:ascii="Titillium" w:hAnsi="Titillium"/>
          <w:b/>
          <w:i/>
          <w:color w:val="003366"/>
          <w:sz w:val="22"/>
          <w:lang w:val="en-GB"/>
        </w:rPr>
        <w:t>I want us to determine now that a child born today in one of our most deprived communities will, by the time he or she leaves school, have the same chance of going to university as a child born in one of our least deprived communities.”</w:t>
      </w:r>
      <w:r w:rsidR="00B16C5F">
        <w:rPr>
          <w:rFonts w:ascii="Titillium" w:hAnsi="Titillium"/>
          <w:b/>
          <w:i/>
          <w:color w:val="003366"/>
          <w:sz w:val="22"/>
          <w:lang w:val="en-GB"/>
        </w:rPr>
        <w:t xml:space="preserve"> </w:t>
      </w:r>
      <w:r w:rsidR="0096408E" w:rsidRPr="00A659D3">
        <w:rPr>
          <w:rStyle w:val="FootnoteReference"/>
          <w:rFonts w:ascii="Titillium" w:eastAsia="Times New Roman" w:hAnsi="Titillium" w:cs="Arial"/>
          <w:b/>
          <w:color w:val="003366"/>
          <w:sz w:val="22"/>
          <w:szCs w:val="22"/>
          <w:lang w:val="en-GB" w:eastAsia="en-GB"/>
        </w:rPr>
        <w:footnoteReference w:id="3"/>
      </w:r>
    </w:p>
    <w:p w14:paraId="677DDC0F" w14:textId="221267D9" w:rsidR="00F61ABA" w:rsidRDefault="00097F80" w:rsidP="003414AC">
      <w:pPr>
        <w:spacing w:before="120" w:line="259" w:lineRule="auto"/>
        <w:rPr>
          <w:rFonts w:ascii="Titillium" w:eastAsia="Times New Roman" w:hAnsi="Titillium" w:cs="Arial"/>
          <w:sz w:val="22"/>
          <w:szCs w:val="22"/>
          <w:lang w:val="en-GB" w:eastAsia="en-GB"/>
        </w:rPr>
      </w:pPr>
      <w:r>
        <w:rPr>
          <w:rFonts w:ascii="Titillium" w:eastAsia="Times New Roman" w:hAnsi="Titillium" w:cs="Arial"/>
          <w:sz w:val="22"/>
          <w:szCs w:val="22"/>
          <w:lang w:val="en-GB" w:eastAsia="en-GB"/>
        </w:rPr>
        <w:t xml:space="preserve">Our previous widening participation activity has focussed on working with senior phase pupils in local secondary schools, especially in partnership with the </w:t>
      </w:r>
      <w:r w:rsidRPr="00A659D3">
        <w:rPr>
          <w:rFonts w:ascii="Titillium" w:eastAsia="Times New Roman" w:hAnsi="Titillium" w:cs="Arial"/>
          <w:sz w:val="22"/>
          <w:szCs w:val="22"/>
          <w:lang w:val="en-GB" w:eastAsia="en-GB"/>
        </w:rPr>
        <w:t>‘</w:t>
      </w:r>
      <w:r w:rsidRPr="00A659D3">
        <w:rPr>
          <w:rFonts w:ascii="Titillium" w:hAnsi="Titillium"/>
          <w:sz w:val="22"/>
          <w:szCs w:val="22"/>
          <w:lang w:val="en-GB"/>
        </w:rPr>
        <w:t xml:space="preserve">Schools for </w:t>
      </w:r>
      <w:r w:rsidRPr="00A22C50">
        <w:rPr>
          <w:rFonts w:ascii="Titillium" w:hAnsi="Titillium"/>
          <w:sz w:val="22"/>
          <w:lang w:val="en-GB"/>
        </w:rPr>
        <w:t>Higher Education</w:t>
      </w:r>
      <w:r w:rsidRPr="00A659D3">
        <w:rPr>
          <w:rFonts w:ascii="Titillium" w:hAnsi="Titillium"/>
          <w:sz w:val="22"/>
          <w:szCs w:val="22"/>
          <w:lang w:val="en-GB"/>
        </w:rPr>
        <w:t xml:space="preserve"> Programmes’</w:t>
      </w:r>
      <w:r w:rsidRPr="00A659D3">
        <w:rPr>
          <w:rFonts w:ascii="Titillium" w:eastAsia="Times New Roman" w:hAnsi="Titillium" w:cs="Arial"/>
          <w:sz w:val="22"/>
          <w:szCs w:val="22"/>
          <w:lang w:val="en-GB" w:eastAsia="en-GB"/>
        </w:rPr>
        <w:t xml:space="preserve"> (</w:t>
      </w:r>
      <w:r w:rsidRPr="00A22C50">
        <w:rPr>
          <w:rFonts w:ascii="Titillium" w:hAnsi="Titillium"/>
          <w:sz w:val="22"/>
          <w:lang w:val="en-GB"/>
        </w:rPr>
        <w:t>SHEP</w:t>
      </w:r>
      <w:r w:rsidRPr="00A659D3">
        <w:rPr>
          <w:rFonts w:ascii="Titillium" w:eastAsia="Times New Roman" w:hAnsi="Titillium" w:cs="Arial"/>
          <w:sz w:val="22"/>
          <w:szCs w:val="22"/>
          <w:lang w:val="en-GB" w:eastAsia="en-GB"/>
        </w:rPr>
        <w:t>)</w:t>
      </w:r>
      <w:r w:rsidRPr="00A659D3">
        <w:rPr>
          <w:rStyle w:val="FootnoteReference"/>
          <w:rFonts w:ascii="Titillium" w:eastAsia="Times New Roman" w:hAnsi="Titillium" w:cs="Arial"/>
          <w:sz w:val="22"/>
          <w:szCs w:val="22"/>
          <w:lang w:val="en-GB" w:eastAsia="en-GB"/>
        </w:rPr>
        <w:footnoteReference w:id="4"/>
      </w:r>
      <w:r w:rsidRPr="00A22C50">
        <w:rPr>
          <w:rFonts w:ascii="Titillium" w:hAnsi="Titillium"/>
          <w:sz w:val="22"/>
          <w:lang w:val="en-GB"/>
        </w:rPr>
        <w:t xml:space="preserve"> </w:t>
      </w:r>
      <w:r>
        <w:rPr>
          <w:rFonts w:ascii="Titillium" w:hAnsi="Titillium"/>
          <w:sz w:val="22"/>
          <w:lang w:val="en-GB"/>
        </w:rPr>
        <w:t>and</w:t>
      </w:r>
      <w:r w:rsidRPr="00A659D3">
        <w:rPr>
          <w:rFonts w:ascii="Titillium" w:eastAsia="Times New Roman" w:hAnsi="Titillium" w:cs="Arial"/>
          <w:sz w:val="22"/>
          <w:szCs w:val="22"/>
          <w:lang w:val="en-GB" w:eastAsia="en-GB"/>
        </w:rPr>
        <w:t xml:space="preserve"> </w:t>
      </w:r>
      <w:r w:rsidRPr="00A22C50">
        <w:rPr>
          <w:rFonts w:ascii="Titillium" w:hAnsi="Titillium"/>
          <w:sz w:val="22"/>
          <w:lang w:val="en-GB"/>
        </w:rPr>
        <w:t>LEAPS (the Lothians Equal Access Programme for Schools</w:t>
      </w:r>
      <w:r w:rsidRPr="00A659D3">
        <w:rPr>
          <w:rFonts w:ascii="Titillium" w:eastAsia="Times New Roman" w:hAnsi="Titillium" w:cs="Arial"/>
          <w:sz w:val="22"/>
          <w:szCs w:val="22"/>
          <w:lang w:val="en-GB" w:eastAsia="en-GB"/>
        </w:rPr>
        <w:t>)</w:t>
      </w:r>
      <w:r>
        <w:rPr>
          <w:rFonts w:ascii="Titillium" w:eastAsia="Times New Roman" w:hAnsi="Titillium" w:cs="Arial"/>
          <w:sz w:val="22"/>
          <w:szCs w:val="22"/>
          <w:lang w:val="en-GB" w:eastAsia="en-GB"/>
        </w:rPr>
        <w:t>, and in providing transition</w:t>
      </w:r>
      <w:r w:rsidR="00D645CF">
        <w:rPr>
          <w:rFonts w:ascii="Titillium" w:eastAsia="Times New Roman" w:hAnsi="Titillium" w:cs="Arial"/>
          <w:sz w:val="22"/>
          <w:szCs w:val="22"/>
          <w:lang w:val="en-GB" w:eastAsia="en-GB"/>
        </w:rPr>
        <w:t xml:space="preserve"> </w:t>
      </w:r>
      <w:r>
        <w:rPr>
          <w:rFonts w:ascii="Titillium" w:eastAsia="Times New Roman" w:hAnsi="Titillium" w:cs="Arial"/>
          <w:sz w:val="22"/>
          <w:szCs w:val="22"/>
          <w:lang w:val="en-GB" w:eastAsia="en-GB"/>
        </w:rPr>
        <w:t>s</w:t>
      </w:r>
      <w:r w:rsidR="00D645CF">
        <w:rPr>
          <w:rFonts w:ascii="Titillium" w:eastAsia="Times New Roman" w:hAnsi="Titillium" w:cs="Arial"/>
          <w:sz w:val="22"/>
          <w:szCs w:val="22"/>
          <w:lang w:val="en-GB" w:eastAsia="en-GB"/>
        </w:rPr>
        <w:t>upport</w:t>
      </w:r>
      <w:r>
        <w:rPr>
          <w:rFonts w:ascii="Titillium" w:eastAsia="Times New Roman" w:hAnsi="Titillium" w:cs="Arial"/>
          <w:sz w:val="22"/>
          <w:szCs w:val="22"/>
          <w:lang w:val="en-GB" w:eastAsia="en-GB"/>
        </w:rPr>
        <w:t xml:space="preserve"> for students articulating from partner colleges to the University.  While these have made good progress in widening access </w:t>
      </w:r>
      <w:r w:rsidR="00D645CF">
        <w:rPr>
          <w:rFonts w:ascii="Titillium" w:eastAsia="Times New Roman" w:hAnsi="Titillium" w:cs="Arial"/>
          <w:sz w:val="22"/>
          <w:szCs w:val="22"/>
          <w:lang w:val="en-GB" w:eastAsia="en-GB"/>
        </w:rPr>
        <w:t xml:space="preserve">to the University, </w:t>
      </w:r>
      <w:r>
        <w:rPr>
          <w:rFonts w:ascii="Titillium" w:eastAsia="Times New Roman" w:hAnsi="Titillium" w:cs="Arial"/>
          <w:sz w:val="22"/>
          <w:szCs w:val="22"/>
          <w:lang w:val="en-GB" w:eastAsia="en-GB"/>
        </w:rPr>
        <w:t>the time has come to expand our pre-entry activity</w:t>
      </w:r>
      <w:r w:rsidR="00D645CF">
        <w:rPr>
          <w:rFonts w:ascii="Titillium" w:eastAsia="Times New Roman" w:hAnsi="Titillium" w:cs="Arial"/>
          <w:sz w:val="22"/>
          <w:szCs w:val="22"/>
          <w:lang w:val="en-GB" w:eastAsia="en-GB"/>
        </w:rPr>
        <w:t xml:space="preserve"> to encompass more groups and address the attainment gap, while ensuring tailored transitions for all our widening participation students, throughout their time with us</w:t>
      </w:r>
      <w:r>
        <w:rPr>
          <w:rFonts w:ascii="Titillium" w:eastAsia="Times New Roman" w:hAnsi="Titillium" w:cs="Arial"/>
          <w:sz w:val="22"/>
          <w:szCs w:val="22"/>
          <w:lang w:val="en-GB" w:eastAsia="en-GB"/>
        </w:rPr>
        <w:t>.</w:t>
      </w:r>
    </w:p>
    <w:p w14:paraId="2BFA006B" w14:textId="63563CB6" w:rsidR="00B5341F" w:rsidRPr="003414AC" w:rsidRDefault="00D645CF" w:rsidP="003414AC">
      <w:pPr>
        <w:spacing w:before="120" w:line="259" w:lineRule="auto"/>
        <w:rPr>
          <w:rFonts w:ascii="Titillium" w:hAnsi="Titillium"/>
          <w:sz w:val="22"/>
          <w:lang w:val="en-GB"/>
        </w:rPr>
      </w:pPr>
      <w:r>
        <w:rPr>
          <w:rFonts w:ascii="Titillium" w:eastAsia="Times New Roman" w:hAnsi="Titillium" w:cs="Arial"/>
          <w:sz w:val="22"/>
          <w:szCs w:val="22"/>
          <w:lang w:val="en-GB" w:eastAsia="en-GB"/>
        </w:rPr>
        <w:t>A</w:t>
      </w:r>
      <w:r w:rsidR="00DC047D" w:rsidRPr="00A659D3">
        <w:rPr>
          <w:rFonts w:ascii="Titillium" w:eastAsia="Times New Roman" w:hAnsi="Titillium" w:cs="Arial"/>
          <w:sz w:val="22"/>
          <w:szCs w:val="22"/>
          <w:lang w:val="en-GB" w:eastAsia="en-GB"/>
        </w:rPr>
        <w:t>s part of</w:t>
      </w:r>
      <w:r w:rsidR="00DC047D" w:rsidRPr="003414AC">
        <w:rPr>
          <w:rFonts w:ascii="Titillium" w:hAnsi="Titillium"/>
          <w:sz w:val="22"/>
          <w:lang w:val="en-GB"/>
        </w:rPr>
        <w:t xml:space="preserve"> </w:t>
      </w:r>
      <w:r w:rsidR="00B5341F" w:rsidRPr="003414AC">
        <w:rPr>
          <w:rFonts w:ascii="Titillium" w:hAnsi="Titillium"/>
          <w:sz w:val="22"/>
          <w:lang w:val="en-GB"/>
        </w:rPr>
        <w:t>the 2014</w:t>
      </w:r>
      <w:r w:rsidR="00C22B27" w:rsidRPr="003414AC">
        <w:rPr>
          <w:rFonts w:ascii="Titillium" w:hAnsi="Titillium"/>
          <w:sz w:val="22"/>
          <w:lang w:val="en-GB"/>
        </w:rPr>
        <w:t>/</w:t>
      </w:r>
      <w:r w:rsidR="00B5341F" w:rsidRPr="003414AC">
        <w:rPr>
          <w:rFonts w:ascii="Titillium" w:hAnsi="Titillium"/>
          <w:sz w:val="22"/>
          <w:lang w:val="en-GB"/>
        </w:rPr>
        <w:t>15 Programme for Government, the Scottish Government set out ambitions relating to widening access, and subsequently established the Commission on Widening Acce</w:t>
      </w:r>
      <w:r w:rsidR="008832E1" w:rsidRPr="003414AC">
        <w:rPr>
          <w:rFonts w:ascii="Titillium" w:hAnsi="Titillium"/>
          <w:sz w:val="22"/>
          <w:lang w:val="en-GB"/>
        </w:rPr>
        <w:t>ss (C</w:t>
      </w:r>
      <w:r w:rsidR="00611AF1">
        <w:rPr>
          <w:rFonts w:ascii="Titillium" w:hAnsi="Titillium"/>
          <w:sz w:val="22"/>
          <w:lang w:val="en-GB"/>
        </w:rPr>
        <w:t>o</w:t>
      </w:r>
      <w:r w:rsidR="008832E1" w:rsidRPr="003414AC">
        <w:rPr>
          <w:rFonts w:ascii="Titillium" w:hAnsi="Titillium"/>
          <w:sz w:val="22"/>
          <w:lang w:val="en-GB"/>
        </w:rPr>
        <w:t xml:space="preserve">WA) to advise Ministers. </w:t>
      </w:r>
      <w:r w:rsidR="00B5341F" w:rsidRPr="003414AC">
        <w:rPr>
          <w:rFonts w:ascii="Titillium" w:hAnsi="Titillium"/>
          <w:sz w:val="22"/>
          <w:lang w:val="en-GB"/>
        </w:rPr>
        <w:t xml:space="preserve">In March 2016, </w:t>
      </w:r>
      <w:r w:rsidR="001251DF" w:rsidRPr="00A659D3">
        <w:rPr>
          <w:rFonts w:ascii="Titillium" w:eastAsia="Times New Roman" w:hAnsi="Titillium" w:cs="Arial"/>
          <w:sz w:val="22"/>
          <w:szCs w:val="22"/>
          <w:lang w:val="en-GB" w:eastAsia="en-GB"/>
        </w:rPr>
        <w:t xml:space="preserve">the </w:t>
      </w:r>
      <w:r w:rsidR="00B5341F" w:rsidRPr="003414AC">
        <w:rPr>
          <w:rFonts w:ascii="Titillium" w:hAnsi="Titillium"/>
          <w:sz w:val="22"/>
          <w:lang w:val="en-GB"/>
        </w:rPr>
        <w:t>C</w:t>
      </w:r>
      <w:r w:rsidR="00611AF1">
        <w:rPr>
          <w:rFonts w:ascii="Titillium" w:hAnsi="Titillium"/>
          <w:sz w:val="22"/>
          <w:lang w:val="en-GB"/>
        </w:rPr>
        <w:t>o</w:t>
      </w:r>
      <w:r w:rsidR="00B5341F" w:rsidRPr="003414AC">
        <w:rPr>
          <w:rFonts w:ascii="Titillium" w:hAnsi="Titillium"/>
          <w:sz w:val="22"/>
          <w:lang w:val="en-GB"/>
        </w:rPr>
        <w:t xml:space="preserve">WA published </w:t>
      </w:r>
      <w:r w:rsidR="0096408E" w:rsidRPr="00A659D3">
        <w:rPr>
          <w:rFonts w:ascii="Titillium" w:eastAsia="Times New Roman" w:hAnsi="Titillium" w:cs="Arial"/>
          <w:sz w:val="22"/>
          <w:szCs w:val="22"/>
          <w:lang w:val="en-GB" w:eastAsia="en-GB"/>
        </w:rPr>
        <w:t>its final report, ‘</w:t>
      </w:r>
      <w:hyperlink r:id="rId13" w:history="1">
        <w:r w:rsidR="00B5341F" w:rsidRPr="003414AC">
          <w:rPr>
            <w:rFonts w:ascii="Titillium" w:hAnsi="Titillium"/>
            <w:sz w:val="22"/>
            <w:lang w:val="en-GB"/>
          </w:rPr>
          <w:t>A Blueprint for Fairness</w:t>
        </w:r>
      </w:hyperlink>
      <w:r w:rsidR="0096408E" w:rsidRPr="00A659D3">
        <w:rPr>
          <w:rFonts w:ascii="Titillium" w:eastAsia="Times New Roman" w:hAnsi="Titillium" w:cs="Arial"/>
          <w:sz w:val="22"/>
          <w:szCs w:val="22"/>
          <w:lang w:val="en-GB" w:eastAsia="en-GB"/>
        </w:rPr>
        <w:t>’, which included</w:t>
      </w:r>
      <w:r w:rsidR="0096408E" w:rsidRPr="003414AC">
        <w:rPr>
          <w:rFonts w:ascii="Titillium" w:hAnsi="Titillium"/>
          <w:sz w:val="22"/>
          <w:lang w:val="en-GB"/>
        </w:rPr>
        <w:t xml:space="preserve"> a </w:t>
      </w:r>
      <w:r w:rsidR="00B5341F" w:rsidRPr="003414AC">
        <w:rPr>
          <w:rFonts w:ascii="Titillium" w:hAnsi="Titillium"/>
          <w:sz w:val="22"/>
          <w:lang w:val="en-GB"/>
        </w:rPr>
        <w:t>total of 34 recommendations</w:t>
      </w:r>
      <w:r w:rsidR="00DC047D" w:rsidRPr="00A659D3">
        <w:rPr>
          <w:rFonts w:ascii="Titillium" w:eastAsia="Times New Roman" w:hAnsi="Titillium" w:cs="Arial"/>
          <w:sz w:val="22"/>
          <w:szCs w:val="22"/>
          <w:lang w:val="en-GB" w:eastAsia="en-GB"/>
        </w:rPr>
        <w:t xml:space="preserve">. </w:t>
      </w:r>
      <w:r w:rsidR="0096408E" w:rsidRPr="00A659D3">
        <w:rPr>
          <w:rFonts w:ascii="Titillium" w:eastAsia="Times New Roman" w:hAnsi="Titillium" w:cs="Arial"/>
          <w:sz w:val="22"/>
          <w:szCs w:val="22"/>
          <w:lang w:val="en-GB" w:eastAsia="en-GB"/>
        </w:rPr>
        <w:t xml:space="preserve">Universities Scotland </w:t>
      </w:r>
      <w:r w:rsidR="008832E1" w:rsidRPr="00A659D3">
        <w:rPr>
          <w:rFonts w:ascii="Titillium" w:eastAsia="Times New Roman" w:hAnsi="Titillium" w:cs="Arial"/>
          <w:sz w:val="22"/>
          <w:szCs w:val="22"/>
          <w:lang w:val="en-GB" w:eastAsia="en-GB"/>
        </w:rPr>
        <w:t>ha</w:t>
      </w:r>
      <w:r w:rsidR="00B16C5F">
        <w:rPr>
          <w:rFonts w:ascii="Titillium" w:eastAsia="Times New Roman" w:hAnsi="Titillium" w:cs="Arial"/>
          <w:sz w:val="22"/>
          <w:szCs w:val="22"/>
          <w:lang w:val="en-GB" w:eastAsia="en-GB"/>
        </w:rPr>
        <w:t>s</w:t>
      </w:r>
      <w:r w:rsidR="008832E1" w:rsidRPr="00A659D3">
        <w:rPr>
          <w:rFonts w:ascii="Titillium" w:eastAsia="Times New Roman" w:hAnsi="Titillium" w:cs="Arial"/>
          <w:sz w:val="22"/>
          <w:szCs w:val="22"/>
          <w:lang w:val="en-GB" w:eastAsia="en-GB"/>
        </w:rPr>
        <w:t xml:space="preserve"> </w:t>
      </w:r>
      <w:r w:rsidR="001251DF" w:rsidRPr="00A659D3">
        <w:rPr>
          <w:rFonts w:ascii="Titillium" w:eastAsia="Times New Roman" w:hAnsi="Titillium" w:cs="Arial"/>
          <w:sz w:val="22"/>
          <w:szCs w:val="22"/>
          <w:lang w:val="en-GB" w:eastAsia="en-GB"/>
        </w:rPr>
        <w:t xml:space="preserve">also </w:t>
      </w:r>
      <w:r w:rsidR="008832E1" w:rsidRPr="00A659D3">
        <w:rPr>
          <w:rFonts w:ascii="Titillium" w:eastAsia="Times New Roman" w:hAnsi="Titillium" w:cs="Arial"/>
          <w:sz w:val="22"/>
          <w:szCs w:val="22"/>
          <w:lang w:val="en-GB" w:eastAsia="en-GB"/>
        </w:rPr>
        <w:t xml:space="preserve">since published an </w:t>
      </w:r>
      <w:r w:rsidR="000D2D69" w:rsidRPr="00A659D3">
        <w:rPr>
          <w:rFonts w:ascii="Titillium" w:eastAsia="Times New Roman" w:hAnsi="Titillium" w:cs="Arial"/>
          <w:sz w:val="22"/>
          <w:szCs w:val="22"/>
          <w:lang w:val="en-GB" w:eastAsia="en-GB"/>
        </w:rPr>
        <w:t>initial response</w:t>
      </w:r>
      <w:r w:rsidR="008832E1" w:rsidRPr="00A659D3">
        <w:rPr>
          <w:rFonts w:ascii="Titillium" w:eastAsia="Times New Roman" w:hAnsi="Titillium" w:cs="Arial"/>
          <w:sz w:val="22"/>
          <w:szCs w:val="22"/>
          <w:lang w:val="en-GB" w:eastAsia="en-GB"/>
        </w:rPr>
        <w:t xml:space="preserve"> from the sector called</w:t>
      </w:r>
      <w:r w:rsidR="000D2D69" w:rsidRPr="00A659D3">
        <w:rPr>
          <w:rFonts w:ascii="Titillium" w:eastAsia="Times New Roman" w:hAnsi="Titillium" w:cs="Arial"/>
          <w:sz w:val="22"/>
          <w:szCs w:val="22"/>
          <w:lang w:val="en-GB" w:eastAsia="en-GB"/>
        </w:rPr>
        <w:t xml:space="preserve"> </w:t>
      </w:r>
      <w:r w:rsidR="003920FA" w:rsidRPr="00A659D3">
        <w:rPr>
          <w:rFonts w:ascii="Titillium" w:eastAsia="Times New Roman" w:hAnsi="Titillium" w:cs="Arial"/>
          <w:sz w:val="22"/>
          <w:szCs w:val="22"/>
          <w:lang w:val="en-GB" w:eastAsia="en-GB"/>
        </w:rPr>
        <w:t>‘Futures not B</w:t>
      </w:r>
      <w:r w:rsidR="0096408E" w:rsidRPr="00A659D3">
        <w:rPr>
          <w:rFonts w:ascii="Titillium" w:eastAsia="Times New Roman" w:hAnsi="Titillium" w:cs="Arial"/>
          <w:sz w:val="22"/>
          <w:szCs w:val="22"/>
          <w:lang w:val="en-GB" w:eastAsia="en-GB"/>
        </w:rPr>
        <w:t>ackgrounds’</w:t>
      </w:r>
      <w:r w:rsidR="000D2D69" w:rsidRPr="00A659D3">
        <w:rPr>
          <w:rFonts w:ascii="Titillium" w:eastAsia="Times New Roman" w:hAnsi="Titillium" w:cs="Arial"/>
          <w:sz w:val="22"/>
          <w:szCs w:val="22"/>
          <w:lang w:val="en-GB" w:eastAsia="en-GB"/>
        </w:rPr>
        <w:t>, prioritising three areas</w:t>
      </w:r>
      <w:r w:rsidR="000D2D69" w:rsidRPr="003414AC">
        <w:rPr>
          <w:rFonts w:ascii="Titillium" w:hAnsi="Titillium"/>
          <w:sz w:val="22"/>
          <w:lang w:val="en-GB"/>
        </w:rPr>
        <w:t xml:space="preserve"> </w:t>
      </w:r>
      <w:r w:rsidR="001251DF" w:rsidRPr="003414AC">
        <w:rPr>
          <w:rFonts w:ascii="Titillium" w:hAnsi="Titillium"/>
          <w:sz w:val="22"/>
          <w:lang w:val="en-GB"/>
        </w:rPr>
        <w:t xml:space="preserve">for </w:t>
      </w:r>
      <w:r w:rsidR="001251DF" w:rsidRPr="00A659D3">
        <w:rPr>
          <w:rFonts w:ascii="Titillium" w:eastAsia="Times New Roman" w:hAnsi="Titillium" w:cs="Arial"/>
          <w:sz w:val="22"/>
          <w:szCs w:val="22"/>
          <w:lang w:val="en-GB" w:eastAsia="en-GB"/>
        </w:rPr>
        <w:t>immediate focus</w:t>
      </w:r>
      <w:r w:rsidR="003920FA" w:rsidRPr="00A659D3">
        <w:rPr>
          <w:rFonts w:ascii="Titillium" w:eastAsia="Times New Roman" w:hAnsi="Titillium" w:cs="Arial"/>
          <w:sz w:val="22"/>
          <w:szCs w:val="22"/>
          <w:lang w:val="en-GB" w:eastAsia="en-GB"/>
        </w:rPr>
        <w:t>.</w:t>
      </w:r>
      <w:r w:rsidR="003920FA" w:rsidRPr="003414AC">
        <w:rPr>
          <w:rFonts w:ascii="Titillium" w:hAnsi="Titillium"/>
          <w:sz w:val="22"/>
          <w:lang w:val="en-GB"/>
        </w:rPr>
        <w:t xml:space="preserve"> All </w:t>
      </w:r>
      <w:r w:rsidR="00B5341F" w:rsidRPr="003414AC">
        <w:rPr>
          <w:rFonts w:ascii="Titillium" w:hAnsi="Titillium"/>
          <w:sz w:val="22"/>
          <w:lang w:val="en-GB"/>
        </w:rPr>
        <w:t xml:space="preserve">relevant recommendations </w:t>
      </w:r>
      <w:r w:rsidR="008832E1" w:rsidRPr="00A659D3">
        <w:rPr>
          <w:rFonts w:ascii="Titillium" w:eastAsia="Times New Roman" w:hAnsi="Titillium" w:cs="Arial"/>
          <w:sz w:val="22"/>
          <w:szCs w:val="22"/>
          <w:lang w:val="en-GB" w:eastAsia="en-GB"/>
        </w:rPr>
        <w:t xml:space="preserve">from both of these documents </w:t>
      </w:r>
      <w:r w:rsidR="00B5341F" w:rsidRPr="00A659D3">
        <w:rPr>
          <w:rFonts w:ascii="Titillium" w:eastAsia="Times New Roman" w:hAnsi="Titillium" w:cs="Arial"/>
          <w:sz w:val="22"/>
          <w:szCs w:val="22"/>
          <w:lang w:val="en-GB" w:eastAsia="en-GB"/>
        </w:rPr>
        <w:t>h</w:t>
      </w:r>
      <w:r w:rsidR="008832E1" w:rsidRPr="00A659D3">
        <w:rPr>
          <w:rFonts w:ascii="Titillium" w:eastAsia="Times New Roman" w:hAnsi="Titillium" w:cs="Arial"/>
          <w:sz w:val="22"/>
          <w:szCs w:val="22"/>
          <w:lang w:val="en-GB" w:eastAsia="en-GB"/>
        </w:rPr>
        <w:t>a</w:t>
      </w:r>
      <w:r w:rsidR="00B5341F" w:rsidRPr="00A659D3">
        <w:rPr>
          <w:rFonts w:ascii="Titillium" w:eastAsia="Times New Roman" w:hAnsi="Titillium" w:cs="Arial"/>
          <w:sz w:val="22"/>
          <w:szCs w:val="22"/>
          <w:lang w:val="en-GB" w:eastAsia="en-GB"/>
        </w:rPr>
        <w:t xml:space="preserve">ve </w:t>
      </w:r>
      <w:r w:rsidR="00DC047D" w:rsidRPr="00A659D3">
        <w:rPr>
          <w:rFonts w:ascii="Titillium" w:eastAsia="Times New Roman" w:hAnsi="Titillium" w:cs="Arial"/>
          <w:sz w:val="22"/>
          <w:szCs w:val="22"/>
          <w:lang w:val="en-GB" w:eastAsia="en-GB"/>
        </w:rPr>
        <w:t xml:space="preserve">therefore </w:t>
      </w:r>
      <w:r w:rsidR="00B5341F" w:rsidRPr="003414AC">
        <w:rPr>
          <w:rFonts w:ascii="Titillium" w:hAnsi="Titillium"/>
          <w:sz w:val="22"/>
          <w:lang w:val="en-GB"/>
        </w:rPr>
        <w:t>been incorpor</w:t>
      </w:r>
      <w:r w:rsidR="00D63B83" w:rsidRPr="003414AC">
        <w:rPr>
          <w:rFonts w:ascii="Titillium" w:hAnsi="Titillium"/>
          <w:sz w:val="22"/>
          <w:lang w:val="en-GB"/>
        </w:rPr>
        <w:t xml:space="preserve">ated into this Widening </w:t>
      </w:r>
      <w:r w:rsidR="003920FA" w:rsidRPr="003414AC">
        <w:rPr>
          <w:rFonts w:ascii="Titillium" w:hAnsi="Titillium"/>
          <w:sz w:val="22"/>
          <w:lang w:val="en-GB"/>
        </w:rPr>
        <w:t>Participation</w:t>
      </w:r>
      <w:r w:rsidR="00D63B83" w:rsidRPr="003414AC">
        <w:rPr>
          <w:rFonts w:ascii="Titillium" w:hAnsi="Titillium"/>
          <w:sz w:val="22"/>
          <w:lang w:val="en-GB"/>
        </w:rPr>
        <w:t xml:space="preserve"> S</w:t>
      </w:r>
      <w:r w:rsidR="00B5341F" w:rsidRPr="003414AC">
        <w:rPr>
          <w:rFonts w:ascii="Titillium" w:hAnsi="Titillium"/>
          <w:sz w:val="22"/>
          <w:lang w:val="en-GB"/>
        </w:rPr>
        <w:t>trategy</w:t>
      </w:r>
      <w:r w:rsidR="00B5341F" w:rsidRPr="00A659D3">
        <w:rPr>
          <w:rFonts w:ascii="Titillium" w:eastAsia="Times New Roman" w:hAnsi="Titillium" w:cs="Arial"/>
          <w:sz w:val="22"/>
          <w:szCs w:val="22"/>
          <w:lang w:val="en-GB" w:eastAsia="en-GB"/>
        </w:rPr>
        <w:t xml:space="preserve"> (</w:t>
      </w:r>
      <w:r w:rsidR="008832E1" w:rsidRPr="00A659D3">
        <w:rPr>
          <w:rFonts w:ascii="Titillium" w:eastAsia="Times New Roman" w:hAnsi="Titillium" w:cs="Arial"/>
          <w:sz w:val="22"/>
          <w:szCs w:val="22"/>
          <w:lang w:val="en-GB" w:eastAsia="en-GB"/>
        </w:rPr>
        <w:t xml:space="preserve">see </w:t>
      </w:r>
      <w:r w:rsidR="00B5341F" w:rsidRPr="00A659D3">
        <w:rPr>
          <w:rFonts w:ascii="Titillium" w:eastAsia="Times New Roman" w:hAnsi="Titillium" w:cs="Arial"/>
          <w:sz w:val="22"/>
          <w:szCs w:val="22"/>
          <w:lang w:val="en-GB" w:eastAsia="en-GB"/>
        </w:rPr>
        <w:t>Appendix</w:t>
      </w:r>
      <w:r w:rsidR="000D2D69" w:rsidRPr="00A659D3">
        <w:rPr>
          <w:rFonts w:ascii="Titillium" w:eastAsia="Times New Roman" w:hAnsi="Titillium" w:cs="Arial"/>
          <w:sz w:val="22"/>
          <w:szCs w:val="22"/>
          <w:lang w:val="en-GB" w:eastAsia="en-GB"/>
        </w:rPr>
        <w:t xml:space="preserve"> B).</w:t>
      </w:r>
    </w:p>
    <w:p w14:paraId="551ACD35" w14:textId="77777777" w:rsidR="00284BDA" w:rsidRPr="00867F38" w:rsidRDefault="00960000" w:rsidP="00B56AF0">
      <w:pPr>
        <w:jc w:val="both"/>
        <w:rPr>
          <w:rFonts w:ascii="Titillium" w:eastAsia="Times New Roman" w:hAnsi="Titillium" w:cs="Arial"/>
          <w:b/>
          <w:bCs/>
          <w:color w:val="000080"/>
          <w:szCs w:val="24"/>
          <w:lang w:val="en-GB" w:eastAsia="en-GB"/>
        </w:rPr>
      </w:pPr>
      <w:r>
        <w:rPr>
          <w:rFonts w:ascii="Titillium" w:eastAsia="Times New Roman" w:hAnsi="Titillium" w:cs="Arial"/>
          <w:b/>
          <w:bCs/>
          <w:color w:val="000080"/>
          <w:szCs w:val="24"/>
          <w:lang w:val="en-GB" w:eastAsia="en-GB"/>
        </w:rPr>
        <w:pict w14:anchorId="267C755D">
          <v:rect id="_x0000_i1030" style="width:0;height:1.5pt" o:hralign="center" o:hrstd="t" o:hr="t" fillcolor="#aca899" stroked="f"/>
        </w:pict>
      </w:r>
    </w:p>
    <w:p w14:paraId="003F3AF5" w14:textId="77777777" w:rsidR="00284BDA" w:rsidRPr="00867F38" w:rsidRDefault="00284BDA" w:rsidP="00682A94">
      <w:pPr>
        <w:spacing w:after="120"/>
        <w:jc w:val="both"/>
        <w:rPr>
          <w:rFonts w:ascii="Titillium" w:eastAsia="Times New Roman" w:hAnsi="Titillium" w:cs="Arial"/>
          <w:b/>
          <w:bCs/>
          <w:color w:val="003366"/>
          <w:sz w:val="28"/>
          <w:szCs w:val="28"/>
          <w:lang w:val="en-GB" w:eastAsia="en-GB"/>
        </w:rPr>
      </w:pPr>
      <w:r w:rsidRPr="00867F38">
        <w:rPr>
          <w:rFonts w:ascii="Titillium" w:eastAsia="Times New Roman" w:hAnsi="Titillium" w:cs="Arial"/>
          <w:b/>
          <w:bCs/>
          <w:color w:val="003366"/>
          <w:sz w:val="28"/>
          <w:szCs w:val="28"/>
          <w:lang w:val="en-GB" w:eastAsia="en-GB"/>
        </w:rPr>
        <w:t>Our Approach</w:t>
      </w:r>
    </w:p>
    <w:p w14:paraId="6AE8860A" w14:textId="1C55E216" w:rsidR="00C162D8" w:rsidRPr="00682A94" w:rsidRDefault="008832E1" w:rsidP="00682A94">
      <w:pPr>
        <w:spacing w:before="120" w:after="120"/>
        <w:jc w:val="both"/>
        <w:rPr>
          <w:rFonts w:ascii="Titillium" w:hAnsi="Titillium"/>
          <w:sz w:val="22"/>
          <w:lang w:val="en-GB"/>
        </w:rPr>
      </w:pPr>
      <w:r w:rsidRPr="00A659D3">
        <w:rPr>
          <w:rFonts w:ascii="Titillium" w:eastAsia="Times New Roman" w:hAnsi="Titillium" w:cs="Arial"/>
          <w:sz w:val="22"/>
          <w:szCs w:val="22"/>
          <w:lang w:val="en-GB" w:eastAsia="en-GB"/>
        </w:rPr>
        <w:t>In delivering our strategy, w</w:t>
      </w:r>
      <w:r w:rsidR="00C162D8" w:rsidRPr="00A659D3">
        <w:rPr>
          <w:rFonts w:ascii="Titillium" w:eastAsia="Times New Roman" w:hAnsi="Titillium" w:cs="Arial"/>
          <w:sz w:val="22"/>
          <w:szCs w:val="22"/>
          <w:lang w:val="en-GB" w:eastAsia="en-GB"/>
        </w:rPr>
        <w:t xml:space="preserve">e </w:t>
      </w:r>
      <w:r w:rsidR="0096408E" w:rsidRPr="00A659D3">
        <w:rPr>
          <w:rFonts w:ascii="Titillium" w:eastAsia="Times New Roman" w:hAnsi="Titillium" w:cs="Arial"/>
          <w:sz w:val="22"/>
          <w:szCs w:val="22"/>
          <w:lang w:val="en-GB" w:eastAsia="en-GB"/>
        </w:rPr>
        <w:t>will</w:t>
      </w:r>
      <w:r w:rsidR="00C162D8" w:rsidRPr="00682A94">
        <w:rPr>
          <w:rFonts w:ascii="Titillium" w:hAnsi="Titillium"/>
          <w:sz w:val="22"/>
          <w:lang w:val="en-GB"/>
        </w:rPr>
        <w:t xml:space="preserve"> develop </w:t>
      </w:r>
      <w:r w:rsidR="004B30CD" w:rsidRPr="00682A94">
        <w:rPr>
          <w:rFonts w:ascii="Titillium" w:hAnsi="Titillium"/>
          <w:sz w:val="22"/>
          <w:lang w:val="en-GB"/>
        </w:rPr>
        <w:t>a holistic, institution</w:t>
      </w:r>
      <w:r w:rsidR="00514D53" w:rsidRPr="00A659D3">
        <w:rPr>
          <w:rFonts w:ascii="Titillium" w:eastAsia="Times New Roman" w:hAnsi="Titillium" w:cs="Arial"/>
          <w:sz w:val="22"/>
          <w:szCs w:val="22"/>
          <w:lang w:val="en-GB" w:eastAsia="en-GB"/>
        </w:rPr>
        <w:t>-</w:t>
      </w:r>
      <w:r w:rsidR="004B30CD" w:rsidRPr="00682A94">
        <w:rPr>
          <w:rFonts w:ascii="Titillium" w:hAnsi="Titillium"/>
          <w:sz w:val="22"/>
          <w:lang w:val="en-GB"/>
        </w:rPr>
        <w:t xml:space="preserve">wide approach, </w:t>
      </w:r>
      <w:r w:rsidR="00C162D8" w:rsidRPr="00682A94">
        <w:rPr>
          <w:rFonts w:ascii="Titillium" w:hAnsi="Titillium"/>
          <w:sz w:val="22"/>
          <w:lang w:val="en-GB"/>
        </w:rPr>
        <w:t xml:space="preserve">focussing on the </w:t>
      </w:r>
      <w:r w:rsidRPr="00682A94">
        <w:rPr>
          <w:rFonts w:ascii="Titillium" w:hAnsi="Titillium"/>
          <w:sz w:val="22"/>
          <w:lang w:val="en-GB"/>
        </w:rPr>
        <w:t xml:space="preserve">journey </w:t>
      </w:r>
      <w:r w:rsidR="00514D53" w:rsidRPr="00A659D3">
        <w:rPr>
          <w:rFonts w:ascii="Titillium" w:eastAsia="Times New Roman" w:hAnsi="Titillium" w:cs="Arial"/>
          <w:sz w:val="22"/>
          <w:szCs w:val="22"/>
          <w:lang w:val="en-GB" w:eastAsia="en-GB"/>
        </w:rPr>
        <w:t xml:space="preserve">our </w:t>
      </w:r>
      <w:r w:rsidR="00C162D8" w:rsidRPr="00A659D3">
        <w:rPr>
          <w:rFonts w:ascii="Titillium" w:eastAsia="Times New Roman" w:hAnsi="Titillium" w:cs="Arial"/>
          <w:sz w:val="22"/>
          <w:szCs w:val="22"/>
          <w:lang w:val="en-GB" w:eastAsia="en-GB"/>
        </w:rPr>
        <w:t>student</w:t>
      </w:r>
      <w:r w:rsidR="00514D53" w:rsidRPr="00A659D3">
        <w:rPr>
          <w:rFonts w:ascii="Titillium" w:eastAsia="Times New Roman" w:hAnsi="Titillium" w:cs="Arial"/>
          <w:sz w:val="22"/>
          <w:szCs w:val="22"/>
          <w:lang w:val="en-GB" w:eastAsia="en-GB"/>
        </w:rPr>
        <w:t xml:space="preserve">s take </w:t>
      </w:r>
      <w:r w:rsidR="00514D53" w:rsidRPr="00682A94">
        <w:rPr>
          <w:rFonts w:ascii="Titillium" w:hAnsi="Titillium"/>
          <w:sz w:val="22"/>
          <w:lang w:val="en-GB"/>
        </w:rPr>
        <w:t xml:space="preserve">as </w:t>
      </w:r>
      <w:r w:rsidR="00C162D8" w:rsidRPr="00682A94">
        <w:rPr>
          <w:rFonts w:ascii="Titillium" w:hAnsi="Titillium"/>
          <w:sz w:val="22"/>
          <w:lang w:val="en-GB"/>
        </w:rPr>
        <w:t xml:space="preserve">they </w:t>
      </w:r>
      <w:r w:rsidR="00C162D8" w:rsidRPr="00682A94">
        <w:rPr>
          <w:rFonts w:ascii="Titillium" w:hAnsi="Titillium"/>
          <w:b/>
          <w:sz w:val="22"/>
          <w:lang w:val="en-GB"/>
        </w:rPr>
        <w:t>move in</w:t>
      </w:r>
      <w:r w:rsidR="00C162D8" w:rsidRPr="00682A94">
        <w:rPr>
          <w:rFonts w:ascii="Titillium" w:hAnsi="Titillium"/>
          <w:sz w:val="22"/>
          <w:lang w:val="en-GB"/>
        </w:rPr>
        <w:t xml:space="preserve">, </w:t>
      </w:r>
      <w:r w:rsidR="00C162D8" w:rsidRPr="00682A94">
        <w:rPr>
          <w:rFonts w:ascii="Titillium" w:hAnsi="Titillium"/>
          <w:b/>
          <w:sz w:val="22"/>
          <w:lang w:val="en-GB"/>
        </w:rPr>
        <w:t xml:space="preserve">move </w:t>
      </w:r>
      <w:r w:rsidR="005E23BA" w:rsidRPr="00682A94">
        <w:rPr>
          <w:rFonts w:ascii="Titillium" w:hAnsi="Titillium"/>
          <w:b/>
          <w:sz w:val="22"/>
          <w:lang w:val="en-GB"/>
        </w:rPr>
        <w:t>through</w:t>
      </w:r>
      <w:r w:rsidR="005E23BA" w:rsidRPr="00682A94">
        <w:rPr>
          <w:rFonts w:ascii="Titillium" w:hAnsi="Titillium"/>
          <w:sz w:val="22"/>
          <w:lang w:val="en-GB"/>
        </w:rPr>
        <w:t xml:space="preserve"> </w:t>
      </w:r>
      <w:r w:rsidR="00C162D8" w:rsidRPr="00682A94">
        <w:rPr>
          <w:rFonts w:ascii="Titillium" w:hAnsi="Titillium"/>
          <w:sz w:val="22"/>
          <w:lang w:val="en-GB"/>
        </w:rPr>
        <w:t xml:space="preserve">and </w:t>
      </w:r>
      <w:r w:rsidR="00C162D8" w:rsidRPr="00682A94">
        <w:rPr>
          <w:rFonts w:ascii="Titillium" w:hAnsi="Titillium"/>
          <w:b/>
          <w:sz w:val="22"/>
          <w:lang w:val="en-GB"/>
        </w:rPr>
        <w:t xml:space="preserve">move </w:t>
      </w:r>
      <w:r w:rsidR="005E23BA" w:rsidRPr="00682A94">
        <w:rPr>
          <w:rFonts w:ascii="Titillium" w:hAnsi="Titillium"/>
          <w:b/>
          <w:sz w:val="22"/>
          <w:lang w:val="en-GB"/>
        </w:rPr>
        <w:t>on</w:t>
      </w:r>
      <w:r w:rsidR="00C162D8" w:rsidRPr="00682A94">
        <w:rPr>
          <w:rFonts w:ascii="Titillium" w:hAnsi="Titillium"/>
          <w:sz w:val="22"/>
          <w:lang w:val="en-GB"/>
        </w:rPr>
        <w:t xml:space="preserve"> </w:t>
      </w:r>
      <w:r w:rsidR="007F293F" w:rsidRPr="00682A94">
        <w:rPr>
          <w:rFonts w:ascii="Titillium" w:hAnsi="Titillium"/>
          <w:sz w:val="22"/>
          <w:lang w:val="en-GB"/>
        </w:rPr>
        <w:t xml:space="preserve">from </w:t>
      </w:r>
      <w:r w:rsidR="00C162D8" w:rsidRPr="00682A94">
        <w:rPr>
          <w:rFonts w:ascii="Titillium" w:hAnsi="Titillium"/>
          <w:sz w:val="22"/>
          <w:lang w:val="en-GB"/>
        </w:rPr>
        <w:t>the University.</w:t>
      </w:r>
      <w:r w:rsidR="00D35987" w:rsidRPr="00682A94">
        <w:rPr>
          <w:rFonts w:ascii="Titillium" w:hAnsi="Titillium"/>
          <w:sz w:val="22"/>
          <w:lang w:val="en-GB"/>
        </w:rPr>
        <w:t xml:space="preserve"> At the heart of </w:t>
      </w:r>
      <w:r w:rsidR="007F293F" w:rsidRPr="00682A94">
        <w:rPr>
          <w:rFonts w:ascii="Titillium" w:hAnsi="Titillium"/>
          <w:sz w:val="22"/>
          <w:lang w:val="en-GB"/>
        </w:rPr>
        <w:t xml:space="preserve">our approach, </w:t>
      </w:r>
      <w:r w:rsidR="00D35987" w:rsidRPr="00682A94">
        <w:rPr>
          <w:rFonts w:ascii="Titillium" w:hAnsi="Titillium"/>
          <w:sz w:val="22"/>
          <w:lang w:val="en-GB"/>
        </w:rPr>
        <w:t xml:space="preserve">is </w:t>
      </w:r>
      <w:r w:rsidR="001251DF" w:rsidRPr="00A659D3">
        <w:rPr>
          <w:rFonts w:ascii="Titillium" w:eastAsia="Times New Roman" w:hAnsi="Titillium" w:cs="Arial"/>
          <w:sz w:val="22"/>
          <w:szCs w:val="22"/>
          <w:lang w:val="en-GB" w:eastAsia="en-GB"/>
        </w:rPr>
        <w:t xml:space="preserve">a </w:t>
      </w:r>
      <w:r w:rsidR="00D35987" w:rsidRPr="00682A94">
        <w:rPr>
          <w:rFonts w:ascii="Titillium" w:hAnsi="Titillium"/>
          <w:sz w:val="22"/>
          <w:lang w:val="en-GB"/>
        </w:rPr>
        <w:t xml:space="preserve">recognition that </w:t>
      </w:r>
      <w:r w:rsidR="00D35987" w:rsidRPr="00A659D3">
        <w:rPr>
          <w:rFonts w:ascii="Titillium" w:eastAsia="Times New Roman" w:hAnsi="Titillium" w:cs="Arial"/>
          <w:sz w:val="22"/>
          <w:szCs w:val="22"/>
          <w:lang w:val="en-GB" w:eastAsia="en-GB"/>
        </w:rPr>
        <w:t>whil</w:t>
      </w:r>
      <w:r w:rsidR="00AF06A2" w:rsidRPr="00A659D3">
        <w:rPr>
          <w:rFonts w:ascii="Titillium" w:eastAsia="Times New Roman" w:hAnsi="Titillium" w:cs="Arial"/>
          <w:sz w:val="22"/>
          <w:szCs w:val="22"/>
          <w:lang w:val="en-GB" w:eastAsia="en-GB"/>
        </w:rPr>
        <w:t>st</w:t>
      </w:r>
      <w:r w:rsidR="00D35987" w:rsidRPr="00682A94">
        <w:rPr>
          <w:rFonts w:ascii="Titillium" w:hAnsi="Titillium"/>
          <w:sz w:val="22"/>
          <w:lang w:val="en-GB"/>
        </w:rPr>
        <w:t xml:space="preserve"> the definitions used within this </w:t>
      </w:r>
      <w:r w:rsidR="007F293F" w:rsidRPr="00682A94">
        <w:rPr>
          <w:rFonts w:ascii="Titillium" w:hAnsi="Titillium"/>
          <w:sz w:val="22"/>
          <w:lang w:val="en-GB"/>
        </w:rPr>
        <w:t>S</w:t>
      </w:r>
      <w:r w:rsidR="00D35987" w:rsidRPr="00682A94">
        <w:rPr>
          <w:rFonts w:ascii="Titillium" w:hAnsi="Titillium"/>
          <w:sz w:val="22"/>
          <w:lang w:val="en-GB"/>
        </w:rPr>
        <w:t xml:space="preserve">trategy reflect the disadvantages and barriers experienced by certain groups, all students are individuals with their own </w:t>
      </w:r>
      <w:r w:rsidR="002436CF" w:rsidRPr="00682A94">
        <w:rPr>
          <w:rFonts w:ascii="Titillium" w:hAnsi="Titillium"/>
          <w:sz w:val="22"/>
          <w:lang w:val="en-GB"/>
        </w:rPr>
        <w:t>identities</w:t>
      </w:r>
      <w:r w:rsidR="002436CF">
        <w:rPr>
          <w:rFonts w:ascii="Titillium" w:hAnsi="Titillium"/>
          <w:sz w:val="22"/>
          <w:lang w:val="en-GB"/>
        </w:rPr>
        <w:t>,</w:t>
      </w:r>
      <w:r w:rsidR="002436CF" w:rsidRPr="00682A94">
        <w:rPr>
          <w:rFonts w:ascii="Titillium" w:hAnsi="Titillium"/>
          <w:sz w:val="22"/>
          <w:lang w:val="en-GB"/>
        </w:rPr>
        <w:t xml:space="preserve"> experiences</w:t>
      </w:r>
      <w:r w:rsidR="003F550B">
        <w:rPr>
          <w:rFonts w:ascii="Titillium" w:hAnsi="Titillium"/>
          <w:sz w:val="22"/>
          <w:lang w:val="en-GB"/>
        </w:rPr>
        <w:t xml:space="preserve"> and talents which they bring to our community</w:t>
      </w:r>
      <w:r w:rsidR="00D35987" w:rsidRPr="00682A94">
        <w:rPr>
          <w:rFonts w:ascii="Titillium" w:hAnsi="Titillium"/>
          <w:sz w:val="22"/>
          <w:lang w:val="en-GB"/>
        </w:rPr>
        <w:t>.</w:t>
      </w:r>
    </w:p>
    <w:p w14:paraId="3FEED8F3" w14:textId="77777777" w:rsidR="00D645CF" w:rsidRDefault="00D645CF" w:rsidP="00916C65">
      <w:pPr>
        <w:jc w:val="both"/>
        <w:rPr>
          <w:rFonts w:ascii="Titillium" w:hAnsi="Titillium"/>
          <w:sz w:val="22"/>
          <w:lang w:val="en-GB"/>
        </w:rPr>
      </w:pPr>
    </w:p>
    <w:p w14:paraId="52E96FB7" w14:textId="230BAA18" w:rsidR="00B85C0F" w:rsidRPr="00A22C50" w:rsidRDefault="00B85C0F" w:rsidP="00916C65">
      <w:pPr>
        <w:jc w:val="both"/>
        <w:rPr>
          <w:rFonts w:ascii="Titillium" w:hAnsi="Titillium"/>
          <w:sz w:val="22"/>
          <w:lang w:val="en-GB"/>
        </w:rPr>
      </w:pPr>
      <w:r w:rsidRPr="00A22C50">
        <w:rPr>
          <w:rFonts w:ascii="Titillium" w:hAnsi="Titillium"/>
          <w:sz w:val="22"/>
          <w:lang w:val="en-GB"/>
        </w:rPr>
        <w:lastRenderedPageBreak/>
        <w:t>Priority groups covered by this strategy are</w:t>
      </w:r>
      <w:r w:rsidR="00050D22" w:rsidRPr="00A659D3">
        <w:rPr>
          <w:rFonts w:ascii="Titillium" w:eastAsia="Times New Roman" w:hAnsi="Titillium" w:cs="Arial"/>
          <w:sz w:val="22"/>
          <w:szCs w:val="22"/>
          <w:lang w:val="en-GB" w:eastAsia="en-GB"/>
        </w:rPr>
        <w:t xml:space="preserve"> outlined below, acknowledging there will be intersectionality between the groups</w:t>
      </w:r>
      <w:r w:rsidRPr="00A22C50">
        <w:rPr>
          <w:rFonts w:ascii="Titillium" w:hAnsi="Titillium"/>
          <w:sz w:val="22"/>
          <w:lang w:val="en-GB"/>
        </w:rPr>
        <w:t>:</w:t>
      </w:r>
    </w:p>
    <w:p w14:paraId="7D622FB5" w14:textId="037ECF85" w:rsidR="0038739B" w:rsidRDefault="00C1163C" w:rsidP="00916C65">
      <w:pPr>
        <w:pStyle w:val="ListParagraph"/>
        <w:numPr>
          <w:ilvl w:val="0"/>
          <w:numId w:val="10"/>
        </w:numPr>
        <w:ind w:hanging="357"/>
        <w:contextualSpacing w:val="0"/>
        <w:jc w:val="both"/>
        <w:rPr>
          <w:rFonts w:ascii="Titillium" w:eastAsia="Times New Roman" w:hAnsi="Titillium" w:cs="Arial"/>
          <w:sz w:val="22"/>
          <w:szCs w:val="22"/>
          <w:lang w:val="en-GB" w:eastAsia="en-GB"/>
        </w:rPr>
      </w:pPr>
      <w:r>
        <w:rPr>
          <w:rFonts w:ascii="Titillium" w:eastAsia="Times New Roman" w:hAnsi="Titillium" w:cs="Arial"/>
          <w:sz w:val="22"/>
          <w:szCs w:val="22"/>
          <w:lang w:val="en-GB" w:eastAsia="en-GB"/>
        </w:rPr>
        <w:t>Individuals</w:t>
      </w:r>
      <w:r w:rsidR="00877445">
        <w:rPr>
          <w:rFonts w:ascii="Titillium" w:hAnsi="Titillium"/>
          <w:sz w:val="22"/>
          <w:lang w:val="en-GB"/>
        </w:rPr>
        <w:t xml:space="preserve"> </w:t>
      </w:r>
      <w:r w:rsidR="00743B53" w:rsidRPr="00A22C50">
        <w:rPr>
          <w:rFonts w:ascii="Titillium" w:hAnsi="Titillium"/>
          <w:sz w:val="22"/>
          <w:lang w:val="en-GB"/>
        </w:rPr>
        <w:t xml:space="preserve">from </w:t>
      </w:r>
      <w:r w:rsidR="00743B53" w:rsidRPr="00A659D3">
        <w:rPr>
          <w:rFonts w:ascii="Titillium" w:eastAsia="Times New Roman" w:hAnsi="Titillium" w:cs="Arial"/>
          <w:sz w:val="22"/>
          <w:szCs w:val="22"/>
          <w:lang w:val="en-GB" w:eastAsia="en-GB"/>
        </w:rPr>
        <w:t>socially deprived backgrounds</w:t>
      </w:r>
      <w:r w:rsidR="0038739B">
        <w:rPr>
          <w:rFonts w:ascii="Titillium" w:eastAsia="Times New Roman" w:hAnsi="Titillium" w:cs="Arial"/>
          <w:sz w:val="22"/>
          <w:szCs w:val="22"/>
          <w:lang w:val="en-GB" w:eastAsia="en-GB"/>
        </w:rPr>
        <w:t xml:space="preserve"> as defined by the following criteria</w:t>
      </w:r>
      <w:r w:rsidR="004D43C0">
        <w:rPr>
          <w:rFonts w:ascii="Titillium" w:eastAsia="Times New Roman" w:hAnsi="Titillium" w:cs="Arial"/>
          <w:sz w:val="22"/>
          <w:szCs w:val="22"/>
          <w:lang w:val="en-GB" w:eastAsia="en-GB"/>
        </w:rPr>
        <w:t>:</w:t>
      </w:r>
    </w:p>
    <w:p w14:paraId="419F4499" w14:textId="76ED10AD" w:rsidR="00B85C0F" w:rsidRPr="004D43C0" w:rsidRDefault="00743B53" w:rsidP="00D645CF">
      <w:pPr>
        <w:pStyle w:val="ListParagraph"/>
        <w:numPr>
          <w:ilvl w:val="1"/>
          <w:numId w:val="10"/>
        </w:numPr>
        <w:contextualSpacing w:val="0"/>
        <w:jc w:val="both"/>
        <w:rPr>
          <w:rFonts w:ascii="Titillium" w:eastAsia="Times New Roman" w:hAnsi="Titillium" w:cs="Arial"/>
          <w:sz w:val="22"/>
          <w:szCs w:val="22"/>
          <w:lang w:val="en-GB" w:eastAsia="en-GB"/>
        </w:rPr>
      </w:pPr>
      <w:r w:rsidRPr="00A659D3">
        <w:rPr>
          <w:rFonts w:ascii="Titillium" w:eastAsia="Times New Roman" w:hAnsi="Titillium" w:cs="Arial"/>
          <w:sz w:val="22"/>
          <w:szCs w:val="22"/>
          <w:lang w:val="en-GB" w:eastAsia="en-GB"/>
        </w:rPr>
        <w:t>S</w:t>
      </w:r>
      <w:r w:rsidR="005820A3" w:rsidRPr="00A659D3">
        <w:rPr>
          <w:rFonts w:ascii="Titillium" w:eastAsia="Times New Roman" w:hAnsi="Titillium" w:cs="Arial"/>
          <w:sz w:val="22"/>
          <w:szCs w:val="22"/>
          <w:lang w:val="en-GB" w:eastAsia="en-GB"/>
        </w:rPr>
        <w:t>IMD20</w:t>
      </w:r>
      <w:r w:rsidR="005820A3" w:rsidRPr="00A659D3">
        <w:rPr>
          <w:sz w:val="22"/>
          <w:szCs w:val="22"/>
          <w:vertAlign w:val="superscript"/>
          <w:lang w:val="en-GB" w:eastAsia="en-GB"/>
        </w:rPr>
        <w:footnoteReference w:id="5"/>
      </w:r>
      <w:r w:rsidR="005820A3" w:rsidRPr="00A659D3">
        <w:rPr>
          <w:rFonts w:ascii="Titillium" w:eastAsia="Times New Roman" w:hAnsi="Titillium" w:cs="Arial"/>
          <w:sz w:val="22"/>
          <w:szCs w:val="22"/>
          <w:lang w:val="en-GB" w:eastAsia="en-GB"/>
        </w:rPr>
        <w:t xml:space="preserve"> </w:t>
      </w:r>
      <w:r w:rsidRPr="00A659D3">
        <w:rPr>
          <w:rFonts w:ascii="Titillium" w:eastAsia="Times New Roman" w:hAnsi="Titillium" w:cs="Arial"/>
          <w:sz w:val="22"/>
          <w:szCs w:val="22"/>
          <w:lang w:val="en-GB" w:eastAsia="en-GB"/>
        </w:rPr>
        <w:t>areas</w:t>
      </w:r>
      <w:r w:rsidR="004D43C0">
        <w:rPr>
          <w:rFonts w:ascii="Titillium" w:eastAsia="Times New Roman" w:hAnsi="Titillium" w:cs="Arial"/>
          <w:sz w:val="22"/>
          <w:szCs w:val="22"/>
          <w:lang w:val="en-GB" w:eastAsia="en-GB"/>
        </w:rPr>
        <w:t>;</w:t>
      </w:r>
    </w:p>
    <w:p w14:paraId="7FC4084E" w14:textId="647CE7B6" w:rsidR="00D645CF" w:rsidRPr="0003504C" w:rsidRDefault="00C1163C" w:rsidP="00D645CF">
      <w:pPr>
        <w:pStyle w:val="ListParagraph"/>
        <w:numPr>
          <w:ilvl w:val="1"/>
          <w:numId w:val="10"/>
        </w:numPr>
        <w:contextualSpacing w:val="0"/>
        <w:jc w:val="both"/>
        <w:rPr>
          <w:rFonts w:ascii="Titillium" w:eastAsia="Times New Roman" w:hAnsi="Titillium" w:cs="Arial"/>
          <w:sz w:val="22"/>
          <w:szCs w:val="22"/>
          <w:lang w:val="en-GB" w:eastAsia="en-GB"/>
        </w:rPr>
      </w:pPr>
      <w:r w:rsidRPr="00D645CF">
        <w:rPr>
          <w:rFonts w:ascii="Titillium" w:eastAsia="Times New Roman" w:hAnsi="Titillium" w:cs="Arial"/>
          <w:sz w:val="22"/>
          <w:szCs w:val="22"/>
          <w:lang w:val="en-GB" w:eastAsia="en-GB"/>
        </w:rPr>
        <w:t>Pupils from schools with low progression rates onto higher education including</w:t>
      </w:r>
      <w:r w:rsidR="00743B53" w:rsidRPr="00D645CF">
        <w:rPr>
          <w:rFonts w:ascii="Titillium" w:eastAsia="Times New Roman" w:hAnsi="Titillium" w:cs="Arial"/>
          <w:sz w:val="22"/>
          <w:szCs w:val="22"/>
          <w:lang w:val="en-GB" w:eastAsia="en-GB"/>
        </w:rPr>
        <w:t xml:space="preserve"> </w:t>
      </w:r>
      <w:r w:rsidR="005015F0" w:rsidRPr="00D645CF">
        <w:rPr>
          <w:rFonts w:ascii="Titillium" w:hAnsi="Titillium"/>
          <w:sz w:val="22"/>
          <w:lang w:val="en-GB"/>
        </w:rPr>
        <w:t>SHEP</w:t>
      </w:r>
      <w:r w:rsidR="00743B53" w:rsidRPr="00D645CF">
        <w:rPr>
          <w:rFonts w:ascii="Titillium" w:hAnsi="Titillium"/>
          <w:sz w:val="22"/>
          <w:lang w:val="en-GB"/>
        </w:rPr>
        <w:t xml:space="preserve"> </w:t>
      </w:r>
      <w:r w:rsidR="002C02DE">
        <w:rPr>
          <w:rFonts w:ascii="Titillium" w:hAnsi="Titillium"/>
          <w:sz w:val="22"/>
          <w:lang w:val="en-GB"/>
        </w:rPr>
        <w:t xml:space="preserve">schools </w:t>
      </w:r>
      <w:r w:rsidRPr="00D645CF">
        <w:rPr>
          <w:rFonts w:ascii="Titillium" w:hAnsi="Titillium"/>
          <w:sz w:val="22"/>
          <w:lang w:val="en-GB"/>
        </w:rPr>
        <w:t>and</w:t>
      </w:r>
      <w:r w:rsidR="00743B53" w:rsidRPr="00D645CF">
        <w:rPr>
          <w:rFonts w:ascii="Titillium" w:eastAsia="Times New Roman" w:hAnsi="Titillium" w:cs="Arial"/>
          <w:sz w:val="22"/>
          <w:szCs w:val="22"/>
          <w:lang w:val="en-GB" w:eastAsia="en-GB"/>
        </w:rPr>
        <w:t xml:space="preserve"> </w:t>
      </w:r>
      <w:r w:rsidR="00743B53" w:rsidRPr="00D645CF">
        <w:rPr>
          <w:rFonts w:ascii="Titillium" w:hAnsi="Titillium"/>
          <w:sz w:val="22"/>
          <w:lang w:val="en-GB"/>
        </w:rPr>
        <w:t>LEAPS</w:t>
      </w:r>
      <w:r w:rsidR="002C02DE">
        <w:rPr>
          <w:rFonts w:ascii="Titillium" w:hAnsi="Titillium"/>
          <w:sz w:val="22"/>
          <w:lang w:val="en-GB"/>
        </w:rPr>
        <w:t xml:space="preserve"> eligible pupils</w:t>
      </w:r>
      <w:r w:rsidR="005820A3" w:rsidRPr="00D645CF">
        <w:rPr>
          <w:rFonts w:ascii="Titillium" w:eastAsia="Times New Roman" w:hAnsi="Titillium" w:cs="Arial"/>
          <w:sz w:val="22"/>
          <w:szCs w:val="22"/>
          <w:lang w:val="en-GB" w:eastAsia="en-GB"/>
        </w:rPr>
        <w:t>;</w:t>
      </w:r>
    </w:p>
    <w:p w14:paraId="2AD72287" w14:textId="421DFD78" w:rsidR="000C26C0" w:rsidRPr="004D43C0" w:rsidRDefault="00743B53" w:rsidP="004D43C0">
      <w:pPr>
        <w:pStyle w:val="ListParagraph"/>
        <w:numPr>
          <w:ilvl w:val="1"/>
          <w:numId w:val="10"/>
        </w:numPr>
        <w:contextualSpacing w:val="0"/>
        <w:jc w:val="both"/>
        <w:rPr>
          <w:rFonts w:ascii="Titillium" w:hAnsi="Titillium"/>
          <w:sz w:val="22"/>
          <w:lang w:val="en-GB"/>
        </w:rPr>
      </w:pPr>
      <w:r w:rsidRPr="00A659D3">
        <w:rPr>
          <w:rFonts w:ascii="Titillium" w:eastAsia="Times New Roman" w:hAnsi="Titillium" w:cs="Arial"/>
          <w:sz w:val="22"/>
          <w:szCs w:val="22"/>
          <w:lang w:val="en-GB" w:eastAsia="en-GB"/>
        </w:rPr>
        <w:t>Pupils</w:t>
      </w:r>
      <w:r w:rsidRPr="00A22C50">
        <w:rPr>
          <w:rFonts w:ascii="Titillium" w:hAnsi="Titillium"/>
          <w:sz w:val="22"/>
          <w:lang w:val="en-GB"/>
        </w:rPr>
        <w:t xml:space="preserve"> </w:t>
      </w:r>
      <w:r w:rsidR="00B85C0F" w:rsidRPr="00A22C50">
        <w:rPr>
          <w:rFonts w:ascii="Titillium" w:hAnsi="Titillium"/>
          <w:sz w:val="22"/>
          <w:lang w:val="en-GB"/>
        </w:rPr>
        <w:t>identified by school</w:t>
      </w:r>
      <w:r w:rsidR="00C1163C">
        <w:rPr>
          <w:rFonts w:ascii="Titillium" w:hAnsi="Titillium"/>
          <w:sz w:val="22"/>
          <w:lang w:val="en-GB"/>
        </w:rPr>
        <w:t>s</w:t>
      </w:r>
      <w:r w:rsidR="00B85C0F" w:rsidRPr="00A22C50">
        <w:rPr>
          <w:rFonts w:ascii="Titillium" w:hAnsi="Titillium"/>
          <w:sz w:val="22"/>
          <w:lang w:val="en-GB"/>
        </w:rPr>
        <w:t xml:space="preserve"> </w:t>
      </w:r>
      <w:r w:rsidR="009358CA">
        <w:rPr>
          <w:rFonts w:ascii="Titillium" w:hAnsi="Titillium"/>
          <w:sz w:val="22"/>
          <w:lang w:val="en-GB"/>
        </w:rPr>
        <w:t xml:space="preserve">or SHEP programmes </w:t>
      </w:r>
      <w:r w:rsidR="00B85C0F" w:rsidRPr="00A22C50">
        <w:rPr>
          <w:rFonts w:ascii="Titillium" w:hAnsi="Titillium"/>
          <w:sz w:val="22"/>
          <w:lang w:val="en-GB"/>
        </w:rPr>
        <w:t xml:space="preserve">as </w:t>
      </w:r>
      <w:r w:rsidR="009358CA">
        <w:rPr>
          <w:rFonts w:ascii="Titillium" w:hAnsi="Titillium"/>
          <w:sz w:val="22"/>
          <w:lang w:val="en-GB"/>
        </w:rPr>
        <w:t xml:space="preserve">coming from </w:t>
      </w:r>
      <w:r w:rsidR="00C1163C">
        <w:rPr>
          <w:rFonts w:ascii="Titillium" w:eastAsia="Times New Roman" w:hAnsi="Titillium" w:cs="Arial"/>
          <w:sz w:val="22"/>
          <w:szCs w:val="22"/>
          <w:lang w:val="en-GB" w:eastAsia="en-GB"/>
        </w:rPr>
        <w:t>low income families</w:t>
      </w:r>
      <w:r w:rsidR="004D43C0">
        <w:rPr>
          <w:rFonts w:ascii="Titillium" w:eastAsia="Times New Roman" w:hAnsi="Titillium" w:cs="Arial"/>
          <w:sz w:val="22"/>
          <w:szCs w:val="22"/>
          <w:lang w:val="en-GB" w:eastAsia="en-GB"/>
        </w:rPr>
        <w:t>;</w:t>
      </w:r>
    </w:p>
    <w:p w14:paraId="3C5E146B" w14:textId="26D213CD" w:rsidR="004D43C0" w:rsidRPr="004D43C0" w:rsidRDefault="004D43C0" w:rsidP="004D43C0">
      <w:pPr>
        <w:pStyle w:val="ListParagraph"/>
        <w:numPr>
          <w:ilvl w:val="1"/>
          <w:numId w:val="10"/>
        </w:numPr>
        <w:contextualSpacing w:val="0"/>
        <w:rPr>
          <w:rFonts w:ascii="Titillium" w:hAnsi="Titillium"/>
          <w:sz w:val="22"/>
          <w:lang w:val="en-GB"/>
        </w:rPr>
      </w:pPr>
      <w:r w:rsidRPr="00A659D3">
        <w:rPr>
          <w:rFonts w:ascii="Titillium" w:eastAsia="Times New Roman" w:hAnsi="Titillium" w:cs="Arial"/>
          <w:sz w:val="22"/>
          <w:szCs w:val="22"/>
          <w:lang w:val="en-GB" w:eastAsia="en-GB"/>
        </w:rPr>
        <w:t>Care-</w:t>
      </w:r>
      <w:r w:rsidRPr="00A22C50">
        <w:rPr>
          <w:rFonts w:ascii="Titillium" w:hAnsi="Titillium"/>
          <w:sz w:val="22"/>
          <w:lang w:val="en-GB"/>
        </w:rPr>
        <w:t>experienced young people, care leavers and young adult carers</w:t>
      </w:r>
      <w:r w:rsidR="00CB157C">
        <w:rPr>
          <w:rFonts w:ascii="Titillium" w:eastAsia="Times New Roman" w:hAnsi="Titillium" w:cs="Arial"/>
          <w:sz w:val="22"/>
          <w:szCs w:val="22"/>
          <w:lang w:val="en-GB" w:eastAsia="en-GB"/>
        </w:rPr>
        <w:t>.</w:t>
      </w:r>
    </w:p>
    <w:p w14:paraId="5C03541D" w14:textId="6CC2093F" w:rsidR="004D43C0" w:rsidRPr="004D43C0" w:rsidRDefault="004D43C0" w:rsidP="004D43C0">
      <w:pPr>
        <w:pStyle w:val="ListParagraph"/>
        <w:numPr>
          <w:ilvl w:val="0"/>
          <w:numId w:val="10"/>
        </w:numPr>
        <w:contextualSpacing w:val="0"/>
        <w:jc w:val="both"/>
        <w:rPr>
          <w:rFonts w:ascii="Titillium" w:hAnsi="Titillium"/>
          <w:sz w:val="22"/>
          <w:lang w:val="en-GB"/>
        </w:rPr>
      </w:pPr>
      <w:r>
        <w:rPr>
          <w:rFonts w:ascii="Titillium" w:hAnsi="Titillium"/>
          <w:sz w:val="22"/>
          <w:lang w:val="en-GB"/>
        </w:rPr>
        <w:t>Protected characteristics including:</w:t>
      </w:r>
    </w:p>
    <w:p w14:paraId="4E2459D7" w14:textId="644E5B6A" w:rsidR="004D43C0" w:rsidRPr="00A22C50" w:rsidRDefault="001251DF" w:rsidP="004D43C0">
      <w:pPr>
        <w:pStyle w:val="ListParagraph"/>
        <w:numPr>
          <w:ilvl w:val="1"/>
          <w:numId w:val="10"/>
        </w:numPr>
        <w:contextualSpacing w:val="0"/>
        <w:rPr>
          <w:rFonts w:ascii="Titillium" w:hAnsi="Titillium"/>
          <w:sz w:val="22"/>
          <w:lang w:val="en-GB"/>
        </w:rPr>
      </w:pPr>
      <w:r w:rsidRPr="004D43C0">
        <w:rPr>
          <w:rFonts w:ascii="Titillium" w:eastAsia="Times New Roman" w:hAnsi="Titillium" w:cs="Arial"/>
          <w:sz w:val="22"/>
          <w:szCs w:val="22"/>
          <w:lang w:val="en-GB" w:eastAsia="en-GB"/>
        </w:rPr>
        <w:t>Potential participants in</w:t>
      </w:r>
      <w:r w:rsidR="00514D53" w:rsidRPr="004D43C0">
        <w:rPr>
          <w:rFonts w:ascii="Titillium" w:eastAsia="Times New Roman" w:hAnsi="Titillium" w:cs="Arial"/>
          <w:sz w:val="22"/>
          <w:szCs w:val="22"/>
          <w:lang w:val="en-GB" w:eastAsia="en-GB"/>
        </w:rPr>
        <w:t xml:space="preserve"> </w:t>
      </w:r>
      <w:r w:rsidR="005820A3" w:rsidRPr="004D43C0">
        <w:rPr>
          <w:rFonts w:ascii="Titillium" w:eastAsia="Times New Roman" w:hAnsi="Titillium" w:cs="Arial"/>
          <w:sz w:val="22"/>
          <w:szCs w:val="22"/>
          <w:lang w:val="en-GB" w:eastAsia="en-GB"/>
        </w:rPr>
        <w:t xml:space="preserve">programmes whose numbers display a </w:t>
      </w:r>
      <w:r w:rsidR="00514D53" w:rsidRPr="004D43C0">
        <w:rPr>
          <w:rFonts w:ascii="Titillium" w:eastAsia="Times New Roman" w:hAnsi="Titillium" w:cs="Arial"/>
          <w:sz w:val="22"/>
          <w:szCs w:val="22"/>
          <w:lang w:val="en-GB" w:eastAsia="en-GB"/>
        </w:rPr>
        <w:t xml:space="preserve">significant </w:t>
      </w:r>
      <w:r w:rsidR="005820A3" w:rsidRPr="004D43C0">
        <w:rPr>
          <w:rFonts w:ascii="Titillium" w:eastAsia="Times New Roman" w:hAnsi="Titillium" w:cs="Arial"/>
          <w:sz w:val="22"/>
          <w:szCs w:val="22"/>
          <w:lang w:val="en-GB" w:eastAsia="en-GB"/>
        </w:rPr>
        <w:t>gender imbalance;</w:t>
      </w:r>
      <w:r w:rsidR="004D43C0" w:rsidRPr="004D43C0">
        <w:rPr>
          <w:rFonts w:ascii="Titillium" w:hAnsi="Titillium"/>
          <w:sz w:val="22"/>
          <w:lang w:val="en-GB"/>
        </w:rPr>
        <w:t xml:space="preserve"> </w:t>
      </w:r>
    </w:p>
    <w:p w14:paraId="21AB9D32" w14:textId="02E57C36" w:rsidR="004D43C0" w:rsidRPr="001D58BA" w:rsidRDefault="003402CC" w:rsidP="004D43C0">
      <w:pPr>
        <w:pStyle w:val="ListParagraph"/>
        <w:numPr>
          <w:ilvl w:val="1"/>
          <w:numId w:val="10"/>
        </w:numPr>
        <w:contextualSpacing w:val="0"/>
        <w:rPr>
          <w:rFonts w:ascii="Titillium" w:hAnsi="Titillium"/>
          <w:sz w:val="22"/>
          <w:lang w:val="en-GB"/>
        </w:rPr>
      </w:pPr>
      <w:r w:rsidRPr="004D43C0">
        <w:rPr>
          <w:rFonts w:ascii="Titillium" w:eastAsia="Times New Roman" w:hAnsi="Titillium" w:cs="Arial"/>
          <w:sz w:val="22"/>
          <w:szCs w:val="22"/>
          <w:lang w:val="en-GB" w:eastAsia="en-GB"/>
        </w:rPr>
        <w:t>BME (black and minority ethnic)</w:t>
      </w:r>
      <w:r w:rsidRPr="004D43C0">
        <w:rPr>
          <w:rFonts w:ascii="Titillium" w:hAnsi="Titillium"/>
          <w:sz w:val="22"/>
          <w:lang w:val="en-GB"/>
        </w:rPr>
        <w:t xml:space="preserve"> students</w:t>
      </w:r>
      <w:r w:rsidR="001D58BA">
        <w:rPr>
          <w:rFonts w:ascii="Titillium" w:eastAsia="Times New Roman" w:hAnsi="Titillium" w:cs="Arial"/>
          <w:sz w:val="22"/>
          <w:szCs w:val="22"/>
          <w:lang w:val="en-GB" w:eastAsia="en-GB"/>
        </w:rPr>
        <w:t>;</w:t>
      </w:r>
    </w:p>
    <w:p w14:paraId="38DAC376" w14:textId="077A92E3" w:rsidR="001D58BA" w:rsidRPr="00A22C50" w:rsidRDefault="001D58BA" w:rsidP="004D43C0">
      <w:pPr>
        <w:pStyle w:val="ListParagraph"/>
        <w:numPr>
          <w:ilvl w:val="1"/>
          <w:numId w:val="10"/>
        </w:numPr>
        <w:contextualSpacing w:val="0"/>
        <w:rPr>
          <w:rFonts w:ascii="Titillium" w:hAnsi="Titillium"/>
          <w:sz w:val="22"/>
          <w:lang w:val="en-GB"/>
        </w:rPr>
      </w:pPr>
      <w:r>
        <w:rPr>
          <w:rFonts w:ascii="Titillium" w:eastAsia="Times New Roman" w:hAnsi="Titillium" w:cs="Arial"/>
          <w:sz w:val="22"/>
          <w:szCs w:val="22"/>
          <w:lang w:val="en-GB" w:eastAsia="en-GB"/>
        </w:rPr>
        <w:t>Disabled applicants and students.</w:t>
      </w:r>
    </w:p>
    <w:p w14:paraId="37D98F52" w14:textId="5F535F0C" w:rsidR="00743B53" w:rsidRPr="00A659D3" w:rsidRDefault="004D43C0" w:rsidP="00916C65">
      <w:pPr>
        <w:pStyle w:val="ListParagraph"/>
        <w:numPr>
          <w:ilvl w:val="0"/>
          <w:numId w:val="10"/>
        </w:numPr>
        <w:ind w:hanging="357"/>
        <w:contextualSpacing w:val="0"/>
        <w:rPr>
          <w:rFonts w:ascii="Titillium" w:eastAsia="Times New Roman" w:hAnsi="Titillium" w:cs="Arial"/>
          <w:sz w:val="22"/>
          <w:szCs w:val="22"/>
          <w:lang w:val="en-GB" w:eastAsia="en-GB"/>
        </w:rPr>
      </w:pPr>
      <w:r w:rsidRPr="004D43C0" w:rsidDel="004D43C0">
        <w:rPr>
          <w:rFonts w:ascii="Titillium" w:eastAsia="Times New Roman" w:hAnsi="Titillium" w:cs="Arial"/>
          <w:sz w:val="22"/>
          <w:szCs w:val="22"/>
          <w:lang w:val="en-GB" w:eastAsia="en-GB"/>
        </w:rPr>
        <w:t xml:space="preserve"> </w:t>
      </w:r>
      <w:r w:rsidR="00743B53" w:rsidRPr="00A659D3">
        <w:rPr>
          <w:rFonts w:ascii="Titillium" w:eastAsia="Times New Roman" w:hAnsi="Titillium" w:cs="Arial"/>
          <w:sz w:val="22"/>
          <w:szCs w:val="22"/>
          <w:lang w:val="en-GB" w:eastAsia="en-GB"/>
        </w:rPr>
        <w:t xml:space="preserve">Other </w:t>
      </w:r>
      <w:r w:rsidR="003402CC" w:rsidRPr="00A659D3">
        <w:rPr>
          <w:rFonts w:ascii="Titillium" w:eastAsia="Times New Roman" w:hAnsi="Titillium" w:cs="Arial"/>
          <w:sz w:val="22"/>
          <w:szCs w:val="22"/>
          <w:lang w:val="en-GB" w:eastAsia="en-GB"/>
        </w:rPr>
        <w:t>backgrounds</w:t>
      </w:r>
      <w:r w:rsidR="000C5B71">
        <w:rPr>
          <w:rFonts w:ascii="Titillium" w:eastAsia="Times New Roman" w:hAnsi="Titillium" w:cs="Arial"/>
          <w:sz w:val="22"/>
          <w:szCs w:val="22"/>
          <w:lang w:val="en-GB" w:eastAsia="en-GB"/>
        </w:rPr>
        <w:t>:</w:t>
      </w:r>
    </w:p>
    <w:p w14:paraId="09039789" w14:textId="69D90862" w:rsidR="004D43C0" w:rsidRPr="00877445" w:rsidRDefault="004D43C0" w:rsidP="002C02DE">
      <w:pPr>
        <w:pStyle w:val="ListParagraph"/>
        <w:numPr>
          <w:ilvl w:val="1"/>
          <w:numId w:val="10"/>
        </w:numPr>
        <w:ind w:left="1418" w:hanging="284"/>
        <w:contextualSpacing w:val="0"/>
        <w:rPr>
          <w:rFonts w:ascii="Titillium" w:hAnsi="Titillium"/>
          <w:sz w:val="22"/>
          <w:lang w:val="en-GB"/>
        </w:rPr>
      </w:pPr>
      <w:r w:rsidRPr="004D43C0">
        <w:rPr>
          <w:rFonts w:ascii="Titillium" w:eastAsia="Times New Roman" w:hAnsi="Titillium" w:cs="Arial"/>
          <w:sz w:val="22"/>
          <w:szCs w:val="22"/>
          <w:lang w:val="en-GB" w:eastAsia="en-GB"/>
        </w:rPr>
        <w:t>Access</w:t>
      </w:r>
      <w:r w:rsidRPr="004D43C0">
        <w:rPr>
          <w:rFonts w:ascii="Titillium" w:hAnsi="Titillium"/>
          <w:sz w:val="22"/>
          <w:lang w:val="en-GB"/>
        </w:rPr>
        <w:t xml:space="preserve"> route (e.g. SWAP) and articulating students from Scotland’s colleges</w:t>
      </w:r>
      <w:r w:rsidRPr="004D43C0">
        <w:rPr>
          <w:rFonts w:ascii="Titillium" w:eastAsia="Times New Roman" w:hAnsi="Titillium" w:cs="Arial"/>
          <w:sz w:val="22"/>
          <w:szCs w:val="22"/>
          <w:lang w:val="en-GB" w:eastAsia="en-GB"/>
        </w:rPr>
        <w:t>;</w:t>
      </w:r>
      <w:r w:rsidRPr="004D43C0">
        <w:rPr>
          <w:rFonts w:ascii="Titillium" w:hAnsi="Titillium"/>
          <w:sz w:val="22"/>
          <w:lang w:val="en-GB"/>
        </w:rPr>
        <w:t xml:space="preserve"> </w:t>
      </w:r>
    </w:p>
    <w:p w14:paraId="7735654C" w14:textId="77777777" w:rsidR="002C02DE" w:rsidRPr="003D4AA0" w:rsidRDefault="002C02DE" w:rsidP="002C02DE">
      <w:pPr>
        <w:pStyle w:val="ListParagraph"/>
        <w:numPr>
          <w:ilvl w:val="1"/>
          <w:numId w:val="10"/>
        </w:numPr>
        <w:ind w:left="1418" w:hanging="284"/>
        <w:contextualSpacing w:val="0"/>
        <w:rPr>
          <w:rFonts w:ascii="Titillium" w:hAnsi="Titillium"/>
          <w:sz w:val="22"/>
          <w:lang w:val="en-GB"/>
        </w:rPr>
      </w:pPr>
      <w:r w:rsidRPr="004D43C0">
        <w:rPr>
          <w:rFonts w:ascii="Titillium" w:eastAsia="Times New Roman" w:hAnsi="Titillium" w:cs="Arial"/>
          <w:sz w:val="22"/>
          <w:szCs w:val="22"/>
          <w:lang w:val="en-GB" w:eastAsia="en-GB"/>
        </w:rPr>
        <w:t>‘First in generation’</w:t>
      </w:r>
      <w:r w:rsidRPr="004D43C0">
        <w:rPr>
          <w:rFonts w:ascii="Titillium" w:hAnsi="Titillium"/>
          <w:sz w:val="22"/>
          <w:lang w:val="en-GB"/>
        </w:rPr>
        <w:t xml:space="preserve"> students</w:t>
      </w:r>
      <w:r w:rsidRPr="004D43C0">
        <w:rPr>
          <w:rFonts w:ascii="Titillium" w:eastAsia="Times New Roman" w:hAnsi="Titillium" w:cs="Arial"/>
          <w:sz w:val="22"/>
          <w:szCs w:val="22"/>
          <w:lang w:val="en-GB" w:eastAsia="en-GB"/>
        </w:rPr>
        <w:t>;</w:t>
      </w:r>
      <w:r w:rsidRPr="004D43C0">
        <w:rPr>
          <w:rFonts w:ascii="Titillium" w:hAnsi="Titillium"/>
          <w:sz w:val="22"/>
          <w:lang w:val="en-GB"/>
        </w:rPr>
        <w:t xml:space="preserve"> </w:t>
      </w:r>
    </w:p>
    <w:p w14:paraId="25E12BE2" w14:textId="63D4888C" w:rsidR="003402CC" w:rsidRPr="004D43C0" w:rsidRDefault="005D078F" w:rsidP="002C02DE">
      <w:pPr>
        <w:pStyle w:val="ListParagraph"/>
        <w:numPr>
          <w:ilvl w:val="1"/>
          <w:numId w:val="10"/>
        </w:numPr>
        <w:ind w:left="1418" w:hanging="284"/>
        <w:contextualSpacing w:val="0"/>
        <w:rPr>
          <w:rFonts w:ascii="Titillium" w:hAnsi="Titillium"/>
          <w:sz w:val="22"/>
          <w:lang w:val="en-GB"/>
        </w:rPr>
      </w:pPr>
      <w:r w:rsidRPr="004D43C0">
        <w:rPr>
          <w:rFonts w:ascii="Titillium" w:eastAsia="Times New Roman" w:hAnsi="Titillium" w:cs="Arial"/>
          <w:sz w:val="22"/>
          <w:szCs w:val="22"/>
          <w:lang w:val="en-GB" w:eastAsia="en-GB"/>
        </w:rPr>
        <w:t>R</w:t>
      </w:r>
      <w:r w:rsidR="00B85C0F" w:rsidRPr="004D43C0">
        <w:rPr>
          <w:rFonts w:ascii="Titillium" w:eastAsia="Times New Roman" w:hAnsi="Titillium" w:cs="Arial"/>
          <w:sz w:val="22"/>
          <w:szCs w:val="22"/>
          <w:lang w:val="en-GB" w:eastAsia="en-GB"/>
        </w:rPr>
        <w:t>efugees</w:t>
      </w:r>
      <w:r w:rsidR="00B85C0F" w:rsidRPr="004D43C0">
        <w:rPr>
          <w:rFonts w:ascii="Titillium" w:hAnsi="Titillium"/>
          <w:sz w:val="22"/>
          <w:lang w:val="en-GB"/>
        </w:rPr>
        <w:t xml:space="preserve"> and the children of refugees</w:t>
      </w:r>
      <w:r w:rsidR="005C49D7" w:rsidRPr="004D43C0">
        <w:rPr>
          <w:rFonts w:ascii="Titillium" w:eastAsia="Times New Roman" w:hAnsi="Titillium" w:cs="Arial"/>
          <w:sz w:val="22"/>
          <w:szCs w:val="22"/>
          <w:lang w:val="en-GB" w:eastAsia="en-GB"/>
        </w:rPr>
        <w:t>;</w:t>
      </w:r>
    </w:p>
    <w:p w14:paraId="431315F4" w14:textId="180F8C67" w:rsidR="00B85C0F" w:rsidRPr="00877445" w:rsidRDefault="005D078F" w:rsidP="002C02DE">
      <w:pPr>
        <w:pStyle w:val="ListParagraph"/>
        <w:numPr>
          <w:ilvl w:val="1"/>
          <w:numId w:val="10"/>
        </w:numPr>
        <w:ind w:left="1418" w:hanging="284"/>
        <w:contextualSpacing w:val="0"/>
        <w:rPr>
          <w:rFonts w:ascii="Titillium" w:hAnsi="Titillium"/>
          <w:sz w:val="22"/>
          <w:lang w:val="en-GB"/>
        </w:rPr>
      </w:pPr>
      <w:r w:rsidRPr="00A659D3">
        <w:rPr>
          <w:rFonts w:ascii="Titillium" w:eastAsia="Times New Roman" w:hAnsi="Titillium" w:cs="Arial"/>
          <w:sz w:val="22"/>
          <w:szCs w:val="22"/>
          <w:lang w:val="en-GB" w:eastAsia="en-GB"/>
        </w:rPr>
        <w:t>A</w:t>
      </w:r>
      <w:r w:rsidR="00B85C0F" w:rsidRPr="00A659D3">
        <w:rPr>
          <w:rFonts w:ascii="Titillium" w:eastAsia="Times New Roman" w:hAnsi="Titillium" w:cs="Arial"/>
          <w:sz w:val="22"/>
          <w:szCs w:val="22"/>
          <w:lang w:val="en-GB" w:eastAsia="en-GB"/>
        </w:rPr>
        <w:t>pplicants</w:t>
      </w:r>
      <w:r w:rsidR="00B85C0F" w:rsidRPr="00877445">
        <w:rPr>
          <w:rFonts w:ascii="Titillium" w:hAnsi="Titillium"/>
          <w:sz w:val="22"/>
          <w:lang w:val="en-GB"/>
        </w:rPr>
        <w:t xml:space="preserve"> from military or ex-military backgrounds, and children from military families with widening </w:t>
      </w:r>
      <w:r w:rsidR="004871C7" w:rsidRPr="00877445">
        <w:rPr>
          <w:rFonts w:ascii="Titillium" w:hAnsi="Titillium"/>
          <w:sz w:val="22"/>
          <w:lang w:val="en-GB"/>
        </w:rPr>
        <w:t>participation</w:t>
      </w:r>
      <w:r w:rsidR="00B85C0F" w:rsidRPr="00877445">
        <w:rPr>
          <w:rFonts w:ascii="Titillium" w:hAnsi="Titillium"/>
          <w:sz w:val="22"/>
          <w:lang w:val="en-GB"/>
        </w:rPr>
        <w:t xml:space="preserve"> criteria</w:t>
      </w:r>
      <w:r w:rsidR="005C49D7" w:rsidRPr="00A659D3">
        <w:rPr>
          <w:rFonts w:ascii="Titillium" w:eastAsia="Times New Roman" w:hAnsi="Titillium" w:cs="Arial"/>
          <w:sz w:val="22"/>
          <w:szCs w:val="22"/>
          <w:lang w:val="en-GB" w:eastAsia="en-GB"/>
        </w:rPr>
        <w:t>.</w:t>
      </w:r>
    </w:p>
    <w:p w14:paraId="540C3D39" w14:textId="02431896" w:rsidR="005B1A53" w:rsidRPr="00A659D3" w:rsidRDefault="00C3396F" w:rsidP="005B1A53">
      <w:pPr>
        <w:spacing w:before="120"/>
        <w:jc w:val="both"/>
        <w:rPr>
          <w:rFonts w:ascii="Titillium" w:eastAsia="Times New Roman" w:hAnsi="Titillium" w:cs="Arial"/>
          <w:color w:val="000000"/>
          <w:sz w:val="22"/>
          <w:szCs w:val="22"/>
          <w:lang w:val="en-GB" w:eastAsia="en-GB"/>
        </w:rPr>
      </w:pPr>
      <w:r w:rsidRPr="00A659D3">
        <w:rPr>
          <w:rFonts w:ascii="Titillium" w:eastAsia="Times New Roman" w:hAnsi="Titillium" w:cs="Arial"/>
          <w:sz w:val="22"/>
          <w:szCs w:val="22"/>
          <w:lang w:val="en-GB" w:eastAsia="en-GB"/>
        </w:rPr>
        <w:t xml:space="preserve">Although we have structured this strategy around </w:t>
      </w:r>
      <w:r w:rsidR="00DD3527" w:rsidRPr="00A659D3">
        <w:rPr>
          <w:rFonts w:ascii="Titillium" w:eastAsia="Times New Roman" w:hAnsi="Titillium" w:cs="Arial"/>
          <w:sz w:val="22"/>
          <w:szCs w:val="22"/>
          <w:lang w:val="en-GB" w:eastAsia="en-GB"/>
        </w:rPr>
        <w:t xml:space="preserve">the three </w:t>
      </w:r>
      <w:r w:rsidRPr="00A659D3">
        <w:rPr>
          <w:rFonts w:ascii="Titillium" w:eastAsia="Times New Roman" w:hAnsi="Titillium" w:cs="Arial"/>
          <w:sz w:val="22"/>
          <w:szCs w:val="22"/>
          <w:lang w:val="en-GB" w:eastAsia="en-GB"/>
        </w:rPr>
        <w:t>key objectives</w:t>
      </w:r>
      <w:r w:rsidR="00F02F07" w:rsidRPr="00A659D3">
        <w:rPr>
          <w:rFonts w:ascii="Titillium" w:eastAsia="Times New Roman" w:hAnsi="Titillium" w:cs="Arial"/>
          <w:sz w:val="22"/>
          <w:szCs w:val="22"/>
          <w:lang w:val="en-GB" w:eastAsia="en-GB"/>
        </w:rPr>
        <w:t xml:space="preserve"> set out below</w:t>
      </w:r>
      <w:r w:rsidRPr="00A659D3">
        <w:rPr>
          <w:rFonts w:ascii="Titillium" w:eastAsia="Times New Roman" w:hAnsi="Titillium" w:cs="Arial"/>
          <w:sz w:val="22"/>
          <w:szCs w:val="22"/>
          <w:lang w:val="en-GB" w:eastAsia="en-GB"/>
        </w:rPr>
        <w:t>, c</w:t>
      </w:r>
      <w:r w:rsidR="00C162D8" w:rsidRPr="00A659D3">
        <w:rPr>
          <w:rFonts w:ascii="Titillium" w:eastAsia="Times New Roman" w:hAnsi="Titillium" w:cs="Arial"/>
          <w:sz w:val="22"/>
          <w:szCs w:val="22"/>
          <w:lang w:val="en-GB" w:eastAsia="en-GB"/>
        </w:rPr>
        <w:t>ross</w:t>
      </w:r>
      <w:r w:rsidR="00C162D8" w:rsidRPr="00A61B33">
        <w:rPr>
          <w:rFonts w:ascii="Titillium" w:hAnsi="Titillium"/>
          <w:sz w:val="22"/>
          <w:lang w:val="en-GB"/>
        </w:rPr>
        <w:t xml:space="preserve">-cutting principles include the need for </w:t>
      </w:r>
      <w:r w:rsidR="00D35987" w:rsidRPr="00A61B33">
        <w:rPr>
          <w:rFonts w:ascii="Titillium" w:hAnsi="Titillium"/>
          <w:sz w:val="22"/>
          <w:lang w:val="en-GB"/>
        </w:rPr>
        <w:t>a strong partnership approach</w:t>
      </w:r>
      <w:r w:rsidR="008832E1" w:rsidRPr="00A61B33">
        <w:rPr>
          <w:rFonts w:ascii="Titillium" w:hAnsi="Titillium"/>
          <w:sz w:val="22"/>
          <w:lang w:val="en-GB"/>
        </w:rPr>
        <w:t xml:space="preserve"> </w:t>
      </w:r>
      <w:r w:rsidR="008832E1" w:rsidRPr="00A659D3">
        <w:rPr>
          <w:rFonts w:ascii="Titillium" w:eastAsia="Times New Roman" w:hAnsi="Titillium" w:cs="Arial"/>
          <w:sz w:val="22"/>
          <w:szCs w:val="22"/>
          <w:lang w:val="en-GB" w:eastAsia="en-GB"/>
        </w:rPr>
        <w:t>and</w:t>
      </w:r>
      <w:r w:rsidR="00D35987" w:rsidRPr="00A659D3">
        <w:rPr>
          <w:rFonts w:ascii="Titillium" w:eastAsia="Times New Roman" w:hAnsi="Titillium" w:cs="Arial"/>
          <w:sz w:val="22"/>
          <w:szCs w:val="22"/>
          <w:lang w:val="en-GB" w:eastAsia="en-GB"/>
        </w:rPr>
        <w:t xml:space="preserve"> </w:t>
      </w:r>
      <w:r w:rsidR="00C162D8" w:rsidRPr="00A61B33">
        <w:rPr>
          <w:rFonts w:ascii="Titillium" w:hAnsi="Titillium"/>
          <w:sz w:val="22"/>
          <w:lang w:val="en-GB"/>
        </w:rPr>
        <w:t>sustained and sustainable interventions, rather than one-off events</w:t>
      </w:r>
      <w:r w:rsidR="008832E1" w:rsidRPr="00A659D3">
        <w:rPr>
          <w:rFonts w:ascii="Titillium" w:eastAsia="Times New Roman" w:hAnsi="Titillium" w:cs="Arial"/>
          <w:sz w:val="22"/>
          <w:szCs w:val="22"/>
          <w:lang w:val="en-GB" w:eastAsia="en-GB"/>
        </w:rPr>
        <w:t>,</w:t>
      </w:r>
      <w:r w:rsidR="00C162D8" w:rsidRPr="00A61B33">
        <w:rPr>
          <w:rFonts w:ascii="Titillium" w:hAnsi="Titillium"/>
          <w:sz w:val="22"/>
          <w:lang w:val="en-GB"/>
        </w:rPr>
        <w:t xml:space="preserve"> with evaluation and measurement of effectiveness and value embedded from the outset</w:t>
      </w:r>
      <w:r w:rsidR="008832E1" w:rsidRPr="00A61B33">
        <w:rPr>
          <w:rFonts w:ascii="Titillium" w:hAnsi="Titillium"/>
          <w:sz w:val="22"/>
          <w:lang w:val="en-GB"/>
        </w:rPr>
        <w:t xml:space="preserve">.  </w:t>
      </w:r>
      <w:r w:rsidR="005B1A53" w:rsidRPr="00A659D3">
        <w:rPr>
          <w:rFonts w:ascii="Titillium" w:eastAsia="Times New Roman" w:hAnsi="Titillium" w:cs="Arial"/>
          <w:sz w:val="22"/>
          <w:szCs w:val="22"/>
          <w:lang w:val="en-GB" w:eastAsia="en-GB"/>
        </w:rPr>
        <w:t>Underpinning</w:t>
      </w:r>
      <w:r w:rsidR="005B1A53" w:rsidRPr="00A61B33">
        <w:rPr>
          <w:rFonts w:ascii="Titillium" w:hAnsi="Titillium"/>
          <w:sz w:val="22"/>
          <w:lang w:val="en-GB"/>
        </w:rPr>
        <w:t xml:space="preserve"> data and research will </w:t>
      </w:r>
      <w:r w:rsidRPr="00A659D3">
        <w:rPr>
          <w:rFonts w:ascii="Titillium" w:eastAsia="Times New Roman" w:hAnsi="Titillium" w:cs="Arial"/>
          <w:sz w:val="22"/>
          <w:szCs w:val="22"/>
          <w:lang w:val="en-GB" w:eastAsia="en-GB"/>
        </w:rPr>
        <w:t xml:space="preserve">be used </w:t>
      </w:r>
      <w:r w:rsidR="005B1A53" w:rsidRPr="00A61B33">
        <w:rPr>
          <w:rFonts w:ascii="Titillium" w:hAnsi="Titillium"/>
          <w:sz w:val="22"/>
          <w:lang w:val="en-GB"/>
        </w:rPr>
        <w:t xml:space="preserve">both </w:t>
      </w:r>
      <w:r w:rsidR="000C5B71">
        <w:rPr>
          <w:rFonts w:ascii="Titillium" w:hAnsi="Titillium"/>
          <w:sz w:val="22"/>
          <w:lang w:val="en-GB"/>
        </w:rPr>
        <w:t xml:space="preserve">to </w:t>
      </w:r>
      <w:r w:rsidR="005B1A53" w:rsidRPr="00A61B33">
        <w:rPr>
          <w:rFonts w:ascii="Titillium" w:hAnsi="Titillium"/>
          <w:sz w:val="22"/>
          <w:lang w:val="en-GB"/>
        </w:rPr>
        <w:t>inform future actions and monitor effectiveness.</w:t>
      </w:r>
    </w:p>
    <w:p w14:paraId="0B2A8099" w14:textId="77777777" w:rsidR="00A659D3" w:rsidRPr="00A61B33" w:rsidRDefault="00A659D3" w:rsidP="008832E1">
      <w:pPr>
        <w:spacing w:before="120" w:after="120"/>
        <w:jc w:val="both"/>
        <w:rPr>
          <w:rFonts w:ascii="Titillium" w:eastAsia="Times New Roman" w:hAnsi="Titillium" w:cs="Arial"/>
          <w:b/>
          <w:sz w:val="22"/>
          <w:szCs w:val="22"/>
          <w:lang w:val="en-GB" w:eastAsia="en-GB"/>
        </w:rPr>
      </w:pPr>
      <w:r w:rsidRPr="00A61B33">
        <w:rPr>
          <w:rFonts w:ascii="Titillium" w:eastAsia="Times New Roman" w:hAnsi="Titillium" w:cs="Arial"/>
          <w:b/>
          <w:sz w:val="22"/>
          <w:szCs w:val="22"/>
          <w:lang w:val="en-GB" w:eastAsia="en-GB"/>
        </w:rPr>
        <w:t>Partnership</w:t>
      </w:r>
    </w:p>
    <w:p w14:paraId="7C522687" w14:textId="1779F0C9" w:rsidR="00C162D8" w:rsidRPr="00A61B33" w:rsidRDefault="00A659D3" w:rsidP="00A61B33">
      <w:pPr>
        <w:spacing w:before="120" w:after="120"/>
        <w:jc w:val="both"/>
        <w:rPr>
          <w:rFonts w:ascii="Titillium" w:hAnsi="Titillium"/>
          <w:b/>
          <w:i/>
          <w:sz w:val="22"/>
          <w:lang w:val="en-GB"/>
        </w:rPr>
      </w:pPr>
      <w:r w:rsidRPr="00A61B33">
        <w:rPr>
          <w:rFonts w:ascii="Titillium" w:hAnsi="Titillium"/>
          <w:sz w:val="22"/>
          <w:lang w:val="en-GB"/>
        </w:rPr>
        <w:t>T</w:t>
      </w:r>
      <w:r w:rsidR="00C162D8" w:rsidRPr="00A61B33">
        <w:rPr>
          <w:rFonts w:ascii="Titillium" w:hAnsi="Titillium"/>
          <w:sz w:val="22"/>
          <w:lang w:val="en-GB"/>
        </w:rPr>
        <w:t>he successful implementation of this Strategy will require collaboration and partnership working, both internally between the academic Schools</w:t>
      </w:r>
      <w:r w:rsidR="00C8102E" w:rsidRPr="00A61B33">
        <w:rPr>
          <w:rFonts w:ascii="Titillium" w:hAnsi="Titillium"/>
          <w:sz w:val="22"/>
          <w:lang w:val="en-GB"/>
        </w:rPr>
        <w:t>,</w:t>
      </w:r>
      <w:r w:rsidR="00C162D8" w:rsidRPr="00A61B33">
        <w:rPr>
          <w:rFonts w:ascii="Titillium" w:hAnsi="Titillium"/>
          <w:sz w:val="22"/>
          <w:lang w:val="en-GB"/>
        </w:rPr>
        <w:t xml:space="preserve"> Professional Services</w:t>
      </w:r>
      <w:r w:rsidR="00C8102E" w:rsidRPr="00A61B33">
        <w:rPr>
          <w:rFonts w:ascii="Titillium" w:hAnsi="Titillium"/>
          <w:sz w:val="22"/>
          <w:lang w:val="en-GB"/>
        </w:rPr>
        <w:t>, ENSA and students</w:t>
      </w:r>
      <w:r w:rsidR="00C162D8" w:rsidRPr="00A61B33">
        <w:rPr>
          <w:rFonts w:ascii="Titillium" w:hAnsi="Titillium"/>
          <w:sz w:val="22"/>
          <w:lang w:val="en-GB"/>
        </w:rPr>
        <w:t xml:space="preserve">, and externally with partners including other universities, colleges, primary and secondary schools, local authorities, SHEP programmes, industry and third sector organisations.  In addition, </w:t>
      </w:r>
      <w:r w:rsidR="00BC22A6">
        <w:rPr>
          <w:rFonts w:ascii="Titillium" w:hAnsi="Titillium"/>
          <w:sz w:val="22"/>
          <w:lang w:val="en-GB"/>
        </w:rPr>
        <w:t>we</w:t>
      </w:r>
      <w:r w:rsidR="00C162D8" w:rsidRPr="00A61B33">
        <w:rPr>
          <w:rFonts w:ascii="Titillium" w:hAnsi="Titillium"/>
          <w:sz w:val="22"/>
          <w:lang w:val="en-GB"/>
        </w:rPr>
        <w:t xml:space="preserve"> will develop strategies and initiatives which will seek to harness the experiences and skills of our alumni and current student populations to provide role models and mentoring to under-represented groups.  We will work closely with regional partners to maximise the sustainability and impact of our outreach work.</w:t>
      </w:r>
    </w:p>
    <w:p w14:paraId="36EB8197" w14:textId="77777777" w:rsidR="00DA6EAD" w:rsidRDefault="00DA6EAD">
      <w:pPr>
        <w:spacing w:after="160" w:line="259" w:lineRule="auto"/>
        <w:rPr>
          <w:rFonts w:ascii="Titillium" w:eastAsia="Times New Roman" w:hAnsi="Titillium" w:cs="Arial"/>
          <w:b/>
          <w:sz w:val="22"/>
          <w:szCs w:val="22"/>
          <w:lang w:val="en-GB" w:eastAsia="en-GB"/>
        </w:rPr>
      </w:pPr>
      <w:r>
        <w:rPr>
          <w:rFonts w:ascii="Titillium" w:eastAsia="Times New Roman" w:hAnsi="Titillium" w:cs="Arial"/>
          <w:b/>
          <w:sz w:val="22"/>
          <w:szCs w:val="22"/>
          <w:lang w:val="en-GB" w:eastAsia="en-GB"/>
        </w:rPr>
        <w:br w:type="page"/>
      </w:r>
    </w:p>
    <w:p w14:paraId="131A07FF" w14:textId="78141EB8" w:rsidR="00A659D3" w:rsidRPr="00A61B33" w:rsidRDefault="005B1A53" w:rsidP="00307598">
      <w:pPr>
        <w:spacing w:before="120" w:after="120"/>
        <w:jc w:val="both"/>
        <w:rPr>
          <w:rFonts w:ascii="Titillium" w:eastAsia="Times New Roman" w:hAnsi="Titillium" w:cs="Arial"/>
          <w:b/>
          <w:sz w:val="22"/>
          <w:szCs w:val="22"/>
          <w:lang w:val="en-GB" w:eastAsia="en-GB"/>
        </w:rPr>
      </w:pPr>
      <w:r w:rsidRPr="00A61B33">
        <w:rPr>
          <w:rFonts w:ascii="Titillium" w:eastAsia="Times New Roman" w:hAnsi="Titillium" w:cs="Arial"/>
          <w:b/>
          <w:sz w:val="22"/>
          <w:szCs w:val="22"/>
          <w:lang w:val="en-GB" w:eastAsia="en-GB"/>
        </w:rPr>
        <w:lastRenderedPageBreak/>
        <w:t>Sustainability and timescale</w:t>
      </w:r>
    </w:p>
    <w:p w14:paraId="1912ABB6" w14:textId="26AE3903" w:rsidR="00C162D8" w:rsidRPr="00A61B33" w:rsidRDefault="00A659D3" w:rsidP="00A61B33">
      <w:pPr>
        <w:spacing w:before="120" w:after="120"/>
        <w:jc w:val="both"/>
        <w:rPr>
          <w:rFonts w:ascii="Titillium" w:hAnsi="Titillium"/>
          <w:b/>
          <w:i/>
          <w:sz w:val="22"/>
          <w:lang w:val="en-GB"/>
        </w:rPr>
      </w:pPr>
      <w:r w:rsidRPr="00A61B33">
        <w:rPr>
          <w:rFonts w:ascii="Titillium" w:hAnsi="Titillium"/>
          <w:sz w:val="22"/>
          <w:lang w:val="en-GB"/>
        </w:rPr>
        <w:t>Th</w:t>
      </w:r>
      <w:r w:rsidR="00744019" w:rsidRPr="00A61B33">
        <w:rPr>
          <w:rFonts w:ascii="Titillium" w:hAnsi="Titillium"/>
          <w:sz w:val="22"/>
          <w:lang w:val="en-GB"/>
        </w:rPr>
        <w:t xml:space="preserve">is Strategy has been developed to take both a long-term view designed to meet the needs of </w:t>
      </w:r>
      <w:r w:rsidR="008832E1" w:rsidRPr="00A659D3">
        <w:rPr>
          <w:rFonts w:ascii="Titillium" w:eastAsia="Times New Roman" w:hAnsi="Titillium" w:cs="Arial"/>
          <w:sz w:val="22"/>
          <w:szCs w:val="22"/>
          <w:lang w:val="en-GB" w:eastAsia="en-GB"/>
        </w:rPr>
        <w:t xml:space="preserve">the </w:t>
      </w:r>
      <w:r w:rsidR="00744019" w:rsidRPr="00A659D3">
        <w:rPr>
          <w:rFonts w:ascii="Titillium" w:eastAsia="Times New Roman" w:hAnsi="Titillium" w:cs="Arial"/>
          <w:sz w:val="22"/>
          <w:szCs w:val="22"/>
          <w:lang w:val="en-GB" w:eastAsia="en-GB"/>
        </w:rPr>
        <w:t>“</w:t>
      </w:r>
      <w:r w:rsidR="00744019" w:rsidRPr="00A61B33">
        <w:rPr>
          <w:rFonts w:ascii="Titillium" w:hAnsi="Titillium"/>
          <w:sz w:val="22"/>
          <w:lang w:val="en-GB"/>
        </w:rPr>
        <w:t>child</w:t>
      </w:r>
      <w:r w:rsidR="008832E1" w:rsidRPr="00A659D3">
        <w:rPr>
          <w:rFonts w:ascii="Titillium" w:eastAsia="Times New Roman" w:hAnsi="Titillium" w:cs="Arial"/>
          <w:sz w:val="22"/>
          <w:szCs w:val="22"/>
          <w:lang w:val="en-GB" w:eastAsia="en-GB"/>
        </w:rPr>
        <w:t xml:space="preserve"> born today</w:t>
      </w:r>
      <w:r w:rsidR="00744019" w:rsidRPr="00A61B33">
        <w:rPr>
          <w:rFonts w:ascii="Titillium" w:hAnsi="Titillium"/>
          <w:sz w:val="22"/>
          <w:lang w:val="en-GB"/>
        </w:rPr>
        <w:t xml:space="preserve">”, while bearing in mind the needs of today’s teenagers and adult returners.  </w:t>
      </w:r>
      <w:r w:rsidR="00F02F07" w:rsidRPr="00A659D3">
        <w:rPr>
          <w:rFonts w:ascii="Titillium" w:eastAsia="Times New Roman" w:hAnsi="Titillium" w:cs="Arial"/>
          <w:sz w:val="22"/>
          <w:szCs w:val="22"/>
          <w:lang w:val="en-GB" w:eastAsia="en-GB"/>
        </w:rPr>
        <w:t>S</w:t>
      </w:r>
      <w:r w:rsidR="00C8102E" w:rsidRPr="00A659D3">
        <w:rPr>
          <w:rFonts w:ascii="Titillium" w:eastAsia="Times New Roman" w:hAnsi="Titillium" w:cs="Arial"/>
          <w:sz w:val="22"/>
          <w:szCs w:val="22"/>
          <w:lang w:val="en-GB" w:eastAsia="en-GB"/>
        </w:rPr>
        <w:t>ome</w:t>
      </w:r>
      <w:r w:rsidR="00C8102E" w:rsidRPr="00A61B33">
        <w:rPr>
          <w:rFonts w:ascii="Titillium" w:hAnsi="Titillium"/>
          <w:sz w:val="22"/>
          <w:lang w:val="en-GB"/>
        </w:rPr>
        <w:t xml:space="preserve"> of the delivery mechanisms/actions in this Strategy will</w:t>
      </w:r>
      <w:r w:rsidR="00C8102E" w:rsidRPr="00A659D3">
        <w:rPr>
          <w:rFonts w:ascii="Titillium" w:eastAsia="Times New Roman" w:hAnsi="Titillium" w:cs="Arial"/>
          <w:sz w:val="22"/>
          <w:szCs w:val="22"/>
          <w:lang w:val="en-GB" w:eastAsia="en-GB"/>
        </w:rPr>
        <w:t xml:space="preserve"> </w:t>
      </w:r>
      <w:r w:rsidR="00F02F07" w:rsidRPr="00A659D3">
        <w:rPr>
          <w:rFonts w:ascii="Titillium" w:eastAsia="Times New Roman" w:hAnsi="Titillium" w:cs="Arial"/>
          <w:sz w:val="22"/>
          <w:szCs w:val="22"/>
          <w:lang w:val="en-GB" w:eastAsia="en-GB"/>
        </w:rPr>
        <w:t>therefore</w:t>
      </w:r>
      <w:r w:rsidR="00F02F07" w:rsidRPr="00A61B33">
        <w:rPr>
          <w:rFonts w:ascii="Titillium" w:hAnsi="Titillium"/>
          <w:sz w:val="22"/>
          <w:lang w:val="en-GB"/>
        </w:rPr>
        <w:t xml:space="preserve"> </w:t>
      </w:r>
      <w:r w:rsidR="00C8102E" w:rsidRPr="00A61B33">
        <w:rPr>
          <w:rFonts w:ascii="Titillium" w:hAnsi="Titillium"/>
          <w:sz w:val="22"/>
          <w:lang w:val="en-GB"/>
        </w:rPr>
        <w:t>have a short-term impact on the numbers of students entering, progressing and leaving the University</w:t>
      </w:r>
      <w:r w:rsidR="00C3396F" w:rsidRPr="00A659D3">
        <w:rPr>
          <w:rFonts w:ascii="Titillium" w:eastAsia="Times New Roman" w:hAnsi="Titillium" w:cs="Arial"/>
          <w:sz w:val="22"/>
          <w:szCs w:val="22"/>
          <w:lang w:val="en-GB" w:eastAsia="en-GB"/>
        </w:rPr>
        <w:t>, whilst o</w:t>
      </w:r>
      <w:r w:rsidR="00C8102E" w:rsidRPr="00A659D3">
        <w:rPr>
          <w:rFonts w:ascii="Titillium" w:eastAsia="Times New Roman" w:hAnsi="Titillium" w:cs="Arial"/>
          <w:sz w:val="22"/>
          <w:szCs w:val="22"/>
          <w:lang w:val="en-GB" w:eastAsia="en-GB"/>
        </w:rPr>
        <w:t>thers</w:t>
      </w:r>
      <w:r w:rsidR="00F02F07" w:rsidRPr="00A659D3">
        <w:rPr>
          <w:rFonts w:ascii="Titillium" w:eastAsia="Times New Roman" w:hAnsi="Titillium" w:cs="Arial"/>
          <w:sz w:val="22"/>
          <w:szCs w:val="22"/>
          <w:lang w:val="en-GB" w:eastAsia="en-GB"/>
        </w:rPr>
        <w:t>,</w:t>
      </w:r>
      <w:r w:rsidR="00C8102E" w:rsidRPr="00A659D3">
        <w:rPr>
          <w:rFonts w:ascii="Titillium" w:eastAsia="Times New Roman" w:hAnsi="Titillium" w:cs="Arial"/>
          <w:sz w:val="22"/>
          <w:szCs w:val="22"/>
          <w:lang w:val="en-GB" w:eastAsia="en-GB"/>
        </w:rPr>
        <w:t xml:space="preserve"> </w:t>
      </w:r>
      <w:r w:rsidR="00C3396F" w:rsidRPr="00A659D3">
        <w:rPr>
          <w:rFonts w:ascii="Titillium" w:eastAsia="Times New Roman" w:hAnsi="Titillium" w:cs="Arial"/>
          <w:sz w:val="22"/>
          <w:szCs w:val="22"/>
          <w:lang w:val="en-GB" w:eastAsia="en-GB"/>
        </w:rPr>
        <w:t>such as</w:t>
      </w:r>
      <w:r w:rsidR="00C3396F" w:rsidRPr="00A61B33">
        <w:rPr>
          <w:rFonts w:ascii="Titillium" w:hAnsi="Titillium"/>
          <w:sz w:val="22"/>
          <w:lang w:val="en-GB"/>
        </w:rPr>
        <w:t xml:space="preserve"> attainment gap work with primary school pupils and parents</w:t>
      </w:r>
      <w:r w:rsidR="00F02F07" w:rsidRPr="00A659D3">
        <w:rPr>
          <w:rFonts w:ascii="Titillium" w:eastAsia="Times New Roman" w:hAnsi="Titillium" w:cs="Arial"/>
          <w:sz w:val="22"/>
          <w:szCs w:val="22"/>
          <w:lang w:val="en-GB" w:eastAsia="en-GB"/>
        </w:rPr>
        <w:t>,</w:t>
      </w:r>
      <w:r w:rsidR="00C3396F" w:rsidRPr="00A659D3">
        <w:rPr>
          <w:rFonts w:ascii="Titillium" w:eastAsia="Times New Roman" w:hAnsi="Titillium" w:cs="Arial"/>
          <w:sz w:val="22"/>
          <w:szCs w:val="22"/>
          <w:lang w:val="en-GB" w:eastAsia="en-GB"/>
        </w:rPr>
        <w:t xml:space="preserve"> </w:t>
      </w:r>
      <w:r w:rsidR="00307598" w:rsidRPr="00A659D3">
        <w:rPr>
          <w:rFonts w:ascii="Titillium" w:eastAsia="Times New Roman" w:hAnsi="Titillium" w:cs="Arial"/>
          <w:sz w:val="22"/>
          <w:szCs w:val="22"/>
          <w:lang w:val="en-GB" w:eastAsia="en-GB"/>
        </w:rPr>
        <w:t>will have longer-term impacts.</w:t>
      </w:r>
    </w:p>
    <w:p w14:paraId="33BD7F6D" w14:textId="0C03FF1C" w:rsidR="005B1A53" w:rsidRPr="00867F38" w:rsidRDefault="00960000" w:rsidP="00B56AF0">
      <w:pPr>
        <w:jc w:val="both"/>
        <w:rPr>
          <w:rFonts w:ascii="Titillium" w:eastAsia="Times New Roman" w:hAnsi="Titillium" w:cs="Arial"/>
          <w:color w:val="000000"/>
          <w:szCs w:val="24"/>
          <w:lang w:val="en-GB" w:eastAsia="en-GB"/>
        </w:rPr>
      </w:pPr>
      <w:r>
        <w:rPr>
          <w:rFonts w:ascii="Titillium" w:eastAsia="Times New Roman" w:hAnsi="Titillium" w:cs="Arial"/>
          <w:b/>
          <w:bCs/>
          <w:color w:val="000080"/>
          <w:szCs w:val="24"/>
          <w:lang w:val="en-GB" w:eastAsia="en-GB"/>
        </w:rPr>
        <w:pict w14:anchorId="42A69737">
          <v:rect id="_x0000_i1031" style="width:0;height:1.5pt" o:hralign="center" o:hrstd="t" o:hr="t" fillcolor="#aca899" stroked="f"/>
        </w:pict>
      </w:r>
    </w:p>
    <w:p w14:paraId="7520450E" w14:textId="77777777" w:rsidR="00284BDA" w:rsidRPr="00867F38" w:rsidRDefault="00284BDA" w:rsidP="00284BDA">
      <w:pPr>
        <w:spacing w:before="120"/>
        <w:jc w:val="both"/>
        <w:rPr>
          <w:rFonts w:ascii="Titillium" w:eastAsia="Times New Roman" w:hAnsi="Titillium" w:cs="Arial"/>
          <w:color w:val="000000"/>
          <w:szCs w:val="24"/>
          <w:lang w:val="en-GB" w:eastAsia="en-GB"/>
        </w:rPr>
      </w:pPr>
      <w:r w:rsidRPr="00867F38">
        <w:rPr>
          <w:rFonts w:ascii="Titillium" w:eastAsia="Times New Roman" w:hAnsi="Titillium" w:cs="Arial"/>
          <w:color w:val="000000"/>
          <w:szCs w:val="24"/>
          <w:lang w:val="en-GB" w:eastAsia="en-GB"/>
        </w:rPr>
        <w:t>To achieve our aim we will:</w:t>
      </w:r>
    </w:p>
    <w:p w14:paraId="720625B2" w14:textId="1C724333" w:rsidR="00284BDA" w:rsidRPr="00867F38" w:rsidRDefault="001C3095" w:rsidP="00994383">
      <w:pPr>
        <w:numPr>
          <w:ilvl w:val="0"/>
          <w:numId w:val="27"/>
        </w:numPr>
        <w:spacing w:before="120" w:after="120" w:line="276" w:lineRule="auto"/>
        <w:jc w:val="both"/>
        <w:rPr>
          <w:rFonts w:ascii="Titillium" w:eastAsia="Arial Unicode MS" w:hAnsi="Titillium" w:cs="Arial"/>
          <w:szCs w:val="24"/>
          <w:lang w:val="en-GB" w:eastAsia="en-GB"/>
        </w:rPr>
      </w:pPr>
      <w:r w:rsidRPr="00867F38">
        <w:rPr>
          <w:rFonts w:ascii="Titillium" w:eastAsia="Arial Unicode MS" w:hAnsi="Titillium" w:cs="Arial"/>
          <w:b/>
          <w:bCs/>
          <w:color w:val="003366"/>
          <w:szCs w:val="24"/>
          <w:lang w:val="en-GB" w:eastAsia="en-GB"/>
        </w:rPr>
        <w:t xml:space="preserve">Raise </w:t>
      </w:r>
      <w:r w:rsidR="000C26C0">
        <w:rPr>
          <w:rFonts w:ascii="Titillium" w:eastAsia="Arial Unicode MS" w:hAnsi="Titillium" w:cs="Arial"/>
          <w:b/>
          <w:bCs/>
          <w:color w:val="003366"/>
          <w:szCs w:val="24"/>
          <w:lang w:val="en-GB" w:eastAsia="en-GB"/>
        </w:rPr>
        <w:t>expectations</w:t>
      </w:r>
      <w:r w:rsidR="000C26C0" w:rsidRPr="00867F38">
        <w:rPr>
          <w:rFonts w:ascii="Titillium" w:eastAsia="Arial Unicode MS" w:hAnsi="Titillium" w:cs="Arial"/>
          <w:b/>
          <w:bCs/>
          <w:color w:val="003366"/>
          <w:szCs w:val="24"/>
          <w:lang w:val="en-GB" w:eastAsia="en-GB"/>
        </w:rPr>
        <w:t xml:space="preserve"> </w:t>
      </w:r>
      <w:r w:rsidRPr="00867F38">
        <w:rPr>
          <w:rFonts w:ascii="Titillium" w:eastAsia="Arial Unicode MS" w:hAnsi="Titillium" w:cs="Arial"/>
          <w:b/>
          <w:bCs/>
          <w:color w:val="003366"/>
          <w:szCs w:val="24"/>
          <w:lang w:val="en-GB" w:eastAsia="en-GB"/>
        </w:rPr>
        <w:t>and drive increased attainment in our communities</w:t>
      </w:r>
    </w:p>
    <w:p w14:paraId="70E11A91" w14:textId="5647C66A" w:rsidR="00284BDA" w:rsidRPr="00867F38" w:rsidRDefault="005540ED" w:rsidP="00994383">
      <w:pPr>
        <w:numPr>
          <w:ilvl w:val="0"/>
          <w:numId w:val="27"/>
        </w:numPr>
        <w:spacing w:before="120" w:after="120" w:line="276" w:lineRule="auto"/>
        <w:jc w:val="both"/>
        <w:rPr>
          <w:rFonts w:ascii="Titillium" w:eastAsia="Arial Unicode MS" w:hAnsi="Titillium" w:cs="Arial"/>
          <w:szCs w:val="24"/>
          <w:lang w:val="en-GB" w:eastAsia="en-GB"/>
        </w:rPr>
      </w:pPr>
      <w:r w:rsidRPr="00867F38">
        <w:rPr>
          <w:rFonts w:ascii="Titillium" w:eastAsia="Arial Unicode MS" w:hAnsi="Titillium" w:cs="Arial"/>
          <w:b/>
          <w:bCs/>
          <w:color w:val="003366"/>
          <w:szCs w:val="24"/>
          <w:lang w:val="en-GB" w:eastAsia="en-GB"/>
        </w:rPr>
        <w:t>Provide tailored transitions: moving in, moving through and moving on</w:t>
      </w:r>
    </w:p>
    <w:p w14:paraId="552990A5" w14:textId="7D52063B" w:rsidR="001C3095" w:rsidRPr="00A61B33" w:rsidRDefault="001C3095" w:rsidP="00994383">
      <w:pPr>
        <w:numPr>
          <w:ilvl w:val="0"/>
          <w:numId w:val="27"/>
        </w:numPr>
        <w:spacing w:before="120" w:after="160" w:line="259" w:lineRule="auto"/>
        <w:jc w:val="both"/>
        <w:rPr>
          <w:rFonts w:ascii="Titillium" w:hAnsi="Titillium"/>
          <w:b/>
          <w:color w:val="003366"/>
          <w:lang w:val="en-GB"/>
        </w:rPr>
      </w:pPr>
      <w:r w:rsidRPr="00867F38">
        <w:rPr>
          <w:rFonts w:ascii="Titillium" w:eastAsia="Arial Unicode MS" w:hAnsi="Titillium" w:cs="Arial"/>
          <w:b/>
          <w:bCs/>
          <w:color w:val="003366"/>
          <w:szCs w:val="24"/>
          <w:lang w:val="en-GB" w:eastAsia="en-GB"/>
        </w:rPr>
        <w:t xml:space="preserve">Embed reporting and evaluative </w:t>
      </w:r>
      <w:r w:rsidR="005B1A53" w:rsidRPr="00867F38">
        <w:rPr>
          <w:rFonts w:ascii="Titillium" w:eastAsia="Arial Unicode MS" w:hAnsi="Titillium" w:cs="Arial"/>
          <w:b/>
          <w:bCs/>
          <w:color w:val="003366"/>
          <w:szCs w:val="24"/>
          <w:lang w:val="en-GB" w:eastAsia="en-GB"/>
        </w:rPr>
        <w:t xml:space="preserve">practices </w:t>
      </w:r>
      <w:r w:rsidR="00F02F07" w:rsidRPr="00867F38">
        <w:rPr>
          <w:rFonts w:ascii="Titillium" w:eastAsia="Arial Unicode MS" w:hAnsi="Titillium" w:cs="Arial"/>
          <w:b/>
          <w:bCs/>
          <w:color w:val="003366"/>
          <w:szCs w:val="24"/>
          <w:lang w:val="en-GB" w:eastAsia="en-GB"/>
        </w:rPr>
        <w:t>to ensure an evidence</w:t>
      </w:r>
      <w:r w:rsidR="006A5B49">
        <w:rPr>
          <w:rFonts w:ascii="Titillium" w:eastAsia="Arial Unicode MS" w:hAnsi="Titillium" w:cs="Arial"/>
          <w:b/>
          <w:bCs/>
          <w:color w:val="003366"/>
          <w:szCs w:val="24"/>
          <w:lang w:val="en-GB" w:eastAsia="en-GB"/>
        </w:rPr>
        <w:t>-</w:t>
      </w:r>
      <w:r w:rsidR="00F02F07" w:rsidRPr="00867F38">
        <w:rPr>
          <w:rFonts w:ascii="Titillium" w:eastAsia="Arial Unicode MS" w:hAnsi="Titillium" w:cs="Arial"/>
          <w:b/>
          <w:bCs/>
          <w:color w:val="003366"/>
          <w:szCs w:val="24"/>
          <w:lang w:val="en-GB" w:eastAsia="en-GB"/>
        </w:rPr>
        <w:t>based approach</w:t>
      </w:r>
    </w:p>
    <w:p w14:paraId="090DFBE6" w14:textId="77777777" w:rsidR="001C3095" w:rsidRPr="00867F38" w:rsidRDefault="001C3095" w:rsidP="001C3095">
      <w:pPr>
        <w:spacing w:before="120" w:after="160" w:line="259" w:lineRule="auto"/>
        <w:jc w:val="both"/>
        <w:rPr>
          <w:rFonts w:ascii="Titillium" w:eastAsia="Arial Unicode MS" w:hAnsi="Titillium" w:cs="Arial"/>
          <w:b/>
          <w:bCs/>
          <w:szCs w:val="24"/>
          <w:lang w:val="en-GB" w:eastAsia="en-GB"/>
        </w:rPr>
        <w:sectPr w:rsidR="001C3095" w:rsidRPr="00867F38" w:rsidSect="00325155">
          <w:headerReference w:type="even" r:id="rId14"/>
          <w:headerReference w:type="default" r:id="rId15"/>
          <w:headerReference w:type="first" r:id="rId16"/>
          <w:pgSz w:w="16838" w:h="11906" w:orient="landscape"/>
          <w:pgMar w:top="1440" w:right="1080" w:bottom="1440" w:left="1080" w:header="708" w:footer="708" w:gutter="0"/>
          <w:cols w:space="708"/>
          <w:docGrid w:linePitch="360"/>
        </w:sectPr>
      </w:pPr>
    </w:p>
    <w:p w14:paraId="542C92EF" w14:textId="77352700" w:rsidR="00284BDA" w:rsidRPr="00867F38" w:rsidRDefault="00284BDA" w:rsidP="00FA6083">
      <w:pPr>
        <w:spacing w:before="120" w:after="160" w:line="259" w:lineRule="auto"/>
        <w:jc w:val="both"/>
        <w:rPr>
          <w:rFonts w:ascii="Titillium" w:eastAsia="Arial Unicode MS" w:hAnsi="Titillium" w:cs="Arial"/>
          <w:b/>
          <w:bCs/>
          <w:color w:val="003366"/>
          <w:sz w:val="28"/>
          <w:szCs w:val="28"/>
          <w:lang w:val="en-GB" w:eastAsia="en-GB"/>
        </w:rPr>
      </w:pPr>
      <w:r w:rsidRPr="00867F38">
        <w:rPr>
          <w:rFonts w:ascii="Titillium" w:eastAsia="Arial Unicode MS" w:hAnsi="Titillium" w:cs="Arial"/>
          <w:b/>
          <w:bCs/>
          <w:color w:val="003366"/>
          <w:sz w:val="28"/>
          <w:szCs w:val="28"/>
          <w:lang w:val="en-GB" w:eastAsia="en-GB"/>
        </w:rPr>
        <w:lastRenderedPageBreak/>
        <w:t>1.</w:t>
      </w:r>
      <w:r w:rsidR="00330CA9" w:rsidRPr="00867F38">
        <w:rPr>
          <w:rFonts w:ascii="Titillium" w:eastAsia="Arial Unicode MS" w:hAnsi="Titillium" w:cs="Arial"/>
          <w:b/>
          <w:bCs/>
          <w:color w:val="003366"/>
          <w:szCs w:val="24"/>
          <w:lang w:val="en-GB" w:eastAsia="en-GB"/>
        </w:rPr>
        <w:t xml:space="preserve"> </w:t>
      </w:r>
      <w:r w:rsidR="00330CA9" w:rsidRPr="00867F38">
        <w:rPr>
          <w:rFonts w:ascii="Titillium" w:eastAsia="Arial Unicode MS" w:hAnsi="Titillium" w:cs="Arial"/>
          <w:b/>
          <w:bCs/>
          <w:color w:val="003366"/>
          <w:sz w:val="28"/>
          <w:szCs w:val="28"/>
          <w:lang w:val="en-GB" w:eastAsia="en-GB"/>
        </w:rPr>
        <w:t xml:space="preserve">Raise </w:t>
      </w:r>
      <w:r w:rsidR="00D35987" w:rsidRPr="00867F38">
        <w:rPr>
          <w:rFonts w:ascii="Titillium" w:eastAsia="Arial Unicode MS" w:hAnsi="Titillium" w:cs="Arial"/>
          <w:b/>
          <w:bCs/>
          <w:color w:val="003366"/>
          <w:sz w:val="28"/>
          <w:szCs w:val="28"/>
          <w:lang w:val="en-GB" w:eastAsia="en-GB"/>
        </w:rPr>
        <w:t>expectations</w:t>
      </w:r>
      <w:r w:rsidR="00330CA9" w:rsidRPr="00867F38">
        <w:rPr>
          <w:rFonts w:ascii="Titillium" w:eastAsia="Arial Unicode MS" w:hAnsi="Titillium" w:cs="Arial"/>
          <w:b/>
          <w:bCs/>
          <w:color w:val="003366"/>
          <w:sz w:val="28"/>
          <w:szCs w:val="28"/>
          <w:lang w:val="en-GB" w:eastAsia="en-GB"/>
        </w:rPr>
        <w:t xml:space="preserve"> and drive increased attainment in our communities</w:t>
      </w:r>
    </w:p>
    <w:p w14:paraId="4D0DC1C6" w14:textId="5D96016D" w:rsidR="00284BDA" w:rsidRPr="00867F38" w:rsidRDefault="00284BDA" w:rsidP="00284BDA">
      <w:pPr>
        <w:spacing w:before="240" w:after="120"/>
        <w:jc w:val="both"/>
        <w:rPr>
          <w:rFonts w:ascii="Titillium" w:eastAsia="Arial Unicode MS" w:hAnsi="Titillium" w:cs="Arial"/>
          <w:b/>
          <w:color w:val="003366"/>
          <w:szCs w:val="24"/>
          <w:lang w:val="en-GB" w:eastAsia="en-GB"/>
        </w:rPr>
      </w:pPr>
      <w:r w:rsidRPr="00867F38">
        <w:rPr>
          <w:rFonts w:ascii="Titillium" w:eastAsia="Arial Unicode MS" w:hAnsi="Titillium" w:cs="Arial"/>
          <w:b/>
          <w:color w:val="003366"/>
          <w:szCs w:val="24"/>
          <w:lang w:val="en-GB" w:eastAsia="en-GB"/>
        </w:rPr>
        <w:t>Background</w:t>
      </w:r>
    </w:p>
    <w:p w14:paraId="4971775D" w14:textId="561B5C9C" w:rsidR="00031001" w:rsidRPr="00867F38" w:rsidRDefault="00031001" w:rsidP="0057020E">
      <w:pPr>
        <w:tabs>
          <w:tab w:val="num" w:pos="720"/>
        </w:tabs>
        <w:spacing w:before="120"/>
        <w:rPr>
          <w:rFonts w:ascii="Titillium" w:eastAsia="Arial Unicode MS" w:hAnsi="Titillium" w:cs="Arial"/>
          <w:b/>
          <w:i/>
          <w:sz w:val="22"/>
          <w:szCs w:val="24"/>
          <w:lang w:val="en-GB" w:eastAsia="en-GB"/>
        </w:rPr>
      </w:pPr>
      <w:r w:rsidRPr="00867F38">
        <w:rPr>
          <w:rFonts w:ascii="Titillium" w:eastAsia="Arial Unicode MS" w:hAnsi="Titillium" w:cs="Arial"/>
          <w:b/>
          <w:i/>
          <w:sz w:val="22"/>
          <w:szCs w:val="24"/>
          <w:lang w:val="en-GB" w:eastAsia="en-GB"/>
        </w:rPr>
        <w:t>Expectations &amp; Access</w:t>
      </w:r>
    </w:p>
    <w:p w14:paraId="6B8BFE63" w14:textId="5AD87708" w:rsidR="0057020E" w:rsidRPr="00867F38" w:rsidRDefault="00031001" w:rsidP="0057020E">
      <w:pPr>
        <w:tabs>
          <w:tab w:val="num" w:pos="720"/>
        </w:tabs>
        <w:spacing w:before="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Our </w:t>
      </w:r>
      <w:r w:rsidR="002D5A87" w:rsidRPr="00867F38">
        <w:rPr>
          <w:rFonts w:ascii="Titillium" w:eastAsia="Arial Unicode MS" w:hAnsi="Titillium" w:cs="Arial"/>
          <w:sz w:val="22"/>
          <w:szCs w:val="24"/>
          <w:lang w:val="en-GB" w:eastAsia="en-GB"/>
        </w:rPr>
        <w:t xml:space="preserve">focus on </w:t>
      </w:r>
      <w:r w:rsidRPr="00867F38">
        <w:rPr>
          <w:rFonts w:ascii="Titillium" w:eastAsia="Arial Unicode MS" w:hAnsi="Titillium" w:cs="Arial"/>
          <w:sz w:val="22"/>
          <w:szCs w:val="24"/>
          <w:lang w:val="en-GB" w:eastAsia="en-GB"/>
        </w:rPr>
        <w:t xml:space="preserve">raising </w:t>
      </w:r>
      <w:r w:rsidR="00A341FE" w:rsidRPr="00867F38">
        <w:rPr>
          <w:rFonts w:ascii="Titillium" w:eastAsia="Arial Unicode MS" w:hAnsi="Titillium" w:cs="Arial"/>
          <w:sz w:val="22"/>
          <w:szCs w:val="24"/>
          <w:lang w:val="en-GB" w:eastAsia="en-GB"/>
        </w:rPr>
        <w:t>expectation</w:t>
      </w:r>
      <w:r w:rsidRPr="00867F38">
        <w:rPr>
          <w:rFonts w:ascii="Titillium" w:eastAsia="Arial Unicode MS" w:hAnsi="Titillium" w:cs="Arial"/>
          <w:sz w:val="22"/>
          <w:szCs w:val="24"/>
          <w:lang w:val="en-GB" w:eastAsia="en-GB"/>
        </w:rPr>
        <w:t xml:space="preserve">s is rooted in our belief </w:t>
      </w:r>
      <w:r w:rsidR="00A341FE" w:rsidRPr="00867F38">
        <w:rPr>
          <w:rFonts w:ascii="Titillium" w:eastAsia="Arial Unicode MS" w:hAnsi="Titillium" w:cs="Arial"/>
          <w:sz w:val="22"/>
          <w:szCs w:val="24"/>
          <w:lang w:val="en-GB" w:eastAsia="en-GB"/>
        </w:rPr>
        <w:t>that students from under-re</w:t>
      </w:r>
      <w:r w:rsidRPr="00867F38">
        <w:rPr>
          <w:rFonts w:ascii="Titillium" w:eastAsia="Arial Unicode MS" w:hAnsi="Titillium" w:cs="Arial"/>
          <w:sz w:val="22"/>
          <w:szCs w:val="24"/>
          <w:lang w:val="en-GB" w:eastAsia="en-GB"/>
        </w:rPr>
        <w:t xml:space="preserve">presented groups do not </w:t>
      </w:r>
      <w:r w:rsidR="00FA6083">
        <w:rPr>
          <w:rFonts w:ascii="Titillium" w:eastAsia="Arial Unicode MS" w:hAnsi="Titillium" w:cs="Arial"/>
          <w:sz w:val="22"/>
          <w:szCs w:val="24"/>
          <w:lang w:val="en-GB" w:eastAsia="en-GB"/>
        </w:rPr>
        <w:t>necessarily</w:t>
      </w:r>
      <w:r w:rsidRPr="00867F38">
        <w:rPr>
          <w:rFonts w:ascii="Titillium" w:eastAsia="Arial Unicode MS" w:hAnsi="Titillium" w:cs="Arial"/>
          <w:sz w:val="22"/>
          <w:szCs w:val="24"/>
          <w:lang w:val="en-GB" w:eastAsia="en-GB"/>
        </w:rPr>
        <w:t xml:space="preserve"> lack aspiration, rather </w:t>
      </w:r>
      <w:r w:rsidR="00A341FE" w:rsidRPr="00867F38">
        <w:rPr>
          <w:rFonts w:ascii="Titillium" w:eastAsia="Arial Unicode MS" w:hAnsi="Titillium" w:cs="Arial"/>
          <w:sz w:val="22"/>
          <w:szCs w:val="24"/>
          <w:lang w:val="en-GB" w:eastAsia="en-GB"/>
        </w:rPr>
        <w:t xml:space="preserve">opportunities, support and guidance.  </w:t>
      </w:r>
      <w:r w:rsidRPr="00867F38">
        <w:rPr>
          <w:rFonts w:ascii="Titillium" w:eastAsia="Arial Unicode MS" w:hAnsi="Titillium" w:cs="Arial"/>
          <w:sz w:val="22"/>
          <w:szCs w:val="24"/>
          <w:lang w:val="en-GB" w:eastAsia="en-GB"/>
        </w:rPr>
        <w:t>We are therefore</w:t>
      </w:r>
      <w:r w:rsidR="00D22D83" w:rsidRPr="00867F38">
        <w:rPr>
          <w:rFonts w:ascii="Titillium" w:eastAsia="Arial Unicode MS" w:hAnsi="Titillium" w:cs="Arial"/>
          <w:sz w:val="22"/>
          <w:szCs w:val="24"/>
          <w:lang w:val="en-GB" w:eastAsia="en-GB"/>
        </w:rPr>
        <w:t xml:space="preserve"> committed to admitting any student who has the pot</w:t>
      </w:r>
      <w:r w:rsidRPr="00867F38">
        <w:rPr>
          <w:rFonts w:ascii="Titillium" w:eastAsia="Arial Unicode MS" w:hAnsi="Titillium" w:cs="Arial"/>
          <w:sz w:val="22"/>
          <w:szCs w:val="24"/>
          <w:lang w:val="en-GB" w:eastAsia="en-GB"/>
        </w:rPr>
        <w:t xml:space="preserve">ential to succeed.  In 2015/16 our </w:t>
      </w:r>
      <w:hyperlink r:id="rId17" w:history="1">
        <w:r w:rsidRPr="00867F38">
          <w:rPr>
            <w:rStyle w:val="Hyperlink"/>
            <w:rFonts w:ascii="Titillium" w:eastAsia="Arial Unicode MS" w:hAnsi="Titillium" w:cs="Arial"/>
            <w:sz w:val="22"/>
            <w:szCs w:val="24"/>
            <w:lang w:val="en-GB" w:eastAsia="en-GB"/>
          </w:rPr>
          <w:t>Contextualised</w:t>
        </w:r>
        <w:r w:rsidRPr="00FA6083">
          <w:rPr>
            <w:rStyle w:val="Hyperlink"/>
            <w:rFonts w:ascii="Titillium" w:eastAsia="Arial Unicode MS" w:hAnsi="Titillium" w:cs="Arial"/>
            <w:sz w:val="22"/>
            <w:szCs w:val="24"/>
            <w:lang w:val="en-GB" w:eastAsia="en-GB"/>
          </w:rPr>
          <w:t xml:space="preserve"> Admissions Policy</w:t>
        </w:r>
      </w:hyperlink>
      <w:r w:rsidR="00D22D83" w:rsidRPr="00867F38">
        <w:rPr>
          <w:rFonts w:ascii="Titillium" w:eastAsia="Arial Unicode MS" w:hAnsi="Titillium" w:cs="Arial"/>
          <w:sz w:val="22"/>
          <w:szCs w:val="24"/>
          <w:lang w:val="en-GB" w:eastAsia="en-GB"/>
        </w:rPr>
        <w:t xml:space="preserve"> was implemented, recognising that applicants from under-represented groups may not have had an equal opportunity to demonstrate their potential in their previous educational setting.  </w:t>
      </w:r>
      <w:r w:rsidRPr="00867F38">
        <w:rPr>
          <w:rFonts w:ascii="Titillium" w:eastAsia="Arial Unicode MS" w:hAnsi="Titillium" w:cs="Arial"/>
          <w:sz w:val="22"/>
          <w:szCs w:val="24"/>
          <w:lang w:val="en-GB" w:eastAsia="en-GB"/>
        </w:rPr>
        <w:t xml:space="preserve">This </w:t>
      </w:r>
      <w:r w:rsidR="007C538F" w:rsidRPr="00867F38">
        <w:rPr>
          <w:rFonts w:ascii="Titillium" w:eastAsia="Arial Unicode MS" w:hAnsi="Titillium" w:cs="Arial"/>
          <w:sz w:val="22"/>
          <w:szCs w:val="24"/>
          <w:lang w:val="en-GB" w:eastAsia="en-GB"/>
        </w:rPr>
        <w:t>publicly</w:t>
      </w:r>
      <w:r w:rsidRPr="00867F38">
        <w:rPr>
          <w:rFonts w:ascii="Titillium" w:eastAsia="Arial Unicode MS" w:hAnsi="Titillium" w:cs="Arial"/>
          <w:sz w:val="22"/>
          <w:szCs w:val="24"/>
          <w:lang w:val="en-GB" w:eastAsia="en-GB"/>
        </w:rPr>
        <w:t xml:space="preserve"> available policy</w:t>
      </w:r>
      <w:r w:rsidR="004135B4" w:rsidRPr="00867F38">
        <w:rPr>
          <w:rFonts w:ascii="Titillium" w:eastAsia="Arial Unicode MS" w:hAnsi="Titillium" w:cs="Arial"/>
          <w:sz w:val="22"/>
          <w:szCs w:val="24"/>
          <w:lang w:val="en-GB" w:eastAsia="en-GB"/>
        </w:rPr>
        <w:t xml:space="preserve"> </w:t>
      </w:r>
      <w:r w:rsidR="0057020E" w:rsidRPr="00867F38">
        <w:rPr>
          <w:rFonts w:ascii="Titillium" w:eastAsia="Arial Unicode MS" w:hAnsi="Titillium" w:cs="Arial"/>
          <w:sz w:val="22"/>
          <w:szCs w:val="24"/>
          <w:lang w:val="en-GB" w:eastAsia="en-GB"/>
        </w:rPr>
        <w:t xml:space="preserve">ensures that, where possible, </w:t>
      </w:r>
      <w:r w:rsidR="00BC22A6">
        <w:rPr>
          <w:rFonts w:ascii="Titillium" w:eastAsia="Arial Unicode MS" w:hAnsi="Titillium" w:cs="Arial"/>
          <w:sz w:val="22"/>
          <w:szCs w:val="24"/>
          <w:lang w:val="en-GB" w:eastAsia="en-GB"/>
        </w:rPr>
        <w:t>we</w:t>
      </w:r>
      <w:r w:rsidR="0057020E" w:rsidRPr="00867F38">
        <w:rPr>
          <w:rFonts w:ascii="Titillium" w:eastAsia="Arial Unicode MS" w:hAnsi="Titillium" w:cs="Arial"/>
          <w:sz w:val="22"/>
          <w:szCs w:val="24"/>
          <w:lang w:val="en-GB" w:eastAsia="en-GB"/>
        </w:rPr>
        <w:t xml:space="preserve"> will make an offer of admission, interview, audition or portfolio review, to Scottish-domiciled students who are</w:t>
      </w:r>
      <w:r w:rsidR="000C579D" w:rsidRPr="00867F38">
        <w:rPr>
          <w:rFonts w:ascii="Titillium" w:eastAsia="Arial Unicode MS" w:hAnsi="Titillium" w:cs="Arial"/>
          <w:sz w:val="22"/>
          <w:szCs w:val="24"/>
          <w:lang w:val="en-GB" w:eastAsia="en-GB"/>
        </w:rPr>
        <w:t xml:space="preserve"> </w:t>
      </w:r>
      <w:r w:rsidRPr="00867F38">
        <w:rPr>
          <w:rFonts w:ascii="Titillium" w:eastAsia="Arial Unicode MS" w:hAnsi="Titillium" w:cs="Arial"/>
          <w:sz w:val="22"/>
          <w:szCs w:val="24"/>
          <w:lang w:val="en-GB" w:eastAsia="en-GB"/>
        </w:rPr>
        <w:t xml:space="preserve">in </w:t>
      </w:r>
      <w:r w:rsidR="000C579D" w:rsidRPr="00867F38">
        <w:rPr>
          <w:rFonts w:ascii="Titillium" w:eastAsia="Arial Unicode MS" w:hAnsi="Titillium" w:cs="Arial"/>
          <w:sz w:val="22"/>
          <w:szCs w:val="24"/>
          <w:lang w:val="en-GB" w:eastAsia="en-GB"/>
        </w:rPr>
        <w:t xml:space="preserve">a </w:t>
      </w:r>
      <w:r w:rsidRPr="00867F38">
        <w:rPr>
          <w:rFonts w:ascii="Titillium" w:eastAsia="Arial Unicode MS" w:hAnsi="Titillium" w:cs="Arial"/>
          <w:sz w:val="22"/>
          <w:szCs w:val="24"/>
          <w:lang w:val="en-GB" w:eastAsia="en-GB"/>
        </w:rPr>
        <w:t xml:space="preserve">priority </w:t>
      </w:r>
      <w:r w:rsidR="000C579D" w:rsidRPr="00867F38">
        <w:rPr>
          <w:rFonts w:ascii="Titillium" w:eastAsia="Arial Unicode MS" w:hAnsi="Titillium" w:cs="Arial"/>
          <w:sz w:val="22"/>
          <w:szCs w:val="24"/>
          <w:lang w:val="en-GB" w:eastAsia="en-GB"/>
        </w:rPr>
        <w:t xml:space="preserve">widening access group. </w:t>
      </w:r>
    </w:p>
    <w:p w14:paraId="72A50CA9" w14:textId="30D04494" w:rsidR="00B44DEC" w:rsidRPr="00867F38" w:rsidRDefault="00BD52AE" w:rsidP="00B44DEC">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Care experienced young people and care leavers make up one such priority group we want to focus on. Not only is it the mo</w:t>
      </w:r>
      <w:r w:rsidR="00E414FE" w:rsidRPr="00867F38">
        <w:rPr>
          <w:rFonts w:ascii="Titillium" w:eastAsia="Arial Unicode MS" w:hAnsi="Titillium" w:cs="Arial"/>
          <w:sz w:val="22"/>
          <w:szCs w:val="24"/>
          <w:lang w:val="en-GB" w:eastAsia="en-GB"/>
        </w:rPr>
        <w:t>st under-represented group</w:t>
      </w:r>
      <w:r w:rsidRPr="00867F38">
        <w:rPr>
          <w:rFonts w:ascii="Titillium" w:eastAsia="Arial Unicode MS" w:hAnsi="Titillium" w:cs="Arial"/>
          <w:sz w:val="22"/>
          <w:szCs w:val="24"/>
          <w:lang w:val="en-GB" w:eastAsia="en-GB"/>
        </w:rPr>
        <w:t xml:space="preserve"> in higher education, with just 6% of looked after children in higher education nine months after leaving school</w:t>
      </w:r>
      <w:r w:rsidR="00E414FE" w:rsidRPr="00867F38">
        <w:rPr>
          <w:rFonts w:ascii="Titillium" w:eastAsia="Arial Unicode MS" w:hAnsi="Titillium" w:cs="Arial"/>
          <w:sz w:val="22"/>
          <w:szCs w:val="24"/>
          <w:lang w:val="en-GB" w:eastAsia="en-GB"/>
        </w:rPr>
        <w:t>,</w:t>
      </w:r>
      <w:r w:rsidRPr="00867F38">
        <w:rPr>
          <w:rFonts w:ascii="Titillium" w:eastAsia="Arial Unicode MS" w:hAnsi="Titillium" w:cs="Arial"/>
          <w:sz w:val="22"/>
          <w:szCs w:val="24"/>
          <w:lang w:val="en-GB" w:eastAsia="en-GB"/>
        </w:rPr>
        <w:t xml:space="preserve"> compared to 39% of all children (COWA, 2016), but </w:t>
      </w:r>
      <w:r w:rsidR="00E414FE" w:rsidRPr="00867F38">
        <w:rPr>
          <w:rFonts w:ascii="Titillium" w:eastAsia="Arial Unicode MS" w:hAnsi="Titillium" w:cs="Arial"/>
          <w:sz w:val="22"/>
          <w:szCs w:val="24"/>
          <w:lang w:val="en-GB" w:eastAsia="en-GB"/>
        </w:rPr>
        <w:t>care experienced people a</w:t>
      </w:r>
      <w:r w:rsidRPr="00867F38">
        <w:rPr>
          <w:rFonts w:ascii="Titillium" w:eastAsia="Arial Unicode MS" w:hAnsi="Titillium" w:cs="Arial"/>
          <w:sz w:val="22"/>
          <w:szCs w:val="24"/>
          <w:lang w:val="en-GB" w:eastAsia="en-GB"/>
        </w:rPr>
        <w:t xml:space="preserve">lso have significantly poorer life outcomes than </w:t>
      </w:r>
      <w:r w:rsidR="00E414FE" w:rsidRPr="00867F38">
        <w:rPr>
          <w:rFonts w:ascii="Titillium" w:eastAsia="Arial Unicode MS" w:hAnsi="Titillium" w:cs="Arial"/>
          <w:sz w:val="22"/>
          <w:szCs w:val="24"/>
          <w:lang w:val="en-GB" w:eastAsia="en-GB"/>
        </w:rPr>
        <w:t>those without care experience</w:t>
      </w:r>
      <w:r w:rsidRPr="00867F38">
        <w:rPr>
          <w:rFonts w:ascii="Titillium" w:eastAsia="Arial Unicode MS" w:hAnsi="Titillium" w:cs="Arial"/>
          <w:sz w:val="22"/>
          <w:szCs w:val="24"/>
          <w:lang w:val="en-GB" w:eastAsia="en-GB"/>
        </w:rPr>
        <w:t xml:space="preserve">. </w:t>
      </w:r>
      <w:r w:rsidR="00E414FE" w:rsidRPr="00867F38">
        <w:rPr>
          <w:rFonts w:ascii="Titillium" w:eastAsia="Arial Unicode MS" w:hAnsi="Titillium" w:cs="Arial"/>
          <w:sz w:val="22"/>
          <w:szCs w:val="24"/>
          <w:lang w:val="en-GB" w:eastAsia="en-GB"/>
        </w:rPr>
        <w:t>Indeed, w</w:t>
      </w:r>
      <w:r w:rsidRPr="00867F38">
        <w:rPr>
          <w:rFonts w:ascii="Titillium" w:eastAsia="Arial Unicode MS" w:hAnsi="Titillium" w:cs="Arial"/>
          <w:sz w:val="22"/>
          <w:szCs w:val="24"/>
          <w:lang w:val="en-GB" w:eastAsia="en-GB"/>
        </w:rPr>
        <w:t xml:space="preserve">e </w:t>
      </w:r>
      <w:r w:rsidR="00031001" w:rsidRPr="00867F38">
        <w:rPr>
          <w:rFonts w:ascii="Titillium" w:eastAsia="Arial Unicode MS" w:hAnsi="Titillium" w:cs="Arial"/>
          <w:sz w:val="22"/>
          <w:szCs w:val="24"/>
          <w:lang w:val="en-GB" w:eastAsia="en-GB"/>
        </w:rPr>
        <w:t xml:space="preserve">want </w:t>
      </w:r>
      <w:r w:rsidR="00B44DEC" w:rsidRPr="00867F38">
        <w:rPr>
          <w:rFonts w:ascii="Titillium" w:eastAsia="Arial Unicode MS" w:hAnsi="Titillium" w:cs="Arial"/>
          <w:sz w:val="22"/>
          <w:szCs w:val="24"/>
          <w:lang w:val="en-GB" w:eastAsia="en-GB"/>
        </w:rPr>
        <w:t>E</w:t>
      </w:r>
      <w:r w:rsidR="00031001" w:rsidRPr="00867F38">
        <w:rPr>
          <w:rFonts w:ascii="Titillium" w:eastAsia="Arial Unicode MS" w:hAnsi="Titillium" w:cs="Arial"/>
          <w:sz w:val="22"/>
          <w:szCs w:val="24"/>
          <w:lang w:val="en-GB" w:eastAsia="en-GB"/>
        </w:rPr>
        <w:t xml:space="preserve">dinburgh Napier University </w:t>
      </w:r>
      <w:r w:rsidR="00B44DEC" w:rsidRPr="00867F38">
        <w:rPr>
          <w:rFonts w:ascii="Titillium" w:eastAsia="Arial Unicode MS" w:hAnsi="Titillium" w:cs="Arial"/>
          <w:sz w:val="22"/>
          <w:szCs w:val="24"/>
          <w:lang w:val="en-GB" w:eastAsia="en-GB"/>
        </w:rPr>
        <w:t xml:space="preserve">to be recognised as the </w:t>
      </w:r>
      <w:r w:rsidR="00A96698" w:rsidRPr="00867F38">
        <w:rPr>
          <w:rFonts w:ascii="Titillium" w:eastAsia="Arial Unicode MS" w:hAnsi="Titillium" w:cs="Arial"/>
          <w:sz w:val="22"/>
          <w:szCs w:val="24"/>
          <w:lang w:val="en-GB" w:eastAsia="en-GB"/>
        </w:rPr>
        <w:t>sector leader in supporting educational attainment and outcomes for</w:t>
      </w:r>
      <w:r w:rsidRPr="00867F38">
        <w:rPr>
          <w:rFonts w:ascii="Titillium" w:eastAsia="Arial Unicode MS" w:hAnsi="Titillium" w:cs="Arial"/>
          <w:sz w:val="22"/>
          <w:szCs w:val="24"/>
          <w:lang w:val="en-GB" w:eastAsia="en-GB"/>
        </w:rPr>
        <w:t xml:space="preserve"> this group</w:t>
      </w:r>
      <w:r w:rsidR="00F1663B">
        <w:rPr>
          <w:rFonts w:ascii="Titillium" w:eastAsia="Arial Unicode MS" w:hAnsi="Titillium" w:cs="Arial"/>
          <w:sz w:val="22"/>
          <w:szCs w:val="24"/>
          <w:lang w:val="en-GB" w:eastAsia="en-GB"/>
        </w:rPr>
        <w:t>,</w:t>
      </w:r>
      <w:r w:rsidRPr="00867F38">
        <w:rPr>
          <w:rFonts w:ascii="Titillium" w:eastAsia="Arial Unicode MS" w:hAnsi="Titillium" w:cs="Arial"/>
          <w:sz w:val="22"/>
          <w:szCs w:val="24"/>
          <w:lang w:val="en-GB" w:eastAsia="en-GB"/>
        </w:rPr>
        <w:t xml:space="preserve"> and are </w:t>
      </w:r>
      <w:r w:rsidR="00B44DEC" w:rsidRPr="00867F38">
        <w:rPr>
          <w:rFonts w:ascii="Titillium" w:eastAsia="Arial Unicode MS" w:hAnsi="Titillium" w:cs="Arial"/>
          <w:sz w:val="22"/>
          <w:szCs w:val="24"/>
          <w:lang w:val="en-GB" w:eastAsia="en-GB"/>
        </w:rPr>
        <w:t>committed to ensuring an increase in opportunities to access higher education for anyone with a care experienced background</w:t>
      </w:r>
      <w:r w:rsidRPr="00867F38">
        <w:rPr>
          <w:rFonts w:ascii="Titillium" w:eastAsia="Arial Unicode MS" w:hAnsi="Titillium" w:cs="Arial"/>
          <w:sz w:val="22"/>
          <w:szCs w:val="24"/>
          <w:lang w:val="en-GB" w:eastAsia="en-GB"/>
        </w:rPr>
        <w:t xml:space="preserve">, as well as </w:t>
      </w:r>
      <w:r w:rsidR="00B44DEC" w:rsidRPr="00867F38">
        <w:rPr>
          <w:rFonts w:ascii="Titillium" w:eastAsia="Arial Unicode MS" w:hAnsi="Titillium" w:cs="Arial"/>
          <w:sz w:val="22"/>
          <w:szCs w:val="24"/>
          <w:lang w:val="en-GB" w:eastAsia="en-GB"/>
        </w:rPr>
        <w:t>meeting our obliga</w:t>
      </w:r>
      <w:r w:rsidRPr="00867F38">
        <w:rPr>
          <w:rFonts w:ascii="Titillium" w:eastAsia="Arial Unicode MS" w:hAnsi="Titillium" w:cs="Arial"/>
          <w:sz w:val="22"/>
          <w:szCs w:val="24"/>
          <w:lang w:val="en-GB" w:eastAsia="en-GB"/>
        </w:rPr>
        <w:t>tions as a Corporate Parent.</w:t>
      </w:r>
      <w:r w:rsidRPr="00867F38">
        <w:rPr>
          <w:rStyle w:val="FootnoteReference"/>
          <w:rFonts w:ascii="Titillium" w:eastAsia="Arial Unicode MS" w:hAnsi="Titillium" w:cs="Arial"/>
          <w:sz w:val="22"/>
          <w:szCs w:val="24"/>
          <w:lang w:val="en-GB" w:eastAsia="en-GB"/>
        </w:rPr>
        <w:footnoteReference w:id="6"/>
      </w:r>
      <w:r w:rsidR="00B44DEC" w:rsidRPr="00867F38">
        <w:rPr>
          <w:rFonts w:ascii="Titillium" w:eastAsia="Arial Unicode MS" w:hAnsi="Titillium" w:cs="Arial"/>
          <w:sz w:val="22"/>
          <w:szCs w:val="24"/>
          <w:lang w:val="en-GB" w:eastAsia="en-GB"/>
        </w:rPr>
        <w:t xml:space="preserve"> </w:t>
      </w:r>
    </w:p>
    <w:p w14:paraId="335597CA" w14:textId="0823936F" w:rsidR="00E414FE" w:rsidRPr="00867F38" w:rsidRDefault="00E414FE" w:rsidP="00E414FE">
      <w:pPr>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Articulation </w:t>
      </w:r>
      <w:r w:rsidR="00A74CF7" w:rsidRPr="00867F38">
        <w:rPr>
          <w:rFonts w:ascii="Titillium" w:eastAsia="Arial Unicode MS" w:hAnsi="Titillium" w:cs="Arial"/>
          <w:sz w:val="22"/>
          <w:szCs w:val="24"/>
          <w:lang w:val="en-GB" w:eastAsia="en-GB"/>
        </w:rPr>
        <w:t xml:space="preserve">will play a key role in enabling </w:t>
      </w:r>
      <w:r w:rsidRPr="00867F38">
        <w:rPr>
          <w:rFonts w:ascii="Titillium" w:eastAsia="Arial Unicode MS" w:hAnsi="Titillium" w:cs="Arial"/>
          <w:sz w:val="22"/>
          <w:szCs w:val="24"/>
          <w:lang w:val="en-GB" w:eastAsia="en-GB"/>
        </w:rPr>
        <w:t xml:space="preserve">us to meet the ambitions within this Widening Participation Strategy. For example, between 2008 and 2015, 53% of care experienced students matriculating into the University gained access via a college route.  In addition, a significant proportion of our </w:t>
      </w:r>
      <w:r w:rsidR="003900AE">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 xml:space="preserve">MD20 population enters via college routes; </w:t>
      </w:r>
      <w:r w:rsidR="00B31EBA" w:rsidRPr="00867F38">
        <w:rPr>
          <w:rFonts w:ascii="Titillium" w:eastAsia="Arial Unicode MS" w:hAnsi="Titillium" w:cs="Arial"/>
          <w:sz w:val="22"/>
          <w:szCs w:val="24"/>
          <w:lang w:val="en-GB" w:eastAsia="en-GB"/>
        </w:rPr>
        <w:t xml:space="preserve">with </w:t>
      </w:r>
      <w:r w:rsidRPr="00867F38">
        <w:rPr>
          <w:rFonts w:ascii="Titillium" w:eastAsia="Arial Unicode MS" w:hAnsi="Titillium" w:cs="Arial"/>
          <w:sz w:val="22"/>
          <w:szCs w:val="24"/>
          <w:lang w:val="en-GB" w:eastAsia="en-GB"/>
        </w:rPr>
        <w:t>14</w:t>
      </w:r>
      <w:r w:rsidR="00B8315C">
        <w:rPr>
          <w:rFonts w:ascii="Titillium" w:eastAsia="Arial Unicode MS" w:hAnsi="Titillium" w:cs="Arial"/>
          <w:sz w:val="22"/>
          <w:szCs w:val="24"/>
          <w:lang w:val="en-GB" w:eastAsia="en-GB"/>
        </w:rPr>
        <w:t>.1</w:t>
      </w:r>
      <w:r w:rsidRPr="00867F38">
        <w:rPr>
          <w:rFonts w:ascii="Titillium" w:eastAsia="Arial Unicode MS" w:hAnsi="Titillium" w:cs="Arial"/>
          <w:sz w:val="22"/>
          <w:szCs w:val="24"/>
          <w:lang w:val="en-GB" w:eastAsia="en-GB"/>
        </w:rPr>
        <w:t xml:space="preserve">% of articulating students </w:t>
      </w:r>
      <w:r w:rsidR="00B31EBA" w:rsidRPr="00867F38">
        <w:rPr>
          <w:rFonts w:ascii="Titillium" w:eastAsia="Arial Unicode MS" w:hAnsi="Titillium" w:cs="Arial"/>
          <w:sz w:val="22"/>
          <w:szCs w:val="24"/>
          <w:lang w:val="en-GB" w:eastAsia="en-GB"/>
        </w:rPr>
        <w:t>in 201</w:t>
      </w:r>
      <w:r w:rsidR="00B8315C">
        <w:rPr>
          <w:rFonts w:ascii="Titillium" w:eastAsia="Arial Unicode MS" w:hAnsi="Titillium" w:cs="Arial"/>
          <w:sz w:val="22"/>
          <w:szCs w:val="24"/>
          <w:lang w:val="en-GB" w:eastAsia="en-GB"/>
        </w:rPr>
        <w:t>5</w:t>
      </w:r>
      <w:r w:rsidR="00B31EBA" w:rsidRPr="00867F38">
        <w:rPr>
          <w:rFonts w:ascii="Titillium" w:eastAsia="Arial Unicode MS" w:hAnsi="Titillium" w:cs="Arial"/>
          <w:sz w:val="22"/>
          <w:szCs w:val="24"/>
          <w:lang w:val="en-GB" w:eastAsia="en-GB"/>
        </w:rPr>
        <w:t>/1</w:t>
      </w:r>
      <w:r w:rsidR="00B8315C">
        <w:rPr>
          <w:rFonts w:ascii="Titillium" w:eastAsia="Arial Unicode MS" w:hAnsi="Titillium" w:cs="Arial"/>
          <w:sz w:val="22"/>
          <w:szCs w:val="24"/>
          <w:lang w:val="en-GB" w:eastAsia="en-GB"/>
        </w:rPr>
        <w:t>6</w:t>
      </w:r>
      <w:r w:rsidR="00B31EBA" w:rsidRPr="00867F38">
        <w:rPr>
          <w:rFonts w:ascii="Titillium" w:eastAsia="Arial Unicode MS" w:hAnsi="Titillium" w:cs="Arial"/>
          <w:sz w:val="22"/>
          <w:szCs w:val="24"/>
          <w:lang w:val="en-GB" w:eastAsia="en-GB"/>
        </w:rPr>
        <w:t xml:space="preserve"> being </w:t>
      </w:r>
      <w:r w:rsidRPr="00867F38">
        <w:rPr>
          <w:rFonts w:ascii="Titillium" w:eastAsia="Arial Unicode MS" w:hAnsi="Titillium" w:cs="Arial"/>
          <w:sz w:val="22"/>
          <w:szCs w:val="24"/>
          <w:lang w:val="en-GB" w:eastAsia="en-GB"/>
        </w:rPr>
        <w:t xml:space="preserve">entrants from </w:t>
      </w:r>
      <w:r w:rsidR="003900AE">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 xml:space="preserve">MD20 postcodes, compared to </w:t>
      </w:r>
      <w:r w:rsidR="00B8315C">
        <w:rPr>
          <w:rFonts w:ascii="Titillium" w:eastAsia="Arial Unicode MS" w:hAnsi="Titillium" w:cs="Arial"/>
          <w:sz w:val="22"/>
          <w:szCs w:val="24"/>
          <w:lang w:val="en-GB" w:eastAsia="en-GB"/>
        </w:rPr>
        <w:t>11</w:t>
      </w:r>
      <w:r w:rsidRPr="00867F38">
        <w:rPr>
          <w:rFonts w:ascii="Titillium" w:eastAsia="Arial Unicode MS" w:hAnsi="Titillium" w:cs="Arial"/>
          <w:sz w:val="22"/>
          <w:szCs w:val="24"/>
          <w:lang w:val="en-GB" w:eastAsia="en-GB"/>
        </w:rPr>
        <w:t>.</w:t>
      </w:r>
      <w:r w:rsidR="00B8315C">
        <w:rPr>
          <w:rFonts w:ascii="Titillium" w:eastAsia="Arial Unicode MS" w:hAnsi="Titillium" w:cs="Arial"/>
          <w:sz w:val="22"/>
          <w:szCs w:val="24"/>
          <w:lang w:val="en-GB" w:eastAsia="en-GB"/>
        </w:rPr>
        <w:t>2</w:t>
      </w:r>
      <w:r w:rsidRPr="00867F38">
        <w:rPr>
          <w:rFonts w:ascii="Titillium" w:eastAsia="Arial Unicode MS" w:hAnsi="Titillium" w:cs="Arial"/>
          <w:sz w:val="22"/>
          <w:szCs w:val="24"/>
          <w:lang w:val="en-GB" w:eastAsia="en-GB"/>
        </w:rPr>
        <w:t>% of all entrants</w:t>
      </w:r>
      <w:r w:rsidR="00B8315C">
        <w:rPr>
          <w:rFonts w:ascii="Titillium" w:eastAsia="Arial Unicode MS" w:hAnsi="Titillium" w:cs="Arial"/>
          <w:sz w:val="22"/>
          <w:szCs w:val="24"/>
          <w:lang w:val="en-GB" w:eastAsia="en-GB"/>
        </w:rPr>
        <w:t xml:space="preserve"> (Appendix C, Table C4).</w:t>
      </w:r>
    </w:p>
    <w:p w14:paraId="5CAFAECF" w14:textId="2A403159" w:rsidR="00E414FE" w:rsidRPr="00867F38" w:rsidRDefault="00E414FE" w:rsidP="00E414FE">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The University’s Outcome Agreement also sets out targets for the number and proportion of Scottish-domiciled learners articulating from college to degree-level courses with advanced standing.  </w:t>
      </w:r>
      <w:r w:rsidR="005A4F5F">
        <w:rPr>
          <w:rFonts w:ascii="Titillium" w:eastAsia="Arial Unicode MS" w:hAnsi="Titillium" w:cs="Arial"/>
          <w:sz w:val="22"/>
          <w:szCs w:val="24"/>
          <w:lang w:val="en-GB" w:eastAsia="en-GB"/>
        </w:rPr>
        <w:t>We recognise that future targets are likely to remain</w:t>
      </w:r>
      <w:r w:rsidRPr="00867F38">
        <w:rPr>
          <w:rFonts w:ascii="Titillium" w:eastAsia="Arial Unicode MS" w:hAnsi="Titillium" w:cs="Arial"/>
          <w:sz w:val="22"/>
          <w:szCs w:val="24"/>
          <w:lang w:val="en-GB" w:eastAsia="en-GB"/>
        </w:rPr>
        <w:t xml:space="preserve"> challenging</w:t>
      </w:r>
      <w:r w:rsidR="005A4F5F">
        <w:rPr>
          <w:rFonts w:ascii="Titillium" w:eastAsia="Arial Unicode MS" w:hAnsi="Titillium" w:cs="Arial"/>
          <w:sz w:val="22"/>
          <w:szCs w:val="24"/>
          <w:lang w:val="en-GB" w:eastAsia="en-GB"/>
        </w:rPr>
        <w:t>, however</w:t>
      </w:r>
      <w:r w:rsidRPr="00867F38">
        <w:rPr>
          <w:rFonts w:ascii="Titillium" w:eastAsia="Arial Unicode MS" w:hAnsi="Titillium" w:cs="Arial"/>
          <w:sz w:val="22"/>
          <w:szCs w:val="24"/>
          <w:lang w:val="en-GB" w:eastAsia="en-GB"/>
        </w:rPr>
        <w:t xml:space="preserve"> we believe that they are achievable through continued strong partnership working with colleges. Edinburgh Napier University was the lead partner in ELRAH (Edinburgh, Lothians, Fife and Borders Regional Articulation Hub).  Post-ELRAH, there is support from all existing partners for Edinburgh Napier University to continue to lead on regional articulation planning, development and reporting. In addition, Edinburgh Napier provides the largest number of articulation opportunities of any university in the South of Scotland. </w:t>
      </w:r>
    </w:p>
    <w:p w14:paraId="5865B6D6" w14:textId="048A4974" w:rsidR="00E414FE" w:rsidRPr="00867F38" w:rsidRDefault="00E414FE" w:rsidP="00E414FE">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lastRenderedPageBreak/>
        <w:t>There are</w:t>
      </w:r>
      <w:r w:rsidR="00B31EBA" w:rsidRPr="00867F38">
        <w:rPr>
          <w:rFonts w:ascii="Titillium" w:eastAsia="Arial Unicode MS" w:hAnsi="Titillium" w:cs="Arial"/>
          <w:sz w:val="22"/>
          <w:szCs w:val="24"/>
          <w:lang w:val="en-GB" w:eastAsia="en-GB"/>
        </w:rPr>
        <w:t xml:space="preserve"> undoubtedly </w:t>
      </w:r>
      <w:r w:rsidRPr="00867F38">
        <w:rPr>
          <w:rFonts w:ascii="Titillium" w:eastAsia="Arial Unicode MS" w:hAnsi="Titillium" w:cs="Arial"/>
          <w:sz w:val="22"/>
          <w:szCs w:val="24"/>
          <w:lang w:val="en-GB" w:eastAsia="en-GB"/>
        </w:rPr>
        <w:t xml:space="preserve">challenges in achieving the targets for </w:t>
      </w:r>
      <w:r w:rsidR="003900AE">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 xml:space="preserve">MD20 outlined in the CoWA report (Appendix B, recommendation 32), one key challenge being the pool of </w:t>
      </w:r>
      <w:r w:rsidR="00B31EBA" w:rsidRPr="00867F38">
        <w:rPr>
          <w:rFonts w:ascii="Titillium" w:eastAsia="Arial Unicode MS" w:hAnsi="Titillium" w:cs="Arial"/>
          <w:sz w:val="22"/>
          <w:szCs w:val="24"/>
          <w:lang w:val="en-GB" w:eastAsia="en-GB"/>
        </w:rPr>
        <w:t xml:space="preserve">potential </w:t>
      </w:r>
      <w:r w:rsidRPr="00867F38">
        <w:rPr>
          <w:rFonts w:ascii="Titillium" w:eastAsia="Arial Unicode MS" w:hAnsi="Titillium" w:cs="Arial"/>
          <w:sz w:val="22"/>
          <w:szCs w:val="24"/>
          <w:lang w:val="en-GB" w:eastAsia="en-GB"/>
        </w:rPr>
        <w:t xml:space="preserve">local applicants from </w:t>
      </w:r>
      <w:r w:rsidR="00C27C0F">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MD20 areas</w:t>
      </w:r>
      <w:r w:rsidR="00C27C0F">
        <w:rPr>
          <w:rFonts w:ascii="Titillium" w:eastAsia="Arial Unicode MS" w:hAnsi="Titillium" w:cs="Arial"/>
          <w:sz w:val="22"/>
          <w:szCs w:val="24"/>
          <w:lang w:val="en-GB" w:eastAsia="en-GB"/>
        </w:rPr>
        <w:t xml:space="preserve"> (Appendix C, Table C1)</w:t>
      </w:r>
      <w:r w:rsidRPr="00867F38">
        <w:rPr>
          <w:rFonts w:ascii="Titillium" w:eastAsia="Arial Unicode MS" w:hAnsi="Titillium" w:cs="Arial"/>
          <w:sz w:val="22"/>
          <w:szCs w:val="24"/>
          <w:lang w:val="en-GB" w:eastAsia="en-GB"/>
        </w:rPr>
        <w:t xml:space="preserve">.  Within the Edinburgh Napier University </w:t>
      </w:r>
      <w:r w:rsidR="00B31EBA" w:rsidRPr="00867F38">
        <w:rPr>
          <w:rFonts w:ascii="Titillium" w:eastAsia="Arial Unicode MS" w:hAnsi="Titillium" w:cs="Arial"/>
          <w:sz w:val="22"/>
          <w:szCs w:val="24"/>
          <w:lang w:val="en-GB" w:eastAsia="en-GB"/>
        </w:rPr>
        <w:t xml:space="preserve">local authority </w:t>
      </w:r>
      <w:r w:rsidRPr="00867F38">
        <w:rPr>
          <w:rFonts w:ascii="Titillium" w:eastAsia="Arial Unicode MS" w:hAnsi="Titillium" w:cs="Arial"/>
          <w:sz w:val="22"/>
          <w:szCs w:val="24"/>
          <w:lang w:val="en-GB" w:eastAsia="en-GB"/>
        </w:rPr>
        <w:t xml:space="preserve">area, the percentage of the 16 to 29 year old population who lived in </w:t>
      </w:r>
      <w:r w:rsidR="00C27C0F">
        <w:rPr>
          <w:rFonts w:ascii="Titillium" w:eastAsia="Arial Unicode MS" w:hAnsi="Titillium" w:cs="Arial"/>
          <w:sz w:val="22"/>
          <w:szCs w:val="24"/>
          <w:lang w:val="en-GB" w:eastAsia="en-GB"/>
        </w:rPr>
        <w:t>SIM</w:t>
      </w:r>
      <w:r w:rsidRPr="00867F38">
        <w:rPr>
          <w:rFonts w:ascii="Titillium" w:eastAsia="Arial Unicode MS" w:hAnsi="Titillium" w:cs="Arial"/>
          <w:sz w:val="22"/>
          <w:szCs w:val="24"/>
          <w:lang w:val="en-GB" w:eastAsia="en-GB"/>
        </w:rPr>
        <w:t xml:space="preserve">D20 areas </w:t>
      </w:r>
      <w:r w:rsidR="00B31EBA" w:rsidRPr="00867F38">
        <w:rPr>
          <w:rFonts w:ascii="Titillium" w:eastAsia="Arial Unicode MS" w:hAnsi="Titillium" w:cs="Arial"/>
          <w:sz w:val="22"/>
          <w:szCs w:val="24"/>
          <w:lang w:val="en-GB" w:eastAsia="en-GB"/>
        </w:rPr>
        <w:t xml:space="preserve">in 2014 </w:t>
      </w:r>
      <w:r w:rsidRPr="00867F38">
        <w:rPr>
          <w:rFonts w:ascii="Titillium" w:eastAsia="Arial Unicode MS" w:hAnsi="Titillium" w:cs="Arial"/>
          <w:sz w:val="22"/>
          <w:szCs w:val="24"/>
          <w:lang w:val="en-GB" w:eastAsia="en-GB"/>
        </w:rPr>
        <w:t xml:space="preserve">was 18%, and the percentage of secondary school pupils (S1 to S4) who lived in </w:t>
      </w:r>
      <w:r w:rsidR="00C27C0F">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MD20 postcodes was approximately 20%</w:t>
      </w:r>
      <w:r w:rsidRPr="00FD6D47">
        <w:rPr>
          <w:lang w:val="en-GB"/>
        </w:rPr>
        <w:t xml:space="preserve"> </w:t>
      </w:r>
      <w:r w:rsidRPr="00FD6D47">
        <w:rPr>
          <w:rFonts w:ascii="Titillium" w:hAnsi="Titillium"/>
          <w:sz w:val="22"/>
          <w:lang w:val="en-GB"/>
        </w:rPr>
        <w:t>(CoWA, 2016b).</w:t>
      </w:r>
      <w:r w:rsidRPr="00FD6D47">
        <w:rPr>
          <w:lang w:val="en-GB"/>
        </w:rPr>
        <w:t xml:space="preserve">  </w:t>
      </w:r>
      <w:r w:rsidRPr="00867F38">
        <w:rPr>
          <w:rFonts w:ascii="Titillium" w:eastAsia="Arial Unicode MS" w:hAnsi="Titillium" w:cs="Arial"/>
          <w:sz w:val="22"/>
          <w:szCs w:val="24"/>
          <w:lang w:val="en-GB" w:eastAsia="en-GB"/>
        </w:rPr>
        <w:t>This pool is further diminished when taking into account grades achieved compared to entry requirements f</w:t>
      </w:r>
      <w:r w:rsidR="00195255">
        <w:rPr>
          <w:rFonts w:ascii="Titillium" w:eastAsia="Arial Unicode MS" w:hAnsi="Titillium" w:cs="Arial"/>
          <w:sz w:val="22"/>
          <w:szCs w:val="24"/>
          <w:lang w:val="en-GB" w:eastAsia="en-GB"/>
        </w:rPr>
        <w:t>or</w:t>
      </w:r>
      <w:r w:rsidRPr="00867F38">
        <w:rPr>
          <w:rFonts w:ascii="Titillium" w:eastAsia="Arial Unicode MS" w:hAnsi="Titillium" w:cs="Arial"/>
          <w:sz w:val="22"/>
          <w:szCs w:val="24"/>
          <w:lang w:val="en-GB" w:eastAsia="en-GB"/>
        </w:rPr>
        <w:t xml:space="preserve"> courses.  In </w:t>
      </w:r>
      <w:r w:rsidR="00C27C0F">
        <w:rPr>
          <w:rFonts w:ascii="Titillium" w:eastAsia="Arial Unicode MS" w:hAnsi="Titillium" w:cs="Arial"/>
          <w:sz w:val="22"/>
          <w:szCs w:val="24"/>
          <w:lang w:val="en-GB" w:eastAsia="en-GB"/>
        </w:rPr>
        <w:t xml:space="preserve">2014/15, in </w:t>
      </w:r>
      <w:r w:rsidRPr="00867F38">
        <w:rPr>
          <w:rFonts w:ascii="Titillium" w:eastAsia="Arial Unicode MS" w:hAnsi="Titillium" w:cs="Arial"/>
          <w:sz w:val="22"/>
          <w:szCs w:val="24"/>
          <w:lang w:val="en-GB" w:eastAsia="en-GB"/>
        </w:rPr>
        <w:t xml:space="preserve">comparison to other </w:t>
      </w:r>
      <w:r w:rsidR="005C49D7" w:rsidRPr="00867F38">
        <w:rPr>
          <w:rFonts w:ascii="Titillium" w:eastAsia="Arial Unicode MS" w:hAnsi="Titillium" w:cs="Arial"/>
          <w:sz w:val="22"/>
          <w:szCs w:val="24"/>
          <w:lang w:val="en-GB" w:eastAsia="en-GB"/>
        </w:rPr>
        <w:t xml:space="preserve">Scottish </w:t>
      </w:r>
      <w:r w:rsidRPr="00867F38">
        <w:rPr>
          <w:rFonts w:ascii="Titillium" w:eastAsia="Arial Unicode MS" w:hAnsi="Titillium" w:cs="Arial"/>
          <w:sz w:val="22"/>
          <w:szCs w:val="24"/>
          <w:lang w:val="en-GB" w:eastAsia="en-GB"/>
        </w:rPr>
        <w:t>universities, Edinburgh Napier University was 12</w:t>
      </w:r>
      <w:r w:rsidRPr="00867F38">
        <w:rPr>
          <w:rFonts w:ascii="Titillium" w:eastAsia="Arial Unicode MS" w:hAnsi="Titillium" w:cs="Arial"/>
          <w:sz w:val="22"/>
          <w:szCs w:val="24"/>
          <w:vertAlign w:val="superscript"/>
          <w:lang w:val="en-GB" w:eastAsia="en-GB"/>
        </w:rPr>
        <w:t>th</w:t>
      </w:r>
      <w:r w:rsidRPr="00867F38">
        <w:rPr>
          <w:rFonts w:ascii="Titillium" w:eastAsia="Arial Unicode MS" w:hAnsi="Titillium" w:cs="Arial"/>
          <w:sz w:val="22"/>
          <w:szCs w:val="24"/>
          <w:lang w:val="en-GB" w:eastAsia="en-GB"/>
        </w:rPr>
        <w:t xml:space="preserve"> out of 18 HEIs in terms </w:t>
      </w:r>
      <w:r w:rsidR="00890B62">
        <w:rPr>
          <w:rFonts w:ascii="Titillium" w:eastAsia="Arial Unicode MS" w:hAnsi="Titillium" w:cs="Arial"/>
          <w:sz w:val="22"/>
          <w:szCs w:val="24"/>
          <w:lang w:val="en-GB" w:eastAsia="en-GB"/>
        </w:rPr>
        <w:t xml:space="preserve">of </w:t>
      </w:r>
      <w:r w:rsidR="00C27C0F">
        <w:rPr>
          <w:rFonts w:ascii="Titillium" w:eastAsia="Arial Unicode MS" w:hAnsi="Titillium" w:cs="Arial"/>
          <w:sz w:val="22"/>
          <w:szCs w:val="24"/>
          <w:lang w:val="en-GB" w:eastAsia="en-GB"/>
        </w:rPr>
        <w:t>%</w:t>
      </w:r>
      <w:r w:rsidRPr="00867F38">
        <w:rPr>
          <w:rFonts w:ascii="Titillium" w:eastAsia="Arial Unicode MS" w:hAnsi="Titillium" w:cs="Arial"/>
          <w:sz w:val="22"/>
          <w:szCs w:val="24"/>
          <w:lang w:val="en-GB" w:eastAsia="en-GB"/>
        </w:rPr>
        <w:t xml:space="preserve"> </w:t>
      </w:r>
      <w:r w:rsidR="00C27C0F">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MD20 population, and 3</w:t>
      </w:r>
      <w:r w:rsidRPr="00867F38">
        <w:rPr>
          <w:rFonts w:ascii="Titillium" w:eastAsia="Arial Unicode MS" w:hAnsi="Titillium" w:cs="Arial"/>
          <w:sz w:val="22"/>
          <w:szCs w:val="24"/>
          <w:vertAlign w:val="superscript"/>
          <w:lang w:val="en-GB" w:eastAsia="en-GB"/>
        </w:rPr>
        <w:t>rd</w:t>
      </w:r>
      <w:r w:rsidRPr="00867F38">
        <w:rPr>
          <w:rFonts w:ascii="Titillium" w:eastAsia="Arial Unicode MS" w:hAnsi="Titillium" w:cs="Arial"/>
          <w:sz w:val="22"/>
          <w:szCs w:val="24"/>
          <w:lang w:val="en-GB" w:eastAsia="en-GB"/>
        </w:rPr>
        <w:t xml:space="preserve"> out of the 4 Edinburgh institutions</w:t>
      </w:r>
      <w:r w:rsidR="00C27C0F">
        <w:rPr>
          <w:rFonts w:ascii="Titillium" w:eastAsia="Arial Unicode MS" w:hAnsi="Titillium" w:cs="Arial"/>
          <w:sz w:val="22"/>
          <w:szCs w:val="24"/>
          <w:lang w:val="en-GB" w:eastAsia="en-GB"/>
        </w:rPr>
        <w:t xml:space="preserve">, however when looking at total SIMD20 population </w:t>
      </w:r>
      <w:r w:rsidR="00890B62">
        <w:rPr>
          <w:rFonts w:ascii="Titillium" w:eastAsia="Arial Unicode MS" w:hAnsi="Titillium" w:cs="Arial"/>
          <w:sz w:val="22"/>
          <w:szCs w:val="24"/>
          <w:lang w:val="en-GB" w:eastAsia="en-GB"/>
        </w:rPr>
        <w:t xml:space="preserve">(or headcount) </w:t>
      </w:r>
      <w:r w:rsidR="00C27C0F">
        <w:rPr>
          <w:rFonts w:ascii="Titillium" w:eastAsia="Arial Unicode MS" w:hAnsi="Titillium" w:cs="Arial"/>
          <w:sz w:val="22"/>
          <w:szCs w:val="24"/>
          <w:lang w:val="en-GB" w:eastAsia="en-GB"/>
        </w:rPr>
        <w:t>we were 6</w:t>
      </w:r>
      <w:r w:rsidR="00C27C0F" w:rsidRPr="00C27C0F">
        <w:rPr>
          <w:rFonts w:ascii="Titillium" w:eastAsia="Arial Unicode MS" w:hAnsi="Titillium" w:cs="Arial"/>
          <w:sz w:val="22"/>
          <w:szCs w:val="24"/>
          <w:vertAlign w:val="superscript"/>
          <w:lang w:val="en-GB" w:eastAsia="en-GB"/>
        </w:rPr>
        <w:t>th</w:t>
      </w:r>
      <w:r w:rsidR="00C27C0F">
        <w:rPr>
          <w:rFonts w:ascii="Titillium" w:eastAsia="Arial Unicode MS" w:hAnsi="Titillium" w:cs="Arial"/>
          <w:sz w:val="22"/>
          <w:szCs w:val="24"/>
          <w:lang w:val="en-GB" w:eastAsia="en-GB"/>
        </w:rPr>
        <w:t xml:space="preserve"> out of 18 HEIs and had the largest SIMD20 population of the Edinburgh institutions </w:t>
      </w:r>
      <w:r w:rsidRPr="00867F38">
        <w:rPr>
          <w:rFonts w:ascii="Titillium" w:eastAsia="Arial Unicode MS" w:hAnsi="Titillium" w:cs="Arial"/>
          <w:sz w:val="22"/>
          <w:szCs w:val="24"/>
          <w:lang w:val="en-GB" w:eastAsia="en-GB"/>
        </w:rPr>
        <w:t>(</w:t>
      </w:r>
      <w:r w:rsidR="00FD6D47">
        <w:rPr>
          <w:rFonts w:ascii="Titillium" w:eastAsia="Arial Unicode MS" w:hAnsi="Titillium" w:cs="Arial"/>
          <w:sz w:val="22"/>
          <w:szCs w:val="24"/>
          <w:lang w:val="en-GB" w:eastAsia="en-GB"/>
        </w:rPr>
        <w:t xml:space="preserve">See Section 3 and </w:t>
      </w:r>
      <w:r w:rsidRPr="00867F38">
        <w:rPr>
          <w:rFonts w:ascii="Titillium" w:eastAsia="Arial Unicode MS" w:hAnsi="Titillium" w:cs="Arial"/>
          <w:sz w:val="22"/>
          <w:szCs w:val="24"/>
          <w:lang w:val="en-GB" w:eastAsia="en-GB"/>
        </w:rPr>
        <w:t xml:space="preserve">Appendix C, Table C2). </w:t>
      </w:r>
    </w:p>
    <w:p w14:paraId="043D53E1" w14:textId="300002B5" w:rsidR="00E414FE" w:rsidRPr="00867F38" w:rsidRDefault="005C49D7" w:rsidP="00E414FE">
      <w:pPr>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In terms of protected characteristics, the</w:t>
      </w:r>
      <w:r w:rsidR="00E414FE" w:rsidRPr="00867F38">
        <w:rPr>
          <w:rFonts w:ascii="Titillium" w:eastAsia="Arial Unicode MS" w:hAnsi="Titillium" w:cs="Arial"/>
          <w:sz w:val="22"/>
          <w:szCs w:val="24"/>
          <w:lang w:val="en-GB" w:eastAsia="en-GB"/>
        </w:rPr>
        <w:t xml:space="preserve"> priority focus for the Widening Participation Strategy at this point is gender, although the Student Retention Steering Group (SRSG) will monitor other protected characteristics, including BME and disability and stay alert for any drift from benchmarks. </w:t>
      </w:r>
      <w:r w:rsidR="00457F0B">
        <w:rPr>
          <w:rFonts w:ascii="Titillium" w:eastAsia="Arial Unicode MS" w:hAnsi="Titillium" w:cs="Arial"/>
          <w:sz w:val="22"/>
          <w:szCs w:val="24"/>
          <w:lang w:val="en-GB" w:eastAsia="en-GB"/>
        </w:rPr>
        <w:t xml:space="preserve"> </w:t>
      </w:r>
      <w:r w:rsidR="00E414FE" w:rsidRPr="00867F38">
        <w:rPr>
          <w:rFonts w:ascii="Titillium" w:eastAsia="Arial Unicode MS" w:hAnsi="Titillium" w:cs="Arial"/>
          <w:sz w:val="22"/>
          <w:szCs w:val="24"/>
          <w:lang w:val="en-GB" w:eastAsia="en-GB"/>
        </w:rPr>
        <w:t xml:space="preserve">The SFC Gender Action Plan (August 2016) set out the ambition that by 2030 no subject should have a gender imbalance greater than 75/25 and the gap between male and female participation in undergraduate study </w:t>
      </w:r>
      <w:r w:rsidR="00351892" w:rsidRPr="00867F38">
        <w:rPr>
          <w:rFonts w:ascii="Titillium" w:eastAsia="Arial Unicode MS" w:hAnsi="Titillium" w:cs="Arial"/>
          <w:sz w:val="22"/>
          <w:szCs w:val="24"/>
          <w:lang w:val="en-GB" w:eastAsia="en-GB"/>
        </w:rPr>
        <w:t xml:space="preserve">should be </w:t>
      </w:r>
      <w:r w:rsidR="00E414FE" w:rsidRPr="00867F38">
        <w:rPr>
          <w:rFonts w:ascii="Titillium" w:eastAsia="Arial Unicode MS" w:hAnsi="Titillium" w:cs="Arial"/>
          <w:sz w:val="22"/>
          <w:szCs w:val="24"/>
          <w:lang w:val="en-GB" w:eastAsia="en-GB"/>
        </w:rPr>
        <w:t>reduced from a 15.4% to 5%.  This Strategy will focus on tackling the</w:t>
      </w:r>
      <w:r w:rsidR="00351892" w:rsidRPr="00867F38">
        <w:rPr>
          <w:rFonts w:ascii="Titillium" w:eastAsia="Arial Unicode MS" w:hAnsi="Titillium" w:cs="Arial"/>
          <w:sz w:val="22"/>
          <w:szCs w:val="24"/>
          <w:lang w:val="en-GB" w:eastAsia="en-GB"/>
        </w:rPr>
        <w:t>se</w:t>
      </w:r>
      <w:r w:rsidR="00E414FE" w:rsidRPr="00867F38">
        <w:rPr>
          <w:rFonts w:ascii="Titillium" w:eastAsia="Arial Unicode MS" w:hAnsi="Titillium" w:cs="Arial"/>
          <w:sz w:val="22"/>
          <w:szCs w:val="24"/>
          <w:lang w:val="en-GB" w:eastAsia="en-GB"/>
        </w:rPr>
        <w:t xml:space="preserve"> gender imbalance</w:t>
      </w:r>
      <w:r w:rsidR="00351892" w:rsidRPr="00867F38">
        <w:rPr>
          <w:rFonts w:ascii="Titillium" w:eastAsia="Arial Unicode MS" w:hAnsi="Titillium" w:cs="Arial"/>
          <w:sz w:val="22"/>
          <w:szCs w:val="24"/>
          <w:lang w:val="en-GB" w:eastAsia="en-GB"/>
        </w:rPr>
        <w:t>s</w:t>
      </w:r>
      <w:r w:rsidR="00E414FE" w:rsidRPr="00867F38">
        <w:rPr>
          <w:rFonts w:ascii="Titillium" w:eastAsia="Arial Unicode MS" w:hAnsi="Titillium" w:cs="Arial"/>
          <w:sz w:val="22"/>
          <w:szCs w:val="24"/>
          <w:lang w:val="en-GB" w:eastAsia="en-GB"/>
        </w:rPr>
        <w:t xml:space="preserve"> (</w:t>
      </w:r>
      <w:r w:rsidR="00351892" w:rsidRPr="00867F38">
        <w:rPr>
          <w:rFonts w:ascii="Titillium" w:eastAsia="Arial Unicode MS" w:hAnsi="Titillium" w:cs="Arial"/>
          <w:sz w:val="22"/>
          <w:szCs w:val="24"/>
          <w:lang w:val="en-GB" w:eastAsia="en-GB"/>
        </w:rPr>
        <w:t xml:space="preserve">see </w:t>
      </w:r>
      <w:r w:rsidR="00E12B77">
        <w:rPr>
          <w:rFonts w:ascii="Titillium" w:eastAsia="Arial Unicode MS" w:hAnsi="Titillium" w:cs="Arial"/>
          <w:sz w:val="22"/>
          <w:szCs w:val="24"/>
          <w:lang w:val="en-GB" w:eastAsia="en-GB"/>
        </w:rPr>
        <w:t>Indicators of Success</w:t>
      </w:r>
      <w:r w:rsidR="00E414FE" w:rsidRPr="00867F38">
        <w:rPr>
          <w:rFonts w:ascii="Titillium" w:eastAsia="Arial Unicode MS" w:hAnsi="Titillium" w:cs="Arial"/>
          <w:sz w:val="22"/>
          <w:szCs w:val="24"/>
          <w:lang w:val="en-GB" w:eastAsia="en-GB"/>
        </w:rPr>
        <w:t xml:space="preserve">), and act to improve applications, enrolments, retention and success from the minority gender group in these areas.  </w:t>
      </w:r>
    </w:p>
    <w:p w14:paraId="562E7884" w14:textId="4FD24807" w:rsidR="00BD52AE" w:rsidRPr="00E12B77" w:rsidRDefault="00BD52AE" w:rsidP="00F12AAB">
      <w:pPr>
        <w:tabs>
          <w:tab w:val="num" w:pos="720"/>
        </w:tabs>
        <w:spacing w:before="120" w:after="120"/>
        <w:rPr>
          <w:rFonts w:ascii="Titillium" w:eastAsia="Arial Unicode MS" w:hAnsi="Titillium" w:cs="Arial"/>
          <w:b/>
          <w:sz w:val="22"/>
          <w:szCs w:val="24"/>
          <w:lang w:val="en-GB" w:eastAsia="en-GB"/>
        </w:rPr>
      </w:pPr>
      <w:r w:rsidRPr="00E12B77">
        <w:rPr>
          <w:rFonts w:ascii="Titillium" w:eastAsia="Arial Unicode MS" w:hAnsi="Titillium" w:cs="Arial"/>
          <w:b/>
          <w:sz w:val="22"/>
          <w:szCs w:val="24"/>
          <w:lang w:val="en-GB" w:eastAsia="en-GB"/>
        </w:rPr>
        <w:t>Attainment</w:t>
      </w:r>
    </w:p>
    <w:p w14:paraId="5D4D1EB5" w14:textId="1C784C8B" w:rsidR="00AA37F1" w:rsidRPr="00867F38" w:rsidRDefault="00EC110E" w:rsidP="00F12AAB">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The attainment gap has </w:t>
      </w:r>
      <w:r w:rsidR="00351892" w:rsidRPr="00867F38">
        <w:rPr>
          <w:rFonts w:ascii="Titillium" w:eastAsia="Arial Unicode MS" w:hAnsi="Titillium" w:cs="Arial"/>
          <w:sz w:val="22"/>
          <w:szCs w:val="24"/>
          <w:lang w:val="en-GB" w:eastAsia="en-GB"/>
        </w:rPr>
        <w:t xml:space="preserve">also </w:t>
      </w:r>
      <w:r w:rsidRPr="00867F38">
        <w:rPr>
          <w:rFonts w:ascii="Titillium" w:eastAsia="Arial Unicode MS" w:hAnsi="Titillium" w:cs="Arial"/>
          <w:sz w:val="22"/>
          <w:szCs w:val="24"/>
          <w:lang w:val="en-GB" w:eastAsia="en-GB"/>
        </w:rPr>
        <w:t xml:space="preserve">been highlighted as a key priority by the Scottish Government, and is the focus of Education Scotland’s </w:t>
      </w:r>
      <w:r w:rsidR="00BD52AE" w:rsidRPr="00867F38">
        <w:rPr>
          <w:rFonts w:ascii="Titillium" w:eastAsia="Arial Unicode MS" w:hAnsi="Titillium" w:cs="Arial"/>
          <w:sz w:val="22"/>
          <w:szCs w:val="24"/>
          <w:lang w:val="en-GB" w:eastAsia="en-GB"/>
        </w:rPr>
        <w:t xml:space="preserve">Scottish Attainment Challenge. </w:t>
      </w:r>
      <w:r w:rsidR="00C63A83">
        <w:rPr>
          <w:rFonts w:ascii="Titillium" w:eastAsia="Arial Unicode MS" w:hAnsi="Titillium" w:cs="Arial"/>
          <w:sz w:val="22"/>
          <w:szCs w:val="24"/>
          <w:lang w:val="en-GB" w:eastAsia="en-GB"/>
        </w:rPr>
        <w:t xml:space="preserve"> Many children and young people from Scotland’s most deprived communities still do significantly worse than those from the least deprived communities throughout the education system.  CoWA (2016a) reported that by the age of five, </w:t>
      </w:r>
      <w:r w:rsidR="00C63A83" w:rsidRPr="00C63A83">
        <w:rPr>
          <w:rFonts w:ascii="Titillium" w:eastAsia="Arial Unicode MS" w:hAnsi="Titillium" w:cs="Arial"/>
          <w:sz w:val="22"/>
          <w:szCs w:val="24"/>
          <w:lang w:val="en-GB" w:eastAsia="en-GB"/>
        </w:rPr>
        <w:t>there was already a 13 month gap in vocabulary between children from low-income and high income households.</w:t>
      </w:r>
      <w:r w:rsidR="00C63A83" w:rsidRPr="00867F38">
        <w:rPr>
          <w:rFonts w:ascii="Titillium" w:eastAsia="Arial Unicode MS" w:hAnsi="Titillium" w:cs="Arial"/>
          <w:sz w:val="22"/>
          <w:szCs w:val="24"/>
          <w:lang w:val="en-GB" w:eastAsia="en-GB"/>
        </w:rPr>
        <w:t xml:space="preserve"> </w:t>
      </w:r>
      <w:r w:rsidR="00C63A83">
        <w:rPr>
          <w:rFonts w:ascii="Titillium" w:eastAsia="Arial Unicode MS" w:hAnsi="Titillium" w:cs="Arial"/>
          <w:sz w:val="22"/>
          <w:szCs w:val="24"/>
          <w:lang w:val="en-GB" w:eastAsia="en-GB"/>
        </w:rPr>
        <w:t xml:space="preserve"> </w:t>
      </w:r>
      <w:r w:rsidR="00BD52AE" w:rsidRPr="00867F38">
        <w:rPr>
          <w:rFonts w:ascii="Titillium" w:eastAsia="Arial Unicode MS" w:hAnsi="Titillium" w:cs="Arial"/>
          <w:sz w:val="22"/>
          <w:szCs w:val="24"/>
          <w:lang w:val="en-GB" w:eastAsia="en-GB"/>
        </w:rPr>
        <w:t xml:space="preserve">Our ambition is for Edinburgh Napier University </w:t>
      </w:r>
      <w:r w:rsidR="001C1EBF" w:rsidRPr="00867F38">
        <w:rPr>
          <w:rFonts w:ascii="Titillium" w:eastAsia="Arial Unicode MS" w:hAnsi="Titillium" w:cs="Arial"/>
          <w:sz w:val="22"/>
          <w:szCs w:val="24"/>
          <w:lang w:val="en-GB" w:eastAsia="en-GB"/>
        </w:rPr>
        <w:t>to be regarded as the key partner in initiatives to close the attainment gap</w:t>
      </w:r>
      <w:r w:rsidR="00DD16E8" w:rsidRPr="00867F38">
        <w:rPr>
          <w:rFonts w:ascii="Titillium" w:eastAsia="Arial Unicode MS" w:hAnsi="Titillium" w:cs="Arial"/>
          <w:sz w:val="22"/>
          <w:szCs w:val="24"/>
          <w:lang w:val="en-GB" w:eastAsia="en-GB"/>
        </w:rPr>
        <w:t xml:space="preserve">, especially </w:t>
      </w:r>
      <w:r w:rsidR="00351892" w:rsidRPr="00867F38">
        <w:rPr>
          <w:rFonts w:ascii="Titillium" w:eastAsia="Arial Unicode MS" w:hAnsi="Titillium" w:cs="Arial"/>
          <w:sz w:val="22"/>
          <w:szCs w:val="24"/>
          <w:lang w:val="en-GB" w:eastAsia="en-GB"/>
        </w:rPr>
        <w:t xml:space="preserve">when related to </w:t>
      </w:r>
      <w:r w:rsidR="00E414FE" w:rsidRPr="00867F38">
        <w:rPr>
          <w:rFonts w:ascii="Titillium" w:eastAsia="Arial Unicode MS" w:hAnsi="Titillium" w:cs="Arial"/>
          <w:sz w:val="22"/>
          <w:szCs w:val="24"/>
          <w:lang w:val="en-GB" w:eastAsia="en-GB"/>
        </w:rPr>
        <w:t>poverty</w:t>
      </w:r>
      <w:r w:rsidR="00DD16E8" w:rsidRPr="00867F38">
        <w:rPr>
          <w:rFonts w:ascii="Titillium" w:eastAsia="Arial Unicode MS" w:hAnsi="Titillium" w:cs="Arial"/>
          <w:sz w:val="22"/>
          <w:szCs w:val="24"/>
          <w:lang w:val="en-GB" w:eastAsia="en-GB"/>
        </w:rPr>
        <w:t>,</w:t>
      </w:r>
      <w:r w:rsidR="001C1EBF" w:rsidRPr="00867F38">
        <w:rPr>
          <w:rFonts w:ascii="Titillium" w:eastAsia="Arial Unicode MS" w:hAnsi="Titillium" w:cs="Arial"/>
          <w:sz w:val="22"/>
          <w:szCs w:val="24"/>
          <w:lang w:val="en-GB" w:eastAsia="en-GB"/>
        </w:rPr>
        <w:t xml:space="preserve"> in our regional schools</w:t>
      </w:r>
      <w:r w:rsidR="00A06FDB" w:rsidRPr="00867F38">
        <w:rPr>
          <w:rFonts w:ascii="Titillium" w:eastAsia="Arial Unicode MS" w:hAnsi="Titillium" w:cs="Arial"/>
          <w:sz w:val="22"/>
          <w:szCs w:val="24"/>
          <w:lang w:val="en-GB" w:eastAsia="en-GB"/>
        </w:rPr>
        <w:t xml:space="preserve">, working with </w:t>
      </w:r>
      <w:r w:rsidR="00AE1C1C">
        <w:rPr>
          <w:rFonts w:ascii="Titillium" w:eastAsia="Arial Unicode MS" w:hAnsi="Titillium" w:cs="Arial"/>
          <w:sz w:val="22"/>
          <w:szCs w:val="24"/>
          <w:lang w:val="en-GB" w:eastAsia="en-GB"/>
        </w:rPr>
        <w:t xml:space="preserve">teachers, </w:t>
      </w:r>
      <w:r w:rsidR="00A06FDB" w:rsidRPr="00867F38">
        <w:rPr>
          <w:rFonts w:ascii="Titillium" w:eastAsia="Arial Unicode MS" w:hAnsi="Titillium" w:cs="Arial"/>
          <w:sz w:val="22"/>
          <w:szCs w:val="24"/>
          <w:lang w:val="en-GB" w:eastAsia="en-GB"/>
        </w:rPr>
        <w:t>pupils</w:t>
      </w:r>
      <w:r w:rsidR="00DA0E8C">
        <w:rPr>
          <w:rFonts w:ascii="Titillium" w:eastAsia="Arial Unicode MS" w:hAnsi="Titillium" w:cs="Arial"/>
          <w:sz w:val="22"/>
          <w:szCs w:val="24"/>
          <w:lang w:val="en-GB" w:eastAsia="en-GB"/>
        </w:rPr>
        <w:t>, parents and carers</w:t>
      </w:r>
      <w:r w:rsidR="00A06FDB" w:rsidRPr="00867F38">
        <w:rPr>
          <w:rFonts w:ascii="Titillium" w:eastAsia="Arial Unicode MS" w:hAnsi="Titillium" w:cs="Arial"/>
          <w:sz w:val="22"/>
          <w:szCs w:val="24"/>
          <w:lang w:val="en-GB" w:eastAsia="en-GB"/>
        </w:rPr>
        <w:t xml:space="preserve"> from </w:t>
      </w:r>
      <w:r w:rsidR="00DA0E8C">
        <w:rPr>
          <w:rFonts w:ascii="Titillium" w:eastAsia="Arial Unicode MS" w:hAnsi="Titillium" w:cs="Arial"/>
          <w:sz w:val="22"/>
          <w:szCs w:val="24"/>
          <w:lang w:val="en-GB" w:eastAsia="en-GB"/>
        </w:rPr>
        <w:t>primary school</w:t>
      </w:r>
      <w:r w:rsidR="00A06FDB" w:rsidRPr="00867F38">
        <w:rPr>
          <w:rFonts w:ascii="Titillium" w:eastAsia="Arial Unicode MS" w:hAnsi="Titillium" w:cs="Arial"/>
          <w:sz w:val="22"/>
          <w:szCs w:val="24"/>
          <w:lang w:val="en-GB" w:eastAsia="en-GB"/>
        </w:rPr>
        <w:t xml:space="preserve"> onwards, </w:t>
      </w:r>
      <w:r w:rsidR="00351892" w:rsidRPr="00867F38">
        <w:rPr>
          <w:rFonts w:ascii="Titillium" w:eastAsia="Arial Unicode MS" w:hAnsi="Titillium" w:cs="Arial"/>
          <w:sz w:val="22"/>
          <w:szCs w:val="24"/>
          <w:lang w:val="en-GB" w:eastAsia="en-GB"/>
        </w:rPr>
        <w:t xml:space="preserve">particularly </w:t>
      </w:r>
      <w:r w:rsidR="00A06FDB" w:rsidRPr="00867F38">
        <w:rPr>
          <w:rFonts w:ascii="Titillium" w:eastAsia="Arial Unicode MS" w:hAnsi="Titillium" w:cs="Arial"/>
          <w:sz w:val="22"/>
          <w:szCs w:val="24"/>
          <w:lang w:val="en-GB" w:eastAsia="en-GB"/>
        </w:rPr>
        <w:t>around subject choices</w:t>
      </w:r>
      <w:r w:rsidR="00DA0E8C">
        <w:rPr>
          <w:rFonts w:ascii="Titillium" w:eastAsia="Arial Unicode MS" w:hAnsi="Titillium" w:cs="Arial"/>
          <w:sz w:val="22"/>
          <w:szCs w:val="24"/>
          <w:lang w:val="en-GB" w:eastAsia="en-GB"/>
        </w:rPr>
        <w:t>, expectations, opportunities</w:t>
      </w:r>
      <w:r w:rsidR="00A06FDB" w:rsidRPr="00867F38">
        <w:rPr>
          <w:rFonts w:ascii="Titillium" w:eastAsia="Arial Unicode MS" w:hAnsi="Titillium" w:cs="Arial"/>
          <w:sz w:val="22"/>
          <w:szCs w:val="24"/>
          <w:lang w:val="en-GB" w:eastAsia="en-GB"/>
        </w:rPr>
        <w:t xml:space="preserve"> and additional resources for key subject areas</w:t>
      </w:r>
      <w:r w:rsidR="001C1EBF" w:rsidRPr="00867F38">
        <w:rPr>
          <w:rFonts w:ascii="Titillium" w:eastAsia="Arial Unicode MS" w:hAnsi="Titillium" w:cs="Arial"/>
          <w:sz w:val="22"/>
          <w:szCs w:val="24"/>
          <w:lang w:val="en-GB" w:eastAsia="en-GB"/>
        </w:rPr>
        <w:t xml:space="preserve">.  </w:t>
      </w:r>
    </w:p>
    <w:p w14:paraId="199CB3E0" w14:textId="77777777" w:rsidR="00E414FE" w:rsidRPr="0052671F" w:rsidRDefault="00E414FE" w:rsidP="00E414FE">
      <w:pPr>
        <w:tabs>
          <w:tab w:val="num" w:pos="720"/>
        </w:tabs>
        <w:spacing w:before="240" w:after="120"/>
        <w:jc w:val="both"/>
        <w:rPr>
          <w:rFonts w:ascii="Titillium" w:hAnsi="Titillium"/>
          <w:b/>
          <w:color w:val="003366"/>
          <w:lang w:val="en-GB"/>
        </w:rPr>
      </w:pPr>
      <w:r w:rsidRPr="0052671F">
        <w:rPr>
          <w:rFonts w:ascii="Titillium" w:hAnsi="Titillium"/>
          <w:b/>
          <w:color w:val="003366"/>
          <w:lang w:val="en-GB"/>
        </w:rPr>
        <w:t>Outcome</w:t>
      </w:r>
    </w:p>
    <w:p w14:paraId="2DDF6668" w14:textId="7584D900" w:rsidR="00284BDA" w:rsidRPr="00867F38" w:rsidRDefault="00284BDA" w:rsidP="00284BDA">
      <w:pPr>
        <w:tabs>
          <w:tab w:val="num" w:pos="720"/>
        </w:tabs>
        <w:spacing w:before="120" w:after="24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By 2020</w:t>
      </w:r>
      <w:r w:rsidR="00E23DE7" w:rsidRPr="00867F38">
        <w:rPr>
          <w:rFonts w:ascii="Titillium" w:eastAsia="Arial Unicode MS" w:hAnsi="Titillium" w:cs="Arial"/>
          <w:sz w:val="22"/>
          <w:szCs w:val="24"/>
          <w:lang w:val="en-GB" w:eastAsia="en-GB"/>
        </w:rPr>
        <w:t xml:space="preserve"> we will have</w:t>
      </w:r>
      <w:r w:rsidR="00351892" w:rsidRPr="00867F38">
        <w:rPr>
          <w:rFonts w:ascii="Titillium" w:eastAsia="Arial Unicode MS" w:hAnsi="Titillium" w:cs="Arial"/>
          <w:sz w:val="22"/>
          <w:szCs w:val="24"/>
          <w:lang w:val="en-GB" w:eastAsia="en-GB"/>
        </w:rPr>
        <w:t xml:space="preserve"> increased the access and attainment profile of under-represented groups </w:t>
      </w:r>
      <w:r w:rsidR="00232A25">
        <w:rPr>
          <w:rFonts w:ascii="Titillium" w:eastAsia="Arial Unicode MS" w:hAnsi="Titillium" w:cs="Arial"/>
          <w:sz w:val="22"/>
          <w:szCs w:val="24"/>
          <w:lang w:val="en-GB" w:eastAsia="en-GB"/>
        </w:rPr>
        <w:t xml:space="preserve"> </w:t>
      </w:r>
    </w:p>
    <w:p w14:paraId="75A1DE3A" w14:textId="77777777" w:rsidR="00DC5FD4" w:rsidRDefault="00DC5FD4">
      <w:pPr>
        <w:spacing w:after="160" w:line="259" w:lineRule="auto"/>
        <w:rPr>
          <w:rFonts w:ascii="Titillium" w:eastAsia="Arial Unicode MS" w:hAnsi="Titillium" w:cs="Arial"/>
          <w:b/>
          <w:bCs/>
          <w:color w:val="003366"/>
          <w:szCs w:val="24"/>
          <w:lang w:val="en-GB" w:eastAsia="en-GB"/>
        </w:rPr>
      </w:pPr>
      <w:r>
        <w:rPr>
          <w:rFonts w:ascii="Titillium" w:eastAsia="Arial Unicode MS" w:hAnsi="Titillium" w:cs="Arial"/>
          <w:b/>
          <w:bCs/>
          <w:color w:val="003366"/>
          <w:szCs w:val="24"/>
          <w:lang w:val="en-GB" w:eastAsia="en-GB"/>
        </w:rPr>
        <w:br w:type="page"/>
      </w:r>
    </w:p>
    <w:p w14:paraId="6E686D22" w14:textId="6F0388BE" w:rsidR="00284BDA" w:rsidRDefault="00284BDA" w:rsidP="00284BDA">
      <w:pPr>
        <w:tabs>
          <w:tab w:val="num" w:pos="720"/>
        </w:tabs>
        <w:spacing w:before="240" w:after="120"/>
        <w:jc w:val="both"/>
        <w:rPr>
          <w:rFonts w:ascii="Titillium" w:eastAsia="Arial Unicode MS" w:hAnsi="Titillium" w:cs="Arial"/>
          <w:b/>
          <w:bCs/>
          <w:color w:val="003366"/>
          <w:szCs w:val="24"/>
          <w:lang w:val="en-GB" w:eastAsia="en-GB"/>
        </w:rPr>
      </w:pPr>
      <w:r w:rsidRPr="00867F38">
        <w:rPr>
          <w:rFonts w:ascii="Titillium" w:eastAsia="Arial Unicode MS" w:hAnsi="Titillium" w:cs="Arial"/>
          <w:b/>
          <w:bCs/>
          <w:color w:val="003366"/>
          <w:szCs w:val="24"/>
          <w:lang w:val="en-GB" w:eastAsia="en-GB"/>
        </w:rPr>
        <w:lastRenderedPageBreak/>
        <w:t>Delivery Mechanisms</w:t>
      </w:r>
    </w:p>
    <w:tbl>
      <w:tblPr>
        <w:tblW w:w="13745" w:type="dxa"/>
        <w:tblLook w:val="0000" w:firstRow="0" w:lastRow="0" w:firstColumn="0" w:lastColumn="0" w:noHBand="0" w:noVBand="0"/>
      </w:tblPr>
      <w:tblGrid>
        <w:gridCol w:w="709"/>
        <w:gridCol w:w="13036"/>
      </w:tblGrid>
      <w:tr w:rsidR="006F2730" w:rsidRPr="00867F38" w14:paraId="48D9BAD7" w14:textId="77777777" w:rsidTr="00D74E77">
        <w:tc>
          <w:tcPr>
            <w:tcW w:w="709" w:type="dxa"/>
          </w:tcPr>
          <w:p w14:paraId="372FAAE3" w14:textId="77777777" w:rsidR="006F2730" w:rsidRPr="00867F38" w:rsidRDefault="006F2730" w:rsidP="00307598">
            <w:pPr>
              <w:spacing w:before="60" w:after="6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1.1</w:t>
            </w:r>
          </w:p>
        </w:tc>
        <w:tc>
          <w:tcPr>
            <w:tcW w:w="13036" w:type="dxa"/>
          </w:tcPr>
          <w:p w14:paraId="0AC84E62" w14:textId="26CD2DBF" w:rsidR="00B47E31" w:rsidRDefault="00FE0C8E" w:rsidP="00307598">
            <w:pPr>
              <w:spacing w:before="60" w:after="60"/>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W</w:t>
            </w:r>
            <w:r w:rsidRPr="00867F38">
              <w:rPr>
                <w:rFonts w:ascii="Titillium" w:eastAsia="Arial Unicode MS" w:hAnsi="Titillium" w:cs="Arial"/>
                <w:sz w:val="22"/>
                <w:szCs w:val="24"/>
                <w:lang w:val="en-GB" w:eastAsia="en-GB"/>
              </w:rPr>
              <w:t>orking in partnership with key regiona</w:t>
            </w:r>
            <w:r>
              <w:rPr>
                <w:rFonts w:ascii="Titillium" w:eastAsia="Arial Unicode MS" w:hAnsi="Titillium" w:cs="Arial"/>
                <w:sz w:val="22"/>
                <w:szCs w:val="24"/>
                <w:lang w:val="en-GB" w:eastAsia="en-GB"/>
              </w:rPr>
              <w:t>l primary and secondary schools</w:t>
            </w:r>
            <w:r w:rsidR="009D26FE">
              <w:rPr>
                <w:rStyle w:val="FootnoteReference"/>
                <w:rFonts w:ascii="Titillium" w:eastAsia="Arial Unicode MS" w:hAnsi="Titillium" w:cs="Arial"/>
                <w:sz w:val="22"/>
                <w:szCs w:val="24"/>
                <w:lang w:val="en-GB" w:eastAsia="en-GB"/>
              </w:rPr>
              <w:footnoteReference w:id="7"/>
            </w:r>
            <w:r w:rsidR="00DC5FD4">
              <w:rPr>
                <w:rFonts w:ascii="Titillium" w:eastAsia="Arial Unicode MS" w:hAnsi="Titillium" w:cs="Arial"/>
                <w:sz w:val="22"/>
                <w:szCs w:val="24"/>
                <w:lang w:val="en-GB" w:eastAsia="en-GB"/>
              </w:rPr>
              <w:t>, and other universities</w:t>
            </w:r>
          </w:p>
          <w:p w14:paraId="537EBF83" w14:textId="45D8BAA6" w:rsidR="00B47E31" w:rsidRDefault="00B47E31" w:rsidP="00B160B7">
            <w:pPr>
              <w:spacing w:before="60" w:after="60"/>
              <w:ind w:left="459" w:hanging="459"/>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1.1a </w:t>
            </w:r>
            <w:r w:rsidR="00B160B7">
              <w:rPr>
                <w:rFonts w:ascii="Titillium" w:eastAsia="Arial Unicode MS" w:hAnsi="Titillium" w:cs="Arial"/>
                <w:sz w:val="22"/>
                <w:szCs w:val="24"/>
                <w:lang w:val="en-GB" w:eastAsia="en-GB"/>
              </w:rPr>
              <w:t xml:space="preserve">Develop </w:t>
            </w:r>
            <w:r w:rsidR="006F2730" w:rsidRPr="00867F38">
              <w:rPr>
                <w:rFonts w:ascii="Titillium" w:eastAsia="Arial Unicode MS" w:hAnsi="Titillium" w:cs="Arial"/>
                <w:sz w:val="22"/>
                <w:szCs w:val="24"/>
                <w:lang w:val="en-GB" w:eastAsia="en-GB"/>
              </w:rPr>
              <w:t xml:space="preserve">a tailored portfolio of activities </w:t>
            </w:r>
            <w:r w:rsidR="00FE0C8E" w:rsidRPr="00867F38">
              <w:rPr>
                <w:rFonts w:ascii="Titillium" w:eastAsia="Arial Unicode MS" w:hAnsi="Titillium" w:cs="Arial"/>
                <w:sz w:val="22"/>
                <w:szCs w:val="24"/>
                <w:lang w:val="en-GB" w:eastAsia="en-GB"/>
              </w:rPr>
              <w:t>covering the entirety of a pupil’s journey through education</w:t>
            </w:r>
            <w:r w:rsidR="00FE0C8E">
              <w:rPr>
                <w:rFonts w:ascii="Titillium" w:eastAsia="Arial Unicode MS" w:hAnsi="Titillium" w:cs="Arial"/>
                <w:sz w:val="22"/>
                <w:szCs w:val="24"/>
                <w:lang w:val="en-GB" w:eastAsia="en-GB"/>
              </w:rPr>
              <w:t>,</w:t>
            </w:r>
            <w:r w:rsidR="00FE0C8E" w:rsidRPr="00867F38">
              <w:rPr>
                <w:rFonts w:ascii="Titillium" w:eastAsia="Arial Unicode MS" w:hAnsi="Titillium" w:cs="Arial"/>
                <w:sz w:val="22"/>
                <w:szCs w:val="24"/>
                <w:lang w:val="en-GB" w:eastAsia="en-GB"/>
              </w:rPr>
              <w:t xml:space="preserve"> </w:t>
            </w:r>
            <w:r w:rsidR="006F2730" w:rsidRPr="00867F38">
              <w:rPr>
                <w:rFonts w:ascii="Titillium" w:eastAsia="Arial Unicode MS" w:hAnsi="Titillium" w:cs="Arial"/>
                <w:sz w:val="22"/>
                <w:szCs w:val="24"/>
                <w:lang w:val="en-GB" w:eastAsia="en-GB"/>
              </w:rPr>
              <w:t>targeting school staff, pupils, parents/carers and influencers</w:t>
            </w:r>
            <w:r w:rsidR="00050D22" w:rsidRPr="00867F38">
              <w:rPr>
                <w:rFonts w:ascii="Titillium" w:eastAsia="Arial Unicode MS" w:hAnsi="Titillium" w:cs="Arial"/>
                <w:sz w:val="22"/>
                <w:szCs w:val="24"/>
                <w:lang w:val="en-GB" w:eastAsia="en-GB"/>
              </w:rPr>
              <w:t xml:space="preserve">, </w:t>
            </w:r>
            <w:r w:rsidR="00FE0C8E">
              <w:rPr>
                <w:rFonts w:ascii="Titillium" w:eastAsia="Arial Unicode MS" w:hAnsi="Titillium" w:cs="Arial"/>
                <w:sz w:val="22"/>
                <w:szCs w:val="24"/>
                <w:lang w:val="en-GB" w:eastAsia="en-GB"/>
              </w:rPr>
              <w:t>to r</w:t>
            </w:r>
            <w:r w:rsidR="00FE0C8E" w:rsidRPr="00867F38">
              <w:rPr>
                <w:rFonts w:ascii="Titillium" w:eastAsia="Arial Unicode MS" w:hAnsi="Titillium" w:cs="Arial"/>
                <w:sz w:val="22"/>
                <w:szCs w:val="24"/>
                <w:lang w:val="en-GB" w:eastAsia="en-GB"/>
              </w:rPr>
              <w:t>aise expectations and awareness of the opportunities and</w:t>
            </w:r>
            <w:r w:rsidR="00FE0C8E">
              <w:rPr>
                <w:rFonts w:ascii="Titillium" w:eastAsia="Arial Unicode MS" w:hAnsi="Titillium" w:cs="Arial"/>
                <w:sz w:val="22"/>
                <w:szCs w:val="24"/>
                <w:lang w:val="en-GB" w:eastAsia="en-GB"/>
              </w:rPr>
              <w:t xml:space="preserve"> benefits of higher education</w:t>
            </w:r>
            <w:r w:rsidR="00B160B7">
              <w:rPr>
                <w:rFonts w:ascii="Titillium" w:eastAsia="Arial Unicode MS" w:hAnsi="Titillium" w:cs="Arial"/>
                <w:sz w:val="22"/>
                <w:szCs w:val="24"/>
                <w:lang w:val="en-GB" w:eastAsia="en-GB"/>
              </w:rPr>
              <w:t xml:space="preserve"> (</w:t>
            </w:r>
            <w:r w:rsidR="00B160B7" w:rsidRPr="00B160B7">
              <w:rPr>
                <w:rFonts w:ascii="Titillium" w:eastAsia="Arial Unicode MS" w:hAnsi="Titillium" w:cs="Arial"/>
                <w:i/>
                <w:sz w:val="22"/>
                <w:szCs w:val="24"/>
                <w:lang w:val="en-GB" w:eastAsia="en-GB"/>
              </w:rPr>
              <w:t>Long-term impact</w:t>
            </w:r>
            <w:r w:rsidR="00B160B7">
              <w:rPr>
                <w:rFonts w:ascii="Titillium" w:eastAsia="Arial Unicode MS" w:hAnsi="Titillium" w:cs="Arial"/>
                <w:sz w:val="22"/>
                <w:szCs w:val="24"/>
                <w:lang w:val="en-GB" w:eastAsia="en-GB"/>
              </w:rPr>
              <w:t>)</w:t>
            </w:r>
            <w:r w:rsidR="003B333C">
              <w:rPr>
                <w:rFonts w:ascii="Titillium" w:eastAsia="Arial Unicode MS" w:hAnsi="Titillium" w:cs="Arial"/>
                <w:sz w:val="22"/>
                <w:szCs w:val="24"/>
                <w:lang w:val="en-GB" w:eastAsia="en-GB"/>
              </w:rPr>
              <w:t>.</w:t>
            </w:r>
          </w:p>
          <w:p w14:paraId="3ABB91EB" w14:textId="18A26D3E" w:rsidR="00050D22" w:rsidRPr="00867F38" w:rsidRDefault="00B47E31" w:rsidP="00B160B7">
            <w:pPr>
              <w:spacing w:before="60" w:after="60"/>
              <w:ind w:left="459" w:hanging="459"/>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1.1b </w:t>
            </w:r>
            <w:r w:rsidR="00B160B7">
              <w:rPr>
                <w:rFonts w:ascii="Titillium" w:eastAsia="Arial Unicode MS" w:hAnsi="Titillium" w:cs="Arial"/>
                <w:sz w:val="22"/>
                <w:szCs w:val="24"/>
                <w:lang w:val="en-GB" w:eastAsia="en-GB"/>
              </w:rPr>
              <w:t xml:space="preserve">Provide </w:t>
            </w:r>
            <w:r w:rsidR="00D47B61">
              <w:rPr>
                <w:rFonts w:ascii="Titillium" w:eastAsia="Arial Unicode MS" w:hAnsi="Titillium" w:cs="Arial"/>
                <w:sz w:val="22"/>
                <w:szCs w:val="24"/>
                <w:lang w:val="en-GB" w:eastAsia="en-GB"/>
              </w:rPr>
              <w:t>support and guidance on entry routes and opportunities at university for senior phase pupils</w:t>
            </w:r>
            <w:r w:rsidR="00B160B7">
              <w:rPr>
                <w:rFonts w:ascii="Titillium" w:eastAsia="Arial Unicode MS" w:hAnsi="Titillium" w:cs="Arial"/>
                <w:sz w:val="22"/>
                <w:szCs w:val="24"/>
                <w:lang w:val="en-GB" w:eastAsia="en-GB"/>
              </w:rPr>
              <w:t xml:space="preserve"> (</w:t>
            </w:r>
            <w:r w:rsidR="00B160B7" w:rsidRPr="00B160B7">
              <w:rPr>
                <w:rFonts w:ascii="Titillium" w:eastAsia="Arial Unicode MS" w:hAnsi="Titillium" w:cs="Arial"/>
                <w:i/>
                <w:sz w:val="22"/>
                <w:szCs w:val="24"/>
                <w:lang w:val="en-GB" w:eastAsia="en-GB"/>
              </w:rPr>
              <w:t>Short-term impact</w:t>
            </w:r>
            <w:r w:rsidR="00B160B7">
              <w:rPr>
                <w:rFonts w:ascii="Titillium" w:eastAsia="Arial Unicode MS" w:hAnsi="Titillium" w:cs="Arial"/>
                <w:sz w:val="22"/>
                <w:szCs w:val="24"/>
                <w:lang w:val="en-GB" w:eastAsia="en-GB"/>
              </w:rPr>
              <w:t>)</w:t>
            </w:r>
            <w:r w:rsidR="003B333C">
              <w:rPr>
                <w:rFonts w:ascii="Titillium" w:eastAsia="Arial Unicode MS" w:hAnsi="Titillium" w:cs="Arial"/>
                <w:sz w:val="22"/>
                <w:szCs w:val="24"/>
                <w:lang w:val="en-GB" w:eastAsia="en-GB"/>
              </w:rPr>
              <w:t>.</w:t>
            </w:r>
            <w:r w:rsidR="00B160B7">
              <w:rPr>
                <w:rFonts w:ascii="Titillium" w:eastAsia="Arial Unicode MS" w:hAnsi="Titillium" w:cs="Arial"/>
                <w:sz w:val="22"/>
                <w:szCs w:val="24"/>
                <w:lang w:val="en-GB" w:eastAsia="en-GB"/>
              </w:rPr>
              <w:t xml:space="preserve"> </w:t>
            </w:r>
          </w:p>
        </w:tc>
      </w:tr>
      <w:tr w:rsidR="006F2730" w:rsidRPr="00867F38" w14:paraId="0BEEDCE1" w14:textId="77777777" w:rsidTr="00D74E77">
        <w:tc>
          <w:tcPr>
            <w:tcW w:w="709" w:type="dxa"/>
          </w:tcPr>
          <w:p w14:paraId="6A129701" w14:textId="4EA36E99" w:rsidR="006F2730" w:rsidRPr="00867F38" w:rsidRDefault="006F2730" w:rsidP="00307598">
            <w:pPr>
              <w:spacing w:before="60" w:after="6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1.2</w:t>
            </w:r>
          </w:p>
        </w:tc>
        <w:tc>
          <w:tcPr>
            <w:tcW w:w="13036" w:type="dxa"/>
          </w:tcPr>
          <w:p w14:paraId="6637F640" w14:textId="2E0EF713" w:rsidR="006F2730" w:rsidRPr="00867F38" w:rsidRDefault="006F2730" w:rsidP="00307598">
            <w:pPr>
              <w:tabs>
                <w:tab w:val="num" w:pos="720"/>
              </w:tabs>
              <w:spacing w:before="60" w:after="6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Provide an “educational home” for looked after and care experienced young people in the region.</w:t>
            </w:r>
          </w:p>
        </w:tc>
      </w:tr>
      <w:tr w:rsidR="006F2730" w:rsidRPr="00867F38" w14:paraId="6B0AB4A4" w14:textId="77777777" w:rsidTr="00D74E77">
        <w:tc>
          <w:tcPr>
            <w:tcW w:w="709" w:type="dxa"/>
          </w:tcPr>
          <w:p w14:paraId="7D1A772D" w14:textId="10D579D9" w:rsidR="006F2730" w:rsidRPr="00867F38" w:rsidRDefault="006F2730" w:rsidP="00307598">
            <w:pPr>
              <w:spacing w:before="60" w:after="6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1.3</w:t>
            </w:r>
          </w:p>
        </w:tc>
        <w:tc>
          <w:tcPr>
            <w:tcW w:w="13036" w:type="dxa"/>
          </w:tcPr>
          <w:p w14:paraId="7B5AF234" w14:textId="2405D4D9" w:rsidR="006F2730" w:rsidRPr="00867F38" w:rsidRDefault="00DC5FD4" w:rsidP="00DC5FD4">
            <w:pPr>
              <w:tabs>
                <w:tab w:val="num" w:pos="720"/>
              </w:tabs>
              <w:spacing w:before="60" w:after="6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Review </w:t>
            </w:r>
            <w:r w:rsidR="006F2730" w:rsidRPr="00867F38">
              <w:rPr>
                <w:rFonts w:ascii="Titillium" w:eastAsia="Arial Unicode MS" w:hAnsi="Titillium" w:cs="Arial"/>
                <w:sz w:val="22"/>
                <w:szCs w:val="24"/>
                <w:lang w:val="en-GB" w:eastAsia="en-GB"/>
              </w:rPr>
              <w:t>and develop articulation and access routes in local and national priority subject areas, or for priority groups.</w:t>
            </w:r>
          </w:p>
        </w:tc>
      </w:tr>
      <w:tr w:rsidR="006F2730" w:rsidRPr="00867F38" w14:paraId="25B4DD8C" w14:textId="77777777" w:rsidTr="00D74E77">
        <w:tc>
          <w:tcPr>
            <w:tcW w:w="709" w:type="dxa"/>
          </w:tcPr>
          <w:p w14:paraId="68F9CEEA" w14:textId="68B0292F" w:rsidR="006F2730" w:rsidRPr="00867F38" w:rsidRDefault="006F2730" w:rsidP="00307598">
            <w:pPr>
              <w:spacing w:before="60" w:after="6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1.4</w:t>
            </w:r>
          </w:p>
        </w:tc>
        <w:tc>
          <w:tcPr>
            <w:tcW w:w="13036" w:type="dxa"/>
          </w:tcPr>
          <w:p w14:paraId="0AFFEE18" w14:textId="4BAB2590" w:rsidR="006F2730" w:rsidRDefault="006F2730" w:rsidP="00307598">
            <w:pPr>
              <w:spacing w:before="60" w:after="6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Pilot a programme of workshops and resources to reduce gender stereotypes and </w:t>
            </w:r>
            <w:r w:rsidR="00D31F55">
              <w:rPr>
                <w:rFonts w:ascii="Titillium" w:eastAsia="Arial Unicode MS" w:hAnsi="Titillium" w:cs="Arial"/>
                <w:sz w:val="22"/>
                <w:szCs w:val="24"/>
                <w:lang w:val="en-GB" w:eastAsia="en-GB"/>
              </w:rPr>
              <w:t xml:space="preserve">enable </w:t>
            </w:r>
            <w:r w:rsidRPr="00867F38">
              <w:rPr>
                <w:rFonts w:ascii="Titillium" w:eastAsia="Arial Unicode MS" w:hAnsi="Titillium" w:cs="Arial"/>
                <w:sz w:val="22"/>
                <w:szCs w:val="24"/>
                <w:lang w:val="en-GB" w:eastAsia="en-GB"/>
              </w:rPr>
              <w:t>learners to make informed decisions regarding specific programmes with a gender imbalance</w:t>
            </w:r>
            <w:r w:rsidR="00BA3F8A">
              <w:rPr>
                <w:rFonts w:ascii="Titillium" w:eastAsia="Arial Unicode MS" w:hAnsi="Titillium" w:cs="Arial"/>
                <w:sz w:val="22"/>
                <w:szCs w:val="24"/>
                <w:lang w:val="en-GB" w:eastAsia="en-GB"/>
              </w:rPr>
              <w:t>, focussing on:</w:t>
            </w:r>
          </w:p>
          <w:p w14:paraId="73E30D99" w14:textId="736398C8" w:rsidR="00D47B61" w:rsidRDefault="00D47B61" w:rsidP="00C5197A">
            <w:pPr>
              <w:spacing w:before="60" w:after="60"/>
              <w:ind w:left="601" w:hanging="601"/>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1.4a </w:t>
            </w:r>
            <w:r w:rsidR="00BA3F8A">
              <w:rPr>
                <w:rFonts w:ascii="Titillium" w:eastAsia="Arial Unicode MS" w:hAnsi="Titillium" w:cs="Arial"/>
                <w:sz w:val="22"/>
                <w:szCs w:val="24"/>
                <w:lang w:val="en-GB" w:eastAsia="en-GB"/>
              </w:rPr>
              <w:t>G</w:t>
            </w:r>
            <w:r>
              <w:rPr>
                <w:rFonts w:ascii="Titillium" w:eastAsia="Arial Unicode MS" w:hAnsi="Titillium" w:cs="Arial"/>
                <w:sz w:val="22"/>
                <w:szCs w:val="24"/>
                <w:lang w:val="en-GB" w:eastAsia="en-GB"/>
              </w:rPr>
              <w:t>ender stereotypes from primary school onwards</w:t>
            </w:r>
            <w:r w:rsidR="00BA3F8A">
              <w:rPr>
                <w:rFonts w:ascii="Titillium" w:eastAsia="Arial Unicode MS" w:hAnsi="Titillium" w:cs="Arial"/>
                <w:sz w:val="22"/>
                <w:szCs w:val="24"/>
                <w:lang w:val="en-GB" w:eastAsia="en-GB"/>
              </w:rPr>
              <w:t xml:space="preserve"> (</w:t>
            </w:r>
            <w:r w:rsidR="00BA3F8A" w:rsidRPr="00BA3F8A">
              <w:rPr>
                <w:rFonts w:ascii="Titillium" w:eastAsia="Arial Unicode MS" w:hAnsi="Titillium" w:cs="Arial"/>
                <w:i/>
                <w:sz w:val="22"/>
                <w:szCs w:val="24"/>
                <w:lang w:val="en-GB" w:eastAsia="en-GB"/>
              </w:rPr>
              <w:t>Long-term impact</w:t>
            </w:r>
            <w:r w:rsidR="00BA3F8A">
              <w:rPr>
                <w:rFonts w:ascii="Titillium" w:eastAsia="Arial Unicode MS" w:hAnsi="Titillium" w:cs="Arial"/>
                <w:sz w:val="22"/>
                <w:szCs w:val="24"/>
                <w:lang w:val="en-GB" w:eastAsia="en-GB"/>
              </w:rPr>
              <w:t>)</w:t>
            </w:r>
            <w:r w:rsidR="003B333C">
              <w:rPr>
                <w:rFonts w:ascii="Titillium" w:eastAsia="Arial Unicode MS" w:hAnsi="Titillium" w:cs="Arial"/>
                <w:sz w:val="22"/>
                <w:szCs w:val="24"/>
                <w:lang w:val="en-GB" w:eastAsia="en-GB"/>
              </w:rPr>
              <w:t>.</w:t>
            </w:r>
          </w:p>
          <w:p w14:paraId="5283CF4F" w14:textId="772EA485" w:rsidR="00D47B61" w:rsidRPr="00867F38" w:rsidRDefault="00D47B61" w:rsidP="00C5197A">
            <w:pPr>
              <w:spacing w:before="60" w:after="60"/>
              <w:ind w:left="601" w:hanging="601"/>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1.4b </w:t>
            </w:r>
            <w:r w:rsidR="00BA3F8A">
              <w:rPr>
                <w:rFonts w:ascii="Titillium" w:eastAsia="Arial Unicode MS" w:hAnsi="Titillium" w:cs="Arial"/>
                <w:sz w:val="22"/>
                <w:szCs w:val="24"/>
                <w:lang w:val="en-GB" w:eastAsia="en-GB"/>
              </w:rPr>
              <w:t>S</w:t>
            </w:r>
            <w:r>
              <w:rPr>
                <w:rFonts w:ascii="Titillium" w:eastAsia="Arial Unicode MS" w:hAnsi="Titillium" w:cs="Arial"/>
                <w:sz w:val="22"/>
                <w:szCs w:val="24"/>
                <w:lang w:val="en-GB" w:eastAsia="en-GB"/>
              </w:rPr>
              <w:t xml:space="preserve">ubject specific </w:t>
            </w:r>
            <w:r w:rsidR="00BA3F8A">
              <w:rPr>
                <w:rFonts w:ascii="Titillium" w:eastAsia="Arial Unicode MS" w:hAnsi="Titillium" w:cs="Arial"/>
                <w:sz w:val="22"/>
                <w:szCs w:val="24"/>
                <w:lang w:val="en-GB" w:eastAsia="en-GB"/>
              </w:rPr>
              <w:t xml:space="preserve">issues </w:t>
            </w:r>
            <w:r w:rsidR="00D31F55">
              <w:rPr>
                <w:rFonts w:ascii="Titillium" w:eastAsia="Arial Unicode MS" w:hAnsi="Titillium" w:cs="Arial"/>
                <w:sz w:val="22"/>
                <w:szCs w:val="24"/>
                <w:lang w:val="en-GB" w:eastAsia="en-GB"/>
              </w:rPr>
              <w:t xml:space="preserve">and </w:t>
            </w:r>
            <w:r>
              <w:rPr>
                <w:rFonts w:ascii="Titillium" w:eastAsia="Arial Unicode MS" w:hAnsi="Titillium" w:cs="Arial"/>
                <w:sz w:val="22"/>
                <w:szCs w:val="24"/>
                <w:lang w:val="en-GB" w:eastAsia="en-GB"/>
              </w:rPr>
              <w:t>gender stereotype</w:t>
            </w:r>
            <w:r w:rsidR="00BA3F8A">
              <w:rPr>
                <w:rFonts w:ascii="Titillium" w:eastAsia="Arial Unicode MS" w:hAnsi="Titillium" w:cs="Arial"/>
                <w:sz w:val="22"/>
                <w:szCs w:val="24"/>
                <w:lang w:val="en-GB" w:eastAsia="en-GB"/>
              </w:rPr>
              <w:t>s</w:t>
            </w:r>
            <w:r>
              <w:rPr>
                <w:rFonts w:ascii="Titillium" w:eastAsia="Arial Unicode MS" w:hAnsi="Titillium" w:cs="Arial"/>
                <w:sz w:val="22"/>
                <w:szCs w:val="24"/>
                <w:lang w:val="en-GB" w:eastAsia="en-GB"/>
              </w:rPr>
              <w:t xml:space="preserve"> for senior phase pupils and college students</w:t>
            </w:r>
            <w:r w:rsidR="00BA3F8A">
              <w:rPr>
                <w:rFonts w:ascii="Titillium" w:eastAsia="Arial Unicode MS" w:hAnsi="Titillium" w:cs="Arial"/>
                <w:sz w:val="22"/>
                <w:szCs w:val="24"/>
                <w:lang w:val="en-GB" w:eastAsia="en-GB"/>
              </w:rPr>
              <w:t xml:space="preserve"> (</w:t>
            </w:r>
            <w:r w:rsidR="00BA3F8A" w:rsidRPr="00BA3F8A">
              <w:rPr>
                <w:rFonts w:ascii="Titillium" w:eastAsia="Arial Unicode MS" w:hAnsi="Titillium" w:cs="Arial"/>
                <w:i/>
                <w:sz w:val="22"/>
                <w:szCs w:val="24"/>
                <w:lang w:val="en-GB" w:eastAsia="en-GB"/>
              </w:rPr>
              <w:t>Short-term impact</w:t>
            </w:r>
            <w:r w:rsidR="00BA3F8A">
              <w:rPr>
                <w:rFonts w:ascii="Titillium" w:eastAsia="Arial Unicode MS" w:hAnsi="Titillium" w:cs="Arial"/>
                <w:sz w:val="22"/>
                <w:szCs w:val="24"/>
                <w:lang w:val="en-GB" w:eastAsia="en-GB"/>
              </w:rPr>
              <w:t>)</w:t>
            </w:r>
            <w:r w:rsidR="003B333C">
              <w:rPr>
                <w:rFonts w:ascii="Titillium" w:eastAsia="Arial Unicode MS" w:hAnsi="Titillium" w:cs="Arial"/>
                <w:sz w:val="22"/>
                <w:szCs w:val="24"/>
                <w:lang w:val="en-GB" w:eastAsia="en-GB"/>
              </w:rPr>
              <w:t>.</w:t>
            </w:r>
          </w:p>
        </w:tc>
      </w:tr>
      <w:tr w:rsidR="006F2730" w:rsidRPr="00867F38" w14:paraId="2EC30B40" w14:textId="77777777" w:rsidTr="00D74E77">
        <w:tc>
          <w:tcPr>
            <w:tcW w:w="709" w:type="dxa"/>
          </w:tcPr>
          <w:p w14:paraId="5F5E6D13" w14:textId="4928E87C" w:rsidR="006F2730" w:rsidRPr="00867F38" w:rsidRDefault="006F2730" w:rsidP="00307598">
            <w:pPr>
              <w:spacing w:before="60" w:after="6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1.5</w:t>
            </w:r>
          </w:p>
        </w:tc>
        <w:tc>
          <w:tcPr>
            <w:tcW w:w="13036" w:type="dxa"/>
          </w:tcPr>
          <w:p w14:paraId="5ABB97AE" w14:textId="63D3665C" w:rsidR="006F2730" w:rsidRDefault="006F2730" w:rsidP="00307598">
            <w:pPr>
              <w:spacing w:before="60" w:after="6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Deliver initiatives to close the attainment gap</w:t>
            </w:r>
            <w:r w:rsidR="00C5197A">
              <w:rPr>
                <w:rFonts w:ascii="Titillium" w:eastAsia="Arial Unicode MS" w:hAnsi="Titillium" w:cs="Arial"/>
                <w:sz w:val="22"/>
                <w:szCs w:val="24"/>
                <w:lang w:val="en-GB" w:eastAsia="en-GB"/>
              </w:rPr>
              <w:t>, including:</w:t>
            </w:r>
          </w:p>
          <w:p w14:paraId="1AE619A9" w14:textId="0EC34BF9" w:rsidR="00D31F55" w:rsidRDefault="00D31F55" w:rsidP="00C5197A">
            <w:pPr>
              <w:spacing w:before="60" w:after="60"/>
              <w:ind w:left="459" w:hanging="459"/>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1.5a </w:t>
            </w:r>
            <w:r w:rsidR="00D87C94">
              <w:rPr>
                <w:rFonts w:ascii="Titillium" w:eastAsia="Arial Unicode MS" w:hAnsi="Titillium" w:cs="Arial"/>
                <w:sz w:val="22"/>
                <w:szCs w:val="24"/>
                <w:lang w:val="en-GB" w:eastAsia="en-GB"/>
              </w:rPr>
              <w:t>Review and develop e</w:t>
            </w:r>
            <w:r w:rsidRPr="00867F38">
              <w:rPr>
                <w:rFonts w:ascii="Titillium" w:eastAsia="Arial Unicode MS" w:hAnsi="Titillium" w:cs="Arial"/>
                <w:sz w:val="22"/>
                <w:szCs w:val="24"/>
                <w:lang w:val="en-GB" w:eastAsia="en-GB"/>
              </w:rPr>
              <w:t>arly year interventions</w:t>
            </w:r>
            <w:r>
              <w:rPr>
                <w:rFonts w:ascii="Titillium" w:eastAsia="Arial Unicode MS" w:hAnsi="Titillium" w:cs="Arial"/>
                <w:sz w:val="22"/>
                <w:szCs w:val="24"/>
                <w:lang w:val="en-GB" w:eastAsia="en-GB"/>
              </w:rPr>
              <w:t xml:space="preserve"> and </w:t>
            </w:r>
            <w:r w:rsidRPr="00867F38">
              <w:rPr>
                <w:rFonts w:ascii="Titillium" w:eastAsia="Arial Unicode MS" w:hAnsi="Titillium" w:cs="Arial"/>
                <w:sz w:val="22"/>
                <w:szCs w:val="24"/>
                <w:lang w:val="en-GB" w:eastAsia="en-GB"/>
              </w:rPr>
              <w:t>subject specific activities/resources</w:t>
            </w:r>
            <w:r w:rsidR="00C5197A">
              <w:rPr>
                <w:rFonts w:ascii="Titillium" w:eastAsia="Arial Unicode MS" w:hAnsi="Titillium" w:cs="Arial"/>
                <w:sz w:val="22"/>
                <w:szCs w:val="24"/>
                <w:lang w:val="en-GB" w:eastAsia="en-GB"/>
              </w:rPr>
              <w:t xml:space="preserve"> </w:t>
            </w:r>
            <w:r w:rsidR="00D87C94">
              <w:rPr>
                <w:rFonts w:ascii="Titillium" w:eastAsia="Arial Unicode MS" w:hAnsi="Titillium" w:cs="Arial"/>
                <w:sz w:val="22"/>
                <w:szCs w:val="24"/>
                <w:lang w:val="en-GB" w:eastAsia="en-GB"/>
              </w:rPr>
              <w:t xml:space="preserve">in partnership with schools, colleges and other universities </w:t>
            </w:r>
            <w:r w:rsidR="00C5197A">
              <w:rPr>
                <w:rFonts w:ascii="Titillium" w:eastAsia="Arial Unicode MS" w:hAnsi="Titillium" w:cs="Arial"/>
                <w:sz w:val="22"/>
                <w:szCs w:val="24"/>
                <w:lang w:val="en-GB" w:eastAsia="en-GB"/>
              </w:rPr>
              <w:t>(</w:t>
            </w:r>
            <w:r w:rsidR="00C5197A" w:rsidRPr="00C5197A">
              <w:rPr>
                <w:rFonts w:ascii="Titillium" w:eastAsia="Arial Unicode MS" w:hAnsi="Titillium" w:cs="Arial"/>
                <w:i/>
                <w:sz w:val="22"/>
                <w:szCs w:val="24"/>
                <w:lang w:val="en-GB" w:eastAsia="en-GB"/>
              </w:rPr>
              <w:t>Long-term impact</w:t>
            </w:r>
            <w:r w:rsidR="00C5197A">
              <w:rPr>
                <w:rFonts w:ascii="Titillium" w:eastAsia="Arial Unicode MS" w:hAnsi="Titillium" w:cs="Arial"/>
                <w:sz w:val="22"/>
                <w:szCs w:val="24"/>
                <w:lang w:val="en-GB" w:eastAsia="en-GB"/>
              </w:rPr>
              <w:t>)</w:t>
            </w:r>
            <w:r w:rsidR="003B333C">
              <w:rPr>
                <w:rFonts w:ascii="Titillium" w:eastAsia="Arial Unicode MS" w:hAnsi="Titillium" w:cs="Arial"/>
                <w:sz w:val="22"/>
                <w:szCs w:val="24"/>
                <w:lang w:val="en-GB" w:eastAsia="en-GB"/>
              </w:rPr>
              <w:t>.</w:t>
            </w:r>
          </w:p>
          <w:p w14:paraId="448B4AD8" w14:textId="5A86A7BC" w:rsidR="00D31F55" w:rsidRPr="00867F38" w:rsidRDefault="00D31F55" w:rsidP="00C5197A">
            <w:pPr>
              <w:spacing w:before="60" w:after="60"/>
              <w:ind w:left="459" w:hanging="459"/>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1.5b </w:t>
            </w:r>
            <w:r w:rsidR="00C5197A">
              <w:rPr>
                <w:rFonts w:ascii="Titillium" w:eastAsia="Arial Unicode MS" w:hAnsi="Titillium" w:cs="Arial"/>
                <w:sz w:val="22"/>
                <w:szCs w:val="24"/>
                <w:lang w:val="en-GB" w:eastAsia="en-GB"/>
              </w:rPr>
              <w:t>S</w:t>
            </w:r>
            <w:r>
              <w:rPr>
                <w:rFonts w:ascii="Titillium" w:eastAsia="Arial Unicode MS" w:hAnsi="Titillium" w:cs="Arial"/>
                <w:sz w:val="22"/>
                <w:szCs w:val="24"/>
                <w:lang w:val="en-GB" w:eastAsia="en-GB"/>
              </w:rPr>
              <w:t xml:space="preserve">tudent mentoring programmes, </w:t>
            </w:r>
            <w:r w:rsidR="005247E9">
              <w:rPr>
                <w:rFonts w:ascii="Titillium" w:eastAsia="Arial Unicode MS" w:hAnsi="Titillium" w:cs="Arial"/>
                <w:sz w:val="22"/>
                <w:szCs w:val="24"/>
                <w:lang w:val="en-GB" w:eastAsia="en-GB"/>
              </w:rPr>
              <w:t>subject specific</w:t>
            </w:r>
            <w:r w:rsidR="003B333C">
              <w:rPr>
                <w:rFonts w:ascii="Titillium" w:eastAsia="Arial Unicode MS" w:hAnsi="Titillium" w:cs="Arial"/>
                <w:sz w:val="22"/>
                <w:szCs w:val="24"/>
                <w:lang w:val="en-GB" w:eastAsia="en-GB"/>
              </w:rPr>
              <w:t xml:space="preserve"> support for partner schools and targeted admissions policies</w:t>
            </w:r>
            <w:r w:rsidR="00C5197A">
              <w:rPr>
                <w:rFonts w:ascii="Titillium" w:eastAsia="Arial Unicode MS" w:hAnsi="Titillium" w:cs="Arial"/>
                <w:sz w:val="22"/>
                <w:szCs w:val="24"/>
                <w:lang w:val="en-GB" w:eastAsia="en-GB"/>
              </w:rPr>
              <w:t xml:space="preserve"> (</w:t>
            </w:r>
            <w:r w:rsidR="00C5197A" w:rsidRPr="00C5197A">
              <w:rPr>
                <w:rFonts w:ascii="Titillium" w:eastAsia="Arial Unicode MS" w:hAnsi="Titillium" w:cs="Arial"/>
                <w:i/>
                <w:sz w:val="22"/>
                <w:szCs w:val="24"/>
                <w:lang w:val="en-GB" w:eastAsia="en-GB"/>
              </w:rPr>
              <w:t>Short-term impact</w:t>
            </w:r>
            <w:r w:rsidR="00C5197A">
              <w:rPr>
                <w:rFonts w:ascii="Titillium" w:eastAsia="Arial Unicode MS" w:hAnsi="Titillium" w:cs="Arial"/>
                <w:sz w:val="22"/>
                <w:szCs w:val="24"/>
                <w:lang w:val="en-GB" w:eastAsia="en-GB"/>
              </w:rPr>
              <w:t>)</w:t>
            </w:r>
            <w:r w:rsidR="003B333C">
              <w:rPr>
                <w:rFonts w:ascii="Titillium" w:eastAsia="Arial Unicode MS" w:hAnsi="Titillium" w:cs="Arial"/>
                <w:sz w:val="22"/>
                <w:szCs w:val="24"/>
                <w:lang w:val="en-GB" w:eastAsia="en-GB"/>
              </w:rPr>
              <w:t>.</w:t>
            </w:r>
          </w:p>
        </w:tc>
      </w:tr>
    </w:tbl>
    <w:p w14:paraId="1B483079" w14:textId="77777777" w:rsidR="005247E9" w:rsidRDefault="00960000" w:rsidP="0029691E">
      <w:pPr>
        <w:spacing w:after="160" w:line="259" w:lineRule="auto"/>
        <w:rPr>
          <w:rFonts w:ascii="Titillium" w:eastAsia="Times New Roman" w:hAnsi="Titillium" w:cs="Arial"/>
          <w:b/>
          <w:bCs/>
          <w:color w:val="000080"/>
          <w:szCs w:val="24"/>
          <w:lang w:val="en-GB" w:eastAsia="en-GB"/>
        </w:rPr>
      </w:pPr>
      <w:r>
        <w:rPr>
          <w:rFonts w:ascii="Titillium" w:eastAsia="Times New Roman" w:hAnsi="Titillium" w:cs="Arial"/>
          <w:b/>
          <w:bCs/>
          <w:color w:val="000080"/>
          <w:szCs w:val="24"/>
          <w:lang w:val="en-GB" w:eastAsia="en-GB"/>
        </w:rPr>
        <w:pict w14:anchorId="293A9713">
          <v:rect id="_x0000_i1032" style="width:0;height:1.5pt" o:hralign="center" o:hrstd="t" o:hr="t" fillcolor="#aca899" stroked="f"/>
        </w:pict>
      </w:r>
    </w:p>
    <w:p w14:paraId="5D3FD40A" w14:textId="77777777" w:rsidR="00DC5FD4" w:rsidRDefault="00DC5FD4" w:rsidP="0029691E">
      <w:pPr>
        <w:spacing w:after="160" w:line="259" w:lineRule="auto"/>
        <w:rPr>
          <w:rFonts w:ascii="Titillium" w:eastAsia="Arial Unicode MS" w:hAnsi="Titillium" w:cs="Arial"/>
          <w:b/>
          <w:bCs/>
          <w:color w:val="003366"/>
          <w:szCs w:val="24"/>
          <w:lang w:val="en-GB" w:eastAsia="en-GB"/>
        </w:rPr>
      </w:pPr>
      <w:r>
        <w:rPr>
          <w:rFonts w:ascii="Titillium" w:eastAsia="Arial Unicode MS" w:hAnsi="Titillium" w:cs="Arial"/>
          <w:b/>
          <w:bCs/>
          <w:color w:val="003366"/>
          <w:szCs w:val="24"/>
          <w:lang w:val="en-GB" w:eastAsia="en-GB"/>
        </w:rPr>
        <w:br w:type="page"/>
      </w:r>
    </w:p>
    <w:p w14:paraId="4833D952" w14:textId="39EF42BC" w:rsidR="00284BDA" w:rsidRPr="00867F38" w:rsidRDefault="00284BDA" w:rsidP="0029691E">
      <w:pPr>
        <w:spacing w:after="160" w:line="259" w:lineRule="auto"/>
        <w:rPr>
          <w:rFonts w:ascii="Titillium" w:eastAsia="Arial Unicode MS" w:hAnsi="Titillium" w:cs="Arial"/>
          <w:color w:val="003366"/>
          <w:sz w:val="22"/>
          <w:szCs w:val="24"/>
          <w:lang w:val="en-GB" w:eastAsia="en-GB"/>
        </w:rPr>
      </w:pPr>
      <w:r w:rsidRPr="00867F38">
        <w:rPr>
          <w:rFonts w:ascii="Titillium" w:eastAsia="Arial Unicode MS" w:hAnsi="Titillium" w:cs="Arial"/>
          <w:b/>
          <w:bCs/>
          <w:color w:val="003366"/>
          <w:szCs w:val="24"/>
          <w:lang w:val="en-GB" w:eastAsia="en-GB"/>
        </w:rPr>
        <w:lastRenderedPageBreak/>
        <w:t>Success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26"/>
        <w:gridCol w:w="1717"/>
        <w:gridCol w:w="5387"/>
      </w:tblGrid>
      <w:tr w:rsidR="00284BDA" w:rsidRPr="00307598" w14:paraId="54D065E5" w14:textId="77777777" w:rsidTr="0029691E">
        <w:trPr>
          <w:cantSplit/>
        </w:trPr>
        <w:tc>
          <w:tcPr>
            <w:tcW w:w="4815" w:type="dxa"/>
          </w:tcPr>
          <w:p w14:paraId="0824ED9E" w14:textId="77777777" w:rsidR="00284BDA" w:rsidRPr="00307598" w:rsidRDefault="00284BDA" w:rsidP="00D57E97">
            <w:pPr>
              <w:spacing w:before="60" w:after="60"/>
              <w:jc w:val="both"/>
              <w:rPr>
                <w:rFonts w:ascii="Titillium" w:eastAsia="Times New Roman" w:hAnsi="Titillium" w:cs="Arial"/>
                <w:b/>
                <w:sz w:val="22"/>
                <w:szCs w:val="22"/>
                <w:lang w:val="en-GB"/>
              </w:rPr>
            </w:pPr>
            <w:r w:rsidRPr="00307598">
              <w:rPr>
                <w:rFonts w:ascii="Titillium" w:eastAsia="Times New Roman" w:hAnsi="Titillium" w:cs="Arial"/>
                <w:b/>
                <w:color w:val="003366"/>
                <w:sz w:val="22"/>
                <w:szCs w:val="22"/>
                <w:lang w:val="en-GB"/>
              </w:rPr>
              <w:t>Indicators of Success</w:t>
            </w:r>
          </w:p>
        </w:tc>
        <w:tc>
          <w:tcPr>
            <w:tcW w:w="2126" w:type="dxa"/>
          </w:tcPr>
          <w:p w14:paraId="0BBC7D2D" w14:textId="2B89EC7C" w:rsidR="00284BDA" w:rsidRPr="00307598" w:rsidRDefault="00D148AA" w:rsidP="00D57E97">
            <w:pPr>
              <w:spacing w:before="60" w:after="60"/>
              <w:jc w:val="both"/>
              <w:rPr>
                <w:rFonts w:ascii="Titillium" w:eastAsia="Times New Roman" w:hAnsi="Titillium" w:cs="Arial"/>
                <w:sz w:val="22"/>
                <w:szCs w:val="22"/>
                <w:lang w:val="en-GB"/>
              </w:rPr>
            </w:pPr>
            <w:r w:rsidRPr="00307598">
              <w:rPr>
                <w:rFonts w:ascii="Titillium" w:eastAsia="Times New Roman" w:hAnsi="Titillium" w:cs="Arial"/>
                <w:b/>
                <w:bCs/>
                <w:color w:val="003366"/>
                <w:sz w:val="22"/>
                <w:szCs w:val="22"/>
                <w:lang w:val="en-GB"/>
              </w:rPr>
              <w:t>Baseline (Year)</w:t>
            </w:r>
          </w:p>
        </w:tc>
        <w:tc>
          <w:tcPr>
            <w:tcW w:w="1717" w:type="dxa"/>
          </w:tcPr>
          <w:p w14:paraId="591AD25B" w14:textId="4BAA5DA4" w:rsidR="00284BDA" w:rsidRPr="00307598" w:rsidRDefault="00D148AA" w:rsidP="00D57E97">
            <w:pPr>
              <w:spacing w:before="60" w:after="60"/>
              <w:jc w:val="both"/>
              <w:rPr>
                <w:rFonts w:ascii="Titillium" w:eastAsia="Times New Roman" w:hAnsi="Titillium" w:cs="Arial"/>
                <w:b/>
                <w:bCs/>
                <w:color w:val="003366"/>
                <w:sz w:val="22"/>
                <w:szCs w:val="22"/>
                <w:lang w:val="en-GB"/>
              </w:rPr>
            </w:pPr>
            <w:r w:rsidRPr="00307598">
              <w:rPr>
                <w:rFonts w:ascii="Titillium" w:eastAsia="Times New Roman" w:hAnsi="Titillium" w:cs="Arial"/>
                <w:b/>
                <w:bCs/>
                <w:color w:val="003366"/>
                <w:sz w:val="22"/>
                <w:szCs w:val="22"/>
                <w:lang w:val="en-GB"/>
              </w:rPr>
              <w:t>Target (</w:t>
            </w:r>
            <w:r w:rsidR="00284BDA" w:rsidRPr="00307598">
              <w:rPr>
                <w:rFonts w:ascii="Titillium" w:eastAsia="Times New Roman" w:hAnsi="Titillium" w:cs="Arial"/>
                <w:b/>
                <w:bCs/>
                <w:color w:val="003366"/>
                <w:sz w:val="22"/>
                <w:szCs w:val="22"/>
                <w:lang w:val="en-GB"/>
              </w:rPr>
              <w:t>2020)</w:t>
            </w:r>
          </w:p>
        </w:tc>
        <w:tc>
          <w:tcPr>
            <w:tcW w:w="5387" w:type="dxa"/>
          </w:tcPr>
          <w:p w14:paraId="7504D0EF" w14:textId="77777777" w:rsidR="00284BDA" w:rsidRPr="00307598" w:rsidRDefault="00284BDA" w:rsidP="00D57E97">
            <w:pPr>
              <w:spacing w:before="60" w:after="60"/>
              <w:jc w:val="both"/>
              <w:rPr>
                <w:rFonts w:ascii="Titillium" w:eastAsia="Times New Roman" w:hAnsi="Titillium" w:cs="Arial"/>
                <w:b/>
                <w:bCs/>
                <w:color w:val="003366"/>
                <w:sz w:val="22"/>
                <w:szCs w:val="22"/>
                <w:lang w:val="en-GB"/>
              </w:rPr>
            </w:pPr>
            <w:r w:rsidRPr="00307598">
              <w:rPr>
                <w:rFonts w:ascii="Titillium" w:eastAsia="Times New Roman" w:hAnsi="Titillium" w:cs="Arial"/>
                <w:b/>
                <w:bCs/>
                <w:color w:val="003366"/>
                <w:sz w:val="22"/>
                <w:szCs w:val="22"/>
                <w:lang w:val="en-GB"/>
              </w:rPr>
              <w:t>Comments</w:t>
            </w:r>
          </w:p>
        </w:tc>
      </w:tr>
      <w:tr w:rsidR="00DC5FD4" w:rsidRPr="00307598" w14:paraId="0CECF79A" w14:textId="77777777" w:rsidTr="0029691E">
        <w:trPr>
          <w:cantSplit/>
        </w:trPr>
        <w:tc>
          <w:tcPr>
            <w:tcW w:w="4815" w:type="dxa"/>
          </w:tcPr>
          <w:p w14:paraId="33F86650" w14:textId="52EED937" w:rsidR="00DC5FD4" w:rsidRDefault="00DC5FD4" w:rsidP="00DC5FD4">
            <w:pPr>
              <w:spacing w:before="60" w:after="60"/>
              <w:rPr>
                <w:rFonts w:ascii="Titillium" w:eastAsia="Times New Roman" w:hAnsi="Titillium" w:cs="Arial"/>
                <w:sz w:val="22"/>
                <w:szCs w:val="22"/>
                <w:lang w:val="en-GB"/>
              </w:rPr>
            </w:pPr>
            <w:r w:rsidRPr="004C42F7">
              <w:rPr>
                <w:rFonts w:ascii="Titillium" w:eastAsia="Times New Roman" w:hAnsi="Titillium" w:cs="Arial"/>
                <w:sz w:val="22"/>
                <w:szCs w:val="22"/>
                <w:lang w:val="en-GB" w:eastAsia="en-GB"/>
              </w:rPr>
              <w:t>Expectations/Awareness</w:t>
            </w:r>
          </w:p>
        </w:tc>
        <w:tc>
          <w:tcPr>
            <w:tcW w:w="2126" w:type="dxa"/>
          </w:tcPr>
          <w:p w14:paraId="5B79E32D" w14:textId="118E914B" w:rsidR="00DC5FD4" w:rsidRPr="00307598" w:rsidRDefault="00DC5FD4"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Will be baselined at start of specific initiatives</w:t>
            </w:r>
          </w:p>
        </w:tc>
        <w:tc>
          <w:tcPr>
            <w:tcW w:w="1717" w:type="dxa"/>
          </w:tcPr>
          <w:p w14:paraId="4096EBC7" w14:textId="77777777" w:rsidR="00DC5FD4" w:rsidRDefault="00DC5FD4"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Improvements per initiative</w:t>
            </w:r>
          </w:p>
          <w:p w14:paraId="6E0D2690" w14:textId="77777777" w:rsidR="00DC5FD4" w:rsidRDefault="00DC5FD4" w:rsidP="00DC5FD4">
            <w:pPr>
              <w:spacing w:before="60" w:after="60"/>
              <w:jc w:val="both"/>
              <w:rPr>
                <w:rFonts w:ascii="Titillium" w:eastAsia="Times New Roman" w:hAnsi="Titillium" w:cs="Arial"/>
                <w:sz w:val="22"/>
                <w:szCs w:val="22"/>
                <w:lang w:val="en-GB"/>
              </w:rPr>
            </w:pPr>
          </w:p>
        </w:tc>
        <w:tc>
          <w:tcPr>
            <w:tcW w:w="5387" w:type="dxa"/>
          </w:tcPr>
          <w:p w14:paraId="098D4DC3" w14:textId="4506D54F" w:rsidR="00DC5FD4" w:rsidRPr="00307598" w:rsidRDefault="00DC5FD4" w:rsidP="00DC5FD4">
            <w:pPr>
              <w:spacing w:before="60" w:after="60"/>
              <w:jc w:val="both"/>
              <w:rPr>
                <w:rFonts w:ascii="Titillium" w:eastAsia="Times New Roman" w:hAnsi="Titillium" w:cs="Arial"/>
                <w:sz w:val="22"/>
                <w:szCs w:val="22"/>
                <w:lang w:val="en-GB"/>
              </w:rPr>
            </w:pPr>
            <w:r w:rsidRPr="004C42F7">
              <w:rPr>
                <w:rFonts w:ascii="Titillium" w:eastAsia="Times New Roman" w:hAnsi="Titillium" w:cs="Arial"/>
                <w:sz w:val="22"/>
                <w:szCs w:val="22"/>
                <w:lang w:val="en-GB"/>
              </w:rPr>
              <w:t xml:space="preserve">Specific evaluation campaigns </w:t>
            </w:r>
            <w:r>
              <w:rPr>
                <w:rFonts w:ascii="Titillium" w:eastAsia="Times New Roman" w:hAnsi="Titillium" w:cs="Arial"/>
                <w:sz w:val="22"/>
                <w:szCs w:val="22"/>
                <w:lang w:val="en-GB"/>
              </w:rPr>
              <w:t xml:space="preserve">will be conducted </w:t>
            </w:r>
            <w:r w:rsidRPr="004C42F7">
              <w:rPr>
                <w:rFonts w:ascii="Titillium" w:eastAsia="Times New Roman" w:hAnsi="Titillium" w:cs="Arial"/>
                <w:sz w:val="22"/>
                <w:szCs w:val="22"/>
                <w:lang w:val="en-GB"/>
              </w:rPr>
              <w:t>with target schools to measure changes in students’ expectations of applying to or studying at university.</w:t>
            </w:r>
          </w:p>
        </w:tc>
      </w:tr>
      <w:tr w:rsidR="00DC5FD4" w:rsidRPr="00307598" w14:paraId="4B6CBE06" w14:textId="77777777" w:rsidTr="0029691E">
        <w:trPr>
          <w:cantSplit/>
        </w:trPr>
        <w:tc>
          <w:tcPr>
            <w:tcW w:w="4815" w:type="dxa"/>
          </w:tcPr>
          <w:p w14:paraId="1162A11C" w14:textId="62CAFA2A" w:rsidR="00DC5FD4" w:rsidRPr="001144E6" w:rsidRDefault="00DC5FD4" w:rsidP="001144E6">
            <w:pPr>
              <w:jc w:val="both"/>
              <w:rPr>
                <w:rFonts w:ascii="Titillium" w:eastAsia="Times New Roman" w:hAnsi="Titillium" w:cs="Arial"/>
                <w:sz w:val="22"/>
                <w:szCs w:val="22"/>
                <w:lang w:val="en-GB" w:eastAsia="en-GB"/>
              </w:rPr>
            </w:pPr>
            <w:r w:rsidRPr="001144E6">
              <w:rPr>
                <w:rFonts w:ascii="Titillium" w:eastAsia="Times New Roman" w:hAnsi="Titillium" w:cs="Arial"/>
                <w:sz w:val="22"/>
                <w:szCs w:val="22"/>
                <w:lang w:val="en-GB"/>
              </w:rPr>
              <w:t xml:space="preserve">Increased applications from widening participation priority groups (SIMD20, </w:t>
            </w:r>
            <w:r w:rsidR="001144E6" w:rsidRPr="00DF6B6E">
              <w:rPr>
                <w:rFonts w:ascii="Titillium" w:eastAsia="Times New Roman" w:hAnsi="Titillium" w:cs="Arial"/>
                <w:sz w:val="22"/>
                <w:szCs w:val="22"/>
                <w:lang w:val="en-GB" w:eastAsia="en-GB"/>
              </w:rPr>
              <w:t>students who have been in care</w:t>
            </w:r>
            <w:r w:rsidR="001144E6">
              <w:rPr>
                <w:rFonts w:ascii="Titillium" w:eastAsia="Times New Roman" w:hAnsi="Titillium" w:cs="Arial"/>
                <w:sz w:val="22"/>
                <w:szCs w:val="22"/>
                <w:lang w:val="en-GB" w:eastAsia="en-GB"/>
              </w:rPr>
              <w:t>,</w:t>
            </w:r>
            <w:r w:rsidR="001144E6" w:rsidRPr="001144E6">
              <w:rPr>
                <w:rFonts w:ascii="Titillium" w:eastAsia="Times New Roman" w:hAnsi="Titillium" w:cs="Arial"/>
                <w:sz w:val="22"/>
                <w:szCs w:val="22"/>
                <w:lang w:val="en-GB"/>
              </w:rPr>
              <w:t xml:space="preserve"> </w:t>
            </w:r>
            <w:r w:rsidRPr="001144E6">
              <w:rPr>
                <w:rFonts w:ascii="Titillium" w:eastAsia="Times New Roman" w:hAnsi="Titillium" w:cs="Arial"/>
                <w:sz w:val="22"/>
                <w:szCs w:val="22"/>
                <w:lang w:val="en-GB"/>
              </w:rPr>
              <w:t xml:space="preserve">pupils from SHEP schools, LEAPS </w:t>
            </w:r>
            <w:r w:rsidRPr="001144E6">
              <w:rPr>
                <w:rFonts w:ascii="Titillium" w:eastAsia="Times New Roman" w:hAnsi="Titillium" w:cs="Arial"/>
                <w:sz w:val="22"/>
                <w:szCs w:val="22"/>
                <w:lang w:val="en-GB" w:eastAsia="en-GB"/>
              </w:rPr>
              <w:t>eligible, students applying via SWAP)</w:t>
            </w:r>
          </w:p>
          <w:p w14:paraId="1C94C00A" w14:textId="7AE0AE42" w:rsidR="00DC5FD4" w:rsidRDefault="00DC5FD4" w:rsidP="00DC5FD4">
            <w:pPr>
              <w:spacing w:before="60" w:after="60"/>
              <w:rPr>
                <w:rFonts w:ascii="Titillium" w:eastAsia="Times New Roman" w:hAnsi="Titillium" w:cs="Arial"/>
                <w:sz w:val="22"/>
                <w:szCs w:val="22"/>
                <w:lang w:val="en-GB"/>
              </w:rPr>
            </w:pPr>
          </w:p>
        </w:tc>
        <w:tc>
          <w:tcPr>
            <w:tcW w:w="2126" w:type="dxa"/>
          </w:tcPr>
          <w:p w14:paraId="1E642CB6" w14:textId="44A01EFD" w:rsidR="001144E6" w:rsidRDefault="001144E6" w:rsidP="001144E6">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 xml:space="preserve">Applications from </w:t>
            </w:r>
            <w:r w:rsidR="002436CF">
              <w:rPr>
                <w:rFonts w:ascii="Titillium" w:eastAsia="Times New Roman" w:hAnsi="Titillium" w:cs="Arial"/>
                <w:sz w:val="22"/>
                <w:szCs w:val="22"/>
                <w:lang w:val="en-GB"/>
              </w:rPr>
              <w:t>WP</w:t>
            </w:r>
            <w:r>
              <w:rPr>
                <w:rFonts w:ascii="Titillium" w:eastAsia="Times New Roman" w:hAnsi="Titillium" w:cs="Arial"/>
                <w:sz w:val="22"/>
                <w:szCs w:val="22"/>
                <w:lang w:val="en-GB"/>
              </w:rPr>
              <w:t xml:space="preserve"> groups</w:t>
            </w:r>
            <w:r w:rsidR="006D5B8B">
              <w:rPr>
                <w:rFonts w:ascii="Titillium" w:eastAsia="Times New Roman" w:hAnsi="Titillium" w:cs="Arial"/>
                <w:sz w:val="22"/>
                <w:szCs w:val="22"/>
                <w:lang w:val="en-GB"/>
              </w:rPr>
              <w:t xml:space="preserve"> </w:t>
            </w:r>
            <w:r w:rsidR="004008F5">
              <w:rPr>
                <w:rFonts w:ascii="Titillium" w:eastAsia="Times New Roman" w:hAnsi="Titillium" w:cs="Arial"/>
                <w:sz w:val="22"/>
                <w:szCs w:val="22"/>
                <w:lang w:val="en-GB"/>
              </w:rPr>
              <w:t>(as % of applications from all Scottish domiciled undergraduate entrants)</w:t>
            </w:r>
          </w:p>
          <w:p w14:paraId="2D4F8F5C" w14:textId="23915EBA" w:rsidR="001144E6" w:rsidRDefault="001144E6" w:rsidP="001144E6">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23.5% (2016/17)</w:t>
            </w:r>
          </w:p>
          <w:p w14:paraId="11980000" w14:textId="77777777" w:rsidR="00DC5FD4" w:rsidRPr="00307598" w:rsidRDefault="00DC5FD4" w:rsidP="00DC5FD4">
            <w:pPr>
              <w:spacing w:before="60" w:after="60"/>
              <w:jc w:val="both"/>
              <w:rPr>
                <w:rFonts w:ascii="Titillium" w:eastAsia="Times New Roman" w:hAnsi="Titillium" w:cs="Arial"/>
                <w:sz w:val="22"/>
                <w:szCs w:val="22"/>
                <w:lang w:val="en-GB"/>
              </w:rPr>
            </w:pPr>
          </w:p>
        </w:tc>
        <w:tc>
          <w:tcPr>
            <w:tcW w:w="1717" w:type="dxa"/>
          </w:tcPr>
          <w:p w14:paraId="53331ACE" w14:textId="77777777" w:rsidR="001144E6" w:rsidRDefault="001144E6" w:rsidP="00DC5FD4">
            <w:pPr>
              <w:spacing w:before="60" w:after="60"/>
              <w:jc w:val="both"/>
              <w:rPr>
                <w:rFonts w:ascii="Titillium" w:eastAsia="Times New Roman" w:hAnsi="Titillium" w:cs="Arial"/>
                <w:sz w:val="22"/>
                <w:szCs w:val="22"/>
                <w:lang w:val="en-GB"/>
              </w:rPr>
            </w:pPr>
          </w:p>
          <w:p w14:paraId="6A982B32" w14:textId="77777777" w:rsidR="001144E6" w:rsidRDefault="001144E6" w:rsidP="00DC5FD4">
            <w:pPr>
              <w:spacing w:before="60" w:after="60"/>
              <w:jc w:val="both"/>
              <w:rPr>
                <w:rFonts w:ascii="Titillium" w:eastAsia="Times New Roman" w:hAnsi="Titillium" w:cs="Arial"/>
                <w:sz w:val="22"/>
                <w:szCs w:val="22"/>
                <w:lang w:val="en-GB"/>
              </w:rPr>
            </w:pPr>
          </w:p>
          <w:p w14:paraId="4C6DD601" w14:textId="77777777" w:rsidR="004008F5" w:rsidRDefault="004008F5" w:rsidP="00DC5FD4">
            <w:pPr>
              <w:spacing w:before="60" w:after="60"/>
              <w:jc w:val="both"/>
              <w:rPr>
                <w:rFonts w:ascii="Titillium" w:eastAsia="Times New Roman" w:hAnsi="Titillium" w:cs="Arial"/>
                <w:sz w:val="22"/>
                <w:szCs w:val="22"/>
                <w:lang w:val="en-GB"/>
              </w:rPr>
            </w:pPr>
          </w:p>
          <w:p w14:paraId="2CB7B37D" w14:textId="77777777" w:rsidR="004008F5" w:rsidRDefault="004008F5" w:rsidP="00DC5FD4">
            <w:pPr>
              <w:spacing w:before="60" w:after="60"/>
              <w:jc w:val="both"/>
              <w:rPr>
                <w:rFonts w:ascii="Titillium" w:eastAsia="Times New Roman" w:hAnsi="Titillium" w:cs="Arial"/>
                <w:sz w:val="22"/>
                <w:szCs w:val="22"/>
                <w:lang w:val="en-GB"/>
              </w:rPr>
            </w:pPr>
          </w:p>
          <w:p w14:paraId="1E6D950F" w14:textId="77777777" w:rsidR="004008F5" w:rsidRDefault="004008F5" w:rsidP="00DC5FD4">
            <w:pPr>
              <w:spacing w:before="60" w:after="60"/>
              <w:jc w:val="both"/>
              <w:rPr>
                <w:rFonts w:ascii="Titillium" w:eastAsia="Times New Roman" w:hAnsi="Titillium" w:cs="Arial"/>
                <w:sz w:val="22"/>
                <w:szCs w:val="22"/>
                <w:lang w:val="en-GB"/>
              </w:rPr>
            </w:pPr>
          </w:p>
          <w:p w14:paraId="0F44B49A" w14:textId="37E20375" w:rsidR="00DC5FD4" w:rsidRDefault="00994383"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30%</w:t>
            </w:r>
          </w:p>
        </w:tc>
        <w:tc>
          <w:tcPr>
            <w:tcW w:w="5387" w:type="dxa"/>
          </w:tcPr>
          <w:p w14:paraId="7CB09BFD" w14:textId="78F7A431" w:rsidR="00CB157C" w:rsidRDefault="00CB157C" w:rsidP="00CB157C">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Use applications as a proxy for expectation/awareness raising.</w:t>
            </w:r>
          </w:p>
          <w:p w14:paraId="59D13F0D" w14:textId="0F8C930A" w:rsidR="00DC5FD4" w:rsidRPr="00307598" w:rsidRDefault="001144E6" w:rsidP="00CB157C">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The</w:t>
            </w:r>
            <w:r w:rsidR="00CB157C">
              <w:rPr>
                <w:rFonts w:ascii="Titillium" w:eastAsia="Times New Roman" w:hAnsi="Titillium" w:cs="Arial"/>
                <w:sz w:val="22"/>
                <w:szCs w:val="22"/>
                <w:lang w:val="en-GB"/>
              </w:rPr>
              <w:t xml:space="preserve"> range</w:t>
            </w:r>
            <w:r>
              <w:rPr>
                <w:rFonts w:ascii="Titillium" w:eastAsia="Times New Roman" w:hAnsi="Titillium" w:cs="Arial"/>
                <w:sz w:val="22"/>
                <w:szCs w:val="22"/>
                <w:lang w:val="en-GB"/>
              </w:rPr>
              <w:t xml:space="preserve"> </w:t>
            </w:r>
            <w:r w:rsidR="008D1B38">
              <w:rPr>
                <w:rFonts w:ascii="Titillium" w:eastAsia="Times New Roman" w:hAnsi="Titillium" w:cs="Arial"/>
                <w:sz w:val="22"/>
                <w:szCs w:val="22"/>
                <w:lang w:val="en-GB"/>
              </w:rPr>
              <w:t xml:space="preserve">of </w:t>
            </w:r>
            <w:r>
              <w:rPr>
                <w:rFonts w:ascii="Titillium" w:eastAsia="Times New Roman" w:hAnsi="Titillium" w:cs="Arial"/>
                <w:sz w:val="22"/>
                <w:szCs w:val="22"/>
                <w:lang w:val="en-GB"/>
              </w:rPr>
              <w:t>priority groups will increase as we gain access to more robust data around other eligibility criteria, e.g. young adult carers, free school meals, EMA.</w:t>
            </w:r>
          </w:p>
        </w:tc>
      </w:tr>
      <w:tr w:rsidR="00A22273" w:rsidRPr="00307598" w14:paraId="2052F7DC" w14:textId="77777777" w:rsidTr="0029691E">
        <w:trPr>
          <w:cantSplit/>
        </w:trPr>
        <w:tc>
          <w:tcPr>
            <w:tcW w:w="4815" w:type="dxa"/>
          </w:tcPr>
          <w:p w14:paraId="69C1607B" w14:textId="131B87EF" w:rsidR="00A22273" w:rsidRDefault="00A22273" w:rsidP="00DC5FD4">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Attainment raising activity</w:t>
            </w:r>
          </w:p>
        </w:tc>
        <w:tc>
          <w:tcPr>
            <w:tcW w:w="2126" w:type="dxa"/>
          </w:tcPr>
          <w:p w14:paraId="59205E31" w14:textId="632908A0" w:rsidR="004008F5" w:rsidRDefault="006D5B8B" w:rsidP="006D5B8B">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Offers to WP groups</w:t>
            </w:r>
            <w:r w:rsidR="00A44E59">
              <w:rPr>
                <w:rFonts w:ascii="Titillium" w:eastAsia="Times New Roman" w:hAnsi="Titillium" w:cs="Arial"/>
                <w:sz w:val="22"/>
                <w:szCs w:val="22"/>
                <w:lang w:val="en-GB"/>
              </w:rPr>
              <w:br/>
            </w:r>
            <w:r w:rsidR="004008F5">
              <w:rPr>
                <w:rFonts w:ascii="Titillium" w:eastAsia="Times New Roman" w:hAnsi="Titillium" w:cs="Arial"/>
                <w:sz w:val="22"/>
                <w:szCs w:val="22"/>
                <w:lang w:val="en-GB"/>
              </w:rPr>
              <w:t>(as % of applications from WP groups)</w:t>
            </w:r>
          </w:p>
          <w:p w14:paraId="3A9F2F0B" w14:textId="5F8F7BCC" w:rsidR="006D5B8B" w:rsidRPr="00307598" w:rsidRDefault="006D5B8B" w:rsidP="006D5B8B">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61% (2016/17)</w:t>
            </w:r>
          </w:p>
        </w:tc>
        <w:tc>
          <w:tcPr>
            <w:tcW w:w="1717" w:type="dxa"/>
          </w:tcPr>
          <w:p w14:paraId="6A2E12FB" w14:textId="77777777" w:rsidR="009F3192" w:rsidRDefault="009F3192" w:rsidP="00DC5FD4">
            <w:pPr>
              <w:spacing w:before="60" w:after="60"/>
              <w:jc w:val="both"/>
              <w:rPr>
                <w:rFonts w:ascii="Titillium" w:eastAsia="Times New Roman" w:hAnsi="Titillium" w:cs="Arial"/>
                <w:sz w:val="22"/>
                <w:szCs w:val="22"/>
                <w:lang w:val="en-GB"/>
              </w:rPr>
            </w:pPr>
          </w:p>
          <w:p w14:paraId="6A91BAD0" w14:textId="77777777" w:rsidR="004008F5" w:rsidRDefault="004008F5" w:rsidP="00DC5FD4">
            <w:pPr>
              <w:spacing w:before="60" w:after="60"/>
              <w:jc w:val="both"/>
              <w:rPr>
                <w:rFonts w:ascii="Titillium" w:eastAsia="Times New Roman" w:hAnsi="Titillium" w:cs="Arial"/>
                <w:sz w:val="22"/>
                <w:szCs w:val="22"/>
                <w:lang w:val="en-GB"/>
              </w:rPr>
            </w:pPr>
          </w:p>
          <w:p w14:paraId="73B8AD34" w14:textId="77777777" w:rsidR="004008F5" w:rsidRDefault="004008F5" w:rsidP="00DC5FD4">
            <w:pPr>
              <w:spacing w:before="60" w:after="60"/>
              <w:jc w:val="both"/>
              <w:rPr>
                <w:rFonts w:ascii="Titillium" w:eastAsia="Times New Roman" w:hAnsi="Titillium" w:cs="Arial"/>
                <w:sz w:val="22"/>
                <w:szCs w:val="22"/>
                <w:lang w:val="en-GB"/>
              </w:rPr>
            </w:pPr>
          </w:p>
          <w:p w14:paraId="07DC831B" w14:textId="30085D87" w:rsidR="00A22273" w:rsidRDefault="000E39A7"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65</w:t>
            </w:r>
            <w:r w:rsidR="00A22273">
              <w:rPr>
                <w:rFonts w:ascii="Titillium" w:eastAsia="Times New Roman" w:hAnsi="Titillium" w:cs="Arial"/>
                <w:sz w:val="22"/>
                <w:szCs w:val="22"/>
                <w:lang w:val="en-GB"/>
              </w:rPr>
              <w:t>%</w:t>
            </w:r>
            <w:r w:rsidR="009F3192">
              <w:rPr>
                <w:rFonts w:ascii="Titillium" w:eastAsia="Times New Roman" w:hAnsi="Titillium" w:cs="Arial"/>
                <w:sz w:val="22"/>
                <w:szCs w:val="22"/>
                <w:lang w:val="en-GB"/>
              </w:rPr>
              <w:t xml:space="preserve"> </w:t>
            </w:r>
          </w:p>
        </w:tc>
        <w:tc>
          <w:tcPr>
            <w:tcW w:w="5387" w:type="dxa"/>
          </w:tcPr>
          <w:p w14:paraId="319E4893" w14:textId="4D9F71F9" w:rsidR="00A22273" w:rsidRPr="00307598" w:rsidRDefault="00A22273" w:rsidP="006D5B8B">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 xml:space="preserve">Use </w:t>
            </w:r>
            <w:r w:rsidR="009F3192">
              <w:rPr>
                <w:rFonts w:ascii="Titillium" w:eastAsia="Times New Roman" w:hAnsi="Titillium" w:cs="Arial"/>
                <w:sz w:val="22"/>
                <w:szCs w:val="22"/>
                <w:lang w:val="en-GB"/>
              </w:rPr>
              <w:t xml:space="preserve">offers to </w:t>
            </w:r>
            <w:r>
              <w:rPr>
                <w:rFonts w:ascii="Titillium" w:eastAsia="Times New Roman" w:hAnsi="Titillium" w:cs="Arial"/>
                <w:sz w:val="22"/>
                <w:szCs w:val="22"/>
                <w:lang w:val="en-GB"/>
              </w:rPr>
              <w:t xml:space="preserve">students </w:t>
            </w:r>
            <w:r w:rsidR="009F3192">
              <w:rPr>
                <w:rFonts w:ascii="Titillium" w:eastAsia="Times New Roman" w:hAnsi="Titillium" w:cs="Arial"/>
                <w:sz w:val="22"/>
                <w:szCs w:val="22"/>
                <w:lang w:val="en-GB"/>
              </w:rPr>
              <w:t xml:space="preserve">applying from WP groups </w:t>
            </w:r>
            <w:r>
              <w:rPr>
                <w:rFonts w:ascii="Titillium" w:eastAsia="Times New Roman" w:hAnsi="Titillium" w:cs="Arial"/>
                <w:sz w:val="22"/>
                <w:szCs w:val="22"/>
                <w:lang w:val="en-GB"/>
              </w:rPr>
              <w:t>as a proxy for attainment</w:t>
            </w:r>
            <w:r w:rsidR="006D5B8B">
              <w:rPr>
                <w:rFonts w:ascii="Titillium" w:eastAsia="Times New Roman" w:hAnsi="Titillium" w:cs="Arial"/>
                <w:sz w:val="22"/>
                <w:szCs w:val="22"/>
                <w:lang w:val="en-GB"/>
              </w:rPr>
              <w:t>.  The focus is on all offers</w:t>
            </w:r>
            <w:r w:rsidR="004008F5">
              <w:rPr>
                <w:rFonts w:ascii="Titillium" w:eastAsia="Times New Roman" w:hAnsi="Titillium" w:cs="Arial"/>
                <w:sz w:val="22"/>
                <w:szCs w:val="22"/>
                <w:lang w:val="en-GB"/>
              </w:rPr>
              <w:t xml:space="preserve"> (unconditional and conditional)</w:t>
            </w:r>
            <w:r w:rsidR="006D5B8B">
              <w:rPr>
                <w:rFonts w:ascii="Titillium" w:eastAsia="Times New Roman" w:hAnsi="Titillium" w:cs="Arial"/>
                <w:sz w:val="22"/>
                <w:szCs w:val="22"/>
                <w:lang w:val="en-GB"/>
              </w:rPr>
              <w:t>, as this group tend</w:t>
            </w:r>
            <w:r w:rsidR="00F73209">
              <w:rPr>
                <w:rFonts w:ascii="Titillium" w:eastAsia="Times New Roman" w:hAnsi="Titillium" w:cs="Arial"/>
                <w:sz w:val="22"/>
                <w:szCs w:val="22"/>
                <w:lang w:val="en-GB"/>
              </w:rPr>
              <w:t>s</w:t>
            </w:r>
            <w:r w:rsidR="006D5B8B">
              <w:rPr>
                <w:rFonts w:ascii="Titillium" w:eastAsia="Times New Roman" w:hAnsi="Titillium" w:cs="Arial"/>
                <w:sz w:val="22"/>
                <w:szCs w:val="22"/>
                <w:lang w:val="en-GB"/>
              </w:rPr>
              <w:t xml:space="preserve"> to be made conditional offers due to the nature of entry routes.</w:t>
            </w:r>
          </w:p>
        </w:tc>
      </w:tr>
      <w:tr w:rsidR="00DC5FD4" w:rsidRPr="00307598" w14:paraId="2632F7EE" w14:textId="77777777" w:rsidTr="0029691E">
        <w:trPr>
          <w:cantSplit/>
        </w:trPr>
        <w:tc>
          <w:tcPr>
            <w:tcW w:w="4815" w:type="dxa"/>
          </w:tcPr>
          <w:p w14:paraId="6E37904C" w14:textId="74D9B8B2" w:rsidR="00DC5FD4" w:rsidRPr="00307598" w:rsidRDefault="00DC5FD4" w:rsidP="00DC5FD4">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 xml:space="preserve">Scottish domiciled undergraduate entrants: </w:t>
            </w:r>
            <w:r w:rsidRPr="00307598">
              <w:rPr>
                <w:rFonts w:ascii="Titillium" w:eastAsia="Times New Roman" w:hAnsi="Titillium" w:cs="Arial"/>
                <w:sz w:val="22"/>
                <w:szCs w:val="22"/>
                <w:lang w:val="en-GB"/>
              </w:rPr>
              <w:t>SIMD20 population</w:t>
            </w:r>
          </w:p>
        </w:tc>
        <w:tc>
          <w:tcPr>
            <w:tcW w:w="2126" w:type="dxa"/>
          </w:tcPr>
          <w:p w14:paraId="64A7ADAA" w14:textId="378ADBDD" w:rsidR="00DC5FD4" w:rsidRPr="00307598" w:rsidRDefault="00DC5FD4" w:rsidP="00DC5FD4">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rPr>
              <w:t>1</w:t>
            </w:r>
            <w:r>
              <w:rPr>
                <w:rFonts w:ascii="Titillium" w:eastAsia="Times New Roman" w:hAnsi="Titillium" w:cs="Arial"/>
                <w:sz w:val="22"/>
                <w:szCs w:val="22"/>
                <w:lang w:val="en-GB"/>
              </w:rPr>
              <w:t>1.2</w:t>
            </w:r>
            <w:r w:rsidRPr="00307598">
              <w:rPr>
                <w:rFonts w:ascii="Titillium" w:eastAsia="Times New Roman" w:hAnsi="Titillium" w:cs="Arial"/>
                <w:sz w:val="22"/>
                <w:szCs w:val="22"/>
                <w:lang w:val="en-GB"/>
              </w:rPr>
              <w:t>% (201</w:t>
            </w:r>
            <w:r>
              <w:rPr>
                <w:rFonts w:ascii="Titillium" w:eastAsia="Times New Roman" w:hAnsi="Titillium" w:cs="Arial"/>
                <w:sz w:val="22"/>
                <w:szCs w:val="22"/>
                <w:lang w:val="en-GB"/>
              </w:rPr>
              <w:t>5</w:t>
            </w:r>
            <w:r w:rsidRPr="00307598">
              <w:rPr>
                <w:rFonts w:ascii="Titillium" w:eastAsia="Times New Roman" w:hAnsi="Titillium" w:cs="Arial"/>
                <w:sz w:val="22"/>
                <w:szCs w:val="22"/>
                <w:lang w:val="en-GB"/>
              </w:rPr>
              <w:t>/1</w:t>
            </w:r>
            <w:r>
              <w:rPr>
                <w:rFonts w:ascii="Titillium" w:eastAsia="Times New Roman" w:hAnsi="Titillium" w:cs="Arial"/>
                <w:sz w:val="22"/>
                <w:szCs w:val="22"/>
                <w:lang w:val="en-GB"/>
              </w:rPr>
              <w:t>6</w:t>
            </w:r>
            <w:r w:rsidRPr="00307598">
              <w:rPr>
                <w:rFonts w:ascii="Titillium" w:eastAsia="Times New Roman" w:hAnsi="Titillium" w:cs="Arial"/>
                <w:sz w:val="22"/>
                <w:szCs w:val="22"/>
                <w:lang w:val="en-GB"/>
              </w:rPr>
              <w:t>)</w:t>
            </w:r>
          </w:p>
        </w:tc>
        <w:tc>
          <w:tcPr>
            <w:tcW w:w="1717" w:type="dxa"/>
          </w:tcPr>
          <w:p w14:paraId="0FBE4EEB" w14:textId="5D39F014" w:rsidR="00DC5FD4" w:rsidRPr="00307598" w:rsidRDefault="000E39A7" w:rsidP="0096071C">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14</w:t>
            </w:r>
            <w:r w:rsidR="00DC5FD4">
              <w:rPr>
                <w:rFonts w:ascii="Titillium" w:eastAsia="Times New Roman" w:hAnsi="Titillium" w:cs="Arial"/>
                <w:sz w:val="22"/>
                <w:szCs w:val="22"/>
                <w:lang w:val="en-GB"/>
              </w:rPr>
              <w:t xml:space="preserve">% </w:t>
            </w:r>
          </w:p>
        </w:tc>
        <w:tc>
          <w:tcPr>
            <w:tcW w:w="5387" w:type="dxa"/>
          </w:tcPr>
          <w:p w14:paraId="12E64007" w14:textId="3AC7CE48" w:rsidR="00DC5FD4" w:rsidRPr="00307598" w:rsidRDefault="00DC5FD4" w:rsidP="00DC5FD4">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rPr>
              <w:t>Whilst the C</w:t>
            </w:r>
            <w:r>
              <w:rPr>
                <w:rFonts w:ascii="Titillium" w:eastAsia="Times New Roman" w:hAnsi="Titillium" w:cs="Arial"/>
                <w:sz w:val="22"/>
                <w:szCs w:val="22"/>
                <w:lang w:val="en-GB"/>
              </w:rPr>
              <w:t>o</w:t>
            </w:r>
            <w:r w:rsidRPr="00307598">
              <w:rPr>
                <w:rFonts w:ascii="Titillium" w:eastAsia="Times New Roman" w:hAnsi="Titillium" w:cs="Arial"/>
                <w:sz w:val="22"/>
                <w:szCs w:val="22"/>
                <w:lang w:val="en-GB"/>
              </w:rPr>
              <w:t xml:space="preserve">WA recommendation is for at least 10% by 2021, we aim to </w:t>
            </w:r>
            <w:r>
              <w:rPr>
                <w:rFonts w:ascii="Titillium" w:eastAsia="Times New Roman" w:hAnsi="Titillium" w:cs="Arial"/>
                <w:sz w:val="22"/>
                <w:szCs w:val="22"/>
                <w:lang w:val="en-GB"/>
              </w:rPr>
              <w:t xml:space="preserve">mirror the Scottish sector average </w:t>
            </w:r>
            <w:r w:rsidRPr="00307598">
              <w:rPr>
                <w:rFonts w:ascii="Titillium" w:eastAsia="Times New Roman" w:hAnsi="Titillium" w:cs="Arial"/>
                <w:sz w:val="22"/>
                <w:szCs w:val="22"/>
                <w:lang w:val="en-GB"/>
              </w:rPr>
              <w:t xml:space="preserve">as this reflects our ambition to be the lead institution for </w:t>
            </w:r>
            <w:r>
              <w:rPr>
                <w:rFonts w:ascii="Titillium" w:eastAsia="Times New Roman" w:hAnsi="Titillium" w:cs="Arial"/>
                <w:sz w:val="22"/>
                <w:szCs w:val="22"/>
                <w:lang w:val="en-GB"/>
              </w:rPr>
              <w:t>WP</w:t>
            </w:r>
            <w:r w:rsidRPr="00307598">
              <w:rPr>
                <w:rFonts w:ascii="Titillium" w:eastAsia="Times New Roman" w:hAnsi="Titillium" w:cs="Arial"/>
                <w:sz w:val="22"/>
                <w:szCs w:val="22"/>
                <w:lang w:val="en-GB"/>
              </w:rPr>
              <w:t xml:space="preserve"> in south east of Scotland</w:t>
            </w:r>
            <w:r>
              <w:rPr>
                <w:rFonts w:ascii="Titillium" w:eastAsia="Times New Roman" w:hAnsi="Titillium" w:cs="Arial"/>
                <w:sz w:val="22"/>
                <w:szCs w:val="22"/>
                <w:lang w:val="en-GB"/>
              </w:rPr>
              <w:t xml:space="preserve"> while acknowledging regional challenges</w:t>
            </w:r>
            <w:r w:rsidRPr="00307598">
              <w:rPr>
                <w:rFonts w:ascii="Titillium" w:eastAsia="Times New Roman" w:hAnsi="Titillium" w:cs="Arial"/>
                <w:sz w:val="22"/>
                <w:szCs w:val="22"/>
                <w:lang w:val="en-GB"/>
              </w:rPr>
              <w:t>.</w:t>
            </w:r>
          </w:p>
        </w:tc>
      </w:tr>
      <w:tr w:rsidR="00DC5FD4" w:rsidRPr="00307598" w14:paraId="2B165B33" w14:textId="77777777" w:rsidTr="00FA6F82">
        <w:trPr>
          <w:cantSplit/>
        </w:trPr>
        <w:tc>
          <w:tcPr>
            <w:tcW w:w="4815" w:type="dxa"/>
            <w:tcBorders>
              <w:bottom w:val="single" w:sz="4" w:space="0" w:color="auto"/>
            </w:tcBorders>
          </w:tcPr>
          <w:p w14:paraId="70B75236" w14:textId="6D2129DB" w:rsidR="00DC5FD4" w:rsidRPr="00307598" w:rsidRDefault="00DC5FD4" w:rsidP="00A44E59">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rPr>
              <w:t>Care experienced entrants</w:t>
            </w:r>
            <w:r w:rsidR="008D1B38">
              <w:rPr>
                <w:rFonts w:ascii="Titillium" w:eastAsia="Times New Roman" w:hAnsi="Titillium" w:cs="Arial"/>
                <w:sz w:val="22"/>
                <w:szCs w:val="22"/>
                <w:lang w:val="en-GB"/>
              </w:rPr>
              <w:t xml:space="preserve"> (headcount)</w:t>
            </w:r>
            <w:r w:rsidRPr="00307598">
              <w:rPr>
                <w:rFonts w:ascii="Titillium" w:eastAsia="Times New Roman" w:hAnsi="Titillium" w:cs="Arial"/>
                <w:sz w:val="22"/>
                <w:szCs w:val="22"/>
                <w:lang w:val="en-GB"/>
              </w:rPr>
              <w:t xml:space="preserve"> </w:t>
            </w:r>
          </w:p>
        </w:tc>
        <w:tc>
          <w:tcPr>
            <w:tcW w:w="2126" w:type="dxa"/>
            <w:tcBorders>
              <w:bottom w:val="single" w:sz="4" w:space="0" w:color="auto"/>
            </w:tcBorders>
          </w:tcPr>
          <w:p w14:paraId="43D9CDE4" w14:textId="4824FFB2" w:rsidR="00DC5FD4" w:rsidRPr="00307598" w:rsidRDefault="00DC5FD4" w:rsidP="00DC5FD4">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rPr>
              <w:t>14 (2015/16)</w:t>
            </w:r>
          </w:p>
        </w:tc>
        <w:tc>
          <w:tcPr>
            <w:tcW w:w="1717" w:type="dxa"/>
            <w:tcBorders>
              <w:bottom w:val="single" w:sz="4" w:space="0" w:color="auto"/>
            </w:tcBorders>
          </w:tcPr>
          <w:p w14:paraId="15BC805E" w14:textId="45FB5BE9" w:rsidR="00DC5FD4" w:rsidRPr="00307598" w:rsidRDefault="00DC5FD4"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28</w:t>
            </w:r>
          </w:p>
        </w:tc>
        <w:tc>
          <w:tcPr>
            <w:tcW w:w="5387" w:type="dxa"/>
            <w:tcBorders>
              <w:bottom w:val="single" w:sz="4" w:space="0" w:color="auto"/>
            </w:tcBorders>
          </w:tcPr>
          <w:p w14:paraId="7B955622" w14:textId="77777777" w:rsidR="00DC5FD4" w:rsidRPr="00307598" w:rsidRDefault="00DC5FD4" w:rsidP="00DC5FD4">
            <w:pPr>
              <w:spacing w:before="60" w:after="60"/>
              <w:jc w:val="both"/>
              <w:rPr>
                <w:rFonts w:ascii="Titillium" w:eastAsia="Times New Roman" w:hAnsi="Titillium" w:cs="Arial"/>
                <w:sz w:val="22"/>
                <w:szCs w:val="22"/>
                <w:lang w:val="en-GB"/>
              </w:rPr>
            </w:pPr>
          </w:p>
        </w:tc>
      </w:tr>
    </w:tbl>
    <w:p w14:paraId="33A7FECE" w14:textId="77777777" w:rsidR="00311353" w:rsidRDefault="003113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26"/>
        <w:gridCol w:w="1843"/>
        <w:gridCol w:w="5261"/>
      </w:tblGrid>
      <w:tr w:rsidR="00DC5FD4" w:rsidRPr="00307598" w14:paraId="5643CE36" w14:textId="77777777" w:rsidTr="00FB489B">
        <w:trPr>
          <w:cantSplit/>
        </w:trPr>
        <w:tc>
          <w:tcPr>
            <w:tcW w:w="4815" w:type="dxa"/>
            <w:tcBorders>
              <w:bottom w:val="nil"/>
            </w:tcBorders>
          </w:tcPr>
          <w:p w14:paraId="0D537A02" w14:textId="1A687046" w:rsidR="00DC5FD4" w:rsidRPr="00307598" w:rsidRDefault="00DC5FD4" w:rsidP="00DC5FD4">
            <w:pPr>
              <w:spacing w:before="60" w:after="60"/>
              <w:rPr>
                <w:rFonts w:ascii="Titillium" w:eastAsia="Times New Roman" w:hAnsi="Titillium" w:cs="Arial"/>
                <w:sz w:val="22"/>
                <w:szCs w:val="22"/>
                <w:lang w:val="en-GB" w:eastAsia="en-GB"/>
              </w:rPr>
            </w:pPr>
            <w:r w:rsidRPr="00307598">
              <w:rPr>
                <w:rFonts w:ascii="Titillium" w:eastAsia="Times New Roman" w:hAnsi="Titillium" w:cs="Arial"/>
                <w:sz w:val="22"/>
                <w:szCs w:val="22"/>
                <w:lang w:val="en-GB" w:eastAsia="en-GB"/>
              </w:rPr>
              <w:lastRenderedPageBreak/>
              <w:t>Participants in programmes whose numbers display a significant gender imbalance</w:t>
            </w:r>
          </w:p>
        </w:tc>
        <w:tc>
          <w:tcPr>
            <w:tcW w:w="2126" w:type="dxa"/>
            <w:tcBorders>
              <w:bottom w:val="nil"/>
            </w:tcBorders>
          </w:tcPr>
          <w:p w14:paraId="567C5AE5" w14:textId="5B394DA8" w:rsidR="00DC5FD4" w:rsidRPr="00307598" w:rsidRDefault="00DC5FD4" w:rsidP="00DC5FD4">
            <w:pPr>
              <w:spacing w:before="60" w:after="60"/>
              <w:jc w:val="both"/>
              <w:rPr>
                <w:rFonts w:ascii="Titillium" w:eastAsia="Times New Roman" w:hAnsi="Titillium" w:cs="Arial"/>
                <w:sz w:val="22"/>
                <w:szCs w:val="22"/>
                <w:lang w:val="en-GB"/>
              </w:rPr>
            </w:pPr>
            <w:r>
              <w:rPr>
                <w:rFonts w:ascii="Titillium" w:eastAsia="Arial Unicode MS" w:hAnsi="Titillium" w:cs="Arial"/>
                <w:sz w:val="22"/>
                <w:szCs w:val="22"/>
                <w:lang w:val="en-GB" w:eastAsia="en-GB"/>
              </w:rPr>
              <w:t>2013/14 data</w:t>
            </w:r>
          </w:p>
        </w:tc>
        <w:tc>
          <w:tcPr>
            <w:tcW w:w="1843" w:type="dxa"/>
            <w:tcBorders>
              <w:bottom w:val="nil"/>
            </w:tcBorders>
          </w:tcPr>
          <w:p w14:paraId="7BB7D78F" w14:textId="77777777" w:rsidR="00DC5FD4" w:rsidRPr="00307598" w:rsidRDefault="00DC5FD4" w:rsidP="00DC5FD4">
            <w:pPr>
              <w:spacing w:before="60" w:after="60"/>
              <w:jc w:val="both"/>
              <w:rPr>
                <w:rFonts w:ascii="Titillium" w:eastAsia="Times New Roman" w:hAnsi="Titillium" w:cs="Arial"/>
                <w:sz w:val="22"/>
                <w:szCs w:val="22"/>
                <w:lang w:val="en-GB"/>
              </w:rPr>
            </w:pPr>
          </w:p>
        </w:tc>
        <w:tc>
          <w:tcPr>
            <w:tcW w:w="5261" w:type="dxa"/>
            <w:tcBorders>
              <w:bottom w:val="nil"/>
            </w:tcBorders>
          </w:tcPr>
          <w:p w14:paraId="56D57705" w14:textId="72B1FD9E" w:rsidR="00DC5FD4" w:rsidRPr="00307598" w:rsidRDefault="00DC5FD4" w:rsidP="00FB489B">
            <w:pPr>
              <w:spacing w:before="60" w:after="60"/>
              <w:contextualSpacing/>
              <w:jc w:val="both"/>
              <w:rPr>
                <w:rFonts w:ascii="Titillium" w:eastAsia="Times New Roman" w:hAnsi="Titillium" w:cs="Arial"/>
                <w:sz w:val="22"/>
                <w:szCs w:val="22"/>
                <w:lang w:val="en-GB"/>
              </w:rPr>
            </w:pPr>
          </w:p>
        </w:tc>
      </w:tr>
      <w:tr w:rsidR="00DC5FD4" w:rsidRPr="00307598" w14:paraId="3587D06D" w14:textId="77777777" w:rsidTr="00FB489B">
        <w:trPr>
          <w:cantSplit/>
        </w:trPr>
        <w:tc>
          <w:tcPr>
            <w:tcW w:w="4815" w:type="dxa"/>
            <w:tcBorders>
              <w:top w:val="nil"/>
            </w:tcBorders>
          </w:tcPr>
          <w:p w14:paraId="2E287404" w14:textId="6CCBEA8B" w:rsidR="00DC5FD4" w:rsidRPr="00307598" w:rsidRDefault="00DC5FD4" w:rsidP="00DC5FD4">
            <w:pPr>
              <w:pStyle w:val="ListParagraph"/>
              <w:numPr>
                <w:ilvl w:val="0"/>
                <w:numId w:val="20"/>
              </w:numPr>
              <w:spacing w:before="60" w:after="60"/>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Subjects allied to Medicine</w:t>
            </w:r>
          </w:p>
          <w:p w14:paraId="60F79412" w14:textId="77777777" w:rsidR="00DC5FD4" w:rsidRPr="00307598" w:rsidRDefault="00DC5FD4" w:rsidP="00DC5FD4">
            <w:pPr>
              <w:pStyle w:val="ListParagraph"/>
              <w:numPr>
                <w:ilvl w:val="0"/>
                <w:numId w:val="20"/>
              </w:numPr>
              <w:spacing w:before="60" w:after="60"/>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Mathematical &amp; Computer Science</w:t>
            </w:r>
          </w:p>
          <w:p w14:paraId="14F84F7B" w14:textId="77777777" w:rsidR="00DC5FD4" w:rsidRPr="00307598" w:rsidRDefault="00DC5FD4" w:rsidP="00DC5FD4">
            <w:pPr>
              <w:pStyle w:val="ListParagraph"/>
              <w:numPr>
                <w:ilvl w:val="0"/>
                <w:numId w:val="20"/>
              </w:numPr>
              <w:spacing w:before="60" w:after="60"/>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Engineering</w:t>
            </w:r>
          </w:p>
          <w:p w14:paraId="371CF410" w14:textId="77777777" w:rsidR="00DC5FD4" w:rsidRPr="00307598" w:rsidRDefault="00DC5FD4" w:rsidP="00DC5FD4">
            <w:pPr>
              <w:pStyle w:val="ListParagraph"/>
              <w:numPr>
                <w:ilvl w:val="0"/>
                <w:numId w:val="20"/>
              </w:numPr>
              <w:spacing w:before="60" w:after="60"/>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Architecture, Building &amp; Planning</w:t>
            </w:r>
          </w:p>
          <w:p w14:paraId="19AEA37E" w14:textId="38F16B17" w:rsidR="00DC5FD4" w:rsidRPr="00457F0B" w:rsidRDefault="00DC5FD4" w:rsidP="00DC5FD4">
            <w:pPr>
              <w:pStyle w:val="ListParagraph"/>
              <w:numPr>
                <w:ilvl w:val="0"/>
                <w:numId w:val="20"/>
              </w:numPr>
              <w:spacing w:before="60" w:after="60"/>
              <w:ind w:left="714" w:hanging="357"/>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Psychology</w:t>
            </w:r>
          </w:p>
        </w:tc>
        <w:tc>
          <w:tcPr>
            <w:tcW w:w="2126" w:type="dxa"/>
            <w:tcBorders>
              <w:top w:val="nil"/>
            </w:tcBorders>
          </w:tcPr>
          <w:p w14:paraId="2BD20504" w14:textId="77777777" w:rsidR="00DC5FD4" w:rsidRPr="00307598" w:rsidRDefault="00DC5FD4" w:rsidP="002C3981">
            <w:pPr>
              <w:contextualSpacing/>
              <w:jc w:val="both"/>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86.9% F : 13.1% M</w:t>
            </w:r>
          </w:p>
          <w:p w14:paraId="33173C6D" w14:textId="241F33E0" w:rsidR="00DC5FD4" w:rsidRPr="00307598" w:rsidRDefault="00DC5FD4" w:rsidP="002C3981">
            <w:pPr>
              <w:contextualSpacing/>
              <w:jc w:val="both"/>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12.5%</w:t>
            </w:r>
            <w:r>
              <w:rPr>
                <w:rFonts w:ascii="Titillium" w:eastAsia="Arial Unicode MS" w:hAnsi="Titillium" w:cs="Arial"/>
                <w:sz w:val="22"/>
                <w:szCs w:val="22"/>
                <w:lang w:val="en-GB" w:eastAsia="en-GB"/>
              </w:rPr>
              <w:t xml:space="preserve"> </w:t>
            </w:r>
            <w:r w:rsidRPr="00307598">
              <w:rPr>
                <w:rFonts w:ascii="Titillium" w:eastAsia="Arial Unicode MS" w:hAnsi="Titillium" w:cs="Arial"/>
                <w:sz w:val="22"/>
                <w:szCs w:val="22"/>
                <w:lang w:val="en-GB" w:eastAsia="en-GB"/>
              </w:rPr>
              <w:t>F : 87.5% M</w:t>
            </w:r>
          </w:p>
          <w:p w14:paraId="1D75F080" w14:textId="5C15DBE2" w:rsidR="00DC5FD4" w:rsidRPr="00307598" w:rsidRDefault="00DC5FD4" w:rsidP="002C3981">
            <w:pPr>
              <w:contextualSpacing/>
              <w:jc w:val="both"/>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 xml:space="preserve">  </w:t>
            </w:r>
            <w:r w:rsidRPr="00307598">
              <w:rPr>
                <w:rFonts w:ascii="Titillium" w:eastAsia="Arial Unicode MS" w:hAnsi="Titillium" w:cs="Arial"/>
                <w:sz w:val="22"/>
                <w:szCs w:val="22"/>
                <w:lang w:val="en-GB" w:eastAsia="en-GB"/>
              </w:rPr>
              <w:t>6.6% F</w:t>
            </w:r>
            <w:r>
              <w:rPr>
                <w:rFonts w:ascii="Titillium" w:eastAsia="Arial Unicode MS" w:hAnsi="Titillium" w:cs="Arial"/>
                <w:sz w:val="22"/>
                <w:szCs w:val="22"/>
                <w:lang w:val="en-GB" w:eastAsia="en-GB"/>
              </w:rPr>
              <w:t xml:space="preserve"> </w:t>
            </w:r>
            <w:r w:rsidRPr="00307598">
              <w:rPr>
                <w:rFonts w:ascii="Titillium" w:eastAsia="Arial Unicode MS" w:hAnsi="Titillium" w:cs="Arial"/>
                <w:sz w:val="22"/>
                <w:szCs w:val="22"/>
                <w:lang w:val="en-GB" w:eastAsia="en-GB"/>
              </w:rPr>
              <w:t>: 93.4% M</w:t>
            </w:r>
          </w:p>
          <w:p w14:paraId="50981C3D" w14:textId="6FBE4407" w:rsidR="00DC5FD4" w:rsidRPr="00307598" w:rsidRDefault="00DC5FD4" w:rsidP="002C3981">
            <w:pPr>
              <w:contextualSpacing/>
              <w:jc w:val="both"/>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 xml:space="preserve">20.3% F : </w:t>
            </w:r>
            <w:r>
              <w:rPr>
                <w:rFonts w:ascii="Titillium" w:eastAsia="Arial Unicode MS" w:hAnsi="Titillium" w:cs="Arial"/>
                <w:sz w:val="22"/>
                <w:szCs w:val="22"/>
                <w:lang w:val="en-GB" w:eastAsia="en-GB"/>
              </w:rPr>
              <w:t>7</w:t>
            </w:r>
            <w:r w:rsidRPr="00307598">
              <w:rPr>
                <w:rFonts w:ascii="Titillium" w:eastAsia="Arial Unicode MS" w:hAnsi="Titillium" w:cs="Arial"/>
                <w:sz w:val="22"/>
                <w:szCs w:val="22"/>
                <w:lang w:val="en-GB" w:eastAsia="en-GB"/>
              </w:rPr>
              <w:t>9.7% M</w:t>
            </w:r>
          </w:p>
          <w:p w14:paraId="5BC2E6B3" w14:textId="768043C6" w:rsidR="00DC5FD4" w:rsidRPr="002C3981" w:rsidRDefault="00DC5FD4" w:rsidP="002C3981">
            <w:pPr>
              <w:jc w:val="both"/>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85.4% F : 14.6% M</w:t>
            </w:r>
          </w:p>
        </w:tc>
        <w:tc>
          <w:tcPr>
            <w:tcW w:w="1843" w:type="dxa"/>
            <w:tcBorders>
              <w:top w:val="nil"/>
            </w:tcBorders>
          </w:tcPr>
          <w:p w14:paraId="18314379" w14:textId="576A2766" w:rsidR="00D568A2" w:rsidRDefault="00D568A2" w:rsidP="002C3981">
            <w:pPr>
              <w:contextualSpacing/>
              <w:jc w:val="both"/>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82.0% F : 18.0% M</w:t>
            </w:r>
          </w:p>
          <w:p w14:paraId="0222AD07" w14:textId="743E296A" w:rsidR="00D568A2" w:rsidRPr="00307598" w:rsidRDefault="00D568A2" w:rsidP="002C3981">
            <w:pPr>
              <w:contextualSpacing/>
              <w:jc w:val="both"/>
              <w:rPr>
                <w:rFonts w:ascii="Titillium" w:eastAsia="Times New Roman" w:hAnsi="Titillium" w:cs="Arial"/>
                <w:sz w:val="22"/>
                <w:szCs w:val="22"/>
                <w:lang w:val="en-GB"/>
              </w:rPr>
            </w:pPr>
            <w:r>
              <w:rPr>
                <w:rFonts w:ascii="Titillium" w:eastAsia="Arial Unicode MS" w:hAnsi="Titillium" w:cs="Arial"/>
                <w:sz w:val="22"/>
                <w:szCs w:val="22"/>
                <w:lang w:val="en-GB" w:eastAsia="en-GB"/>
              </w:rPr>
              <w:t>17.7% F : 82.3% M</w:t>
            </w:r>
          </w:p>
          <w:p w14:paraId="3181562E" w14:textId="77777777" w:rsidR="00DC5FD4" w:rsidRDefault="00D568A2" w:rsidP="002C3981">
            <w:pPr>
              <w:contextualSpacing/>
              <w:jc w:val="both"/>
              <w:rPr>
                <w:rFonts w:ascii="Titillium" w:eastAsia="Times New Roman" w:hAnsi="Titillium" w:cs="Arial"/>
                <w:sz w:val="22"/>
                <w:szCs w:val="22"/>
                <w:lang w:val="en-GB"/>
              </w:rPr>
            </w:pPr>
            <w:r>
              <w:rPr>
                <w:rFonts w:ascii="Titillium" w:eastAsia="Times New Roman" w:hAnsi="Titillium" w:cs="Arial"/>
                <w:sz w:val="22"/>
                <w:szCs w:val="22"/>
                <w:lang w:val="en-GB"/>
              </w:rPr>
              <w:t>14.2%: F : 85.8% M</w:t>
            </w:r>
          </w:p>
          <w:p w14:paraId="75516053" w14:textId="77777777" w:rsidR="00D568A2" w:rsidRDefault="00D568A2" w:rsidP="002C3981">
            <w:pPr>
              <w:contextualSpacing/>
              <w:jc w:val="both"/>
              <w:rPr>
                <w:rFonts w:ascii="Titillium" w:eastAsia="Times New Roman" w:hAnsi="Titillium" w:cs="Arial"/>
                <w:sz w:val="22"/>
                <w:szCs w:val="22"/>
                <w:lang w:val="en-GB"/>
              </w:rPr>
            </w:pPr>
            <w:r>
              <w:rPr>
                <w:rFonts w:ascii="Titillium" w:eastAsia="Times New Roman" w:hAnsi="Titillium" w:cs="Arial"/>
                <w:sz w:val="22"/>
                <w:szCs w:val="22"/>
                <w:lang w:val="en-GB"/>
              </w:rPr>
              <w:t>22.3% F : 77.7% M</w:t>
            </w:r>
          </w:p>
          <w:p w14:paraId="5F193745" w14:textId="06A913AE" w:rsidR="00D568A2" w:rsidRPr="00307598" w:rsidRDefault="00D568A2" w:rsidP="002C3981">
            <w:pPr>
              <w:contextualSpacing/>
              <w:jc w:val="both"/>
              <w:rPr>
                <w:rFonts w:ascii="Titillium" w:eastAsia="Times New Roman" w:hAnsi="Titillium" w:cs="Arial"/>
                <w:sz w:val="22"/>
                <w:szCs w:val="22"/>
                <w:lang w:val="en-GB"/>
              </w:rPr>
            </w:pPr>
            <w:r>
              <w:rPr>
                <w:rFonts w:ascii="Titillium" w:eastAsia="Times New Roman" w:hAnsi="Titillium" w:cs="Arial"/>
                <w:sz w:val="22"/>
                <w:szCs w:val="22"/>
                <w:lang w:val="en-GB"/>
              </w:rPr>
              <w:t>81.1% F : 18.9% M</w:t>
            </w:r>
          </w:p>
        </w:tc>
        <w:tc>
          <w:tcPr>
            <w:tcW w:w="5261" w:type="dxa"/>
            <w:tcBorders>
              <w:top w:val="nil"/>
            </w:tcBorders>
          </w:tcPr>
          <w:p w14:paraId="1D06404D" w14:textId="77777777" w:rsidR="00D568A2" w:rsidRDefault="00D568A2" w:rsidP="00D568A2">
            <w:pPr>
              <w:spacing w:before="60" w:after="60"/>
              <w:contextualSpacing/>
              <w:jc w:val="both"/>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Positive trajectory toward 2030 targets of no subject area having a gender imbalance greater than 75/25</w:t>
            </w:r>
          </w:p>
          <w:p w14:paraId="13DD8CA9" w14:textId="77777777" w:rsidR="00D568A2" w:rsidRDefault="00D568A2" w:rsidP="00D568A2">
            <w:pPr>
              <w:spacing w:before="60" w:after="60"/>
              <w:contextualSpacing/>
              <w:jc w:val="both"/>
              <w:rPr>
                <w:rFonts w:ascii="Titillium" w:eastAsia="Arial Unicode MS" w:hAnsi="Titillium" w:cs="Arial"/>
                <w:sz w:val="22"/>
                <w:szCs w:val="22"/>
                <w:lang w:val="en-GB" w:eastAsia="en-GB"/>
              </w:rPr>
            </w:pPr>
          </w:p>
          <w:p w14:paraId="656A2E87" w14:textId="77777777" w:rsidR="00DC5FD4" w:rsidRPr="00307598" w:rsidRDefault="00DC5FD4" w:rsidP="00DC5FD4">
            <w:pPr>
              <w:spacing w:before="60" w:after="60"/>
              <w:jc w:val="both"/>
              <w:rPr>
                <w:rFonts w:ascii="Titillium" w:eastAsia="Times New Roman" w:hAnsi="Titillium" w:cs="Arial"/>
                <w:sz w:val="22"/>
                <w:szCs w:val="22"/>
                <w:lang w:val="en-GB"/>
              </w:rPr>
            </w:pPr>
          </w:p>
        </w:tc>
      </w:tr>
      <w:tr w:rsidR="00DC5FD4" w:rsidRPr="00307598" w14:paraId="4B364A26" w14:textId="77777777" w:rsidTr="00FB489B">
        <w:trPr>
          <w:cantSplit/>
        </w:trPr>
        <w:tc>
          <w:tcPr>
            <w:tcW w:w="4815" w:type="dxa"/>
          </w:tcPr>
          <w:p w14:paraId="213ECC62" w14:textId="77777777" w:rsidR="00684830" w:rsidRDefault="00684830"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Scottish domiciled undergraduate entrants:</w:t>
            </w:r>
          </w:p>
          <w:p w14:paraId="312F97EA" w14:textId="01338680" w:rsidR="00DC5FD4" w:rsidRPr="00307598" w:rsidRDefault="00DC5FD4" w:rsidP="00DC5FD4">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eastAsia="en-GB"/>
              </w:rPr>
              <w:t>BME (black and minority ethnic) students</w:t>
            </w:r>
          </w:p>
        </w:tc>
        <w:tc>
          <w:tcPr>
            <w:tcW w:w="2126" w:type="dxa"/>
          </w:tcPr>
          <w:p w14:paraId="6D70E005" w14:textId="77777777" w:rsidR="00DC5FD4" w:rsidRDefault="00DC5FD4"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2015/16</w:t>
            </w:r>
          </w:p>
          <w:p w14:paraId="5BBA5B14" w14:textId="1E7666EC" w:rsidR="00DC5FD4" w:rsidRDefault="00DC5FD4"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196</w:t>
            </w:r>
            <w:r w:rsidR="00B23851">
              <w:rPr>
                <w:rFonts w:ascii="Titillium" w:eastAsia="Times New Roman" w:hAnsi="Titillium" w:cs="Arial"/>
                <w:sz w:val="22"/>
                <w:szCs w:val="22"/>
                <w:lang w:val="en-GB"/>
              </w:rPr>
              <w:t xml:space="preserve"> (7.5%)</w:t>
            </w:r>
          </w:p>
          <w:p w14:paraId="09E3C361" w14:textId="3F5730AB" w:rsidR="00DC5FD4" w:rsidRPr="00307598" w:rsidRDefault="00DC5FD4" w:rsidP="00DC5FD4">
            <w:pPr>
              <w:spacing w:before="60" w:after="60"/>
              <w:jc w:val="both"/>
              <w:rPr>
                <w:rFonts w:ascii="Titillium" w:eastAsia="Times New Roman" w:hAnsi="Titillium" w:cs="Arial"/>
                <w:sz w:val="22"/>
                <w:szCs w:val="22"/>
                <w:lang w:val="en-GB"/>
              </w:rPr>
            </w:pPr>
          </w:p>
        </w:tc>
        <w:tc>
          <w:tcPr>
            <w:tcW w:w="1843" w:type="dxa"/>
          </w:tcPr>
          <w:p w14:paraId="3C39588B" w14:textId="77777777" w:rsidR="008D1B38" w:rsidRDefault="008D1B38" w:rsidP="00DC5FD4">
            <w:pPr>
              <w:spacing w:before="60" w:after="60"/>
              <w:jc w:val="both"/>
              <w:rPr>
                <w:rFonts w:ascii="Titillium" w:eastAsia="Times New Roman" w:hAnsi="Titillium" w:cs="Arial"/>
                <w:sz w:val="22"/>
                <w:szCs w:val="22"/>
                <w:lang w:val="en-GB"/>
              </w:rPr>
            </w:pPr>
          </w:p>
          <w:p w14:paraId="01CB0BC7" w14:textId="653A06E6" w:rsidR="00DC5FD4" w:rsidRPr="00307598" w:rsidRDefault="00FB28E8"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7.5%</w:t>
            </w:r>
          </w:p>
        </w:tc>
        <w:tc>
          <w:tcPr>
            <w:tcW w:w="5261" w:type="dxa"/>
          </w:tcPr>
          <w:p w14:paraId="658F72DC" w14:textId="3EE12192" w:rsidR="00DC5FD4" w:rsidRPr="00307598" w:rsidRDefault="00FB28E8" w:rsidP="00FB28E8">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Maintain current levels at or above sector average (6%), while monitoring patterns for specific ethnic groups</w:t>
            </w:r>
          </w:p>
        </w:tc>
      </w:tr>
      <w:tr w:rsidR="00DA6EAD" w:rsidRPr="00307598" w14:paraId="50E722E5" w14:textId="77777777" w:rsidTr="00FB489B">
        <w:trPr>
          <w:cantSplit/>
        </w:trPr>
        <w:tc>
          <w:tcPr>
            <w:tcW w:w="4815" w:type="dxa"/>
          </w:tcPr>
          <w:p w14:paraId="7CC02049" w14:textId="724163B4" w:rsidR="005D25A2" w:rsidRDefault="005D25A2" w:rsidP="005D25A2">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Enrolled students:</w:t>
            </w:r>
          </w:p>
          <w:p w14:paraId="447D75EA" w14:textId="49D147E6" w:rsidR="00DA6EAD" w:rsidRPr="00307598" w:rsidRDefault="00DA6EAD" w:rsidP="005D25A2">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Dis</w:t>
            </w:r>
            <w:r w:rsidR="005D25A2">
              <w:rPr>
                <w:rFonts w:ascii="Titillium" w:eastAsia="Times New Roman" w:hAnsi="Titillium" w:cs="Arial"/>
                <w:sz w:val="22"/>
                <w:szCs w:val="22"/>
                <w:lang w:val="en-GB"/>
              </w:rPr>
              <w:t>a</w:t>
            </w:r>
            <w:r>
              <w:rPr>
                <w:rFonts w:ascii="Titillium" w:eastAsia="Times New Roman" w:hAnsi="Titillium" w:cs="Arial"/>
                <w:sz w:val="22"/>
                <w:szCs w:val="22"/>
                <w:lang w:val="en-GB"/>
              </w:rPr>
              <w:t>bled students</w:t>
            </w:r>
          </w:p>
        </w:tc>
        <w:tc>
          <w:tcPr>
            <w:tcW w:w="2126" w:type="dxa"/>
          </w:tcPr>
          <w:p w14:paraId="19BB4803" w14:textId="77777777" w:rsidR="00DA6EAD" w:rsidRDefault="005D25A2"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2015/16</w:t>
            </w:r>
          </w:p>
          <w:p w14:paraId="1C216D59" w14:textId="6BC59456" w:rsidR="005D25A2" w:rsidRDefault="005D25A2"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11.5%</w:t>
            </w:r>
          </w:p>
        </w:tc>
        <w:tc>
          <w:tcPr>
            <w:tcW w:w="1843" w:type="dxa"/>
          </w:tcPr>
          <w:p w14:paraId="11F7D885" w14:textId="77777777" w:rsidR="00DA6EAD" w:rsidRDefault="00DA6EAD" w:rsidP="00E82119">
            <w:pPr>
              <w:spacing w:before="60" w:after="60"/>
              <w:jc w:val="both"/>
              <w:rPr>
                <w:rFonts w:ascii="Titillium" w:eastAsia="Times New Roman" w:hAnsi="Titillium" w:cs="Arial"/>
                <w:sz w:val="22"/>
                <w:szCs w:val="22"/>
                <w:lang w:val="en-GB"/>
              </w:rPr>
            </w:pPr>
          </w:p>
          <w:p w14:paraId="496CB2EB" w14:textId="0F763176" w:rsidR="005D25A2" w:rsidRPr="00307598" w:rsidRDefault="005D25A2" w:rsidP="00E82119">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11.5%</w:t>
            </w:r>
          </w:p>
        </w:tc>
        <w:tc>
          <w:tcPr>
            <w:tcW w:w="5261" w:type="dxa"/>
          </w:tcPr>
          <w:p w14:paraId="6A18B510" w14:textId="2754B075" w:rsidR="00DA6EAD" w:rsidRDefault="00DA6EAD" w:rsidP="005569A1">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Maintain current levels at or above sector</w:t>
            </w:r>
            <w:r w:rsidR="007D133F">
              <w:rPr>
                <w:rFonts w:ascii="Titillium" w:eastAsia="Times New Roman" w:hAnsi="Titillium" w:cs="Arial"/>
                <w:sz w:val="22"/>
                <w:szCs w:val="22"/>
                <w:lang w:val="en-GB"/>
              </w:rPr>
              <w:t xml:space="preserve"> average for a similar institution.</w:t>
            </w:r>
          </w:p>
        </w:tc>
      </w:tr>
      <w:tr w:rsidR="00DC5FD4" w:rsidRPr="00307598" w14:paraId="067A86CE" w14:textId="77777777" w:rsidTr="00FB489B">
        <w:trPr>
          <w:cantSplit/>
        </w:trPr>
        <w:tc>
          <w:tcPr>
            <w:tcW w:w="4815" w:type="dxa"/>
          </w:tcPr>
          <w:p w14:paraId="048BD37B" w14:textId="01545C8D" w:rsidR="00DC5FD4" w:rsidRPr="00307598" w:rsidRDefault="00DC5FD4" w:rsidP="003C1A96">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rPr>
              <w:t xml:space="preserve">Articulating </w:t>
            </w:r>
            <w:r w:rsidR="004008F5">
              <w:rPr>
                <w:rFonts w:ascii="Titillium" w:eastAsia="Times New Roman" w:hAnsi="Titillium" w:cs="Arial"/>
                <w:sz w:val="22"/>
                <w:szCs w:val="22"/>
                <w:lang w:val="en-GB"/>
              </w:rPr>
              <w:t xml:space="preserve">entrants </w:t>
            </w:r>
            <w:r w:rsidRPr="00307598">
              <w:rPr>
                <w:rFonts w:ascii="Titillium" w:eastAsia="Times New Roman" w:hAnsi="Titillium" w:cs="Arial"/>
                <w:sz w:val="22"/>
                <w:szCs w:val="22"/>
                <w:lang w:val="en-GB"/>
              </w:rPr>
              <w:t>(no loss of time)</w:t>
            </w:r>
            <w:r w:rsidR="008D1B38">
              <w:rPr>
                <w:rFonts w:ascii="Titillium" w:eastAsia="Times New Roman" w:hAnsi="Titillium" w:cs="Arial"/>
                <w:sz w:val="22"/>
                <w:szCs w:val="22"/>
                <w:lang w:val="en-GB"/>
              </w:rPr>
              <w:t xml:space="preserve"> (headcount)</w:t>
            </w:r>
          </w:p>
        </w:tc>
        <w:tc>
          <w:tcPr>
            <w:tcW w:w="2126" w:type="dxa"/>
          </w:tcPr>
          <w:p w14:paraId="033CCE7C" w14:textId="60BC96B8" w:rsidR="00DC5FD4" w:rsidRPr="00307598" w:rsidRDefault="00DC5FD4" w:rsidP="00DC5FD4">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698</w:t>
            </w:r>
            <w:r w:rsidRPr="00307598">
              <w:rPr>
                <w:rFonts w:ascii="Titillium" w:eastAsia="Times New Roman" w:hAnsi="Titillium" w:cs="Arial"/>
                <w:sz w:val="22"/>
                <w:szCs w:val="22"/>
                <w:lang w:val="en-GB"/>
              </w:rPr>
              <w:t xml:space="preserve"> (2015/16)</w:t>
            </w:r>
          </w:p>
        </w:tc>
        <w:tc>
          <w:tcPr>
            <w:tcW w:w="1843" w:type="dxa"/>
          </w:tcPr>
          <w:p w14:paraId="4ECA1262" w14:textId="7E2788C2" w:rsidR="00DC5FD4" w:rsidRPr="00307598" w:rsidRDefault="00DC5FD4" w:rsidP="00E82119">
            <w:pPr>
              <w:spacing w:before="60" w:after="60"/>
              <w:jc w:val="both"/>
              <w:rPr>
                <w:rFonts w:ascii="Titillium" w:eastAsia="Times New Roman" w:hAnsi="Titillium" w:cs="Arial"/>
                <w:sz w:val="22"/>
                <w:szCs w:val="22"/>
                <w:lang w:val="en-GB"/>
              </w:rPr>
            </w:pPr>
            <w:r w:rsidRPr="00307598">
              <w:rPr>
                <w:rFonts w:ascii="Titillium" w:eastAsia="Times New Roman" w:hAnsi="Titillium" w:cs="Arial"/>
                <w:sz w:val="22"/>
                <w:szCs w:val="22"/>
                <w:lang w:val="en-GB"/>
              </w:rPr>
              <w:t>70</w:t>
            </w:r>
            <w:r w:rsidR="00E82119">
              <w:rPr>
                <w:rFonts w:ascii="Titillium" w:eastAsia="Times New Roman" w:hAnsi="Titillium" w:cs="Arial"/>
                <w:sz w:val="22"/>
                <w:szCs w:val="22"/>
                <w:lang w:val="en-GB"/>
              </w:rPr>
              <w:t>7</w:t>
            </w:r>
          </w:p>
        </w:tc>
        <w:tc>
          <w:tcPr>
            <w:tcW w:w="5261" w:type="dxa"/>
          </w:tcPr>
          <w:p w14:paraId="3930214E" w14:textId="118F2CB9" w:rsidR="00DC5FD4" w:rsidRPr="00307598" w:rsidRDefault="00DC5FD4" w:rsidP="005569A1">
            <w:pPr>
              <w:spacing w:before="60" w:after="60"/>
              <w:jc w:val="both"/>
              <w:rPr>
                <w:rFonts w:ascii="Titillium" w:eastAsia="Times New Roman" w:hAnsi="Titillium" w:cs="Arial"/>
                <w:sz w:val="22"/>
                <w:szCs w:val="22"/>
                <w:lang w:val="en-GB"/>
              </w:rPr>
            </w:pPr>
            <w:r>
              <w:rPr>
                <w:rFonts w:ascii="Titillium" w:eastAsia="Times New Roman" w:hAnsi="Titillium" w:cs="Arial"/>
                <w:sz w:val="22"/>
                <w:szCs w:val="22"/>
                <w:lang w:val="en-GB"/>
              </w:rPr>
              <w:t xml:space="preserve">Following the end of the Additional Funded Places scheme (107 places), we </w:t>
            </w:r>
            <w:r w:rsidR="005569A1">
              <w:rPr>
                <w:rFonts w:ascii="Titillium" w:eastAsia="Times New Roman" w:hAnsi="Titillium" w:cs="Arial"/>
                <w:sz w:val="22"/>
                <w:szCs w:val="22"/>
                <w:lang w:val="en-GB"/>
              </w:rPr>
              <w:t>plan</w:t>
            </w:r>
            <w:r>
              <w:rPr>
                <w:rFonts w:ascii="Titillium" w:eastAsia="Times New Roman" w:hAnsi="Titillium" w:cs="Arial"/>
                <w:sz w:val="22"/>
                <w:szCs w:val="22"/>
                <w:lang w:val="en-GB"/>
              </w:rPr>
              <w:t xml:space="preserve"> to mainstream these numbers into our University articulating population.</w:t>
            </w:r>
          </w:p>
        </w:tc>
      </w:tr>
    </w:tbl>
    <w:p w14:paraId="1E040046" w14:textId="21D26241" w:rsidR="00325155" w:rsidRPr="00867F38" w:rsidRDefault="00325155" w:rsidP="002A5A43">
      <w:pPr>
        <w:spacing w:before="240" w:after="240"/>
        <w:jc w:val="both"/>
        <w:rPr>
          <w:rFonts w:ascii="Titillium" w:eastAsia="Times New Roman" w:hAnsi="Titillium" w:cs="Arial"/>
          <w:i/>
          <w:iCs/>
          <w:color w:val="C00000"/>
          <w:sz w:val="22"/>
          <w:szCs w:val="24"/>
          <w:lang w:val="en-GB" w:eastAsia="en-GB"/>
        </w:rPr>
        <w:sectPr w:rsidR="00325155" w:rsidRPr="00867F38" w:rsidSect="00325155">
          <w:headerReference w:type="even" r:id="rId18"/>
          <w:headerReference w:type="default" r:id="rId19"/>
          <w:headerReference w:type="first" r:id="rId20"/>
          <w:pgSz w:w="16838" w:h="11906" w:orient="landscape"/>
          <w:pgMar w:top="1440" w:right="1080" w:bottom="1440" w:left="1080" w:header="708" w:footer="708" w:gutter="0"/>
          <w:cols w:space="708"/>
          <w:docGrid w:linePitch="360"/>
        </w:sectPr>
      </w:pPr>
    </w:p>
    <w:p w14:paraId="6250F62A" w14:textId="4158E600" w:rsidR="00330CA9" w:rsidRPr="00867F38" w:rsidRDefault="00330CA9" w:rsidP="00330CA9">
      <w:pPr>
        <w:spacing w:before="120" w:after="160" w:line="259" w:lineRule="auto"/>
        <w:jc w:val="both"/>
        <w:rPr>
          <w:rFonts w:ascii="Titillium" w:eastAsia="Arial Unicode MS" w:hAnsi="Titillium" w:cs="Arial"/>
          <w:b/>
          <w:bCs/>
          <w:color w:val="003366"/>
          <w:sz w:val="28"/>
          <w:szCs w:val="28"/>
          <w:lang w:val="en-GB" w:eastAsia="en-GB"/>
        </w:rPr>
      </w:pPr>
      <w:r w:rsidRPr="00867F38">
        <w:rPr>
          <w:rFonts w:ascii="Titillium" w:eastAsia="Arial Unicode MS" w:hAnsi="Titillium" w:cs="Arial"/>
          <w:b/>
          <w:bCs/>
          <w:color w:val="003366"/>
          <w:sz w:val="28"/>
          <w:szCs w:val="28"/>
          <w:lang w:val="en-GB" w:eastAsia="en-GB"/>
        </w:rPr>
        <w:lastRenderedPageBreak/>
        <w:t xml:space="preserve">2. Provide </w:t>
      </w:r>
      <w:r w:rsidR="005E23BA" w:rsidRPr="00867F38">
        <w:rPr>
          <w:rFonts w:ascii="Titillium" w:eastAsia="Arial Unicode MS" w:hAnsi="Titillium" w:cs="Arial"/>
          <w:b/>
          <w:bCs/>
          <w:color w:val="003366"/>
          <w:sz w:val="28"/>
          <w:szCs w:val="28"/>
          <w:lang w:val="en-GB" w:eastAsia="en-GB"/>
        </w:rPr>
        <w:t>tailored</w:t>
      </w:r>
      <w:r w:rsidRPr="00867F38">
        <w:rPr>
          <w:rFonts w:ascii="Titillium" w:eastAsia="Arial Unicode MS" w:hAnsi="Titillium" w:cs="Arial"/>
          <w:b/>
          <w:bCs/>
          <w:color w:val="003366"/>
          <w:sz w:val="28"/>
          <w:szCs w:val="28"/>
          <w:lang w:val="en-GB" w:eastAsia="en-GB"/>
        </w:rPr>
        <w:t xml:space="preserve"> transitions</w:t>
      </w:r>
      <w:r w:rsidR="005E23BA" w:rsidRPr="00867F38">
        <w:rPr>
          <w:rFonts w:ascii="Titillium" w:eastAsia="Arial Unicode MS" w:hAnsi="Titillium" w:cs="Arial"/>
          <w:b/>
          <w:bCs/>
          <w:color w:val="003366"/>
          <w:sz w:val="28"/>
          <w:szCs w:val="28"/>
          <w:lang w:val="en-GB" w:eastAsia="en-GB"/>
        </w:rPr>
        <w:t>: moving in, moving through and</w:t>
      </w:r>
      <w:r w:rsidRPr="00867F38">
        <w:rPr>
          <w:rFonts w:ascii="Titillium" w:eastAsia="Arial Unicode MS" w:hAnsi="Titillium" w:cs="Arial"/>
          <w:b/>
          <w:bCs/>
          <w:color w:val="003366"/>
          <w:sz w:val="28"/>
          <w:szCs w:val="28"/>
          <w:lang w:val="en-GB" w:eastAsia="en-GB"/>
        </w:rPr>
        <w:t xml:space="preserve"> </w:t>
      </w:r>
      <w:r w:rsidR="005E23BA" w:rsidRPr="00867F38">
        <w:rPr>
          <w:rFonts w:ascii="Titillium" w:eastAsia="Arial Unicode MS" w:hAnsi="Titillium" w:cs="Arial"/>
          <w:b/>
          <w:bCs/>
          <w:color w:val="003366"/>
          <w:sz w:val="28"/>
          <w:szCs w:val="28"/>
          <w:lang w:val="en-GB" w:eastAsia="en-GB"/>
        </w:rPr>
        <w:t>moving on</w:t>
      </w:r>
    </w:p>
    <w:p w14:paraId="57009A8C" w14:textId="77777777" w:rsidR="00330CA9" w:rsidRPr="00867F38" w:rsidRDefault="00330CA9" w:rsidP="00330CA9">
      <w:pPr>
        <w:spacing w:before="240" w:after="120"/>
        <w:jc w:val="both"/>
        <w:rPr>
          <w:rFonts w:ascii="Titillium" w:eastAsia="Arial Unicode MS" w:hAnsi="Titillium" w:cs="Arial"/>
          <w:b/>
          <w:color w:val="003366"/>
          <w:szCs w:val="24"/>
          <w:lang w:val="en-GB" w:eastAsia="en-GB"/>
        </w:rPr>
      </w:pPr>
      <w:r w:rsidRPr="00867F38">
        <w:rPr>
          <w:rFonts w:ascii="Titillium" w:eastAsia="Arial Unicode MS" w:hAnsi="Titillium" w:cs="Arial"/>
          <w:b/>
          <w:color w:val="003366"/>
          <w:szCs w:val="24"/>
          <w:lang w:val="en-GB" w:eastAsia="en-GB"/>
        </w:rPr>
        <w:t>Background</w:t>
      </w:r>
    </w:p>
    <w:p w14:paraId="1FEC17F6" w14:textId="17ED8FF2" w:rsidR="00457DB5" w:rsidRPr="00867F38" w:rsidRDefault="00D35987" w:rsidP="004D20D0">
      <w:pPr>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Historically, widening participation has focussed on access to university, but this Strategy recognises this is not enough and there is a need to provide tailored transitions in</w:t>
      </w:r>
      <w:r w:rsidR="005B26E4" w:rsidRPr="00867F38">
        <w:rPr>
          <w:rFonts w:ascii="Titillium" w:eastAsia="Arial Unicode MS" w:hAnsi="Titillium" w:cs="Arial"/>
          <w:sz w:val="22"/>
          <w:szCs w:val="24"/>
          <w:lang w:val="en-GB" w:eastAsia="en-GB"/>
        </w:rPr>
        <w:t>,</w:t>
      </w:r>
      <w:r w:rsidRPr="00867F38">
        <w:rPr>
          <w:rFonts w:ascii="Titillium" w:eastAsia="Arial Unicode MS" w:hAnsi="Titillium" w:cs="Arial"/>
          <w:sz w:val="22"/>
          <w:szCs w:val="24"/>
          <w:lang w:val="en-GB" w:eastAsia="en-GB"/>
        </w:rPr>
        <w:t xml:space="preserve"> th</w:t>
      </w:r>
      <w:r w:rsidR="004D20D0" w:rsidRPr="00867F38">
        <w:rPr>
          <w:rFonts w:ascii="Titillium" w:eastAsia="Arial Unicode MS" w:hAnsi="Titillium" w:cs="Arial"/>
          <w:sz w:val="22"/>
          <w:szCs w:val="24"/>
          <w:lang w:val="en-GB" w:eastAsia="en-GB"/>
        </w:rPr>
        <w:t xml:space="preserve">rough and out of the University.  </w:t>
      </w:r>
      <w:r w:rsidR="00BC22A6">
        <w:rPr>
          <w:rFonts w:ascii="Titillium" w:eastAsia="Arial Unicode MS" w:hAnsi="Titillium" w:cs="Arial"/>
          <w:sz w:val="22"/>
          <w:szCs w:val="24"/>
          <w:lang w:val="en-GB" w:eastAsia="en-GB"/>
        </w:rPr>
        <w:t>We</w:t>
      </w:r>
      <w:r w:rsidR="00457DB5" w:rsidRPr="00867F38">
        <w:rPr>
          <w:rFonts w:ascii="Titillium" w:eastAsia="Arial Unicode MS" w:hAnsi="Titillium" w:cs="Arial"/>
          <w:sz w:val="22"/>
          <w:szCs w:val="24"/>
          <w:lang w:val="en-GB" w:eastAsia="en-GB"/>
        </w:rPr>
        <w:t xml:space="preserve"> currently provide a</w:t>
      </w:r>
      <w:r w:rsidR="007B41CF">
        <w:rPr>
          <w:rFonts w:ascii="Titillium" w:eastAsia="Arial Unicode MS" w:hAnsi="Titillium" w:cs="Arial"/>
          <w:sz w:val="22"/>
          <w:szCs w:val="24"/>
          <w:lang w:val="en-GB" w:eastAsia="en-GB"/>
        </w:rPr>
        <w:t>n extensive tailored transition</w:t>
      </w:r>
      <w:r w:rsidR="00457DB5" w:rsidRPr="00867F38">
        <w:rPr>
          <w:rFonts w:ascii="Titillium" w:eastAsia="Arial Unicode MS" w:hAnsi="Titillium" w:cs="Arial"/>
          <w:sz w:val="22"/>
          <w:szCs w:val="24"/>
          <w:lang w:val="en-GB" w:eastAsia="en-GB"/>
        </w:rPr>
        <w:t xml:space="preserve"> </w:t>
      </w:r>
      <w:r w:rsidR="001A4EC3">
        <w:rPr>
          <w:rFonts w:ascii="Titillium" w:eastAsia="Arial Unicode MS" w:hAnsi="Titillium" w:cs="Arial"/>
          <w:sz w:val="22"/>
          <w:szCs w:val="24"/>
          <w:lang w:val="en-GB" w:eastAsia="en-GB"/>
        </w:rPr>
        <w:t xml:space="preserve">pre-entry </w:t>
      </w:r>
      <w:r w:rsidR="00457DB5" w:rsidRPr="00867F38">
        <w:rPr>
          <w:rFonts w:ascii="Titillium" w:eastAsia="Arial Unicode MS" w:hAnsi="Titillium" w:cs="Arial"/>
          <w:sz w:val="22"/>
          <w:szCs w:val="24"/>
          <w:lang w:val="en-GB" w:eastAsia="en-GB"/>
        </w:rPr>
        <w:t>experience (</w:t>
      </w:r>
      <w:r w:rsidR="00457DB5" w:rsidRPr="00867F38">
        <w:rPr>
          <w:rFonts w:ascii="Titillium" w:eastAsia="Arial Unicode MS" w:hAnsi="Titillium" w:cs="Arial"/>
          <w:b/>
          <w:sz w:val="22"/>
          <w:szCs w:val="24"/>
          <w:lang w:val="en-GB" w:eastAsia="en-GB"/>
        </w:rPr>
        <w:t>Moving in</w:t>
      </w:r>
      <w:r w:rsidR="00457DB5" w:rsidRPr="00867F38">
        <w:rPr>
          <w:rFonts w:ascii="Titillium" w:eastAsia="Arial Unicode MS" w:hAnsi="Titillium" w:cs="Arial"/>
          <w:sz w:val="22"/>
          <w:szCs w:val="24"/>
          <w:lang w:val="en-GB" w:eastAsia="en-GB"/>
        </w:rPr>
        <w:t xml:space="preserve">) to </w:t>
      </w:r>
      <w:r w:rsidR="007B41CF">
        <w:rPr>
          <w:rFonts w:ascii="Titillium" w:eastAsia="Arial Unicode MS" w:hAnsi="Titillium" w:cs="Arial"/>
          <w:sz w:val="22"/>
          <w:szCs w:val="24"/>
          <w:lang w:val="en-GB" w:eastAsia="en-GB"/>
        </w:rPr>
        <w:t>articulating students</w:t>
      </w:r>
      <w:r w:rsidR="00457DB5" w:rsidRPr="00867F38">
        <w:rPr>
          <w:rFonts w:ascii="Titillium" w:eastAsia="Arial Unicode MS" w:hAnsi="Titillium" w:cs="Arial"/>
          <w:sz w:val="22"/>
          <w:szCs w:val="24"/>
          <w:lang w:val="en-GB" w:eastAsia="en-GB"/>
        </w:rPr>
        <w:t xml:space="preserve"> starting at the University, </w:t>
      </w:r>
      <w:r w:rsidR="00466BCD">
        <w:rPr>
          <w:rFonts w:ascii="Titillium" w:eastAsia="Arial Unicode MS" w:hAnsi="Titillium" w:cs="Arial"/>
          <w:sz w:val="22"/>
          <w:szCs w:val="24"/>
          <w:lang w:val="en-GB" w:eastAsia="en-GB"/>
        </w:rPr>
        <w:t xml:space="preserve">and will undertake </w:t>
      </w:r>
      <w:r w:rsidR="00FB5241">
        <w:rPr>
          <w:rFonts w:ascii="Titillium" w:eastAsia="Arial Unicode MS" w:hAnsi="Titillium" w:cs="Arial"/>
          <w:sz w:val="22"/>
          <w:szCs w:val="24"/>
          <w:lang w:val="en-GB" w:eastAsia="en-GB"/>
        </w:rPr>
        <w:t xml:space="preserve">the </w:t>
      </w:r>
      <w:r w:rsidR="00466BCD">
        <w:rPr>
          <w:rFonts w:ascii="Titillium" w:eastAsia="Arial Unicode MS" w:hAnsi="Titillium" w:cs="Arial"/>
          <w:sz w:val="22"/>
          <w:szCs w:val="24"/>
          <w:lang w:val="en-GB" w:eastAsia="en-GB"/>
        </w:rPr>
        <w:t xml:space="preserve">steps needed </w:t>
      </w:r>
      <w:r w:rsidR="00457DB5" w:rsidRPr="00867F38">
        <w:rPr>
          <w:rFonts w:ascii="Titillium" w:eastAsia="Arial Unicode MS" w:hAnsi="Titillium" w:cs="Arial"/>
          <w:sz w:val="22"/>
          <w:szCs w:val="24"/>
          <w:lang w:val="en-GB" w:eastAsia="en-GB"/>
        </w:rPr>
        <w:t xml:space="preserve">to expand this to enable </w:t>
      </w:r>
      <w:r w:rsidR="007B41CF">
        <w:rPr>
          <w:rFonts w:ascii="Titillium" w:eastAsia="Arial Unicode MS" w:hAnsi="Titillium" w:cs="Arial"/>
          <w:sz w:val="22"/>
          <w:szCs w:val="24"/>
          <w:lang w:val="en-GB" w:eastAsia="en-GB"/>
        </w:rPr>
        <w:t xml:space="preserve">all widening participation </w:t>
      </w:r>
      <w:r w:rsidR="00457DB5" w:rsidRPr="00867F38">
        <w:rPr>
          <w:rFonts w:ascii="Titillium" w:eastAsia="Arial Unicode MS" w:hAnsi="Titillium" w:cs="Arial"/>
          <w:sz w:val="22"/>
          <w:szCs w:val="24"/>
          <w:lang w:val="en-GB" w:eastAsia="en-GB"/>
        </w:rPr>
        <w:t>group</w:t>
      </w:r>
      <w:r w:rsidR="005540ED" w:rsidRPr="00867F38">
        <w:rPr>
          <w:rFonts w:ascii="Titillium" w:eastAsia="Arial Unicode MS" w:hAnsi="Titillium" w:cs="Arial"/>
          <w:sz w:val="22"/>
          <w:szCs w:val="24"/>
          <w:lang w:val="en-GB" w:eastAsia="en-GB"/>
        </w:rPr>
        <w:t>s</w:t>
      </w:r>
      <w:r w:rsidR="00457DB5" w:rsidRPr="00867F38">
        <w:rPr>
          <w:rFonts w:ascii="Titillium" w:eastAsia="Arial Unicode MS" w:hAnsi="Titillium" w:cs="Arial"/>
          <w:sz w:val="22"/>
          <w:szCs w:val="24"/>
          <w:lang w:val="en-GB" w:eastAsia="en-GB"/>
        </w:rPr>
        <w:t xml:space="preserve"> to progress and succeed (</w:t>
      </w:r>
      <w:r w:rsidR="00457DB5" w:rsidRPr="00867F38">
        <w:rPr>
          <w:rFonts w:ascii="Titillium" w:eastAsia="Arial Unicode MS" w:hAnsi="Titillium" w:cs="Arial"/>
          <w:b/>
          <w:sz w:val="22"/>
          <w:szCs w:val="24"/>
          <w:lang w:val="en-GB" w:eastAsia="en-GB"/>
        </w:rPr>
        <w:t>Moving though</w:t>
      </w:r>
      <w:r w:rsidR="00457DB5" w:rsidRPr="00867F38">
        <w:rPr>
          <w:rFonts w:ascii="Titillium" w:eastAsia="Arial Unicode MS" w:hAnsi="Titillium" w:cs="Arial"/>
          <w:sz w:val="22"/>
          <w:szCs w:val="24"/>
          <w:lang w:val="en-GB" w:eastAsia="en-GB"/>
        </w:rPr>
        <w:t xml:space="preserve">), and </w:t>
      </w:r>
      <w:r w:rsidR="005540ED" w:rsidRPr="00867F38">
        <w:rPr>
          <w:rFonts w:ascii="Titillium" w:eastAsia="Arial Unicode MS" w:hAnsi="Titillium" w:cs="Arial"/>
          <w:sz w:val="22"/>
          <w:szCs w:val="24"/>
          <w:lang w:val="en-GB" w:eastAsia="en-GB"/>
        </w:rPr>
        <w:t>achieve</w:t>
      </w:r>
      <w:r w:rsidR="00457DB5" w:rsidRPr="00867F38">
        <w:rPr>
          <w:rFonts w:ascii="Titillium" w:eastAsia="Arial Unicode MS" w:hAnsi="Titillium" w:cs="Arial"/>
          <w:sz w:val="22"/>
          <w:szCs w:val="24"/>
          <w:lang w:val="en-GB" w:eastAsia="en-GB"/>
        </w:rPr>
        <w:t xml:space="preserve"> graduate level employ</w:t>
      </w:r>
      <w:r w:rsidR="00907C9B">
        <w:rPr>
          <w:rFonts w:ascii="Titillium" w:eastAsia="Arial Unicode MS" w:hAnsi="Titillium" w:cs="Arial"/>
          <w:sz w:val="22"/>
          <w:szCs w:val="24"/>
          <w:lang w:val="en-GB" w:eastAsia="en-GB"/>
        </w:rPr>
        <w:t>ment</w:t>
      </w:r>
      <w:r w:rsidR="005B26E4" w:rsidRPr="00867F38">
        <w:rPr>
          <w:rFonts w:ascii="Titillium" w:eastAsia="Arial Unicode MS" w:hAnsi="Titillium" w:cs="Arial"/>
          <w:sz w:val="22"/>
          <w:szCs w:val="24"/>
          <w:lang w:val="en-GB" w:eastAsia="en-GB"/>
        </w:rPr>
        <w:t xml:space="preserve"> (</w:t>
      </w:r>
      <w:r w:rsidR="005B26E4" w:rsidRPr="00867F38">
        <w:rPr>
          <w:rFonts w:ascii="Titillium" w:eastAsia="Arial Unicode MS" w:hAnsi="Titillium" w:cs="Arial"/>
          <w:b/>
          <w:sz w:val="22"/>
          <w:szCs w:val="24"/>
          <w:lang w:val="en-GB" w:eastAsia="en-GB"/>
        </w:rPr>
        <w:t>Moving on</w:t>
      </w:r>
      <w:r w:rsidR="005B26E4" w:rsidRPr="00867F38">
        <w:rPr>
          <w:rFonts w:ascii="Titillium" w:eastAsia="Arial Unicode MS" w:hAnsi="Titillium" w:cs="Arial"/>
          <w:sz w:val="22"/>
          <w:szCs w:val="24"/>
          <w:lang w:val="en-GB" w:eastAsia="en-GB"/>
        </w:rPr>
        <w:t>)</w:t>
      </w:r>
      <w:r w:rsidR="00457DB5" w:rsidRPr="00867F38">
        <w:rPr>
          <w:rFonts w:ascii="Titillium" w:eastAsia="Arial Unicode MS" w:hAnsi="Titillium" w:cs="Arial"/>
          <w:sz w:val="22"/>
          <w:szCs w:val="24"/>
          <w:lang w:val="en-GB" w:eastAsia="en-GB"/>
        </w:rPr>
        <w:t>.</w:t>
      </w:r>
    </w:p>
    <w:p w14:paraId="5F6E7D8D" w14:textId="77777777" w:rsidR="00457DB5" w:rsidRPr="00867F38" w:rsidRDefault="00457DB5" w:rsidP="004D20D0">
      <w:pPr>
        <w:rPr>
          <w:rFonts w:ascii="Titillium" w:eastAsia="Arial Unicode MS" w:hAnsi="Titillium" w:cs="Arial"/>
          <w:sz w:val="22"/>
          <w:szCs w:val="24"/>
          <w:lang w:val="en-GB" w:eastAsia="en-GB"/>
        </w:rPr>
      </w:pPr>
    </w:p>
    <w:p w14:paraId="5E3BD766" w14:textId="1E15B4CC" w:rsidR="004D20D0" w:rsidRPr="00867F38" w:rsidRDefault="004D20D0" w:rsidP="004D20D0">
      <w:pPr>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We recognise the need to </w:t>
      </w:r>
      <w:r w:rsidR="00867F38" w:rsidRPr="00867F38">
        <w:rPr>
          <w:rFonts w:ascii="Titillium" w:eastAsia="Arial Unicode MS" w:hAnsi="Titillium" w:cs="Arial"/>
          <w:sz w:val="22"/>
          <w:szCs w:val="24"/>
          <w:lang w:val="en-GB" w:eastAsia="en-GB"/>
        </w:rPr>
        <w:t>fully engage s</w:t>
      </w:r>
      <w:r w:rsidRPr="00867F38">
        <w:rPr>
          <w:rFonts w:ascii="Titillium" w:eastAsia="Arial Unicode MS" w:hAnsi="Titillium" w:cs="Arial"/>
          <w:sz w:val="22"/>
          <w:szCs w:val="24"/>
          <w:lang w:val="en-GB" w:eastAsia="en-GB"/>
        </w:rPr>
        <w:t>tudents from under-represented</w:t>
      </w:r>
      <w:r w:rsidR="005540ED" w:rsidRPr="00867F38">
        <w:rPr>
          <w:rFonts w:ascii="Titillium" w:eastAsia="Arial Unicode MS" w:hAnsi="Titillium" w:cs="Arial"/>
          <w:sz w:val="22"/>
          <w:szCs w:val="24"/>
          <w:lang w:val="en-GB" w:eastAsia="en-GB"/>
        </w:rPr>
        <w:t xml:space="preserve"> groups in </w:t>
      </w:r>
      <w:r w:rsidR="00867F38" w:rsidRPr="00867F38">
        <w:rPr>
          <w:rFonts w:ascii="Titillium" w:eastAsia="Arial Unicode MS" w:hAnsi="Titillium" w:cs="Arial"/>
          <w:sz w:val="22"/>
          <w:szCs w:val="24"/>
          <w:lang w:val="en-GB" w:eastAsia="en-GB"/>
        </w:rPr>
        <w:t xml:space="preserve">those </w:t>
      </w:r>
      <w:r w:rsidRPr="00867F38">
        <w:rPr>
          <w:rFonts w:ascii="Titillium" w:eastAsia="Arial Unicode MS" w:hAnsi="Titillium" w:cs="Arial"/>
          <w:sz w:val="22"/>
          <w:szCs w:val="24"/>
          <w:lang w:val="en-GB" w:eastAsia="en-GB"/>
        </w:rPr>
        <w:t>opportunities</w:t>
      </w:r>
      <w:r w:rsidR="005540ED" w:rsidRPr="00867F38">
        <w:rPr>
          <w:rFonts w:ascii="Titillium" w:eastAsia="Arial Unicode MS" w:hAnsi="Titillium" w:cs="Arial"/>
          <w:sz w:val="22"/>
          <w:szCs w:val="24"/>
          <w:lang w:val="en-GB" w:eastAsia="en-GB"/>
        </w:rPr>
        <w:t xml:space="preserve"> offered</w:t>
      </w:r>
      <w:r w:rsidR="00867F38" w:rsidRPr="00867F38">
        <w:rPr>
          <w:rFonts w:ascii="Titillium" w:eastAsia="Arial Unicode MS" w:hAnsi="Titillium" w:cs="Arial"/>
          <w:sz w:val="22"/>
          <w:szCs w:val="24"/>
          <w:lang w:val="en-GB" w:eastAsia="en-GB"/>
        </w:rPr>
        <w:t xml:space="preserve"> as part of the student experience, which will help them develop graduate attributes and achieve future employability. </w:t>
      </w:r>
      <w:r w:rsidR="007B41CF">
        <w:rPr>
          <w:rFonts w:ascii="Titillium" w:eastAsia="Arial Unicode MS" w:hAnsi="Titillium" w:cs="Arial"/>
          <w:sz w:val="22"/>
          <w:szCs w:val="24"/>
          <w:lang w:val="en-GB" w:eastAsia="en-GB"/>
        </w:rPr>
        <w:t xml:space="preserve"> </w:t>
      </w:r>
      <w:r w:rsidR="00867F38" w:rsidRPr="00867F38">
        <w:rPr>
          <w:rFonts w:ascii="Titillium" w:eastAsia="Arial Unicode MS" w:hAnsi="Titillium" w:cs="Arial"/>
          <w:sz w:val="22"/>
          <w:szCs w:val="24"/>
          <w:lang w:val="en-GB" w:eastAsia="en-GB"/>
        </w:rPr>
        <w:t>We will therefore focus on promoting opportunities, evaluating engagement and identifying and removing barriers where possible.</w:t>
      </w:r>
    </w:p>
    <w:p w14:paraId="26C36848" w14:textId="77777777" w:rsidR="00330CA9" w:rsidRPr="00867F38" w:rsidRDefault="00330CA9" w:rsidP="00330CA9">
      <w:pPr>
        <w:tabs>
          <w:tab w:val="num" w:pos="720"/>
        </w:tabs>
        <w:spacing w:before="240" w:after="120"/>
        <w:jc w:val="both"/>
        <w:rPr>
          <w:rFonts w:ascii="Titillium" w:eastAsia="Arial Unicode MS" w:hAnsi="Titillium" w:cs="Arial"/>
          <w:b/>
          <w:bCs/>
          <w:color w:val="003366"/>
          <w:szCs w:val="24"/>
          <w:lang w:val="en-GB" w:eastAsia="en-GB"/>
        </w:rPr>
      </w:pPr>
      <w:r w:rsidRPr="00867F38">
        <w:rPr>
          <w:rFonts w:ascii="Titillium" w:eastAsia="Arial Unicode MS" w:hAnsi="Titillium" w:cs="Arial"/>
          <w:b/>
          <w:bCs/>
          <w:color w:val="003366"/>
          <w:szCs w:val="24"/>
          <w:lang w:val="en-GB" w:eastAsia="en-GB"/>
        </w:rPr>
        <w:t>Outcome</w:t>
      </w:r>
    </w:p>
    <w:p w14:paraId="3184628E" w14:textId="02CD92E0" w:rsidR="00330CA9" w:rsidRPr="00867F38" w:rsidRDefault="00330CA9" w:rsidP="00330CA9">
      <w:pPr>
        <w:tabs>
          <w:tab w:val="num" w:pos="720"/>
        </w:tabs>
        <w:spacing w:before="120" w:after="24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By 2020 </w:t>
      </w:r>
      <w:r w:rsidR="00867F38" w:rsidRPr="00867F38">
        <w:rPr>
          <w:rFonts w:ascii="Titillium" w:eastAsia="Arial Unicode MS" w:hAnsi="Titillium" w:cs="Arial"/>
          <w:sz w:val="22"/>
          <w:szCs w:val="24"/>
          <w:lang w:val="en-GB" w:eastAsia="en-GB"/>
        </w:rPr>
        <w:t>we will have</w:t>
      </w:r>
      <w:r w:rsidR="00613536">
        <w:rPr>
          <w:rFonts w:ascii="Titillium" w:eastAsia="Arial Unicode MS" w:hAnsi="Titillium" w:cs="Arial"/>
          <w:sz w:val="22"/>
          <w:szCs w:val="24"/>
          <w:lang w:val="en-GB" w:eastAsia="en-GB"/>
        </w:rPr>
        <w:t xml:space="preserve"> improved the continuation, achievements and employability of widening participation students</w:t>
      </w:r>
    </w:p>
    <w:p w14:paraId="3EC5B79B" w14:textId="07E51C19" w:rsidR="00330CA9" w:rsidRPr="00867F38" w:rsidRDefault="00330CA9" w:rsidP="00330CA9">
      <w:pPr>
        <w:tabs>
          <w:tab w:val="num" w:pos="720"/>
        </w:tabs>
        <w:spacing w:before="240" w:after="120"/>
        <w:jc w:val="both"/>
        <w:rPr>
          <w:rFonts w:ascii="Titillium" w:eastAsia="Arial Unicode MS" w:hAnsi="Titillium" w:cs="Arial"/>
          <w:sz w:val="22"/>
          <w:szCs w:val="24"/>
          <w:lang w:val="en-GB" w:eastAsia="en-GB"/>
        </w:rPr>
      </w:pPr>
      <w:r w:rsidRPr="00867F38">
        <w:rPr>
          <w:rFonts w:ascii="Titillium" w:eastAsia="Arial Unicode MS" w:hAnsi="Titillium" w:cs="Arial"/>
          <w:b/>
          <w:bCs/>
          <w:color w:val="003366"/>
          <w:szCs w:val="24"/>
          <w:lang w:val="en-GB" w:eastAsia="en-GB"/>
        </w:rPr>
        <w:t>Delivery Mechanisms/Actions</w:t>
      </w:r>
    </w:p>
    <w:tbl>
      <w:tblPr>
        <w:tblW w:w="13745" w:type="dxa"/>
        <w:tblLook w:val="0000" w:firstRow="0" w:lastRow="0" w:firstColumn="0" w:lastColumn="0" w:noHBand="0" w:noVBand="0"/>
      </w:tblPr>
      <w:tblGrid>
        <w:gridCol w:w="709"/>
        <w:gridCol w:w="13036"/>
      </w:tblGrid>
      <w:tr w:rsidR="00330CA9" w:rsidRPr="00867F38" w14:paraId="791A1263" w14:textId="77777777" w:rsidTr="001C1EBF">
        <w:tc>
          <w:tcPr>
            <w:tcW w:w="709" w:type="dxa"/>
          </w:tcPr>
          <w:p w14:paraId="42217CDE" w14:textId="0E002BD7" w:rsidR="00330CA9" w:rsidRPr="00867F38" w:rsidRDefault="000C1872" w:rsidP="001C1EB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2</w:t>
            </w:r>
            <w:r w:rsidR="00330CA9" w:rsidRPr="00867F38">
              <w:rPr>
                <w:rFonts w:ascii="Titillium" w:eastAsia="Arial Unicode MS" w:hAnsi="Titillium" w:cs="Arial"/>
                <w:color w:val="003366"/>
                <w:sz w:val="22"/>
                <w:szCs w:val="24"/>
                <w:lang w:val="en-GB" w:eastAsia="en-GB"/>
              </w:rPr>
              <w:t>.1</w:t>
            </w:r>
          </w:p>
        </w:tc>
        <w:tc>
          <w:tcPr>
            <w:tcW w:w="13036" w:type="dxa"/>
          </w:tcPr>
          <w:p w14:paraId="19C01609" w14:textId="33C34A33" w:rsidR="00330CA9" w:rsidRPr="00867F38" w:rsidRDefault="00C52B6F" w:rsidP="00794D3C">
            <w:pPr>
              <w:tabs>
                <w:tab w:val="num" w:pos="720"/>
              </w:tabs>
              <w:spacing w:before="120" w:after="120"/>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Promote, i</w:t>
            </w:r>
            <w:r w:rsidR="00867F38" w:rsidRPr="00867F38">
              <w:rPr>
                <w:rFonts w:ascii="Titillium" w:eastAsia="Arial Unicode MS" w:hAnsi="Titillium" w:cs="Arial"/>
                <w:sz w:val="22"/>
                <w:szCs w:val="24"/>
                <w:lang w:val="en-GB" w:eastAsia="en-GB"/>
              </w:rPr>
              <w:t>mplement</w:t>
            </w:r>
            <w:r w:rsidR="001C1EBF" w:rsidRPr="00867F38">
              <w:rPr>
                <w:rFonts w:ascii="Titillium" w:eastAsia="Arial Unicode MS" w:hAnsi="Titillium" w:cs="Arial"/>
                <w:sz w:val="22"/>
                <w:szCs w:val="24"/>
                <w:lang w:val="en-GB" w:eastAsia="en-GB"/>
              </w:rPr>
              <w:t xml:space="preserve"> </w:t>
            </w:r>
            <w:r w:rsidR="00E16C75">
              <w:rPr>
                <w:rFonts w:ascii="Titillium" w:eastAsia="Arial Unicode MS" w:hAnsi="Titillium" w:cs="Arial"/>
                <w:sz w:val="22"/>
                <w:szCs w:val="24"/>
                <w:lang w:val="en-GB" w:eastAsia="en-GB"/>
              </w:rPr>
              <w:t xml:space="preserve">and support </w:t>
            </w:r>
            <w:r w:rsidR="001C1EBF" w:rsidRPr="00867F38">
              <w:rPr>
                <w:rFonts w:ascii="Titillium" w:eastAsia="Arial Unicode MS" w:hAnsi="Titillium" w:cs="Arial"/>
                <w:sz w:val="22"/>
                <w:szCs w:val="24"/>
                <w:lang w:val="en-GB" w:eastAsia="en-GB"/>
              </w:rPr>
              <w:t xml:space="preserve">flexible entry and study arrangements for those widening participation groups who are at most risk of withdrawing </w:t>
            </w:r>
            <w:r w:rsidR="00907C9B">
              <w:rPr>
                <w:rFonts w:ascii="Titillium" w:eastAsia="Arial Unicode MS" w:hAnsi="Titillium" w:cs="Arial"/>
                <w:sz w:val="22"/>
                <w:szCs w:val="24"/>
                <w:lang w:val="en-GB" w:eastAsia="en-GB"/>
              </w:rPr>
              <w:t>(as evidenced by our historic data)</w:t>
            </w:r>
            <w:r w:rsidR="00794D3C">
              <w:rPr>
                <w:rFonts w:ascii="Titillium" w:eastAsia="Arial Unicode MS" w:hAnsi="Titillium" w:cs="Arial"/>
                <w:sz w:val="22"/>
                <w:szCs w:val="24"/>
                <w:lang w:val="en-GB" w:eastAsia="en-GB"/>
              </w:rPr>
              <w:t>.</w:t>
            </w:r>
          </w:p>
        </w:tc>
      </w:tr>
      <w:tr w:rsidR="006E4B4F" w:rsidRPr="00867F38" w14:paraId="2BE99E17" w14:textId="77777777" w:rsidTr="001C1EBF">
        <w:tc>
          <w:tcPr>
            <w:tcW w:w="709" w:type="dxa"/>
          </w:tcPr>
          <w:p w14:paraId="784045DD" w14:textId="58EF3F86" w:rsidR="006E4B4F" w:rsidRPr="00867F38" w:rsidRDefault="006E4B4F" w:rsidP="006E4B4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2.2</w:t>
            </w:r>
          </w:p>
        </w:tc>
        <w:tc>
          <w:tcPr>
            <w:tcW w:w="13036" w:type="dxa"/>
          </w:tcPr>
          <w:p w14:paraId="54C530AF" w14:textId="3472BFE7" w:rsidR="006E4B4F" w:rsidRPr="00867F38" w:rsidRDefault="00794D3C" w:rsidP="00794D3C">
            <w:pPr>
              <w:spacing w:before="120" w:after="120"/>
              <w:jc w:val="both"/>
              <w:rPr>
                <w:rFonts w:ascii="Titillium" w:eastAsia="Arial Unicode MS" w:hAnsi="Titillium" w:cs="Arial"/>
                <w:sz w:val="22"/>
                <w:szCs w:val="24"/>
                <w:lang w:val="en-GB" w:eastAsia="en-GB"/>
              </w:rPr>
            </w:pPr>
            <w:r>
              <w:rPr>
                <w:rFonts w:ascii="Titillium" w:eastAsia="Arial Unicode MS" w:hAnsi="Titillium" w:cs="Arial"/>
                <w:sz w:val="22"/>
                <w:szCs w:val="22"/>
                <w:lang w:val="en-GB"/>
              </w:rPr>
              <w:t xml:space="preserve">Research barriers </w:t>
            </w:r>
            <w:r w:rsidRPr="00307598">
              <w:rPr>
                <w:rFonts w:ascii="Titillium" w:eastAsia="Arial Unicode MS" w:hAnsi="Titillium" w:cs="Arial"/>
                <w:sz w:val="22"/>
                <w:szCs w:val="22"/>
                <w:lang w:val="en-GB"/>
              </w:rPr>
              <w:t>for under-represented groups</w:t>
            </w:r>
            <w:r>
              <w:rPr>
                <w:rFonts w:ascii="Titillium" w:eastAsia="Arial Unicode MS" w:hAnsi="Titillium" w:cs="Arial"/>
                <w:sz w:val="22"/>
                <w:szCs w:val="22"/>
                <w:lang w:val="en-GB"/>
              </w:rPr>
              <w:t>, and disseminate findings to e</w:t>
            </w:r>
            <w:r w:rsidR="00307598" w:rsidRPr="00307598">
              <w:rPr>
                <w:rFonts w:ascii="Titillium" w:eastAsia="Arial Unicode MS" w:hAnsi="Titillium" w:cs="Arial"/>
                <w:sz w:val="22"/>
                <w:szCs w:val="22"/>
                <w:lang w:val="en-GB"/>
              </w:rPr>
              <w:t>nsure University staff are aware of the</w:t>
            </w:r>
            <w:r>
              <w:rPr>
                <w:rFonts w:ascii="Titillium" w:eastAsia="Arial Unicode MS" w:hAnsi="Titillium" w:cs="Arial"/>
                <w:sz w:val="22"/>
                <w:szCs w:val="22"/>
                <w:lang w:val="en-GB"/>
              </w:rPr>
              <w:t>se</w:t>
            </w:r>
            <w:r w:rsidR="00307598" w:rsidRPr="00307598">
              <w:rPr>
                <w:rFonts w:ascii="Titillium" w:eastAsia="Arial Unicode MS" w:hAnsi="Titillium" w:cs="Arial"/>
                <w:sz w:val="22"/>
                <w:szCs w:val="22"/>
                <w:lang w:val="en-GB"/>
              </w:rPr>
              <w:t xml:space="preserve"> barriers</w:t>
            </w:r>
            <w:r w:rsidR="00307598">
              <w:rPr>
                <w:rFonts w:ascii="Titillium" w:eastAsia="Arial Unicode MS" w:hAnsi="Titillium" w:cs="Arial"/>
                <w:sz w:val="22"/>
                <w:szCs w:val="22"/>
                <w:lang w:val="en-GB"/>
              </w:rPr>
              <w:t xml:space="preserve"> and </w:t>
            </w:r>
            <w:r w:rsidR="00AC343B">
              <w:rPr>
                <w:rFonts w:ascii="Titillium" w:eastAsia="Arial Unicode MS" w:hAnsi="Titillium" w:cs="Arial"/>
                <w:sz w:val="22"/>
                <w:szCs w:val="22"/>
                <w:lang w:val="en-GB"/>
              </w:rPr>
              <w:t xml:space="preserve">actions required </w:t>
            </w:r>
            <w:r w:rsidR="00307598">
              <w:rPr>
                <w:rFonts w:ascii="Titillium" w:eastAsia="Arial Unicode MS" w:hAnsi="Titillium" w:cs="Arial"/>
                <w:sz w:val="22"/>
                <w:szCs w:val="22"/>
                <w:lang w:val="en-GB"/>
              </w:rPr>
              <w:t>to support</w:t>
            </w:r>
            <w:r w:rsidR="00A659D3">
              <w:rPr>
                <w:rFonts w:ascii="Titillium" w:eastAsia="Arial Unicode MS" w:hAnsi="Titillium" w:cs="Arial"/>
                <w:sz w:val="22"/>
                <w:szCs w:val="22"/>
                <w:lang w:val="en-GB"/>
              </w:rPr>
              <w:t xml:space="preserve"> students’ </w:t>
            </w:r>
            <w:r w:rsidR="00307598">
              <w:rPr>
                <w:rFonts w:ascii="Titillium" w:eastAsia="Arial Unicode MS" w:hAnsi="Titillium" w:cs="Arial"/>
                <w:sz w:val="22"/>
                <w:szCs w:val="22"/>
                <w:lang w:val="en-GB"/>
              </w:rPr>
              <w:t>success</w:t>
            </w:r>
            <w:r w:rsidR="00307598" w:rsidRPr="00307598">
              <w:rPr>
                <w:rFonts w:ascii="Titillium" w:eastAsia="Arial Unicode MS" w:hAnsi="Titillium" w:cs="Arial"/>
                <w:sz w:val="22"/>
                <w:szCs w:val="22"/>
                <w:lang w:val="en-GB"/>
              </w:rPr>
              <w:t xml:space="preserve"> in engaging full</w:t>
            </w:r>
            <w:r w:rsidR="00307598">
              <w:rPr>
                <w:rFonts w:ascii="Titillium" w:eastAsia="Arial Unicode MS" w:hAnsi="Titillium" w:cs="Arial"/>
                <w:sz w:val="22"/>
                <w:szCs w:val="22"/>
                <w:lang w:val="en-GB"/>
              </w:rPr>
              <w:t xml:space="preserve">y </w:t>
            </w:r>
            <w:r w:rsidR="00A659D3">
              <w:rPr>
                <w:rFonts w:ascii="Titillium" w:eastAsia="Arial Unicode MS" w:hAnsi="Titillium" w:cs="Arial"/>
                <w:sz w:val="22"/>
                <w:szCs w:val="22"/>
                <w:lang w:val="en-GB"/>
              </w:rPr>
              <w:t>while</w:t>
            </w:r>
            <w:r w:rsidR="00307598">
              <w:rPr>
                <w:rFonts w:ascii="Titillium" w:eastAsia="Arial Unicode MS" w:hAnsi="Titillium" w:cs="Arial"/>
                <w:sz w:val="22"/>
                <w:szCs w:val="22"/>
                <w:lang w:val="en-GB"/>
              </w:rPr>
              <w:t xml:space="preserve"> </w:t>
            </w:r>
            <w:r w:rsidR="00307598" w:rsidRPr="00307598">
              <w:rPr>
                <w:rFonts w:ascii="Titillium" w:eastAsia="Arial Unicode MS" w:hAnsi="Titillium" w:cs="Arial"/>
                <w:sz w:val="22"/>
                <w:szCs w:val="22"/>
                <w:lang w:val="en-GB"/>
              </w:rPr>
              <w:t xml:space="preserve">moving in, </w:t>
            </w:r>
            <w:r w:rsidR="00A659D3">
              <w:rPr>
                <w:rFonts w:ascii="Titillium" w:eastAsia="Arial Unicode MS" w:hAnsi="Titillium" w:cs="Arial"/>
                <w:sz w:val="22"/>
                <w:szCs w:val="22"/>
                <w:lang w:val="en-GB"/>
              </w:rPr>
              <w:t xml:space="preserve">moving </w:t>
            </w:r>
            <w:r w:rsidR="00307598" w:rsidRPr="00307598">
              <w:rPr>
                <w:rFonts w:ascii="Titillium" w:eastAsia="Arial Unicode MS" w:hAnsi="Titillium" w:cs="Arial"/>
                <w:sz w:val="22"/>
                <w:szCs w:val="22"/>
                <w:lang w:val="en-GB"/>
              </w:rPr>
              <w:t xml:space="preserve">through and </w:t>
            </w:r>
            <w:r w:rsidR="00A659D3">
              <w:rPr>
                <w:rFonts w:ascii="Titillium" w:eastAsia="Arial Unicode MS" w:hAnsi="Titillium" w:cs="Arial"/>
                <w:sz w:val="22"/>
                <w:szCs w:val="22"/>
                <w:lang w:val="en-GB"/>
              </w:rPr>
              <w:t xml:space="preserve">moving </w:t>
            </w:r>
            <w:r w:rsidR="00307598" w:rsidRPr="00307598">
              <w:rPr>
                <w:rFonts w:ascii="Titillium" w:eastAsia="Arial Unicode MS" w:hAnsi="Titillium" w:cs="Arial"/>
                <w:sz w:val="22"/>
                <w:szCs w:val="22"/>
                <w:lang w:val="en-GB"/>
              </w:rPr>
              <w:t>on.</w:t>
            </w:r>
          </w:p>
        </w:tc>
      </w:tr>
      <w:tr w:rsidR="006E4B4F" w:rsidRPr="00867F38" w14:paraId="7EE524DA" w14:textId="77777777" w:rsidTr="001C1EBF">
        <w:tc>
          <w:tcPr>
            <w:tcW w:w="709" w:type="dxa"/>
          </w:tcPr>
          <w:p w14:paraId="3C629D24" w14:textId="506D657D" w:rsidR="006E4B4F" w:rsidRPr="00867F38" w:rsidRDefault="006E4B4F" w:rsidP="006E4B4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2.3</w:t>
            </w:r>
          </w:p>
        </w:tc>
        <w:tc>
          <w:tcPr>
            <w:tcW w:w="13036" w:type="dxa"/>
          </w:tcPr>
          <w:p w14:paraId="2E333E2E" w14:textId="7A7C11D2" w:rsidR="006E4B4F" w:rsidRPr="00867F38" w:rsidRDefault="00794D3C" w:rsidP="00794D3C">
            <w:pPr>
              <w:spacing w:before="120" w:after="120"/>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Seek to raise funds to m</w:t>
            </w:r>
            <w:r w:rsidR="007B41CF">
              <w:rPr>
                <w:rFonts w:ascii="Titillium" w:eastAsia="Arial Unicode MS" w:hAnsi="Titillium" w:cs="Arial"/>
                <w:sz w:val="22"/>
                <w:szCs w:val="24"/>
                <w:lang w:val="en-GB" w:eastAsia="en-GB"/>
              </w:rPr>
              <w:t>inimise</w:t>
            </w:r>
            <w:r w:rsidR="006E4B4F" w:rsidRPr="00867F38">
              <w:rPr>
                <w:rFonts w:ascii="Titillium" w:eastAsia="Arial Unicode MS" w:hAnsi="Titillium" w:cs="Arial"/>
                <w:sz w:val="22"/>
                <w:szCs w:val="24"/>
                <w:lang w:val="en-GB" w:eastAsia="en-GB"/>
              </w:rPr>
              <w:t xml:space="preserve"> financial barriers</w:t>
            </w:r>
            <w:r w:rsidR="00AC343B">
              <w:rPr>
                <w:rFonts w:ascii="Titillium" w:eastAsia="Arial Unicode MS" w:hAnsi="Titillium" w:cs="Arial"/>
                <w:sz w:val="22"/>
                <w:szCs w:val="24"/>
                <w:lang w:val="en-GB" w:eastAsia="en-GB"/>
              </w:rPr>
              <w:t xml:space="preserve"> </w:t>
            </w:r>
            <w:r>
              <w:rPr>
                <w:rFonts w:ascii="Titillium" w:eastAsia="Arial Unicode MS" w:hAnsi="Titillium" w:cs="Arial"/>
                <w:sz w:val="22"/>
                <w:szCs w:val="24"/>
                <w:lang w:val="en-GB" w:eastAsia="en-GB"/>
              </w:rPr>
              <w:t xml:space="preserve">and signpost students to other sources of </w:t>
            </w:r>
            <w:r w:rsidR="002436CF">
              <w:rPr>
                <w:rFonts w:ascii="Titillium" w:eastAsia="Arial Unicode MS" w:hAnsi="Titillium" w:cs="Arial"/>
                <w:sz w:val="22"/>
                <w:szCs w:val="24"/>
                <w:lang w:val="en-GB" w:eastAsia="en-GB"/>
              </w:rPr>
              <w:t>financial</w:t>
            </w:r>
            <w:r>
              <w:rPr>
                <w:rFonts w:ascii="Titillium" w:eastAsia="Arial Unicode MS" w:hAnsi="Titillium" w:cs="Arial"/>
                <w:sz w:val="22"/>
                <w:szCs w:val="24"/>
                <w:lang w:val="en-GB" w:eastAsia="en-GB"/>
              </w:rPr>
              <w:t xml:space="preserve"> support </w:t>
            </w:r>
            <w:r w:rsidR="006E4B4F" w:rsidRPr="00867F38">
              <w:rPr>
                <w:rFonts w:ascii="Titillium" w:eastAsia="Arial Unicode MS" w:hAnsi="Titillium" w:cs="Arial"/>
                <w:sz w:val="22"/>
                <w:szCs w:val="24"/>
                <w:lang w:val="en-GB" w:eastAsia="en-GB"/>
              </w:rPr>
              <w:t xml:space="preserve">so </w:t>
            </w:r>
            <w:r w:rsidR="00F87DB2">
              <w:rPr>
                <w:rFonts w:ascii="Titillium" w:eastAsia="Arial Unicode MS" w:hAnsi="Titillium" w:cs="Arial"/>
                <w:sz w:val="22"/>
                <w:szCs w:val="24"/>
                <w:lang w:val="en-GB" w:eastAsia="en-GB"/>
              </w:rPr>
              <w:t xml:space="preserve">that </w:t>
            </w:r>
            <w:r w:rsidR="006E4B4F" w:rsidRPr="00867F38">
              <w:rPr>
                <w:rFonts w:ascii="Titillium" w:eastAsia="Arial Unicode MS" w:hAnsi="Titillium" w:cs="Arial"/>
                <w:sz w:val="22"/>
                <w:szCs w:val="24"/>
                <w:lang w:val="en-GB" w:eastAsia="en-GB"/>
              </w:rPr>
              <w:t xml:space="preserve">students are not deterred from entering, remaining </w:t>
            </w:r>
            <w:r w:rsidR="00F87DB2">
              <w:rPr>
                <w:rFonts w:ascii="Titillium" w:eastAsia="Arial Unicode MS" w:hAnsi="Titillium" w:cs="Arial"/>
                <w:sz w:val="22"/>
                <w:szCs w:val="24"/>
                <w:lang w:val="en-GB" w:eastAsia="en-GB"/>
              </w:rPr>
              <w:t xml:space="preserve">in </w:t>
            </w:r>
            <w:r w:rsidR="006E4B4F" w:rsidRPr="00867F38">
              <w:rPr>
                <w:rFonts w:ascii="Titillium" w:eastAsia="Arial Unicode MS" w:hAnsi="Titillium" w:cs="Arial"/>
                <w:sz w:val="22"/>
                <w:szCs w:val="24"/>
                <w:lang w:val="en-GB" w:eastAsia="en-GB"/>
              </w:rPr>
              <w:t>or fully engaging with University life.</w:t>
            </w:r>
          </w:p>
        </w:tc>
      </w:tr>
      <w:tr w:rsidR="006E4B4F" w:rsidRPr="00867F38" w14:paraId="4E5C51B1" w14:textId="77777777" w:rsidTr="001C1EBF">
        <w:tc>
          <w:tcPr>
            <w:tcW w:w="709" w:type="dxa"/>
          </w:tcPr>
          <w:p w14:paraId="6E732AD9" w14:textId="3B348513" w:rsidR="006E4B4F" w:rsidRPr="00867F38" w:rsidRDefault="006E4B4F" w:rsidP="006E4B4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2.4</w:t>
            </w:r>
          </w:p>
        </w:tc>
        <w:tc>
          <w:tcPr>
            <w:tcW w:w="13036" w:type="dxa"/>
          </w:tcPr>
          <w:p w14:paraId="533FB700" w14:textId="3A1E6170" w:rsidR="006E4B4F" w:rsidRPr="00867F38" w:rsidRDefault="006E4B4F" w:rsidP="00867F38">
            <w:pPr>
              <w:spacing w:before="120" w:after="12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Implement a nationally recognised model of best practice, </w:t>
            </w:r>
            <w:r w:rsidR="00867F38">
              <w:rPr>
                <w:rFonts w:ascii="Titillium" w:eastAsia="Arial Unicode MS" w:hAnsi="Titillium" w:cs="Arial"/>
                <w:sz w:val="22"/>
                <w:szCs w:val="24"/>
                <w:lang w:val="en-GB" w:eastAsia="en-GB"/>
              </w:rPr>
              <w:t xml:space="preserve">incorporating </w:t>
            </w:r>
            <w:r w:rsidRPr="00867F38">
              <w:rPr>
                <w:rFonts w:ascii="Titillium" w:eastAsia="Arial Unicode MS" w:hAnsi="Titillium" w:cs="Arial"/>
                <w:sz w:val="22"/>
                <w:szCs w:val="24"/>
                <w:lang w:val="en-GB" w:eastAsia="en-GB"/>
              </w:rPr>
              <w:t>transition activities</w:t>
            </w:r>
            <w:r w:rsidR="00867F38">
              <w:rPr>
                <w:rFonts w:ascii="Titillium" w:eastAsia="Arial Unicode MS" w:hAnsi="Titillium" w:cs="Arial"/>
                <w:sz w:val="22"/>
                <w:szCs w:val="24"/>
                <w:lang w:val="en-GB" w:eastAsia="en-GB"/>
              </w:rPr>
              <w:t xml:space="preserve"> across the whole journey</w:t>
            </w:r>
            <w:r w:rsidRPr="00867F38">
              <w:rPr>
                <w:rFonts w:ascii="Titillium" w:eastAsia="Arial Unicode MS" w:hAnsi="Titillium" w:cs="Arial"/>
                <w:sz w:val="22"/>
                <w:szCs w:val="24"/>
                <w:lang w:val="en-GB" w:eastAsia="en-GB"/>
              </w:rPr>
              <w:t xml:space="preserve"> for all widening participation students, focussing on academic attainment, progression to Honours and post-graduate study</w:t>
            </w:r>
            <w:r w:rsidR="00867F38">
              <w:rPr>
                <w:rFonts w:ascii="Titillium" w:eastAsia="Arial Unicode MS" w:hAnsi="Titillium" w:cs="Arial"/>
                <w:sz w:val="22"/>
                <w:szCs w:val="24"/>
                <w:lang w:val="en-GB" w:eastAsia="en-GB"/>
              </w:rPr>
              <w:t>,</w:t>
            </w:r>
            <w:r w:rsidRPr="00867F38">
              <w:rPr>
                <w:rFonts w:ascii="Titillium" w:eastAsia="Arial Unicode MS" w:hAnsi="Titillium" w:cs="Arial"/>
                <w:sz w:val="22"/>
                <w:szCs w:val="24"/>
                <w:lang w:val="en-GB" w:eastAsia="en-GB"/>
              </w:rPr>
              <w:t xml:space="preserve"> and employability.</w:t>
            </w:r>
          </w:p>
        </w:tc>
      </w:tr>
      <w:tr w:rsidR="006E4B4F" w:rsidRPr="00867F38" w14:paraId="178529CC" w14:textId="77777777" w:rsidTr="001C1EBF">
        <w:tc>
          <w:tcPr>
            <w:tcW w:w="709" w:type="dxa"/>
          </w:tcPr>
          <w:p w14:paraId="76F2B348" w14:textId="43658E4C" w:rsidR="006E4B4F" w:rsidRPr="00867F38" w:rsidRDefault="006E4B4F" w:rsidP="006E4B4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lastRenderedPageBreak/>
              <w:t>2.5</w:t>
            </w:r>
          </w:p>
        </w:tc>
        <w:tc>
          <w:tcPr>
            <w:tcW w:w="13036" w:type="dxa"/>
          </w:tcPr>
          <w:p w14:paraId="57D4BDE0" w14:textId="29F50A97" w:rsidR="006E4B4F" w:rsidRPr="00867F38" w:rsidRDefault="00890B62" w:rsidP="002C0000">
            <w:pPr>
              <w:spacing w:before="120" w:after="120"/>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Implement</w:t>
            </w:r>
            <w:r w:rsidR="006E4B4F" w:rsidRPr="00867F38">
              <w:rPr>
                <w:rFonts w:ascii="Titillium" w:eastAsia="Arial Unicode MS" w:hAnsi="Titillium" w:cs="Arial"/>
                <w:sz w:val="22"/>
                <w:szCs w:val="24"/>
                <w:lang w:val="en-GB" w:eastAsia="en-GB"/>
              </w:rPr>
              <w:t xml:space="preserve"> academic </w:t>
            </w:r>
            <w:r w:rsidR="00867F38">
              <w:rPr>
                <w:rFonts w:ascii="Titillium" w:eastAsia="Arial Unicode MS" w:hAnsi="Titillium" w:cs="Arial"/>
                <w:sz w:val="22"/>
                <w:szCs w:val="24"/>
                <w:lang w:val="en-GB" w:eastAsia="en-GB"/>
              </w:rPr>
              <w:t xml:space="preserve">development, personal development </w:t>
            </w:r>
            <w:r w:rsidR="006E4B4F" w:rsidRPr="00867F38">
              <w:rPr>
                <w:rFonts w:ascii="Titillium" w:eastAsia="Arial Unicode MS" w:hAnsi="Titillium" w:cs="Arial"/>
                <w:sz w:val="22"/>
                <w:szCs w:val="24"/>
                <w:lang w:val="en-GB" w:eastAsia="en-GB"/>
              </w:rPr>
              <w:t>and employability programmes that attract</w:t>
            </w:r>
            <w:r w:rsidR="002C0000" w:rsidRPr="00867F38">
              <w:rPr>
                <w:rFonts w:ascii="Titillium" w:eastAsia="Arial Unicode MS" w:hAnsi="Titillium" w:cs="Arial"/>
                <w:sz w:val="22"/>
                <w:szCs w:val="24"/>
                <w:lang w:val="en-GB" w:eastAsia="en-GB"/>
              </w:rPr>
              <w:t xml:space="preserve"> under-represented groups</w:t>
            </w:r>
            <w:r w:rsidR="006E4B4F" w:rsidRPr="00867F38">
              <w:rPr>
                <w:rFonts w:ascii="Titillium" w:eastAsia="Arial Unicode MS" w:hAnsi="Titillium" w:cs="Arial"/>
                <w:sz w:val="22"/>
                <w:szCs w:val="24"/>
                <w:lang w:val="en-GB" w:eastAsia="en-GB"/>
              </w:rPr>
              <w:t>, recognis</w:t>
            </w:r>
            <w:r w:rsidR="002C0000">
              <w:rPr>
                <w:rFonts w:ascii="Titillium" w:eastAsia="Arial Unicode MS" w:hAnsi="Titillium" w:cs="Arial"/>
                <w:sz w:val="22"/>
                <w:szCs w:val="24"/>
                <w:lang w:val="en-GB" w:eastAsia="en-GB"/>
              </w:rPr>
              <w:t>ing</w:t>
            </w:r>
            <w:r w:rsidR="006E4B4F" w:rsidRPr="00867F38">
              <w:rPr>
                <w:rFonts w:ascii="Titillium" w:eastAsia="Arial Unicode MS" w:hAnsi="Titillium" w:cs="Arial"/>
                <w:sz w:val="22"/>
                <w:szCs w:val="24"/>
                <w:lang w:val="en-GB" w:eastAsia="en-GB"/>
              </w:rPr>
              <w:t xml:space="preserve"> the</w:t>
            </w:r>
            <w:r w:rsidR="002C0000">
              <w:rPr>
                <w:rFonts w:ascii="Titillium" w:eastAsia="Arial Unicode MS" w:hAnsi="Titillium" w:cs="Arial"/>
                <w:sz w:val="22"/>
                <w:szCs w:val="24"/>
                <w:lang w:val="en-GB" w:eastAsia="en-GB"/>
              </w:rPr>
              <w:t>ir</w:t>
            </w:r>
            <w:r w:rsidR="006E4B4F" w:rsidRPr="00867F38">
              <w:rPr>
                <w:rFonts w:ascii="Titillium" w:eastAsia="Arial Unicode MS" w:hAnsi="Titillium" w:cs="Arial"/>
                <w:sz w:val="22"/>
                <w:szCs w:val="24"/>
                <w:lang w:val="en-GB" w:eastAsia="en-GB"/>
              </w:rPr>
              <w:t xml:space="preserve"> needs </w:t>
            </w:r>
            <w:r w:rsidR="002C0000">
              <w:rPr>
                <w:rFonts w:ascii="Titillium" w:eastAsia="Arial Unicode MS" w:hAnsi="Titillium" w:cs="Arial"/>
                <w:sz w:val="22"/>
                <w:szCs w:val="24"/>
                <w:lang w:val="en-GB" w:eastAsia="en-GB"/>
              </w:rPr>
              <w:t>and improving</w:t>
            </w:r>
            <w:r w:rsidR="006E4B4F" w:rsidRPr="00867F38">
              <w:rPr>
                <w:rFonts w:ascii="Titillium" w:eastAsia="Arial Unicode MS" w:hAnsi="Titillium" w:cs="Arial"/>
                <w:sz w:val="22"/>
                <w:szCs w:val="24"/>
                <w:lang w:val="en-GB" w:eastAsia="en-GB"/>
              </w:rPr>
              <w:t xml:space="preserve"> the</w:t>
            </w:r>
            <w:r w:rsidR="002C0000">
              <w:rPr>
                <w:rFonts w:ascii="Titillium" w:eastAsia="Arial Unicode MS" w:hAnsi="Titillium" w:cs="Arial"/>
                <w:sz w:val="22"/>
                <w:szCs w:val="24"/>
                <w:lang w:val="en-GB" w:eastAsia="en-GB"/>
              </w:rPr>
              <w:t>ir employability outcomes</w:t>
            </w:r>
            <w:r w:rsidR="006E4B4F" w:rsidRPr="00867F38">
              <w:rPr>
                <w:rFonts w:ascii="Titillium" w:eastAsia="Arial Unicode MS" w:hAnsi="Titillium" w:cs="Arial"/>
                <w:sz w:val="22"/>
                <w:szCs w:val="24"/>
                <w:lang w:val="en-GB" w:eastAsia="en-GB"/>
              </w:rPr>
              <w:t xml:space="preserve"> </w:t>
            </w:r>
          </w:p>
        </w:tc>
      </w:tr>
    </w:tbl>
    <w:p w14:paraId="37C3BD9A" w14:textId="3DD7DB29" w:rsidR="00330CA9" w:rsidRPr="00867F38" w:rsidRDefault="00960000" w:rsidP="00330CA9">
      <w:pPr>
        <w:spacing w:after="120"/>
        <w:jc w:val="both"/>
        <w:rPr>
          <w:rFonts w:ascii="Titillium" w:eastAsia="Arial Unicode MS" w:hAnsi="Titillium" w:cs="Arial"/>
          <w:b/>
          <w:bCs/>
          <w:color w:val="003366"/>
          <w:szCs w:val="24"/>
          <w:lang w:val="en-GB" w:eastAsia="en-GB"/>
        </w:rPr>
      </w:pPr>
      <w:r>
        <w:rPr>
          <w:rFonts w:ascii="Titillium" w:eastAsia="Times New Roman" w:hAnsi="Titillium" w:cs="Arial"/>
          <w:b/>
          <w:bCs/>
          <w:color w:val="000080"/>
          <w:szCs w:val="24"/>
          <w:lang w:val="en-GB" w:eastAsia="en-GB"/>
        </w:rPr>
        <w:pict w14:anchorId="0D923A6B">
          <v:rect id="_x0000_i1033" style="width:0;height:1.5pt" o:hralign="center" o:hrstd="t" o:hr="t" fillcolor="#aca899" stroked="f"/>
        </w:pict>
      </w:r>
    </w:p>
    <w:p w14:paraId="6B4D80E7" w14:textId="77777777" w:rsidR="00330CA9" w:rsidRPr="00867F38" w:rsidRDefault="00330CA9" w:rsidP="00330CA9">
      <w:pPr>
        <w:spacing w:before="24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b/>
          <w:bCs/>
          <w:color w:val="003366"/>
          <w:szCs w:val="24"/>
          <w:lang w:val="en-GB" w:eastAsia="en-GB"/>
        </w:rPr>
        <w:t>Success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26"/>
        <w:gridCol w:w="2126"/>
        <w:gridCol w:w="4820"/>
      </w:tblGrid>
      <w:tr w:rsidR="00330CA9" w:rsidRPr="00867F38" w14:paraId="267E8FD1" w14:textId="77777777" w:rsidTr="001C1EBF">
        <w:trPr>
          <w:cantSplit/>
        </w:trPr>
        <w:tc>
          <w:tcPr>
            <w:tcW w:w="4815" w:type="dxa"/>
          </w:tcPr>
          <w:p w14:paraId="17571475" w14:textId="77777777" w:rsidR="00330CA9" w:rsidRPr="00867F38" w:rsidRDefault="00330CA9" w:rsidP="001C1EBF">
            <w:pPr>
              <w:spacing w:before="120" w:after="120"/>
              <w:jc w:val="both"/>
              <w:rPr>
                <w:rFonts w:ascii="Titillium" w:eastAsia="Times New Roman" w:hAnsi="Titillium" w:cs="Arial"/>
                <w:b/>
                <w:sz w:val="22"/>
                <w:szCs w:val="22"/>
                <w:lang w:val="en-GB"/>
              </w:rPr>
            </w:pPr>
            <w:r w:rsidRPr="00867F38">
              <w:rPr>
                <w:rFonts w:ascii="Titillium" w:eastAsia="Times New Roman" w:hAnsi="Titillium" w:cs="Arial"/>
                <w:b/>
                <w:color w:val="003366"/>
                <w:sz w:val="22"/>
                <w:szCs w:val="22"/>
                <w:lang w:val="en-GB"/>
              </w:rPr>
              <w:t>Indicators of Success</w:t>
            </w:r>
          </w:p>
        </w:tc>
        <w:tc>
          <w:tcPr>
            <w:tcW w:w="2126" w:type="dxa"/>
          </w:tcPr>
          <w:p w14:paraId="02B88DC5" w14:textId="77777777" w:rsidR="00330CA9" w:rsidRPr="00867F38" w:rsidRDefault="00330CA9" w:rsidP="001C1EBF">
            <w:pPr>
              <w:spacing w:before="120" w:after="120"/>
              <w:jc w:val="both"/>
              <w:rPr>
                <w:rFonts w:ascii="Titillium" w:eastAsia="Times New Roman" w:hAnsi="Titillium" w:cs="Arial"/>
                <w:sz w:val="22"/>
                <w:szCs w:val="22"/>
                <w:lang w:val="en-GB"/>
              </w:rPr>
            </w:pPr>
            <w:r w:rsidRPr="00867F38">
              <w:rPr>
                <w:rFonts w:ascii="Titillium" w:eastAsia="Times New Roman" w:hAnsi="Titillium" w:cs="Arial"/>
                <w:b/>
                <w:bCs/>
                <w:color w:val="003366"/>
                <w:sz w:val="22"/>
                <w:szCs w:val="22"/>
                <w:lang w:val="en-GB"/>
              </w:rPr>
              <w:t>Baseline (&lt;Year&gt;)</w:t>
            </w:r>
          </w:p>
        </w:tc>
        <w:tc>
          <w:tcPr>
            <w:tcW w:w="2126" w:type="dxa"/>
          </w:tcPr>
          <w:p w14:paraId="7D237A0E" w14:textId="77777777" w:rsidR="00330CA9" w:rsidRPr="00867F38" w:rsidRDefault="00330CA9" w:rsidP="001C1EBF">
            <w:pPr>
              <w:spacing w:before="120" w:after="120"/>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Target (&lt;2020&gt;)</w:t>
            </w:r>
          </w:p>
        </w:tc>
        <w:tc>
          <w:tcPr>
            <w:tcW w:w="4820" w:type="dxa"/>
          </w:tcPr>
          <w:p w14:paraId="550E73D5" w14:textId="77777777" w:rsidR="00330CA9" w:rsidRPr="00867F38" w:rsidRDefault="00330CA9" w:rsidP="001C1EBF">
            <w:pPr>
              <w:spacing w:before="120" w:after="120"/>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Comments</w:t>
            </w:r>
          </w:p>
        </w:tc>
      </w:tr>
      <w:tr w:rsidR="00D9103B" w:rsidRPr="00867F38" w14:paraId="500F294E" w14:textId="77777777" w:rsidTr="001C1EBF">
        <w:trPr>
          <w:cantSplit/>
        </w:trPr>
        <w:tc>
          <w:tcPr>
            <w:tcW w:w="4815" w:type="dxa"/>
          </w:tcPr>
          <w:p w14:paraId="3F22CB28" w14:textId="40E42F5C" w:rsidR="00D9103B" w:rsidRPr="00867F38" w:rsidRDefault="00D9103B" w:rsidP="001A4EC3">
            <w:pPr>
              <w:spacing w:before="120" w:after="120"/>
              <w:rPr>
                <w:rFonts w:ascii="Titillium" w:eastAsia="Times New Roman" w:hAnsi="Titillium" w:cs="Arial"/>
                <w:sz w:val="22"/>
                <w:szCs w:val="22"/>
                <w:lang w:val="en-GB"/>
              </w:rPr>
            </w:pPr>
            <w:r w:rsidRPr="00867F38">
              <w:rPr>
                <w:rFonts w:ascii="Titillium" w:eastAsia="Times New Roman" w:hAnsi="Titillium" w:cs="Arial"/>
                <w:sz w:val="22"/>
                <w:szCs w:val="22"/>
                <w:lang w:val="en-GB"/>
              </w:rPr>
              <w:t xml:space="preserve">% FT UG Scottish domiciled entrants who continue or qualify following the year of entry: </w:t>
            </w:r>
            <w:r w:rsidR="003900AE">
              <w:rPr>
                <w:rFonts w:ascii="Titillium" w:eastAsia="Times New Roman" w:hAnsi="Titillium" w:cs="Arial"/>
                <w:sz w:val="22"/>
                <w:szCs w:val="22"/>
                <w:lang w:val="en-GB"/>
              </w:rPr>
              <w:t>SI</w:t>
            </w:r>
            <w:r w:rsidRPr="00867F38">
              <w:rPr>
                <w:rFonts w:ascii="Titillium" w:eastAsia="Times New Roman" w:hAnsi="Titillium" w:cs="Arial"/>
                <w:sz w:val="22"/>
                <w:szCs w:val="22"/>
                <w:lang w:val="en-GB"/>
              </w:rPr>
              <w:t xml:space="preserve">MD20 </w:t>
            </w:r>
          </w:p>
        </w:tc>
        <w:tc>
          <w:tcPr>
            <w:tcW w:w="2126" w:type="dxa"/>
          </w:tcPr>
          <w:p w14:paraId="34D88BD5" w14:textId="07474138" w:rsidR="00D9103B" w:rsidRPr="00867F38" w:rsidRDefault="00D9103B" w:rsidP="00613536">
            <w:pPr>
              <w:spacing w:before="120" w:after="120"/>
              <w:jc w:val="both"/>
              <w:rPr>
                <w:rFonts w:ascii="Titillium" w:eastAsia="Times New Roman" w:hAnsi="Titillium" w:cs="Arial"/>
                <w:sz w:val="22"/>
                <w:szCs w:val="22"/>
                <w:lang w:val="en-GB"/>
              </w:rPr>
            </w:pPr>
            <w:r w:rsidRPr="00867F38">
              <w:rPr>
                <w:rFonts w:ascii="Titillium" w:eastAsia="Times New Roman" w:hAnsi="Titillium" w:cs="Arial"/>
                <w:sz w:val="22"/>
                <w:szCs w:val="22"/>
                <w:lang w:val="en-GB"/>
              </w:rPr>
              <w:t>8</w:t>
            </w:r>
            <w:r w:rsidR="00613536">
              <w:rPr>
                <w:rFonts w:ascii="Titillium" w:eastAsia="Times New Roman" w:hAnsi="Titillium" w:cs="Arial"/>
                <w:sz w:val="22"/>
                <w:szCs w:val="22"/>
                <w:lang w:val="en-GB"/>
              </w:rPr>
              <w:t>4</w:t>
            </w:r>
            <w:r w:rsidRPr="00867F38">
              <w:rPr>
                <w:rFonts w:ascii="Titillium" w:eastAsia="Times New Roman" w:hAnsi="Titillium" w:cs="Arial"/>
                <w:sz w:val="22"/>
                <w:szCs w:val="22"/>
                <w:lang w:val="en-GB"/>
              </w:rPr>
              <w:t>% (201</w:t>
            </w:r>
            <w:r w:rsidR="00613536">
              <w:rPr>
                <w:rFonts w:ascii="Titillium" w:eastAsia="Times New Roman" w:hAnsi="Titillium" w:cs="Arial"/>
                <w:sz w:val="22"/>
                <w:szCs w:val="22"/>
                <w:lang w:val="en-GB"/>
              </w:rPr>
              <w:t>5</w:t>
            </w:r>
            <w:r w:rsidRPr="00867F38">
              <w:rPr>
                <w:rFonts w:ascii="Titillium" w:eastAsia="Times New Roman" w:hAnsi="Titillium" w:cs="Arial"/>
                <w:sz w:val="22"/>
                <w:szCs w:val="22"/>
                <w:lang w:val="en-GB"/>
              </w:rPr>
              <w:t>/1</w:t>
            </w:r>
            <w:r w:rsidR="00613536">
              <w:rPr>
                <w:rFonts w:ascii="Titillium" w:eastAsia="Times New Roman" w:hAnsi="Titillium" w:cs="Arial"/>
                <w:sz w:val="22"/>
                <w:szCs w:val="22"/>
                <w:lang w:val="en-GB"/>
              </w:rPr>
              <w:t>6</w:t>
            </w:r>
            <w:r w:rsidRPr="00867F38">
              <w:rPr>
                <w:rFonts w:ascii="Titillium" w:eastAsia="Times New Roman" w:hAnsi="Titillium" w:cs="Arial"/>
                <w:sz w:val="22"/>
                <w:szCs w:val="22"/>
                <w:lang w:val="en-GB"/>
              </w:rPr>
              <w:t>)</w:t>
            </w:r>
          </w:p>
        </w:tc>
        <w:tc>
          <w:tcPr>
            <w:tcW w:w="2126" w:type="dxa"/>
          </w:tcPr>
          <w:p w14:paraId="72793D19" w14:textId="25648DF3" w:rsidR="006E7BFC" w:rsidRPr="00867F38" w:rsidRDefault="00B0454A" w:rsidP="00EB7980">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90%</w:t>
            </w:r>
          </w:p>
        </w:tc>
        <w:tc>
          <w:tcPr>
            <w:tcW w:w="4820" w:type="dxa"/>
          </w:tcPr>
          <w:p w14:paraId="3029D64E" w14:textId="5C34FAD3" w:rsidR="00D9103B" w:rsidRPr="00867F38" w:rsidRDefault="00D9103B" w:rsidP="001C1EBF">
            <w:pPr>
              <w:spacing w:before="120" w:after="120"/>
              <w:jc w:val="both"/>
              <w:rPr>
                <w:rFonts w:ascii="Titillium" w:eastAsia="Times New Roman" w:hAnsi="Titillium" w:cs="Arial"/>
                <w:sz w:val="22"/>
                <w:szCs w:val="22"/>
                <w:lang w:val="en-GB"/>
              </w:rPr>
            </w:pPr>
          </w:p>
        </w:tc>
      </w:tr>
      <w:tr w:rsidR="00D9103B" w:rsidRPr="00867F38" w14:paraId="03E93CF2" w14:textId="77777777" w:rsidTr="001C1EBF">
        <w:trPr>
          <w:cantSplit/>
        </w:trPr>
        <w:tc>
          <w:tcPr>
            <w:tcW w:w="4815" w:type="dxa"/>
          </w:tcPr>
          <w:p w14:paraId="7F55E6BB" w14:textId="1DA6624B" w:rsidR="00D9103B" w:rsidRPr="00867F38" w:rsidRDefault="00354303" w:rsidP="001A4EC3">
            <w:pPr>
              <w:spacing w:before="120" w:after="120"/>
              <w:rPr>
                <w:rFonts w:ascii="Titillium" w:eastAsia="Times New Roman" w:hAnsi="Titillium" w:cs="Arial"/>
                <w:sz w:val="22"/>
                <w:szCs w:val="22"/>
                <w:lang w:val="en-GB"/>
              </w:rPr>
            </w:pPr>
            <w:r w:rsidRPr="00867F38">
              <w:rPr>
                <w:rFonts w:ascii="Titillium" w:eastAsia="Times New Roman" w:hAnsi="Titillium" w:cs="Arial"/>
                <w:sz w:val="22"/>
                <w:szCs w:val="22"/>
                <w:lang w:val="en-GB"/>
              </w:rPr>
              <w:t xml:space="preserve">Proportion of </w:t>
            </w:r>
            <w:r w:rsidR="00F4637B">
              <w:rPr>
                <w:rFonts w:ascii="Titillium" w:eastAsia="Times New Roman" w:hAnsi="Titillium" w:cs="Arial"/>
                <w:sz w:val="22"/>
                <w:szCs w:val="22"/>
                <w:lang w:val="en-GB"/>
              </w:rPr>
              <w:t>widening participation</w:t>
            </w:r>
            <w:r w:rsidRPr="00867F38">
              <w:rPr>
                <w:rFonts w:ascii="Titillium" w:eastAsia="Times New Roman" w:hAnsi="Titillium" w:cs="Arial"/>
                <w:sz w:val="22"/>
                <w:szCs w:val="22"/>
                <w:lang w:val="en-GB"/>
              </w:rPr>
              <w:t xml:space="preserve"> students entering graduate empl</w:t>
            </w:r>
            <w:r w:rsidR="00613536">
              <w:rPr>
                <w:rFonts w:ascii="Titillium" w:eastAsia="Times New Roman" w:hAnsi="Titillium" w:cs="Arial"/>
                <w:sz w:val="22"/>
                <w:szCs w:val="22"/>
                <w:lang w:val="en-GB"/>
              </w:rPr>
              <w:t>o</w:t>
            </w:r>
            <w:r w:rsidRPr="00867F38">
              <w:rPr>
                <w:rFonts w:ascii="Titillium" w:eastAsia="Times New Roman" w:hAnsi="Titillium" w:cs="Arial"/>
                <w:sz w:val="22"/>
                <w:szCs w:val="22"/>
                <w:lang w:val="en-GB"/>
              </w:rPr>
              <w:t>y</w:t>
            </w:r>
            <w:r w:rsidR="00EB7980">
              <w:rPr>
                <w:rFonts w:ascii="Titillium" w:eastAsia="Times New Roman" w:hAnsi="Titillium" w:cs="Arial"/>
                <w:sz w:val="22"/>
                <w:szCs w:val="22"/>
                <w:lang w:val="en-GB"/>
              </w:rPr>
              <w:t>ment</w:t>
            </w:r>
          </w:p>
        </w:tc>
        <w:tc>
          <w:tcPr>
            <w:tcW w:w="2126" w:type="dxa"/>
          </w:tcPr>
          <w:p w14:paraId="1D819E07" w14:textId="753F430C" w:rsidR="00D9103B" w:rsidRPr="00867F38" w:rsidRDefault="001A4EC3" w:rsidP="001A4EC3">
            <w:pPr>
              <w:spacing w:before="120" w:after="120"/>
              <w:rPr>
                <w:rFonts w:ascii="Titillium" w:eastAsia="Times New Roman" w:hAnsi="Titillium" w:cs="Arial"/>
                <w:sz w:val="22"/>
                <w:szCs w:val="22"/>
                <w:lang w:val="en-GB"/>
              </w:rPr>
            </w:pPr>
            <w:r>
              <w:rPr>
                <w:rFonts w:ascii="Titillium" w:eastAsia="Times New Roman" w:hAnsi="Titillium" w:cs="Arial"/>
                <w:sz w:val="22"/>
                <w:szCs w:val="22"/>
                <w:lang w:val="en-GB"/>
              </w:rPr>
              <w:t>Not currently available</w:t>
            </w:r>
          </w:p>
        </w:tc>
        <w:tc>
          <w:tcPr>
            <w:tcW w:w="2126" w:type="dxa"/>
          </w:tcPr>
          <w:p w14:paraId="10984365" w14:textId="672EF498" w:rsidR="00D9103B" w:rsidRPr="00867F38" w:rsidRDefault="00B0454A" w:rsidP="00B0454A">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80</w:t>
            </w:r>
            <w:r w:rsidR="00E70DC4">
              <w:rPr>
                <w:rFonts w:ascii="Titillium" w:eastAsia="Times New Roman" w:hAnsi="Titillium" w:cs="Arial"/>
                <w:sz w:val="22"/>
                <w:szCs w:val="22"/>
                <w:lang w:val="en-GB"/>
              </w:rPr>
              <w:t>%</w:t>
            </w:r>
          </w:p>
        </w:tc>
        <w:tc>
          <w:tcPr>
            <w:tcW w:w="4820" w:type="dxa"/>
          </w:tcPr>
          <w:p w14:paraId="3C5E2CCB" w14:textId="2CA32DA5" w:rsidR="00D9103B" w:rsidRPr="00867F38" w:rsidRDefault="005D7C8B" w:rsidP="00E70DC4">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Need to develop method to measure and track this figure from DLHE statistics</w:t>
            </w:r>
            <w:r w:rsidR="00E70DC4">
              <w:rPr>
                <w:rFonts w:ascii="Titillium" w:eastAsia="Times New Roman" w:hAnsi="Titillium" w:cs="Arial"/>
                <w:sz w:val="22"/>
                <w:szCs w:val="22"/>
                <w:lang w:val="en-GB"/>
              </w:rPr>
              <w:t>.  Overall target is to match general student population.</w:t>
            </w:r>
          </w:p>
        </w:tc>
      </w:tr>
      <w:tr w:rsidR="00613536" w:rsidRPr="00867F38" w14:paraId="3874DF45" w14:textId="77777777" w:rsidTr="001C1EBF">
        <w:trPr>
          <w:cantSplit/>
        </w:trPr>
        <w:tc>
          <w:tcPr>
            <w:tcW w:w="4815" w:type="dxa"/>
          </w:tcPr>
          <w:p w14:paraId="32EBA1A8" w14:textId="5BACDE76" w:rsidR="00613536" w:rsidRPr="00317ABA" w:rsidRDefault="00613536" w:rsidP="00317ABA">
            <w:pPr>
              <w:spacing w:before="120" w:after="120"/>
              <w:jc w:val="both"/>
              <w:rPr>
                <w:rFonts w:ascii="Titillium" w:eastAsia="Times New Roman" w:hAnsi="Titillium" w:cs="Arial"/>
                <w:sz w:val="22"/>
                <w:szCs w:val="22"/>
                <w:lang w:val="en-GB"/>
              </w:rPr>
            </w:pPr>
            <w:r w:rsidRPr="00317ABA">
              <w:rPr>
                <w:rFonts w:ascii="Titillium" w:eastAsia="Times New Roman" w:hAnsi="Titillium" w:cs="Arial"/>
                <w:sz w:val="22"/>
                <w:szCs w:val="22"/>
                <w:lang w:val="en-GB"/>
              </w:rPr>
              <w:t xml:space="preserve">Engagement of </w:t>
            </w:r>
            <w:r w:rsidR="00317ABA">
              <w:rPr>
                <w:rFonts w:ascii="Titillium" w:eastAsia="Times New Roman" w:hAnsi="Titillium" w:cs="Arial"/>
                <w:sz w:val="22"/>
                <w:szCs w:val="22"/>
                <w:lang w:val="en-GB"/>
              </w:rPr>
              <w:t>widening participation</w:t>
            </w:r>
            <w:r w:rsidRPr="00317ABA">
              <w:rPr>
                <w:rFonts w:ascii="Titillium" w:eastAsia="Times New Roman" w:hAnsi="Titillium" w:cs="Arial"/>
                <w:sz w:val="22"/>
                <w:szCs w:val="22"/>
                <w:lang w:val="en-GB"/>
              </w:rPr>
              <w:t xml:space="preserve"> students in employability/mobility opportunities</w:t>
            </w:r>
          </w:p>
        </w:tc>
        <w:tc>
          <w:tcPr>
            <w:tcW w:w="2126" w:type="dxa"/>
          </w:tcPr>
          <w:p w14:paraId="471B0815" w14:textId="77777777" w:rsidR="00613536" w:rsidRDefault="001A4EC3" w:rsidP="001A4EC3">
            <w:pPr>
              <w:spacing w:before="120" w:after="120"/>
              <w:rPr>
                <w:rFonts w:ascii="Titillium" w:eastAsia="Times New Roman" w:hAnsi="Titillium" w:cs="Arial"/>
                <w:sz w:val="22"/>
                <w:szCs w:val="22"/>
                <w:lang w:val="en-GB"/>
              </w:rPr>
            </w:pPr>
            <w:r>
              <w:rPr>
                <w:rFonts w:ascii="Titillium" w:eastAsia="Times New Roman" w:hAnsi="Titillium" w:cs="Arial"/>
                <w:sz w:val="22"/>
                <w:szCs w:val="22"/>
                <w:lang w:val="en-GB"/>
              </w:rPr>
              <w:t>Not currently available</w:t>
            </w:r>
          </w:p>
          <w:p w14:paraId="14A586F2" w14:textId="47203B76" w:rsidR="00085CF6" w:rsidRPr="00867F38" w:rsidRDefault="00085CF6" w:rsidP="001A4EC3">
            <w:pPr>
              <w:spacing w:before="120" w:after="120"/>
              <w:rPr>
                <w:rFonts w:ascii="Titillium" w:eastAsia="Times New Roman" w:hAnsi="Titillium" w:cs="Arial"/>
                <w:sz w:val="22"/>
                <w:szCs w:val="22"/>
                <w:lang w:val="en-GB"/>
              </w:rPr>
            </w:pPr>
          </w:p>
        </w:tc>
        <w:tc>
          <w:tcPr>
            <w:tcW w:w="2126" w:type="dxa"/>
          </w:tcPr>
          <w:p w14:paraId="2D36AE62" w14:textId="0F6A5818" w:rsidR="00085CF6" w:rsidRPr="00867F38" w:rsidRDefault="00317ABA" w:rsidP="00B0454A">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Mirror Edinburgh Napier student population</w:t>
            </w:r>
          </w:p>
        </w:tc>
        <w:tc>
          <w:tcPr>
            <w:tcW w:w="4820" w:type="dxa"/>
          </w:tcPr>
          <w:p w14:paraId="25CCAF7C" w14:textId="75B4F083" w:rsidR="00613536" w:rsidRPr="00867F38" w:rsidRDefault="00613536" w:rsidP="00317ABA">
            <w:pPr>
              <w:spacing w:before="120" w:after="120"/>
              <w:jc w:val="both"/>
              <w:rPr>
                <w:rFonts w:ascii="Titillium" w:eastAsia="Times New Roman" w:hAnsi="Titillium" w:cs="Arial"/>
                <w:sz w:val="22"/>
                <w:szCs w:val="22"/>
                <w:lang w:val="en-GB"/>
              </w:rPr>
            </w:pPr>
          </w:p>
        </w:tc>
      </w:tr>
    </w:tbl>
    <w:p w14:paraId="467D6CB5" w14:textId="556E0321" w:rsidR="00330CA9" w:rsidRPr="00867F38" w:rsidRDefault="00330CA9" w:rsidP="00330CA9">
      <w:pPr>
        <w:spacing w:before="240" w:after="240"/>
        <w:jc w:val="both"/>
        <w:rPr>
          <w:rFonts w:ascii="Titillium" w:eastAsia="Times New Roman" w:hAnsi="Titillium" w:cs="Arial"/>
          <w:i/>
          <w:iCs/>
          <w:color w:val="C00000"/>
          <w:sz w:val="22"/>
          <w:szCs w:val="24"/>
          <w:lang w:val="en-GB" w:eastAsia="en-GB"/>
        </w:rPr>
        <w:sectPr w:rsidR="00330CA9" w:rsidRPr="00867F38" w:rsidSect="00325155">
          <w:pgSz w:w="16838" w:h="11906" w:orient="landscape"/>
          <w:pgMar w:top="1440" w:right="1080" w:bottom="1440" w:left="1080" w:header="708" w:footer="708" w:gutter="0"/>
          <w:cols w:space="708"/>
          <w:docGrid w:linePitch="360"/>
        </w:sectPr>
      </w:pPr>
    </w:p>
    <w:p w14:paraId="6C959CBC" w14:textId="1DDE8F72" w:rsidR="00330CA9" w:rsidRPr="00867F38" w:rsidRDefault="00330CA9" w:rsidP="00330CA9">
      <w:pPr>
        <w:spacing w:before="120" w:after="160" w:line="259" w:lineRule="auto"/>
        <w:jc w:val="both"/>
        <w:rPr>
          <w:rFonts w:ascii="Titillium" w:eastAsia="Arial Unicode MS" w:hAnsi="Titillium" w:cs="Arial"/>
          <w:b/>
          <w:bCs/>
          <w:color w:val="003366"/>
          <w:sz w:val="28"/>
          <w:szCs w:val="28"/>
          <w:lang w:val="en-GB" w:eastAsia="en-GB"/>
        </w:rPr>
      </w:pPr>
      <w:r w:rsidRPr="00867F38">
        <w:rPr>
          <w:rFonts w:ascii="Titillium" w:eastAsia="Arial Unicode MS" w:hAnsi="Titillium" w:cs="Arial"/>
          <w:b/>
          <w:bCs/>
          <w:color w:val="003366"/>
          <w:sz w:val="28"/>
          <w:szCs w:val="28"/>
          <w:lang w:val="en-GB" w:eastAsia="en-GB"/>
        </w:rPr>
        <w:lastRenderedPageBreak/>
        <w:t>3. Embed reporting and evaluative practices to ensure an evidence</w:t>
      </w:r>
      <w:r w:rsidR="006A5B49">
        <w:rPr>
          <w:rFonts w:ascii="Titillium" w:eastAsia="Arial Unicode MS" w:hAnsi="Titillium" w:cs="Arial"/>
          <w:b/>
          <w:bCs/>
          <w:color w:val="003366"/>
          <w:sz w:val="28"/>
          <w:szCs w:val="28"/>
          <w:lang w:val="en-GB" w:eastAsia="en-GB"/>
        </w:rPr>
        <w:t>-</w:t>
      </w:r>
      <w:r w:rsidRPr="00867F38">
        <w:rPr>
          <w:rFonts w:ascii="Titillium" w:eastAsia="Arial Unicode MS" w:hAnsi="Titillium" w:cs="Arial"/>
          <w:b/>
          <w:bCs/>
          <w:color w:val="003366"/>
          <w:sz w:val="28"/>
          <w:szCs w:val="28"/>
          <w:lang w:val="en-GB" w:eastAsia="en-GB"/>
        </w:rPr>
        <w:t>based approach</w:t>
      </w:r>
    </w:p>
    <w:p w14:paraId="42AABFA0" w14:textId="77777777" w:rsidR="00330CA9" w:rsidRPr="00867F38" w:rsidRDefault="00330CA9" w:rsidP="00330CA9">
      <w:pPr>
        <w:spacing w:before="240" w:after="120"/>
        <w:jc w:val="both"/>
        <w:rPr>
          <w:rFonts w:ascii="Titillium" w:eastAsia="Arial Unicode MS" w:hAnsi="Titillium" w:cs="Arial"/>
          <w:b/>
          <w:color w:val="003366"/>
          <w:szCs w:val="24"/>
          <w:lang w:val="en-GB" w:eastAsia="en-GB"/>
        </w:rPr>
      </w:pPr>
      <w:r w:rsidRPr="00867F38">
        <w:rPr>
          <w:rFonts w:ascii="Titillium" w:eastAsia="Arial Unicode MS" w:hAnsi="Titillium" w:cs="Arial"/>
          <w:b/>
          <w:color w:val="003366"/>
          <w:szCs w:val="24"/>
          <w:lang w:val="en-GB" w:eastAsia="en-GB"/>
        </w:rPr>
        <w:t>Background</w:t>
      </w:r>
    </w:p>
    <w:p w14:paraId="2863ED78" w14:textId="6B23ABA7" w:rsidR="005B713E" w:rsidRPr="00867F38" w:rsidRDefault="005B713E" w:rsidP="000C1872">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Evaluation and monitoring of applications, enrolment, progression and success of widening participation students is a key principle of th</w:t>
      </w:r>
      <w:r w:rsidR="006F2D9B">
        <w:rPr>
          <w:rFonts w:ascii="Titillium" w:eastAsia="Arial Unicode MS" w:hAnsi="Titillium" w:cs="Arial"/>
          <w:sz w:val="22"/>
          <w:szCs w:val="24"/>
          <w:lang w:val="en-GB" w:eastAsia="en-GB"/>
        </w:rPr>
        <w:t>is</w:t>
      </w:r>
      <w:r w:rsidRPr="00867F38">
        <w:rPr>
          <w:rFonts w:ascii="Titillium" w:eastAsia="Arial Unicode MS" w:hAnsi="Titillium" w:cs="Arial"/>
          <w:sz w:val="22"/>
          <w:szCs w:val="24"/>
          <w:lang w:val="en-GB" w:eastAsia="en-GB"/>
        </w:rPr>
        <w:t xml:space="preserve"> Strategy.  Beyond collecting data to report to SFC and HESA, there is a need to be able to monitor performance around widening participation, identify areas of good practice, and roll these out across t</w:t>
      </w:r>
      <w:r w:rsidR="006F2D9B">
        <w:rPr>
          <w:rFonts w:ascii="Titillium" w:eastAsia="Arial Unicode MS" w:hAnsi="Titillium" w:cs="Arial"/>
          <w:sz w:val="22"/>
          <w:szCs w:val="24"/>
          <w:lang w:val="en-GB" w:eastAsia="en-GB"/>
        </w:rPr>
        <w:t>he institution and the sector.</w:t>
      </w:r>
    </w:p>
    <w:p w14:paraId="1E3206E4" w14:textId="3B2B93D3" w:rsidR="00D74C12" w:rsidRPr="00867F38" w:rsidRDefault="005B713E" w:rsidP="000C1872">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In order to accurately identify our priority under-represented groups, there is a need to move away from one-dimensional reporting focussing on a single indicator, such as </w:t>
      </w:r>
      <w:r w:rsidR="00A17B13">
        <w:rPr>
          <w:rFonts w:ascii="Titillium" w:eastAsia="Arial Unicode MS" w:hAnsi="Titillium" w:cs="Arial"/>
          <w:sz w:val="22"/>
          <w:szCs w:val="24"/>
          <w:lang w:val="en-GB" w:eastAsia="en-GB"/>
        </w:rPr>
        <w:t>SI</w:t>
      </w:r>
      <w:r w:rsidRPr="00867F38">
        <w:rPr>
          <w:rFonts w:ascii="Titillium" w:eastAsia="Arial Unicode MS" w:hAnsi="Titillium" w:cs="Arial"/>
          <w:sz w:val="22"/>
          <w:szCs w:val="24"/>
          <w:lang w:val="en-GB" w:eastAsia="en-GB"/>
        </w:rPr>
        <w:t xml:space="preserve">MD20, and move towards implementing a </w:t>
      </w:r>
      <w:r w:rsidR="005C3CC0" w:rsidRPr="00867F38">
        <w:rPr>
          <w:rFonts w:ascii="Titillium" w:eastAsia="Arial Unicode MS" w:hAnsi="Titillium" w:cs="Arial"/>
          <w:sz w:val="22"/>
          <w:szCs w:val="24"/>
          <w:lang w:val="en-GB" w:eastAsia="en-GB"/>
        </w:rPr>
        <w:t>set</w:t>
      </w:r>
      <w:r w:rsidRPr="00867F38">
        <w:rPr>
          <w:rFonts w:ascii="Titillium" w:eastAsia="Arial Unicode MS" w:hAnsi="Titillium" w:cs="Arial"/>
          <w:sz w:val="22"/>
          <w:szCs w:val="24"/>
          <w:lang w:val="en-GB" w:eastAsia="en-GB"/>
        </w:rPr>
        <w:t xml:space="preserve"> of measures that captures the full scope of widening participation at the University</w:t>
      </w:r>
      <w:r w:rsidR="00C523E9">
        <w:rPr>
          <w:rFonts w:ascii="Titillium" w:eastAsia="Arial Unicode MS" w:hAnsi="Titillium" w:cs="Arial"/>
          <w:sz w:val="22"/>
          <w:szCs w:val="24"/>
          <w:lang w:val="en-GB" w:eastAsia="en-GB"/>
        </w:rPr>
        <w:t xml:space="preserve"> </w:t>
      </w:r>
      <w:r w:rsidR="001523A9">
        <w:rPr>
          <w:rFonts w:ascii="Titillium" w:eastAsia="Arial Unicode MS" w:hAnsi="Titillium" w:cs="Arial"/>
          <w:sz w:val="22"/>
          <w:szCs w:val="24"/>
          <w:lang w:val="en-GB" w:eastAsia="en-GB"/>
        </w:rPr>
        <w:t>(</w:t>
      </w:r>
      <w:r w:rsidR="00C523E9">
        <w:rPr>
          <w:rFonts w:ascii="Titillium" w:eastAsia="Arial Unicode MS" w:hAnsi="Titillium" w:cs="Arial"/>
          <w:sz w:val="22"/>
          <w:szCs w:val="24"/>
          <w:lang w:val="en-GB" w:eastAsia="en-GB"/>
        </w:rPr>
        <w:t>Appendix D)</w:t>
      </w:r>
      <w:r w:rsidRPr="00867F38">
        <w:rPr>
          <w:rFonts w:ascii="Titillium" w:eastAsia="Arial Unicode MS" w:hAnsi="Titillium" w:cs="Arial"/>
          <w:sz w:val="22"/>
          <w:szCs w:val="24"/>
          <w:lang w:val="en-GB" w:eastAsia="en-GB"/>
        </w:rPr>
        <w:t xml:space="preserve">.  </w:t>
      </w:r>
      <w:r w:rsidR="00C523E9">
        <w:rPr>
          <w:rFonts w:ascii="Titillium" w:eastAsia="Arial Unicode MS" w:hAnsi="Titillium" w:cs="Arial"/>
          <w:sz w:val="22"/>
          <w:szCs w:val="24"/>
          <w:lang w:val="en-GB" w:eastAsia="en-GB"/>
        </w:rPr>
        <w:t xml:space="preserve">The CoWA (2016b) reported that 46% of pupils receiving free school meals and 47% of pupils in low progression schools were from SIMD20 areas, highlighting the limitations of SIMD20 as a sole indicator.  </w:t>
      </w:r>
      <w:r w:rsidRPr="00867F38">
        <w:rPr>
          <w:rFonts w:ascii="Titillium" w:eastAsia="Arial Unicode MS" w:hAnsi="Titillium" w:cs="Arial"/>
          <w:sz w:val="22"/>
          <w:szCs w:val="24"/>
          <w:lang w:val="en-GB" w:eastAsia="en-GB"/>
        </w:rPr>
        <w:t>Th</w:t>
      </w:r>
      <w:r w:rsidR="00F9143C">
        <w:rPr>
          <w:rFonts w:ascii="Titillium" w:eastAsia="Arial Unicode MS" w:hAnsi="Titillium" w:cs="Arial"/>
          <w:sz w:val="22"/>
          <w:szCs w:val="24"/>
          <w:lang w:val="en-GB" w:eastAsia="en-GB"/>
        </w:rPr>
        <w:t>e</w:t>
      </w:r>
      <w:r w:rsidRPr="00867F38">
        <w:rPr>
          <w:rFonts w:ascii="Titillium" w:eastAsia="Arial Unicode MS" w:hAnsi="Titillium" w:cs="Arial"/>
          <w:sz w:val="22"/>
          <w:szCs w:val="24"/>
          <w:lang w:val="en-GB" w:eastAsia="en-GB"/>
        </w:rPr>
        <w:t xml:space="preserve"> </w:t>
      </w:r>
      <w:r w:rsidR="00593DE6">
        <w:rPr>
          <w:rFonts w:ascii="Titillium" w:eastAsia="Arial Unicode MS" w:hAnsi="Titillium" w:cs="Arial"/>
          <w:sz w:val="22"/>
          <w:szCs w:val="24"/>
          <w:lang w:val="en-GB" w:eastAsia="en-GB"/>
        </w:rPr>
        <w:t>set</w:t>
      </w:r>
      <w:r w:rsidRPr="00867F38">
        <w:rPr>
          <w:rFonts w:ascii="Titillium" w:eastAsia="Arial Unicode MS" w:hAnsi="Titillium" w:cs="Arial"/>
          <w:sz w:val="22"/>
          <w:szCs w:val="24"/>
          <w:lang w:val="en-GB" w:eastAsia="en-GB"/>
        </w:rPr>
        <w:t xml:space="preserve"> of measures </w:t>
      </w:r>
      <w:r w:rsidR="00F657DB">
        <w:rPr>
          <w:rFonts w:ascii="Titillium" w:eastAsia="Arial Unicode MS" w:hAnsi="Titillium" w:cs="Arial"/>
          <w:sz w:val="22"/>
          <w:szCs w:val="24"/>
          <w:lang w:val="en-GB" w:eastAsia="en-GB"/>
        </w:rPr>
        <w:t xml:space="preserve">we will implement, </w:t>
      </w:r>
      <w:r w:rsidRPr="00867F38">
        <w:rPr>
          <w:rFonts w:ascii="Titillium" w:eastAsia="Arial Unicode MS" w:hAnsi="Titillium" w:cs="Arial"/>
          <w:sz w:val="22"/>
          <w:szCs w:val="24"/>
          <w:lang w:val="en-GB" w:eastAsia="en-GB"/>
        </w:rPr>
        <w:t xml:space="preserve">will allow </w:t>
      </w:r>
      <w:r w:rsidR="00BC22A6">
        <w:rPr>
          <w:rFonts w:ascii="Titillium" w:eastAsia="Arial Unicode MS" w:hAnsi="Titillium" w:cs="Arial"/>
          <w:sz w:val="22"/>
          <w:szCs w:val="24"/>
          <w:lang w:val="en-GB" w:eastAsia="en-GB"/>
        </w:rPr>
        <w:t>us</w:t>
      </w:r>
      <w:r w:rsidRPr="00867F38">
        <w:rPr>
          <w:rFonts w:ascii="Titillium" w:eastAsia="Arial Unicode MS" w:hAnsi="Titillium" w:cs="Arial"/>
          <w:sz w:val="22"/>
          <w:szCs w:val="24"/>
          <w:lang w:val="en-GB" w:eastAsia="en-GB"/>
        </w:rPr>
        <w:t xml:space="preserve"> to </w:t>
      </w:r>
      <w:r w:rsidR="00F657DB">
        <w:rPr>
          <w:rFonts w:ascii="Titillium" w:eastAsia="Arial Unicode MS" w:hAnsi="Titillium" w:cs="Arial"/>
          <w:sz w:val="22"/>
          <w:szCs w:val="24"/>
          <w:lang w:val="en-GB" w:eastAsia="en-GB"/>
        </w:rPr>
        <w:t>track</w:t>
      </w:r>
      <w:r w:rsidRPr="00867F38">
        <w:rPr>
          <w:rFonts w:ascii="Titillium" w:eastAsia="Arial Unicode MS" w:hAnsi="Titillium" w:cs="Arial"/>
          <w:sz w:val="22"/>
          <w:szCs w:val="24"/>
          <w:lang w:val="en-GB" w:eastAsia="en-GB"/>
        </w:rPr>
        <w:t xml:space="preserve"> and report on real progress in ensuring equal access to higher education.  Reporting and monitoring will therefore focus on the following groups:</w:t>
      </w:r>
    </w:p>
    <w:p w14:paraId="243EEC78" w14:textId="09324962" w:rsidR="005B713E" w:rsidRPr="00867F38" w:rsidRDefault="005B713E" w:rsidP="005B713E">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Students from </w:t>
      </w:r>
      <w:r w:rsidR="00A17B13">
        <w:rPr>
          <w:rFonts w:ascii="Titillium" w:eastAsia="Arial Unicode MS" w:hAnsi="Titillium" w:cs="Arial"/>
          <w:sz w:val="22"/>
          <w:szCs w:val="24"/>
          <w:lang w:val="en-GB" w:eastAsia="en-GB"/>
        </w:rPr>
        <w:t>SI</w:t>
      </w:r>
      <w:r w:rsidR="000C1872" w:rsidRPr="00867F38">
        <w:rPr>
          <w:rFonts w:ascii="Titillium" w:eastAsia="Arial Unicode MS" w:hAnsi="Titillium" w:cs="Arial"/>
          <w:sz w:val="22"/>
          <w:szCs w:val="24"/>
          <w:lang w:val="en-GB" w:eastAsia="en-GB"/>
        </w:rPr>
        <w:t>MD20</w:t>
      </w:r>
      <w:r w:rsidRPr="00867F38">
        <w:rPr>
          <w:rFonts w:ascii="Titillium" w:eastAsia="Arial Unicode MS" w:hAnsi="Titillium" w:cs="Arial"/>
          <w:sz w:val="22"/>
          <w:szCs w:val="24"/>
          <w:lang w:val="en-GB" w:eastAsia="en-GB"/>
        </w:rPr>
        <w:t xml:space="preserve"> backgrounds</w:t>
      </w:r>
      <w:r w:rsidR="0040434C">
        <w:rPr>
          <w:rFonts w:ascii="Titillium" w:eastAsia="Arial Unicode MS" w:hAnsi="Titillium" w:cs="Arial"/>
          <w:sz w:val="22"/>
          <w:szCs w:val="24"/>
          <w:lang w:val="en-GB" w:eastAsia="en-GB"/>
        </w:rPr>
        <w:t>;</w:t>
      </w:r>
    </w:p>
    <w:p w14:paraId="43D727C6" w14:textId="20E7D368" w:rsidR="005B713E" w:rsidRDefault="00F9143C" w:rsidP="005B713E">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C</w:t>
      </w:r>
      <w:r w:rsidR="000C1872" w:rsidRPr="00867F38">
        <w:rPr>
          <w:rFonts w:ascii="Titillium" w:eastAsia="Arial Unicode MS" w:hAnsi="Titillium" w:cs="Arial"/>
          <w:sz w:val="22"/>
          <w:szCs w:val="24"/>
          <w:lang w:val="en-GB" w:eastAsia="en-GB"/>
        </w:rPr>
        <w:t>are leavers</w:t>
      </w:r>
      <w:r w:rsidR="00F657DB">
        <w:rPr>
          <w:rFonts w:ascii="Titillium" w:eastAsia="Arial Unicode MS" w:hAnsi="Titillium" w:cs="Arial"/>
          <w:sz w:val="22"/>
          <w:szCs w:val="24"/>
          <w:lang w:val="en-GB" w:eastAsia="en-GB"/>
        </w:rPr>
        <w:t>,</w:t>
      </w:r>
      <w:r w:rsidR="005B713E" w:rsidRPr="00867F38">
        <w:rPr>
          <w:rFonts w:ascii="Titillium" w:eastAsia="Arial Unicode MS" w:hAnsi="Titillium" w:cs="Arial"/>
          <w:sz w:val="22"/>
          <w:szCs w:val="24"/>
          <w:lang w:val="en-GB" w:eastAsia="en-GB"/>
        </w:rPr>
        <w:t xml:space="preserve"> care experienced </w:t>
      </w:r>
      <w:r w:rsidR="00F657DB">
        <w:rPr>
          <w:rFonts w:ascii="Titillium" w:eastAsia="Arial Unicode MS" w:hAnsi="Titillium" w:cs="Arial"/>
          <w:sz w:val="22"/>
          <w:szCs w:val="24"/>
          <w:lang w:val="en-GB" w:eastAsia="en-GB"/>
        </w:rPr>
        <w:t>and young adult carers</w:t>
      </w:r>
      <w:r w:rsidR="0040434C">
        <w:rPr>
          <w:rFonts w:ascii="Titillium" w:eastAsia="Arial Unicode MS" w:hAnsi="Titillium" w:cs="Arial"/>
          <w:sz w:val="22"/>
          <w:szCs w:val="24"/>
          <w:lang w:val="en-GB" w:eastAsia="en-GB"/>
        </w:rPr>
        <w:t>;</w:t>
      </w:r>
    </w:p>
    <w:p w14:paraId="40185967" w14:textId="11DF1B90" w:rsidR="00B27508" w:rsidRDefault="00F9143C" w:rsidP="005B713E">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A</w:t>
      </w:r>
      <w:r w:rsidR="00B27508">
        <w:rPr>
          <w:rFonts w:ascii="Titillium" w:eastAsia="Arial Unicode MS" w:hAnsi="Titillium" w:cs="Arial"/>
          <w:sz w:val="22"/>
          <w:szCs w:val="24"/>
          <w:lang w:val="en-GB" w:eastAsia="en-GB"/>
        </w:rPr>
        <w:t>rticulating students from college</w:t>
      </w:r>
      <w:r w:rsidR="0040434C">
        <w:rPr>
          <w:rFonts w:ascii="Titillium" w:eastAsia="Arial Unicode MS" w:hAnsi="Titillium" w:cs="Arial"/>
          <w:sz w:val="22"/>
          <w:szCs w:val="24"/>
          <w:lang w:val="en-GB" w:eastAsia="en-GB"/>
        </w:rPr>
        <w:t>;</w:t>
      </w:r>
    </w:p>
    <w:p w14:paraId="63A40CF8" w14:textId="41B9A15D" w:rsidR="004C4936" w:rsidRPr="00867F38" w:rsidRDefault="00F9143C" w:rsidP="005B713E">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Fi</w:t>
      </w:r>
      <w:r w:rsidR="004C4936" w:rsidRPr="00867F38">
        <w:rPr>
          <w:rFonts w:ascii="Titillium" w:eastAsia="Arial Unicode MS" w:hAnsi="Titillium" w:cs="Arial"/>
          <w:sz w:val="22"/>
          <w:szCs w:val="24"/>
          <w:lang w:val="en-GB" w:eastAsia="en-GB"/>
        </w:rPr>
        <w:t xml:space="preserve">rst </w:t>
      </w:r>
      <w:r w:rsidR="00B27508">
        <w:rPr>
          <w:rFonts w:ascii="Titillium" w:eastAsia="Arial Unicode MS" w:hAnsi="Titillium" w:cs="Arial"/>
          <w:sz w:val="22"/>
          <w:szCs w:val="24"/>
          <w:lang w:val="en-GB" w:eastAsia="en-GB"/>
        </w:rPr>
        <w:t xml:space="preserve">in </w:t>
      </w:r>
      <w:r w:rsidR="004C4936" w:rsidRPr="00867F38">
        <w:rPr>
          <w:rFonts w:ascii="Titillium" w:eastAsia="Arial Unicode MS" w:hAnsi="Titillium" w:cs="Arial"/>
          <w:sz w:val="22"/>
          <w:szCs w:val="24"/>
          <w:lang w:val="en-GB" w:eastAsia="en-GB"/>
        </w:rPr>
        <w:t>generation</w:t>
      </w:r>
      <w:r w:rsidR="0040434C">
        <w:rPr>
          <w:rFonts w:ascii="Titillium" w:eastAsia="Arial Unicode MS" w:hAnsi="Titillium" w:cs="Arial"/>
          <w:sz w:val="22"/>
          <w:szCs w:val="24"/>
          <w:lang w:val="en-GB" w:eastAsia="en-GB"/>
        </w:rPr>
        <w:t>;</w:t>
      </w:r>
    </w:p>
    <w:p w14:paraId="48A85374" w14:textId="31DC8A9C" w:rsidR="005B713E" w:rsidRPr="00867F38" w:rsidRDefault="00F9143C" w:rsidP="005B713E">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P</w:t>
      </w:r>
      <w:r w:rsidR="005B713E" w:rsidRPr="00867F38">
        <w:rPr>
          <w:rFonts w:ascii="Titillium" w:eastAsia="Arial Unicode MS" w:hAnsi="Titillium" w:cs="Arial"/>
          <w:sz w:val="22"/>
          <w:szCs w:val="24"/>
          <w:lang w:val="en-GB" w:eastAsia="en-GB"/>
        </w:rPr>
        <w:t xml:space="preserve">articipants </w:t>
      </w:r>
      <w:r w:rsidR="004C4936" w:rsidRPr="00867F38">
        <w:rPr>
          <w:rFonts w:ascii="Titillium" w:eastAsia="Arial Unicode MS" w:hAnsi="Titillium" w:cs="Arial"/>
          <w:sz w:val="22"/>
          <w:szCs w:val="24"/>
          <w:lang w:val="en-GB" w:eastAsia="en-GB"/>
        </w:rPr>
        <w:t xml:space="preserve">from low participation, low attainment, high </w:t>
      </w:r>
      <w:r w:rsidR="00A17B13">
        <w:rPr>
          <w:rFonts w:ascii="Titillium" w:eastAsia="Arial Unicode MS" w:hAnsi="Titillium" w:cs="Arial"/>
          <w:sz w:val="22"/>
          <w:szCs w:val="24"/>
          <w:lang w:val="en-GB" w:eastAsia="en-GB"/>
        </w:rPr>
        <w:t>SI</w:t>
      </w:r>
      <w:r w:rsidR="004C4936" w:rsidRPr="00867F38">
        <w:rPr>
          <w:rFonts w:ascii="Titillium" w:eastAsia="Arial Unicode MS" w:hAnsi="Titillium" w:cs="Arial"/>
          <w:sz w:val="22"/>
          <w:szCs w:val="24"/>
          <w:lang w:val="en-GB" w:eastAsia="en-GB"/>
        </w:rPr>
        <w:t xml:space="preserve">MD20 schools, or those </w:t>
      </w:r>
      <w:r w:rsidR="005B713E" w:rsidRPr="00867F38">
        <w:rPr>
          <w:rFonts w:ascii="Titillium" w:eastAsia="Arial Unicode MS" w:hAnsi="Titillium" w:cs="Arial"/>
          <w:sz w:val="22"/>
          <w:szCs w:val="24"/>
          <w:lang w:val="en-GB" w:eastAsia="en-GB"/>
        </w:rPr>
        <w:t>on</w:t>
      </w:r>
      <w:r w:rsidR="000C1872" w:rsidRPr="00867F38">
        <w:rPr>
          <w:rFonts w:ascii="Titillium" w:eastAsia="Arial Unicode MS" w:hAnsi="Titillium" w:cs="Arial"/>
          <w:sz w:val="22"/>
          <w:szCs w:val="24"/>
          <w:lang w:val="en-GB" w:eastAsia="en-GB"/>
        </w:rPr>
        <w:t xml:space="preserve"> SHEP</w:t>
      </w:r>
      <w:r w:rsidR="005B713E" w:rsidRPr="00867F38">
        <w:rPr>
          <w:rFonts w:ascii="Titillium" w:eastAsia="Arial Unicode MS" w:hAnsi="Titillium" w:cs="Arial"/>
          <w:sz w:val="22"/>
          <w:szCs w:val="24"/>
          <w:lang w:val="en-GB" w:eastAsia="en-GB"/>
        </w:rPr>
        <w:t xml:space="preserve"> programmes</w:t>
      </w:r>
      <w:r w:rsidR="0040434C">
        <w:rPr>
          <w:rFonts w:ascii="Titillium" w:eastAsia="Arial Unicode MS" w:hAnsi="Titillium" w:cs="Arial"/>
          <w:sz w:val="22"/>
          <w:szCs w:val="24"/>
          <w:lang w:val="en-GB" w:eastAsia="en-GB"/>
        </w:rPr>
        <w:t>;</w:t>
      </w:r>
    </w:p>
    <w:p w14:paraId="17451836" w14:textId="45AAE25E" w:rsidR="005B713E" w:rsidRPr="00867F38" w:rsidRDefault="00F9143C" w:rsidP="005C3CC0">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S</w:t>
      </w:r>
      <w:r w:rsidR="005B713E" w:rsidRPr="00867F38">
        <w:rPr>
          <w:rFonts w:ascii="Titillium" w:eastAsia="Arial Unicode MS" w:hAnsi="Titillium" w:cs="Arial"/>
          <w:sz w:val="22"/>
          <w:szCs w:val="24"/>
          <w:lang w:val="en-GB" w:eastAsia="en-GB"/>
        </w:rPr>
        <w:t>tudents applying from</w:t>
      </w:r>
      <w:r w:rsidR="000C1872" w:rsidRPr="00867F38">
        <w:rPr>
          <w:rFonts w:ascii="Titillium" w:eastAsia="Arial Unicode MS" w:hAnsi="Titillium" w:cs="Arial"/>
          <w:sz w:val="22"/>
          <w:szCs w:val="24"/>
          <w:lang w:val="en-GB" w:eastAsia="en-GB"/>
        </w:rPr>
        <w:t xml:space="preserve"> SWAP</w:t>
      </w:r>
      <w:r w:rsidR="005B713E" w:rsidRPr="00867F38">
        <w:rPr>
          <w:rFonts w:ascii="Titillium" w:eastAsia="Arial Unicode MS" w:hAnsi="Titillium" w:cs="Arial"/>
          <w:sz w:val="22"/>
          <w:szCs w:val="24"/>
          <w:lang w:val="en-GB" w:eastAsia="en-GB"/>
        </w:rPr>
        <w:t xml:space="preserve"> and other recognised</w:t>
      </w:r>
      <w:r w:rsidR="000C1872" w:rsidRPr="00867F38">
        <w:rPr>
          <w:rFonts w:ascii="Titillium" w:eastAsia="Arial Unicode MS" w:hAnsi="Titillium" w:cs="Arial"/>
          <w:sz w:val="22"/>
          <w:szCs w:val="24"/>
          <w:lang w:val="en-GB" w:eastAsia="en-GB"/>
        </w:rPr>
        <w:t xml:space="preserve"> access programme</w:t>
      </w:r>
      <w:r w:rsidR="005B713E" w:rsidRPr="00867F38">
        <w:rPr>
          <w:rFonts w:ascii="Titillium" w:eastAsia="Arial Unicode MS" w:hAnsi="Titillium" w:cs="Arial"/>
          <w:sz w:val="22"/>
          <w:szCs w:val="24"/>
          <w:lang w:val="en-GB" w:eastAsia="en-GB"/>
        </w:rPr>
        <w:t>s</w:t>
      </w:r>
      <w:r w:rsidR="0040434C">
        <w:rPr>
          <w:rFonts w:ascii="Titillium" w:eastAsia="Arial Unicode MS" w:hAnsi="Titillium" w:cs="Arial"/>
          <w:sz w:val="22"/>
          <w:szCs w:val="24"/>
          <w:lang w:val="en-GB" w:eastAsia="en-GB"/>
        </w:rPr>
        <w:t>;</w:t>
      </w:r>
    </w:p>
    <w:p w14:paraId="782E37C5" w14:textId="6B029D08" w:rsidR="000C1872" w:rsidRPr="00867F38" w:rsidRDefault="00F9143C" w:rsidP="005B713E">
      <w:pPr>
        <w:pStyle w:val="ListParagraph"/>
        <w:numPr>
          <w:ilvl w:val="0"/>
          <w:numId w:val="17"/>
        </w:num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R</w:t>
      </w:r>
      <w:r w:rsidR="000C1872" w:rsidRPr="00867F38">
        <w:rPr>
          <w:rFonts w:ascii="Titillium" w:eastAsia="Arial Unicode MS" w:hAnsi="Titillium" w:cs="Arial"/>
          <w:sz w:val="22"/>
          <w:szCs w:val="24"/>
          <w:lang w:val="en-GB" w:eastAsia="en-GB"/>
        </w:rPr>
        <w:t>efugees and children of refugees.</w:t>
      </w:r>
    </w:p>
    <w:p w14:paraId="201E78C1" w14:textId="03AF6094" w:rsidR="000C1872" w:rsidRDefault="00B27508" w:rsidP="000C1872">
      <w:pPr>
        <w:tabs>
          <w:tab w:val="num" w:pos="720"/>
        </w:tabs>
        <w:spacing w:before="120" w:after="120"/>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 xml:space="preserve">In addition we will continue to monitor </w:t>
      </w:r>
      <w:r w:rsidR="001C04EC">
        <w:rPr>
          <w:rFonts w:ascii="Titillium" w:eastAsia="Arial Unicode MS" w:hAnsi="Titillium" w:cs="Arial"/>
          <w:sz w:val="22"/>
          <w:szCs w:val="24"/>
          <w:lang w:val="en-GB" w:eastAsia="en-GB"/>
        </w:rPr>
        <w:t xml:space="preserve">and contribute to </w:t>
      </w:r>
      <w:r>
        <w:rPr>
          <w:rFonts w:ascii="Titillium" w:eastAsia="Arial Unicode MS" w:hAnsi="Titillium" w:cs="Arial"/>
          <w:sz w:val="22"/>
          <w:szCs w:val="24"/>
          <w:lang w:val="en-GB" w:eastAsia="en-GB"/>
        </w:rPr>
        <w:t>developments in the sector around the development of, and access to</w:t>
      </w:r>
      <w:r w:rsidR="008F6322">
        <w:rPr>
          <w:rFonts w:ascii="Titillium" w:eastAsia="Arial Unicode MS" w:hAnsi="Titillium" w:cs="Arial"/>
          <w:sz w:val="22"/>
          <w:szCs w:val="24"/>
          <w:lang w:val="en-GB" w:eastAsia="en-GB"/>
        </w:rPr>
        <w:t>,</w:t>
      </w:r>
      <w:r>
        <w:rPr>
          <w:rFonts w:ascii="Titillium" w:eastAsia="Arial Unicode MS" w:hAnsi="Titillium" w:cs="Arial"/>
          <w:sz w:val="22"/>
          <w:szCs w:val="24"/>
          <w:lang w:val="en-GB" w:eastAsia="en-GB"/>
        </w:rPr>
        <w:t xml:space="preserve"> more sensitive ways of measuring individual disadvantage such as young adult carers (</w:t>
      </w:r>
      <w:r w:rsidRPr="00867F38">
        <w:rPr>
          <w:rFonts w:ascii="Titillium" w:eastAsia="Arial Unicode MS" w:hAnsi="Titillium" w:cs="Arial"/>
          <w:sz w:val="22"/>
          <w:szCs w:val="24"/>
          <w:lang w:val="en-GB" w:eastAsia="en-GB"/>
        </w:rPr>
        <w:t>identifiable through UCAS as of 2018 round of applications</w:t>
      </w:r>
      <w:r>
        <w:rPr>
          <w:rFonts w:ascii="Titillium" w:eastAsia="Arial Unicode MS" w:hAnsi="Titillium" w:cs="Arial"/>
          <w:sz w:val="22"/>
          <w:szCs w:val="24"/>
          <w:lang w:val="en-GB" w:eastAsia="en-GB"/>
        </w:rPr>
        <w:t>)</w:t>
      </w:r>
      <w:r w:rsidR="008F6322">
        <w:rPr>
          <w:rFonts w:ascii="Titillium" w:eastAsia="Arial Unicode MS" w:hAnsi="Titillium" w:cs="Arial"/>
          <w:sz w:val="22"/>
          <w:szCs w:val="24"/>
          <w:lang w:val="en-GB" w:eastAsia="en-GB"/>
        </w:rPr>
        <w:t>,</w:t>
      </w:r>
      <w:r w:rsidR="000C582A">
        <w:rPr>
          <w:rFonts w:ascii="Titillium" w:eastAsia="Arial Unicode MS" w:hAnsi="Titillium" w:cs="Arial"/>
          <w:sz w:val="22"/>
          <w:szCs w:val="24"/>
          <w:lang w:val="en-GB" w:eastAsia="en-GB"/>
        </w:rPr>
        <w:t xml:space="preserve"> </w:t>
      </w:r>
      <w:r w:rsidR="008F6322">
        <w:rPr>
          <w:rFonts w:ascii="Titillium" w:eastAsia="Arial Unicode MS" w:hAnsi="Titillium" w:cs="Arial"/>
          <w:sz w:val="22"/>
          <w:szCs w:val="24"/>
          <w:lang w:val="en-GB" w:eastAsia="en-GB"/>
        </w:rPr>
        <w:t xml:space="preserve">and </w:t>
      </w:r>
      <w:r>
        <w:rPr>
          <w:rFonts w:ascii="Titillium" w:eastAsia="Arial Unicode MS" w:hAnsi="Titillium" w:cs="Arial"/>
          <w:sz w:val="22"/>
          <w:szCs w:val="24"/>
          <w:lang w:val="en-GB" w:eastAsia="en-GB"/>
        </w:rPr>
        <w:t xml:space="preserve">free school meal entitlement and Education Maintenance Allowance (as a proxy for low income).  </w:t>
      </w:r>
      <w:r w:rsidR="001C04EC">
        <w:rPr>
          <w:rFonts w:ascii="Titillium" w:eastAsia="Arial Unicode MS" w:hAnsi="Titillium" w:cs="Arial"/>
          <w:sz w:val="22"/>
          <w:szCs w:val="24"/>
          <w:lang w:val="en-GB" w:eastAsia="en-GB"/>
        </w:rPr>
        <w:t>We will work in partnership with other universities, and engage with the recommendations in Futures not Backgrounds, to develop</w:t>
      </w:r>
      <w:r>
        <w:rPr>
          <w:rFonts w:ascii="Titillium" w:eastAsia="Arial Unicode MS" w:hAnsi="Titillium" w:cs="Arial"/>
          <w:sz w:val="22"/>
          <w:szCs w:val="24"/>
          <w:lang w:val="en-GB" w:eastAsia="en-GB"/>
        </w:rPr>
        <w:t xml:space="preserve"> these measures, </w:t>
      </w:r>
      <w:r w:rsidR="001C04EC">
        <w:rPr>
          <w:rFonts w:ascii="Titillium" w:eastAsia="Arial Unicode MS" w:hAnsi="Titillium" w:cs="Arial"/>
          <w:sz w:val="22"/>
          <w:szCs w:val="24"/>
          <w:lang w:val="en-GB" w:eastAsia="en-GB"/>
        </w:rPr>
        <w:t>and</w:t>
      </w:r>
      <w:r>
        <w:rPr>
          <w:rFonts w:ascii="Titillium" w:eastAsia="Arial Unicode MS" w:hAnsi="Titillium" w:cs="Arial"/>
          <w:sz w:val="22"/>
          <w:szCs w:val="24"/>
          <w:lang w:val="en-GB" w:eastAsia="en-GB"/>
        </w:rPr>
        <w:t xml:space="preserve"> review and adapt our contextualised admissions policy</w:t>
      </w:r>
      <w:r w:rsidR="00630F5E">
        <w:rPr>
          <w:rFonts w:ascii="Titillium" w:eastAsia="Arial Unicode MS" w:hAnsi="Titillium" w:cs="Arial"/>
          <w:sz w:val="22"/>
          <w:szCs w:val="24"/>
          <w:lang w:val="en-GB" w:eastAsia="en-GB"/>
        </w:rPr>
        <w:t xml:space="preserve"> and reporting practices</w:t>
      </w:r>
      <w:r>
        <w:rPr>
          <w:rFonts w:ascii="Titillium" w:eastAsia="Arial Unicode MS" w:hAnsi="Titillium" w:cs="Arial"/>
          <w:sz w:val="22"/>
          <w:szCs w:val="24"/>
          <w:lang w:val="en-GB" w:eastAsia="en-GB"/>
        </w:rPr>
        <w:t xml:space="preserve"> accordingly</w:t>
      </w:r>
      <w:r w:rsidR="001C04EC">
        <w:rPr>
          <w:rFonts w:ascii="Titillium" w:eastAsia="Arial Unicode MS" w:hAnsi="Titillium" w:cs="Arial"/>
          <w:sz w:val="22"/>
          <w:szCs w:val="24"/>
          <w:lang w:val="en-GB" w:eastAsia="en-GB"/>
        </w:rPr>
        <w:t>.</w:t>
      </w:r>
    </w:p>
    <w:p w14:paraId="2B86232F" w14:textId="4CD3E8BE" w:rsidR="00330CA9" w:rsidRPr="00867F38" w:rsidRDefault="005C3CC0" w:rsidP="00330CA9">
      <w:pPr>
        <w:tabs>
          <w:tab w:val="num" w:pos="720"/>
        </w:tabs>
        <w:spacing w:before="120" w:after="12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Quantitative and qualitative evaluation of widening participation activities and resources will enable the University to identify what is working w</w:t>
      </w:r>
      <w:r w:rsidR="00B211AD">
        <w:rPr>
          <w:rFonts w:ascii="Titillium" w:eastAsia="Arial Unicode MS" w:hAnsi="Titillium" w:cs="Arial"/>
          <w:sz w:val="22"/>
          <w:szCs w:val="24"/>
          <w:lang w:val="en-GB" w:eastAsia="en-GB"/>
        </w:rPr>
        <w:t>ell.</w:t>
      </w:r>
      <w:r w:rsidR="001523A9">
        <w:rPr>
          <w:rFonts w:ascii="Titillium" w:eastAsia="Arial Unicode MS" w:hAnsi="Titillium" w:cs="Arial"/>
          <w:sz w:val="22"/>
          <w:szCs w:val="24"/>
          <w:lang w:val="en-GB" w:eastAsia="en-GB"/>
        </w:rPr>
        <w:t xml:space="preserve">  We will use </w:t>
      </w:r>
      <w:r w:rsidR="00E163AE">
        <w:rPr>
          <w:rFonts w:ascii="Titillium" w:eastAsia="Arial Unicode MS" w:hAnsi="Titillium" w:cs="Arial"/>
          <w:sz w:val="22"/>
          <w:szCs w:val="24"/>
          <w:lang w:val="en-GB" w:eastAsia="en-GB"/>
        </w:rPr>
        <w:t>an evidence-based approach</w:t>
      </w:r>
      <w:r w:rsidR="00B27508">
        <w:rPr>
          <w:rFonts w:ascii="Titillium" w:eastAsia="Arial Unicode MS" w:hAnsi="Titillium" w:cs="Arial"/>
          <w:sz w:val="22"/>
          <w:szCs w:val="24"/>
          <w:lang w:val="en-GB" w:eastAsia="en-GB"/>
        </w:rPr>
        <w:t xml:space="preserve"> </w:t>
      </w:r>
      <w:r w:rsidR="001523A9">
        <w:rPr>
          <w:rFonts w:ascii="Titillium" w:eastAsia="Arial Unicode MS" w:hAnsi="Titillium" w:cs="Arial"/>
          <w:sz w:val="22"/>
          <w:szCs w:val="24"/>
          <w:lang w:val="en-GB" w:eastAsia="en-GB"/>
        </w:rPr>
        <w:t xml:space="preserve">to play a lead role in the sector by understanding the impact of our widening participation activities, </w:t>
      </w:r>
      <w:r w:rsidR="00B27508">
        <w:rPr>
          <w:rFonts w:ascii="Titillium" w:eastAsia="Arial Unicode MS" w:hAnsi="Titillium" w:cs="Arial"/>
          <w:sz w:val="22"/>
          <w:szCs w:val="24"/>
          <w:lang w:val="en-GB" w:eastAsia="en-GB"/>
        </w:rPr>
        <w:t xml:space="preserve">disseminating best practice </w:t>
      </w:r>
      <w:r w:rsidR="001523A9">
        <w:rPr>
          <w:rFonts w:ascii="Titillium" w:eastAsia="Arial Unicode MS" w:hAnsi="Titillium" w:cs="Arial"/>
          <w:sz w:val="22"/>
          <w:szCs w:val="24"/>
          <w:lang w:val="en-GB" w:eastAsia="en-GB"/>
        </w:rPr>
        <w:t xml:space="preserve">and informing </w:t>
      </w:r>
      <w:r w:rsidR="00B27508">
        <w:rPr>
          <w:rFonts w:ascii="Titillium" w:eastAsia="Arial Unicode MS" w:hAnsi="Titillium" w:cs="Arial"/>
          <w:sz w:val="22"/>
          <w:szCs w:val="24"/>
          <w:lang w:val="en-GB" w:eastAsia="en-GB"/>
        </w:rPr>
        <w:t xml:space="preserve">the </w:t>
      </w:r>
      <w:r w:rsidR="001523A9">
        <w:rPr>
          <w:rFonts w:ascii="Titillium" w:eastAsia="Arial Unicode MS" w:hAnsi="Titillium" w:cs="Arial"/>
          <w:sz w:val="22"/>
          <w:szCs w:val="24"/>
          <w:lang w:val="en-GB" w:eastAsia="en-GB"/>
        </w:rPr>
        <w:t>development</w:t>
      </w:r>
      <w:r w:rsidR="00B27508">
        <w:rPr>
          <w:rFonts w:ascii="Titillium" w:eastAsia="Arial Unicode MS" w:hAnsi="Titillium" w:cs="Arial"/>
          <w:sz w:val="22"/>
          <w:szCs w:val="24"/>
          <w:lang w:val="en-GB" w:eastAsia="en-GB"/>
        </w:rPr>
        <w:t xml:space="preserve"> of future models of delivery</w:t>
      </w:r>
      <w:r w:rsidR="001523A9">
        <w:rPr>
          <w:rFonts w:ascii="Titillium" w:eastAsia="Arial Unicode MS" w:hAnsi="Titillium" w:cs="Arial"/>
          <w:sz w:val="22"/>
          <w:szCs w:val="24"/>
          <w:lang w:val="en-GB" w:eastAsia="en-GB"/>
        </w:rPr>
        <w:t>.</w:t>
      </w:r>
    </w:p>
    <w:p w14:paraId="35429E17" w14:textId="77777777" w:rsidR="00151004" w:rsidRDefault="00151004">
      <w:pPr>
        <w:spacing w:after="160" w:line="259" w:lineRule="auto"/>
        <w:rPr>
          <w:rFonts w:ascii="Titillium" w:eastAsia="Arial Unicode MS" w:hAnsi="Titillium" w:cs="Arial"/>
          <w:b/>
          <w:bCs/>
          <w:color w:val="003366"/>
          <w:szCs w:val="24"/>
          <w:lang w:val="en-GB" w:eastAsia="en-GB"/>
        </w:rPr>
      </w:pPr>
      <w:r>
        <w:rPr>
          <w:rFonts w:ascii="Titillium" w:eastAsia="Arial Unicode MS" w:hAnsi="Titillium" w:cs="Arial"/>
          <w:b/>
          <w:bCs/>
          <w:color w:val="003366"/>
          <w:szCs w:val="24"/>
          <w:lang w:val="en-GB" w:eastAsia="en-GB"/>
        </w:rPr>
        <w:br w:type="page"/>
      </w:r>
    </w:p>
    <w:p w14:paraId="5400958B" w14:textId="37B1A639" w:rsidR="00330CA9" w:rsidRPr="00867F38" w:rsidRDefault="00330CA9" w:rsidP="00330CA9">
      <w:pPr>
        <w:tabs>
          <w:tab w:val="num" w:pos="720"/>
        </w:tabs>
        <w:spacing w:before="240" w:after="120"/>
        <w:jc w:val="both"/>
        <w:rPr>
          <w:rFonts w:ascii="Titillium" w:eastAsia="Arial Unicode MS" w:hAnsi="Titillium" w:cs="Arial"/>
          <w:b/>
          <w:bCs/>
          <w:color w:val="003366"/>
          <w:szCs w:val="24"/>
          <w:lang w:val="en-GB" w:eastAsia="en-GB"/>
        </w:rPr>
      </w:pPr>
      <w:r w:rsidRPr="00867F38">
        <w:rPr>
          <w:rFonts w:ascii="Titillium" w:eastAsia="Arial Unicode MS" w:hAnsi="Titillium" w:cs="Arial"/>
          <w:b/>
          <w:bCs/>
          <w:color w:val="003366"/>
          <w:szCs w:val="24"/>
          <w:lang w:val="en-GB" w:eastAsia="en-GB"/>
        </w:rPr>
        <w:lastRenderedPageBreak/>
        <w:t>Outcome</w:t>
      </w:r>
    </w:p>
    <w:p w14:paraId="4C3A47B5" w14:textId="09784B4A" w:rsidR="00B211AD" w:rsidRPr="00E46B9E" w:rsidRDefault="00330CA9" w:rsidP="00B211AD">
      <w:pPr>
        <w:jc w:val="both"/>
        <w:rPr>
          <w:rFonts w:ascii="Titillium" w:eastAsia="Times New Roman" w:hAnsi="Titillium" w:cs="Arial"/>
          <w:sz w:val="22"/>
          <w:szCs w:val="22"/>
          <w:lang w:val="en-GB" w:eastAsia="en-GB"/>
        </w:rPr>
      </w:pPr>
      <w:r w:rsidRPr="00E46B9E">
        <w:rPr>
          <w:rFonts w:ascii="Titillium" w:eastAsia="Arial Unicode MS" w:hAnsi="Titillium" w:cs="Arial"/>
          <w:sz w:val="22"/>
          <w:szCs w:val="22"/>
          <w:lang w:val="en-GB" w:eastAsia="en-GB"/>
        </w:rPr>
        <w:t>By 2020</w:t>
      </w:r>
      <w:r w:rsidR="00B211AD" w:rsidRPr="00E46B9E">
        <w:rPr>
          <w:rFonts w:ascii="Titillium" w:eastAsia="Arial Unicode MS" w:hAnsi="Titillium" w:cs="Arial"/>
          <w:sz w:val="22"/>
          <w:szCs w:val="22"/>
          <w:lang w:val="en-GB" w:eastAsia="en-GB"/>
        </w:rPr>
        <w:t xml:space="preserve"> we will have established an evidence-based set of case</w:t>
      </w:r>
      <w:r w:rsidR="00E46B9E">
        <w:rPr>
          <w:rFonts w:ascii="Titillium" w:eastAsia="Arial Unicode MS" w:hAnsi="Titillium" w:cs="Arial"/>
          <w:sz w:val="22"/>
          <w:szCs w:val="22"/>
          <w:lang w:val="en-GB" w:eastAsia="en-GB"/>
        </w:rPr>
        <w:t xml:space="preserve"> </w:t>
      </w:r>
      <w:r w:rsidR="00B211AD" w:rsidRPr="00E46B9E">
        <w:rPr>
          <w:rFonts w:ascii="Titillium" w:eastAsia="Arial Unicode MS" w:hAnsi="Titillium" w:cs="Arial"/>
          <w:sz w:val="22"/>
          <w:szCs w:val="22"/>
          <w:lang w:val="en-GB" w:eastAsia="en-GB"/>
        </w:rPr>
        <w:t>studies related to widening participation and</w:t>
      </w:r>
      <w:r w:rsidR="00E46B9E">
        <w:rPr>
          <w:rFonts w:ascii="Titillium" w:eastAsia="Arial Unicode MS" w:hAnsi="Titillium" w:cs="Arial"/>
          <w:sz w:val="22"/>
          <w:szCs w:val="22"/>
          <w:lang w:val="en-GB" w:eastAsia="en-GB"/>
        </w:rPr>
        <w:t xml:space="preserve"> will</w:t>
      </w:r>
      <w:r w:rsidR="00B211AD" w:rsidRPr="00E46B9E">
        <w:rPr>
          <w:rFonts w:ascii="Titillium" w:eastAsia="Arial Unicode MS" w:hAnsi="Titillium" w:cs="Arial"/>
          <w:sz w:val="22"/>
          <w:szCs w:val="22"/>
          <w:lang w:val="en-GB" w:eastAsia="en-GB"/>
        </w:rPr>
        <w:t xml:space="preserve"> be pla</w:t>
      </w:r>
      <w:r w:rsidR="00B211AD" w:rsidRPr="00E46B9E">
        <w:rPr>
          <w:rFonts w:ascii="Titillium" w:eastAsia="Arial Unicode MS" w:hAnsi="Titillium" w:cs="Arial"/>
          <w:bCs/>
          <w:sz w:val="22"/>
          <w:szCs w:val="22"/>
          <w:lang w:val="en-GB" w:eastAsia="en-GB"/>
        </w:rPr>
        <w:t>ying a lead role in the national conversation on how to improve widening participation</w:t>
      </w:r>
    </w:p>
    <w:p w14:paraId="059F90E6" w14:textId="63F23027" w:rsidR="00330CA9" w:rsidRPr="00867F38" w:rsidRDefault="00330CA9" w:rsidP="00330CA9">
      <w:pPr>
        <w:tabs>
          <w:tab w:val="num" w:pos="720"/>
        </w:tabs>
        <w:spacing w:before="240" w:after="120"/>
        <w:jc w:val="both"/>
        <w:rPr>
          <w:rFonts w:ascii="Titillium" w:eastAsia="Arial Unicode MS" w:hAnsi="Titillium" w:cs="Arial"/>
          <w:sz w:val="22"/>
          <w:szCs w:val="24"/>
          <w:lang w:val="en-GB" w:eastAsia="en-GB"/>
        </w:rPr>
      </w:pPr>
      <w:r w:rsidRPr="00867F38">
        <w:rPr>
          <w:rFonts w:ascii="Titillium" w:eastAsia="Arial Unicode MS" w:hAnsi="Titillium" w:cs="Arial"/>
          <w:b/>
          <w:bCs/>
          <w:color w:val="003366"/>
          <w:szCs w:val="24"/>
          <w:lang w:val="en-GB" w:eastAsia="en-GB"/>
        </w:rPr>
        <w:t>Delivery Mechanisms/Actions</w:t>
      </w:r>
    </w:p>
    <w:tbl>
      <w:tblPr>
        <w:tblW w:w="13745" w:type="dxa"/>
        <w:tblLook w:val="0000" w:firstRow="0" w:lastRow="0" w:firstColumn="0" w:lastColumn="0" w:noHBand="0" w:noVBand="0"/>
      </w:tblPr>
      <w:tblGrid>
        <w:gridCol w:w="709"/>
        <w:gridCol w:w="13036"/>
      </w:tblGrid>
      <w:tr w:rsidR="00330CA9" w:rsidRPr="00867F38" w14:paraId="6D83ED96" w14:textId="77777777" w:rsidTr="001C1EBF">
        <w:tc>
          <w:tcPr>
            <w:tcW w:w="709" w:type="dxa"/>
          </w:tcPr>
          <w:p w14:paraId="558675EF" w14:textId="762041CA" w:rsidR="00330CA9" w:rsidRPr="00867F38" w:rsidRDefault="000C1872" w:rsidP="001C1EB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3</w:t>
            </w:r>
            <w:r w:rsidR="00330CA9" w:rsidRPr="00867F38">
              <w:rPr>
                <w:rFonts w:ascii="Titillium" w:eastAsia="Arial Unicode MS" w:hAnsi="Titillium" w:cs="Arial"/>
                <w:color w:val="003366"/>
                <w:sz w:val="22"/>
                <w:szCs w:val="24"/>
                <w:lang w:val="en-GB" w:eastAsia="en-GB"/>
              </w:rPr>
              <w:t>.1</w:t>
            </w:r>
          </w:p>
        </w:tc>
        <w:tc>
          <w:tcPr>
            <w:tcW w:w="13036" w:type="dxa"/>
          </w:tcPr>
          <w:p w14:paraId="22673C60" w14:textId="0615F89F" w:rsidR="00330CA9" w:rsidRPr="00867F38" w:rsidRDefault="001C1EBF" w:rsidP="00B211AD">
            <w:pPr>
              <w:tabs>
                <w:tab w:val="num" w:pos="720"/>
              </w:tabs>
              <w:spacing w:before="120" w:after="12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E</w:t>
            </w:r>
            <w:r w:rsidR="00B211AD">
              <w:rPr>
                <w:rFonts w:ascii="Titillium" w:eastAsia="Arial Unicode MS" w:hAnsi="Titillium" w:cs="Arial"/>
                <w:sz w:val="22"/>
                <w:szCs w:val="24"/>
                <w:lang w:val="en-GB" w:eastAsia="en-GB"/>
              </w:rPr>
              <w:t>stablish</w:t>
            </w:r>
            <w:r w:rsidRPr="00867F38">
              <w:rPr>
                <w:rFonts w:ascii="Titillium" w:eastAsia="Arial Unicode MS" w:hAnsi="Titillium" w:cs="Arial"/>
                <w:sz w:val="22"/>
                <w:szCs w:val="24"/>
                <w:lang w:val="en-GB" w:eastAsia="en-GB"/>
              </w:rPr>
              <w:t xml:space="preserve"> robust </w:t>
            </w:r>
            <w:r w:rsidR="000C1872" w:rsidRPr="00867F38">
              <w:rPr>
                <w:rFonts w:ascii="Titillium" w:eastAsia="Arial Unicode MS" w:hAnsi="Titillium" w:cs="Arial"/>
                <w:sz w:val="22"/>
                <w:szCs w:val="24"/>
                <w:lang w:val="en-GB" w:eastAsia="en-GB"/>
              </w:rPr>
              <w:t>monitoring and tracking that enables accurate reporting of applications, matriculation, progression and success of Scottish and RUK widening participation students.</w:t>
            </w:r>
          </w:p>
        </w:tc>
      </w:tr>
      <w:tr w:rsidR="00330CA9" w:rsidRPr="00867F38" w14:paraId="397BF5D9" w14:textId="77777777" w:rsidTr="001C1EBF">
        <w:tc>
          <w:tcPr>
            <w:tcW w:w="709" w:type="dxa"/>
          </w:tcPr>
          <w:p w14:paraId="793E94F7" w14:textId="75D0B5FF" w:rsidR="00330CA9" w:rsidRPr="00867F38" w:rsidRDefault="000C1872" w:rsidP="001C1EB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3</w:t>
            </w:r>
            <w:r w:rsidR="00330CA9" w:rsidRPr="00867F38">
              <w:rPr>
                <w:rFonts w:ascii="Titillium" w:eastAsia="Arial Unicode MS" w:hAnsi="Titillium" w:cs="Arial"/>
                <w:color w:val="003366"/>
                <w:sz w:val="22"/>
                <w:szCs w:val="24"/>
                <w:lang w:val="en-GB" w:eastAsia="en-GB"/>
              </w:rPr>
              <w:t>.2</w:t>
            </w:r>
          </w:p>
        </w:tc>
        <w:tc>
          <w:tcPr>
            <w:tcW w:w="13036" w:type="dxa"/>
          </w:tcPr>
          <w:p w14:paraId="70E5C322" w14:textId="66ED1D96" w:rsidR="00330CA9" w:rsidRPr="00867F38" w:rsidRDefault="007377C5" w:rsidP="001C04EC">
            <w:pPr>
              <w:spacing w:before="120" w:after="120"/>
              <w:jc w:val="both"/>
              <w:rPr>
                <w:rFonts w:ascii="Titillium" w:eastAsia="Arial Unicode MS" w:hAnsi="Titillium" w:cs="Arial"/>
                <w:sz w:val="22"/>
                <w:szCs w:val="24"/>
                <w:lang w:val="en-GB" w:eastAsia="en-GB"/>
              </w:rPr>
            </w:pPr>
            <w:r>
              <w:rPr>
                <w:rFonts w:ascii="Titillium" w:eastAsia="Arial Unicode MS" w:hAnsi="Titillium" w:cs="Arial"/>
                <w:sz w:val="22"/>
                <w:szCs w:val="24"/>
                <w:lang w:val="en-GB" w:eastAsia="en-GB"/>
              </w:rPr>
              <w:t>Agree</w:t>
            </w:r>
            <w:r w:rsidR="001C04EC">
              <w:rPr>
                <w:rFonts w:ascii="Titillium" w:eastAsia="Arial Unicode MS" w:hAnsi="Titillium" w:cs="Arial"/>
                <w:sz w:val="22"/>
                <w:szCs w:val="24"/>
                <w:lang w:val="en-GB" w:eastAsia="en-GB"/>
              </w:rPr>
              <w:t xml:space="preserve"> </w:t>
            </w:r>
            <w:r w:rsidR="000C1872" w:rsidRPr="00867F38">
              <w:rPr>
                <w:rFonts w:ascii="Titillium" w:eastAsia="Arial Unicode MS" w:hAnsi="Titillium" w:cs="Arial"/>
                <w:sz w:val="22"/>
                <w:szCs w:val="24"/>
                <w:lang w:val="en-GB" w:eastAsia="en-GB"/>
              </w:rPr>
              <w:t>targets for individual Schools based on entrants from wideni</w:t>
            </w:r>
            <w:r w:rsidR="00B211AD">
              <w:rPr>
                <w:rFonts w:ascii="Titillium" w:eastAsia="Arial Unicode MS" w:hAnsi="Titillium" w:cs="Arial"/>
                <w:sz w:val="22"/>
                <w:szCs w:val="24"/>
                <w:lang w:val="en-GB" w:eastAsia="en-GB"/>
              </w:rPr>
              <w:t xml:space="preserve">ng participation backgrounds, </w:t>
            </w:r>
            <w:r w:rsidR="000C1872" w:rsidRPr="00867F38">
              <w:rPr>
                <w:rFonts w:ascii="Titillium" w:eastAsia="Arial Unicode MS" w:hAnsi="Titillium" w:cs="Arial"/>
                <w:sz w:val="22"/>
                <w:szCs w:val="24"/>
                <w:lang w:val="en-GB" w:eastAsia="en-GB"/>
              </w:rPr>
              <w:t xml:space="preserve">number of students articulating onto programmes with </w:t>
            </w:r>
            <w:r w:rsidR="00B211AD">
              <w:rPr>
                <w:rFonts w:ascii="Titillium" w:eastAsia="Arial Unicode MS" w:hAnsi="Titillium" w:cs="Arial"/>
                <w:sz w:val="22"/>
                <w:szCs w:val="24"/>
                <w:lang w:val="en-GB" w:eastAsia="en-GB"/>
              </w:rPr>
              <w:t xml:space="preserve">no loss </w:t>
            </w:r>
            <w:r w:rsidR="000C1872" w:rsidRPr="00867F38">
              <w:rPr>
                <w:rFonts w:ascii="Titillium" w:eastAsia="Arial Unicode MS" w:hAnsi="Titillium" w:cs="Arial"/>
                <w:sz w:val="22"/>
                <w:szCs w:val="24"/>
                <w:lang w:val="en-GB" w:eastAsia="en-GB"/>
              </w:rPr>
              <w:t>of time and retention/progression of widening participation students.</w:t>
            </w:r>
          </w:p>
        </w:tc>
      </w:tr>
      <w:tr w:rsidR="00330CA9" w:rsidRPr="00867F38" w14:paraId="661A944B" w14:textId="77777777" w:rsidTr="001C1EBF">
        <w:tc>
          <w:tcPr>
            <w:tcW w:w="709" w:type="dxa"/>
          </w:tcPr>
          <w:p w14:paraId="63936178" w14:textId="35C40207" w:rsidR="00330CA9" w:rsidRPr="00867F38" w:rsidRDefault="000C1872" w:rsidP="001C1EB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3</w:t>
            </w:r>
            <w:r w:rsidR="00330CA9" w:rsidRPr="00867F38">
              <w:rPr>
                <w:rFonts w:ascii="Titillium" w:eastAsia="Arial Unicode MS" w:hAnsi="Titillium" w:cs="Arial"/>
                <w:color w:val="003366"/>
                <w:sz w:val="22"/>
                <w:szCs w:val="24"/>
                <w:lang w:val="en-GB" w:eastAsia="en-GB"/>
              </w:rPr>
              <w:t>.3</w:t>
            </w:r>
          </w:p>
        </w:tc>
        <w:tc>
          <w:tcPr>
            <w:tcW w:w="13036" w:type="dxa"/>
          </w:tcPr>
          <w:p w14:paraId="280F180E" w14:textId="05409737" w:rsidR="00330CA9" w:rsidRPr="00867F38" w:rsidRDefault="00F965ED" w:rsidP="004871C7">
            <w:pPr>
              <w:spacing w:before="120" w:after="12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Embed robust methods of monitoring, reporting and disseminating the impact of activities, and the progress and success of pupils from widening </w:t>
            </w:r>
            <w:r w:rsidR="004871C7" w:rsidRPr="00867F38">
              <w:rPr>
                <w:rFonts w:ascii="Titillium" w:eastAsia="Arial Unicode MS" w:hAnsi="Titillium" w:cs="Arial"/>
                <w:sz w:val="22"/>
                <w:szCs w:val="24"/>
                <w:lang w:val="en-GB" w:eastAsia="en-GB"/>
              </w:rPr>
              <w:t>participation</w:t>
            </w:r>
            <w:r w:rsidRPr="00867F38">
              <w:rPr>
                <w:rFonts w:ascii="Titillium" w:eastAsia="Arial Unicode MS" w:hAnsi="Titillium" w:cs="Arial"/>
                <w:sz w:val="22"/>
                <w:szCs w:val="24"/>
                <w:lang w:val="en-GB" w:eastAsia="en-GB"/>
              </w:rPr>
              <w:t xml:space="preserve"> backgrounds.</w:t>
            </w:r>
          </w:p>
        </w:tc>
      </w:tr>
      <w:tr w:rsidR="00F965ED" w:rsidRPr="00867F38" w14:paraId="3F7025BC" w14:textId="77777777" w:rsidTr="001C1EBF">
        <w:tc>
          <w:tcPr>
            <w:tcW w:w="709" w:type="dxa"/>
          </w:tcPr>
          <w:p w14:paraId="48B11B6C" w14:textId="6B1F4A4B" w:rsidR="00F965ED" w:rsidRPr="00867F38" w:rsidRDefault="00F965ED" w:rsidP="001C1EBF">
            <w:pPr>
              <w:spacing w:before="120"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color w:val="003366"/>
                <w:sz w:val="22"/>
                <w:szCs w:val="24"/>
                <w:lang w:val="en-GB" w:eastAsia="en-GB"/>
              </w:rPr>
              <w:t>3.4</w:t>
            </w:r>
          </w:p>
        </w:tc>
        <w:tc>
          <w:tcPr>
            <w:tcW w:w="13036" w:type="dxa"/>
          </w:tcPr>
          <w:p w14:paraId="4D75E8C8" w14:textId="07018541" w:rsidR="00F965ED" w:rsidRPr="00867F38" w:rsidRDefault="00044F9A" w:rsidP="004871C7">
            <w:pPr>
              <w:spacing w:before="120" w:after="120"/>
              <w:jc w:val="both"/>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Develop robust methods of measuring and reporting engagement of widening </w:t>
            </w:r>
            <w:r w:rsidR="004871C7" w:rsidRPr="00867F38">
              <w:rPr>
                <w:rFonts w:ascii="Titillium" w:eastAsia="Arial Unicode MS" w:hAnsi="Titillium" w:cs="Arial"/>
                <w:sz w:val="22"/>
                <w:szCs w:val="24"/>
                <w:lang w:val="en-GB" w:eastAsia="en-GB"/>
              </w:rPr>
              <w:t>participation</w:t>
            </w:r>
            <w:r w:rsidR="00B211AD">
              <w:rPr>
                <w:rFonts w:ascii="Titillium" w:eastAsia="Arial Unicode MS" w:hAnsi="Titillium" w:cs="Arial"/>
                <w:sz w:val="22"/>
                <w:szCs w:val="24"/>
                <w:lang w:val="en-GB" w:eastAsia="en-GB"/>
              </w:rPr>
              <w:t xml:space="preserve"> students with added-</w:t>
            </w:r>
            <w:r w:rsidRPr="00867F38">
              <w:rPr>
                <w:rFonts w:ascii="Titillium" w:eastAsia="Arial Unicode MS" w:hAnsi="Titillium" w:cs="Arial"/>
                <w:sz w:val="22"/>
                <w:szCs w:val="24"/>
                <w:lang w:val="en-GB" w:eastAsia="en-GB"/>
              </w:rPr>
              <w:t>value activities including volunteering, employability, academic skills support, mentoring, internships, study abroad and internationalisation.</w:t>
            </w:r>
          </w:p>
        </w:tc>
      </w:tr>
    </w:tbl>
    <w:p w14:paraId="1C2AE1F5" w14:textId="77777777" w:rsidR="00561D88" w:rsidRDefault="00960000" w:rsidP="00151004">
      <w:pPr>
        <w:spacing w:after="120"/>
        <w:jc w:val="both"/>
        <w:rPr>
          <w:rFonts w:ascii="Titillium" w:eastAsia="Times New Roman" w:hAnsi="Titillium" w:cs="Arial"/>
          <w:b/>
          <w:bCs/>
          <w:color w:val="000080"/>
          <w:szCs w:val="24"/>
          <w:lang w:val="en-GB" w:eastAsia="en-GB"/>
        </w:rPr>
      </w:pPr>
      <w:r>
        <w:rPr>
          <w:rFonts w:ascii="Titillium" w:eastAsia="Times New Roman" w:hAnsi="Titillium" w:cs="Arial"/>
          <w:b/>
          <w:bCs/>
          <w:color w:val="000080"/>
          <w:szCs w:val="24"/>
          <w:lang w:val="en-GB" w:eastAsia="en-GB"/>
        </w:rPr>
        <w:pict w14:anchorId="58493CC6">
          <v:rect id="_x0000_i1034" style="width:0;height:1.5pt" o:hralign="center" o:hrstd="t" o:hr="t" fillcolor="#aca899" stroked="f"/>
        </w:pict>
      </w:r>
      <w:r w:rsidR="00561D88">
        <w:rPr>
          <w:rFonts w:ascii="Titillium" w:eastAsia="Times New Roman" w:hAnsi="Titillium" w:cs="Arial"/>
          <w:b/>
          <w:bCs/>
          <w:color w:val="000080"/>
          <w:szCs w:val="24"/>
          <w:lang w:val="en-GB" w:eastAsia="en-GB"/>
        </w:rPr>
        <w:br w:type="page"/>
      </w:r>
    </w:p>
    <w:p w14:paraId="41B7CEFA" w14:textId="7DC01C6F" w:rsidR="00330CA9" w:rsidRPr="00867F38" w:rsidRDefault="00330CA9" w:rsidP="00151004">
      <w:pPr>
        <w:spacing w:after="120"/>
        <w:jc w:val="both"/>
        <w:rPr>
          <w:rFonts w:ascii="Titillium" w:eastAsia="Arial Unicode MS" w:hAnsi="Titillium" w:cs="Arial"/>
          <w:color w:val="003366"/>
          <w:sz w:val="22"/>
          <w:szCs w:val="24"/>
          <w:lang w:val="en-GB" w:eastAsia="en-GB"/>
        </w:rPr>
      </w:pPr>
      <w:r w:rsidRPr="00867F38">
        <w:rPr>
          <w:rFonts w:ascii="Titillium" w:eastAsia="Arial Unicode MS" w:hAnsi="Titillium" w:cs="Arial"/>
          <w:b/>
          <w:bCs/>
          <w:color w:val="003366"/>
          <w:szCs w:val="24"/>
          <w:lang w:val="en-GB" w:eastAsia="en-GB"/>
        </w:rPr>
        <w:lastRenderedPageBreak/>
        <w:t>Success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26"/>
        <w:gridCol w:w="2126"/>
        <w:gridCol w:w="4820"/>
      </w:tblGrid>
      <w:tr w:rsidR="00330CA9" w:rsidRPr="00867F38" w14:paraId="53E15725" w14:textId="77777777" w:rsidTr="001C1EBF">
        <w:trPr>
          <w:cantSplit/>
        </w:trPr>
        <w:tc>
          <w:tcPr>
            <w:tcW w:w="4815" w:type="dxa"/>
          </w:tcPr>
          <w:p w14:paraId="438C1CFE" w14:textId="77777777" w:rsidR="00330CA9" w:rsidRPr="00867F38" w:rsidRDefault="00330CA9" w:rsidP="001C1EBF">
            <w:pPr>
              <w:spacing w:before="120" w:after="120"/>
              <w:jc w:val="both"/>
              <w:rPr>
                <w:rFonts w:ascii="Titillium" w:eastAsia="Times New Roman" w:hAnsi="Titillium" w:cs="Arial"/>
                <w:b/>
                <w:sz w:val="22"/>
                <w:szCs w:val="22"/>
                <w:lang w:val="en-GB"/>
              </w:rPr>
            </w:pPr>
            <w:r w:rsidRPr="00867F38">
              <w:rPr>
                <w:rFonts w:ascii="Titillium" w:eastAsia="Times New Roman" w:hAnsi="Titillium" w:cs="Arial"/>
                <w:b/>
                <w:color w:val="003366"/>
                <w:sz w:val="22"/>
                <w:szCs w:val="22"/>
                <w:lang w:val="en-GB"/>
              </w:rPr>
              <w:t>Indicators of Success</w:t>
            </w:r>
          </w:p>
        </w:tc>
        <w:tc>
          <w:tcPr>
            <w:tcW w:w="2126" w:type="dxa"/>
          </w:tcPr>
          <w:p w14:paraId="714123BF" w14:textId="77777777" w:rsidR="00330CA9" w:rsidRPr="00867F38" w:rsidRDefault="00330CA9" w:rsidP="001C1EBF">
            <w:pPr>
              <w:spacing w:before="120" w:after="120"/>
              <w:jc w:val="both"/>
              <w:rPr>
                <w:rFonts w:ascii="Titillium" w:eastAsia="Times New Roman" w:hAnsi="Titillium" w:cs="Arial"/>
                <w:sz w:val="22"/>
                <w:szCs w:val="22"/>
                <w:lang w:val="en-GB"/>
              </w:rPr>
            </w:pPr>
            <w:r w:rsidRPr="00867F38">
              <w:rPr>
                <w:rFonts w:ascii="Titillium" w:eastAsia="Times New Roman" w:hAnsi="Titillium" w:cs="Arial"/>
                <w:b/>
                <w:bCs/>
                <w:color w:val="003366"/>
                <w:sz w:val="22"/>
                <w:szCs w:val="22"/>
                <w:lang w:val="en-GB"/>
              </w:rPr>
              <w:t>Baseline (&lt;Year&gt;)</w:t>
            </w:r>
          </w:p>
        </w:tc>
        <w:tc>
          <w:tcPr>
            <w:tcW w:w="2126" w:type="dxa"/>
          </w:tcPr>
          <w:p w14:paraId="6B0550AB" w14:textId="77777777" w:rsidR="00330CA9" w:rsidRPr="00867F38" w:rsidRDefault="00330CA9" w:rsidP="001C1EBF">
            <w:pPr>
              <w:spacing w:before="120" w:after="120"/>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Target (&lt;2020&gt;)</w:t>
            </w:r>
          </w:p>
        </w:tc>
        <w:tc>
          <w:tcPr>
            <w:tcW w:w="4820" w:type="dxa"/>
          </w:tcPr>
          <w:p w14:paraId="45F49ABE" w14:textId="77777777" w:rsidR="00330CA9" w:rsidRPr="00867F38" w:rsidRDefault="00330CA9" w:rsidP="001C1EBF">
            <w:pPr>
              <w:spacing w:before="120" w:after="120"/>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Comments</w:t>
            </w:r>
          </w:p>
        </w:tc>
      </w:tr>
      <w:tr w:rsidR="00330CA9" w:rsidRPr="00867F38" w14:paraId="6028C6C6" w14:textId="77777777" w:rsidTr="001C1EBF">
        <w:trPr>
          <w:cantSplit/>
        </w:trPr>
        <w:tc>
          <w:tcPr>
            <w:tcW w:w="4815" w:type="dxa"/>
          </w:tcPr>
          <w:p w14:paraId="06D90468" w14:textId="647CAF8E" w:rsidR="00330CA9" w:rsidRPr="007B41CF" w:rsidRDefault="00151004" w:rsidP="00151004">
            <w:pPr>
              <w:spacing w:before="120" w:after="120"/>
              <w:jc w:val="both"/>
              <w:rPr>
                <w:rFonts w:ascii="Titillium" w:eastAsia="Times New Roman" w:hAnsi="Titillium" w:cs="Arial"/>
                <w:sz w:val="22"/>
                <w:szCs w:val="22"/>
                <w:highlight w:val="yellow"/>
                <w:lang w:val="en-GB"/>
              </w:rPr>
            </w:pPr>
            <w:r w:rsidRPr="00151004">
              <w:rPr>
                <w:rFonts w:ascii="Titillium" w:eastAsia="Times New Roman" w:hAnsi="Titillium" w:cs="Arial"/>
                <w:sz w:val="22"/>
                <w:szCs w:val="22"/>
                <w:lang w:val="en-GB"/>
              </w:rPr>
              <w:t>Dissemination of evaluation and best practice</w:t>
            </w:r>
          </w:p>
        </w:tc>
        <w:tc>
          <w:tcPr>
            <w:tcW w:w="2126" w:type="dxa"/>
          </w:tcPr>
          <w:p w14:paraId="4E8AB4B7" w14:textId="575AB136" w:rsidR="00330CA9" w:rsidRPr="00867F38" w:rsidRDefault="00FB34AD" w:rsidP="001C1EBF">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Not available</w:t>
            </w:r>
          </w:p>
        </w:tc>
        <w:tc>
          <w:tcPr>
            <w:tcW w:w="2126" w:type="dxa"/>
          </w:tcPr>
          <w:p w14:paraId="3A43AD64" w14:textId="1249B6BF" w:rsidR="00330CA9" w:rsidRPr="00867F38" w:rsidRDefault="00ED3B81" w:rsidP="001C1EBF">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Increased outputs, impact and profile</w:t>
            </w:r>
          </w:p>
        </w:tc>
        <w:tc>
          <w:tcPr>
            <w:tcW w:w="4820" w:type="dxa"/>
          </w:tcPr>
          <w:p w14:paraId="327858BB" w14:textId="77777777" w:rsidR="00ED3B81" w:rsidRDefault="00ED3B81" w:rsidP="00ED3B81">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Outputs include case studies and publications.</w:t>
            </w:r>
          </w:p>
          <w:p w14:paraId="515FB828" w14:textId="4DF0BB99" w:rsidR="00330CA9" w:rsidRPr="00867F38" w:rsidRDefault="00ED3B81" w:rsidP="00ED3B81">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Profile will be assessed through representation and degree of influence at key WP policy groups and feedback from key stakeholders</w:t>
            </w:r>
          </w:p>
        </w:tc>
      </w:tr>
      <w:tr w:rsidR="001C04EC" w:rsidRPr="00867F38" w14:paraId="2277AD2F" w14:textId="77777777" w:rsidTr="001C1EBF">
        <w:trPr>
          <w:cantSplit/>
        </w:trPr>
        <w:tc>
          <w:tcPr>
            <w:tcW w:w="4815" w:type="dxa"/>
          </w:tcPr>
          <w:p w14:paraId="309CA924" w14:textId="09F49ED9" w:rsidR="001C04EC" w:rsidRPr="00151004" w:rsidRDefault="001C04EC" w:rsidP="00151004">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Develop and disseminate robust data sets to underpin the deliverables outlined in sections 1 and 2</w:t>
            </w:r>
          </w:p>
        </w:tc>
        <w:tc>
          <w:tcPr>
            <w:tcW w:w="2126" w:type="dxa"/>
          </w:tcPr>
          <w:p w14:paraId="05118892" w14:textId="090AB114" w:rsidR="001C04EC" w:rsidRDefault="001C04EC" w:rsidP="001C1EBF">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Not available</w:t>
            </w:r>
          </w:p>
        </w:tc>
        <w:tc>
          <w:tcPr>
            <w:tcW w:w="2126" w:type="dxa"/>
          </w:tcPr>
          <w:p w14:paraId="0CB10F40" w14:textId="6035C3E8" w:rsidR="001C04EC" w:rsidRDefault="001C04EC" w:rsidP="001C1EBF">
            <w:pPr>
              <w:spacing w:before="120" w:after="120"/>
              <w:jc w:val="both"/>
              <w:rPr>
                <w:rFonts w:ascii="Titillium" w:eastAsia="Times New Roman" w:hAnsi="Titillium" w:cs="Arial"/>
                <w:sz w:val="22"/>
                <w:szCs w:val="22"/>
                <w:lang w:val="en-GB"/>
              </w:rPr>
            </w:pPr>
            <w:r>
              <w:rPr>
                <w:rFonts w:ascii="Titillium" w:eastAsia="Times New Roman" w:hAnsi="Titillium" w:cs="Arial"/>
                <w:sz w:val="22"/>
                <w:szCs w:val="22"/>
                <w:lang w:val="en-GB"/>
              </w:rPr>
              <w:t xml:space="preserve">Robust </w:t>
            </w:r>
            <w:r w:rsidR="002436CF">
              <w:rPr>
                <w:rFonts w:ascii="Titillium" w:eastAsia="Times New Roman" w:hAnsi="Titillium" w:cs="Arial"/>
                <w:sz w:val="22"/>
                <w:szCs w:val="22"/>
                <w:lang w:val="en-GB"/>
              </w:rPr>
              <w:t>quantitative</w:t>
            </w:r>
            <w:r>
              <w:rPr>
                <w:rFonts w:ascii="Titillium" w:eastAsia="Times New Roman" w:hAnsi="Titillium" w:cs="Arial"/>
                <w:sz w:val="22"/>
                <w:szCs w:val="22"/>
                <w:lang w:val="en-GB"/>
              </w:rPr>
              <w:t xml:space="preserve"> and qualitative data sets for all priority widening participation groups and activities</w:t>
            </w:r>
          </w:p>
        </w:tc>
        <w:tc>
          <w:tcPr>
            <w:tcW w:w="4820" w:type="dxa"/>
          </w:tcPr>
          <w:p w14:paraId="7FA2C54A" w14:textId="77777777" w:rsidR="001C04EC" w:rsidRDefault="001C04EC" w:rsidP="00ED3B81">
            <w:pPr>
              <w:spacing w:before="120" w:after="120"/>
              <w:jc w:val="both"/>
              <w:rPr>
                <w:rFonts w:ascii="Titillium" w:eastAsia="Times New Roman" w:hAnsi="Titillium" w:cs="Arial"/>
                <w:sz w:val="22"/>
                <w:szCs w:val="22"/>
                <w:lang w:val="en-GB"/>
              </w:rPr>
            </w:pPr>
          </w:p>
        </w:tc>
      </w:tr>
    </w:tbl>
    <w:p w14:paraId="5D82EE35" w14:textId="3A899E72" w:rsidR="00330CA9" w:rsidRPr="00867F38" w:rsidRDefault="00330CA9" w:rsidP="00330CA9">
      <w:pPr>
        <w:spacing w:before="240" w:after="240"/>
        <w:jc w:val="both"/>
        <w:rPr>
          <w:rFonts w:ascii="Titillium" w:eastAsia="Times New Roman" w:hAnsi="Titillium" w:cs="Arial"/>
          <w:i/>
          <w:iCs/>
          <w:color w:val="C00000"/>
          <w:sz w:val="22"/>
          <w:szCs w:val="24"/>
          <w:lang w:val="en-GB" w:eastAsia="en-GB"/>
        </w:rPr>
        <w:sectPr w:rsidR="00330CA9" w:rsidRPr="00867F38" w:rsidSect="00325155">
          <w:pgSz w:w="16838" w:h="11906" w:orient="landscape"/>
          <w:pgMar w:top="1440" w:right="1080" w:bottom="1440" w:left="1080" w:header="708" w:footer="708" w:gutter="0"/>
          <w:cols w:space="708"/>
          <w:docGrid w:linePitch="360"/>
        </w:sectPr>
      </w:pPr>
    </w:p>
    <w:p w14:paraId="1A8B406B" w14:textId="386FA871" w:rsidR="00284BDA" w:rsidRDefault="00284BDA" w:rsidP="002A5A43">
      <w:pPr>
        <w:spacing w:before="240" w:after="240"/>
        <w:jc w:val="both"/>
        <w:rPr>
          <w:rFonts w:ascii="Titillium" w:eastAsia="Times New Roman" w:hAnsi="Titillium" w:cs="Arial"/>
          <w:b/>
          <w:bCs/>
          <w:color w:val="003366"/>
          <w:sz w:val="28"/>
          <w:szCs w:val="28"/>
          <w:lang w:val="en-GB"/>
        </w:rPr>
      </w:pPr>
      <w:r w:rsidRPr="00867F38">
        <w:rPr>
          <w:rFonts w:ascii="Titillium" w:eastAsia="Times New Roman" w:hAnsi="Titillium" w:cs="Arial"/>
          <w:b/>
          <w:bCs/>
          <w:color w:val="003366"/>
          <w:sz w:val="28"/>
          <w:szCs w:val="28"/>
          <w:lang w:val="en-GB"/>
        </w:rPr>
        <w:lastRenderedPageBreak/>
        <w:t>Monitoring and Measuring Our Success</w:t>
      </w:r>
    </w:p>
    <w:p w14:paraId="6B330B2E" w14:textId="1CCF14DC" w:rsidR="00284BDA" w:rsidRPr="00867F38" w:rsidRDefault="00284BDA" w:rsidP="00284BDA">
      <w:pPr>
        <w:spacing w:before="240" w:after="120"/>
        <w:rPr>
          <w:rFonts w:ascii="Titillium" w:eastAsia="Times New Roman" w:hAnsi="Titillium" w:cs="Arial"/>
          <w:b/>
          <w:bCs/>
          <w:color w:val="003366"/>
          <w:szCs w:val="24"/>
          <w:lang w:val="en-GB"/>
        </w:rPr>
      </w:pPr>
      <w:r w:rsidRPr="00867F38">
        <w:rPr>
          <w:rFonts w:ascii="Titillium" w:eastAsia="Times New Roman" w:hAnsi="Titillium" w:cs="Arial"/>
          <w:b/>
          <w:bCs/>
          <w:color w:val="003366"/>
          <w:szCs w:val="24"/>
          <w:lang w:val="en-GB"/>
        </w:rPr>
        <w:t>Strategy Dashboard</w:t>
      </w:r>
    </w:p>
    <w:p w14:paraId="2040DA66" w14:textId="77777777" w:rsidR="00284BDA" w:rsidRPr="00867F38" w:rsidRDefault="00284BDA" w:rsidP="00284BDA">
      <w:pPr>
        <w:spacing w:before="240" w:after="120"/>
        <w:rPr>
          <w:rFonts w:ascii="Titillium" w:eastAsia="Times New Roman" w:hAnsi="Titillium" w:cs="Arial"/>
          <w:bCs/>
          <w:sz w:val="22"/>
          <w:szCs w:val="22"/>
          <w:lang w:val="en-GB"/>
        </w:rPr>
      </w:pPr>
      <w:r w:rsidRPr="00867F38">
        <w:rPr>
          <w:rFonts w:ascii="Titillium" w:eastAsia="Times New Roman" w:hAnsi="Titillium" w:cs="Arial"/>
          <w:bCs/>
          <w:sz w:val="22"/>
          <w:szCs w:val="22"/>
          <w:lang w:val="en-GB"/>
        </w:rPr>
        <w:t>The following strategy dashboard will be used to monitor the overall success of the strategy.</w:t>
      </w: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3116"/>
        <w:gridCol w:w="2324"/>
        <w:gridCol w:w="1928"/>
        <w:gridCol w:w="3938"/>
      </w:tblGrid>
      <w:tr w:rsidR="00284BDA" w:rsidRPr="00867F38" w14:paraId="517D20C7" w14:textId="77777777" w:rsidTr="002C3981">
        <w:tc>
          <w:tcPr>
            <w:tcW w:w="2551" w:type="dxa"/>
          </w:tcPr>
          <w:p w14:paraId="73074A1A" w14:textId="77777777" w:rsidR="00284BDA" w:rsidRPr="00867F38" w:rsidRDefault="00284BDA" w:rsidP="00284BDA">
            <w:pPr>
              <w:spacing w:before="60" w:after="60" w:line="276" w:lineRule="auto"/>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What</w:t>
            </w:r>
          </w:p>
        </w:tc>
        <w:tc>
          <w:tcPr>
            <w:tcW w:w="3116" w:type="dxa"/>
          </w:tcPr>
          <w:p w14:paraId="79B2B97C" w14:textId="77777777" w:rsidR="00284BDA" w:rsidRPr="00867F38" w:rsidRDefault="00284BDA" w:rsidP="00284BDA">
            <w:pPr>
              <w:spacing w:before="60" w:after="60" w:line="276" w:lineRule="auto"/>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Indicators of success</w:t>
            </w:r>
          </w:p>
        </w:tc>
        <w:tc>
          <w:tcPr>
            <w:tcW w:w="2324" w:type="dxa"/>
          </w:tcPr>
          <w:p w14:paraId="5882B591" w14:textId="77777777" w:rsidR="00284BDA" w:rsidRPr="00867F38" w:rsidRDefault="00284BDA" w:rsidP="00284BDA">
            <w:pPr>
              <w:spacing w:before="120" w:after="120"/>
              <w:jc w:val="both"/>
              <w:rPr>
                <w:rFonts w:ascii="Titillium" w:eastAsia="Times New Roman" w:hAnsi="Titillium" w:cs="Arial"/>
                <w:sz w:val="22"/>
                <w:szCs w:val="22"/>
                <w:lang w:val="en-GB"/>
              </w:rPr>
            </w:pPr>
            <w:r w:rsidRPr="00867F38">
              <w:rPr>
                <w:rFonts w:ascii="Titillium" w:eastAsia="Times New Roman" w:hAnsi="Titillium" w:cs="Arial"/>
                <w:b/>
                <w:bCs/>
                <w:color w:val="003366"/>
                <w:sz w:val="22"/>
                <w:szCs w:val="22"/>
                <w:lang w:val="en-GB"/>
              </w:rPr>
              <w:t>Baseline (&lt;Year&gt;)</w:t>
            </w:r>
          </w:p>
        </w:tc>
        <w:tc>
          <w:tcPr>
            <w:tcW w:w="1928" w:type="dxa"/>
          </w:tcPr>
          <w:p w14:paraId="297C6EB1" w14:textId="77777777" w:rsidR="00284BDA" w:rsidRPr="00867F38" w:rsidRDefault="00284BDA" w:rsidP="00284BDA">
            <w:pPr>
              <w:spacing w:before="120" w:after="120"/>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Target (&lt;2020&gt;)</w:t>
            </w:r>
          </w:p>
        </w:tc>
        <w:tc>
          <w:tcPr>
            <w:tcW w:w="3938" w:type="dxa"/>
          </w:tcPr>
          <w:p w14:paraId="25AF4F2C" w14:textId="77777777" w:rsidR="00284BDA" w:rsidRPr="00867F38" w:rsidRDefault="00284BDA" w:rsidP="00284BDA">
            <w:pPr>
              <w:spacing w:before="120" w:after="120"/>
              <w:jc w:val="both"/>
              <w:rPr>
                <w:rFonts w:ascii="Titillium" w:eastAsia="Times New Roman" w:hAnsi="Titillium" w:cs="Arial"/>
                <w:b/>
                <w:bCs/>
                <w:color w:val="003366"/>
                <w:sz w:val="22"/>
                <w:szCs w:val="22"/>
                <w:lang w:val="en-GB"/>
              </w:rPr>
            </w:pPr>
            <w:r w:rsidRPr="00867F38">
              <w:rPr>
                <w:rFonts w:ascii="Titillium" w:eastAsia="Times New Roman" w:hAnsi="Titillium" w:cs="Arial"/>
                <w:b/>
                <w:bCs/>
                <w:color w:val="003366"/>
                <w:sz w:val="22"/>
                <w:szCs w:val="22"/>
                <w:lang w:val="en-GB"/>
              </w:rPr>
              <w:t>Comments</w:t>
            </w:r>
          </w:p>
        </w:tc>
      </w:tr>
      <w:tr w:rsidR="001654B0" w:rsidRPr="00867F38" w14:paraId="06C2D5DF" w14:textId="77777777" w:rsidTr="002C3981">
        <w:tc>
          <w:tcPr>
            <w:tcW w:w="2551" w:type="dxa"/>
          </w:tcPr>
          <w:p w14:paraId="60EEC13E" w14:textId="77777777" w:rsidR="001654B0" w:rsidRPr="00867F38" w:rsidRDefault="001654B0" w:rsidP="002C3981">
            <w:pPr>
              <w:tabs>
                <w:tab w:val="num" w:pos="720"/>
              </w:tabs>
              <w:spacing w:before="120" w:after="240"/>
              <w:rPr>
                <w:rFonts w:ascii="Titillium" w:eastAsia="Arial Unicode MS" w:hAnsi="Titillium" w:cs="Arial"/>
                <w:sz w:val="22"/>
                <w:szCs w:val="24"/>
                <w:lang w:val="en-GB" w:eastAsia="en-GB"/>
              </w:rPr>
            </w:pPr>
            <w:r w:rsidRPr="00867F38">
              <w:rPr>
                <w:rFonts w:ascii="Titillium" w:eastAsia="Arial Unicode MS" w:hAnsi="Titillium" w:cs="Arial"/>
                <w:sz w:val="22"/>
                <w:szCs w:val="24"/>
                <w:lang w:val="en-GB" w:eastAsia="en-GB"/>
              </w:rPr>
              <w:t xml:space="preserve">By 2020 we will have increased the access and attainment profile of under-represented groups </w:t>
            </w:r>
            <w:r>
              <w:rPr>
                <w:rFonts w:ascii="Titillium" w:eastAsia="Arial Unicode MS" w:hAnsi="Titillium" w:cs="Arial"/>
                <w:sz w:val="22"/>
                <w:szCs w:val="24"/>
                <w:lang w:val="en-GB" w:eastAsia="en-GB"/>
              </w:rPr>
              <w:t xml:space="preserve"> </w:t>
            </w:r>
          </w:p>
          <w:p w14:paraId="485F4B4F" w14:textId="28265099" w:rsidR="001654B0" w:rsidRPr="00867F38" w:rsidRDefault="001654B0" w:rsidP="002C3981">
            <w:pPr>
              <w:spacing w:before="60" w:after="60" w:line="276" w:lineRule="auto"/>
              <w:rPr>
                <w:rFonts w:ascii="Titillium" w:eastAsia="Times New Roman" w:hAnsi="Titillium" w:cs="Arial"/>
                <w:sz w:val="22"/>
                <w:szCs w:val="22"/>
                <w:lang w:val="en-GB"/>
              </w:rPr>
            </w:pPr>
          </w:p>
        </w:tc>
        <w:tc>
          <w:tcPr>
            <w:tcW w:w="3116" w:type="dxa"/>
          </w:tcPr>
          <w:p w14:paraId="3E33E0C6" w14:textId="40502BE0" w:rsidR="001654B0" w:rsidRPr="00867F38" w:rsidRDefault="001654B0" w:rsidP="002C3981">
            <w:pPr>
              <w:spacing w:before="60" w:after="60" w:line="276" w:lineRule="auto"/>
              <w:rPr>
                <w:rFonts w:ascii="Titillium" w:eastAsia="Times New Roman" w:hAnsi="Titillium" w:cs="Arial"/>
                <w:sz w:val="22"/>
                <w:szCs w:val="22"/>
                <w:lang w:val="en-GB"/>
              </w:rPr>
            </w:pPr>
            <w:r w:rsidRPr="001654B0">
              <w:rPr>
                <w:rFonts w:ascii="Titillium" w:eastAsia="Times New Roman" w:hAnsi="Titillium" w:cs="Arial"/>
                <w:sz w:val="22"/>
                <w:szCs w:val="22"/>
                <w:lang w:val="en-GB"/>
              </w:rPr>
              <w:t xml:space="preserve">Increased applications from widening participation priority groups (SIMD20, </w:t>
            </w:r>
            <w:r w:rsidRPr="001654B0">
              <w:rPr>
                <w:rFonts w:ascii="Titillium" w:eastAsia="Times New Roman" w:hAnsi="Titillium" w:cs="Arial"/>
                <w:sz w:val="22"/>
                <w:szCs w:val="22"/>
                <w:lang w:val="en-GB" w:eastAsia="en-GB"/>
              </w:rPr>
              <w:t>students who have been in care,</w:t>
            </w:r>
            <w:r w:rsidRPr="001654B0">
              <w:rPr>
                <w:rFonts w:ascii="Titillium" w:eastAsia="Times New Roman" w:hAnsi="Titillium" w:cs="Arial"/>
                <w:sz w:val="22"/>
                <w:szCs w:val="22"/>
                <w:lang w:val="en-GB"/>
              </w:rPr>
              <w:t xml:space="preserve"> pupils from SHEP schools, LEAPS </w:t>
            </w:r>
            <w:r w:rsidRPr="001654B0">
              <w:rPr>
                <w:rFonts w:ascii="Titillium" w:eastAsia="Times New Roman" w:hAnsi="Titillium" w:cs="Arial"/>
                <w:sz w:val="22"/>
                <w:szCs w:val="22"/>
                <w:lang w:val="en-GB" w:eastAsia="en-GB"/>
              </w:rPr>
              <w:t>eligible, students applying via SWAP)</w:t>
            </w:r>
          </w:p>
        </w:tc>
        <w:tc>
          <w:tcPr>
            <w:tcW w:w="2324" w:type="dxa"/>
          </w:tcPr>
          <w:p w14:paraId="68257A96" w14:textId="77777777" w:rsidR="001654B0" w:rsidRDefault="001654B0" w:rsidP="002C3981">
            <w:pPr>
              <w:rPr>
                <w:rFonts w:ascii="Titillium" w:eastAsia="Times New Roman" w:hAnsi="Titillium" w:cs="Arial"/>
                <w:sz w:val="22"/>
                <w:szCs w:val="22"/>
                <w:lang w:val="en-GB"/>
              </w:rPr>
            </w:pPr>
            <w:r>
              <w:rPr>
                <w:rFonts w:ascii="Titillium" w:eastAsia="Times New Roman" w:hAnsi="Titillium" w:cs="Arial"/>
                <w:sz w:val="22"/>
                <w:szCs w:val="22"/>
                <w:lang w:val="en-GB"/>
              </w:rPr>
              <w:t>Applications from WP groups (as % of applications from all Scottish domiciled undergraduate entrants)</w:t>
            </w:r>
          </w:p>
          <w:p w14:paraId="6A4994B2" w14:textId="77777777" w:rsidR="002C3981" w:rsidRDefault="002C3981" w:rsidP="002C3981">
            <w:pPr>
              <w:rPr>
                <w:rFonts w:ascii="Titillium" w:eastAsia="Times New Roman" w:hAnsi="Titillium" w:cs="Arial"/>
                <w:sz w:val="22"/>
                <w:szCs w:val="22"/>
                <w:lang w:val="en-GB"/>
              </w:rPr>
            </w:pPr>
          </w:p>
          <w:p w14:paraId="6742D608" w14:textId="709DA180" w:rsidR="001654B0" w:rsidRPr="00867F38" w:rsidRDefault="001654B0" w:rsidP="002C3981">
            <w:pPr>
              <w:rPr>
                <w:rFonts w:ascii="Titillium" w:eastAsia="Times New Roman" w:hAnsi="Titillium" w:cs="Arial"/>
                <w:sz w:val="22"/>
                <w:szCs w:val="22"/>
                <w:lang w:val="en-GB"/>
              </w:rPr>
            </w:pPr>
            <w:r>
              <w:rPr>
                <w:rFonts w:ascii="Titillium" w:eastAsia="Times New Roman" w:hAnsi="Titillium" w:cs="Arial"/>
                <w:sz w:val="22"/>
                <w:szCs w:val="22"/>
                <w:lang w:val="en-GB"/>
              </w:rPr>
              <w:t>23.5% (2016/17)</w:t>
            </w:r>
          </w:p>
        </w:tc>
        <w:tc>
          <w:tcPr>
            <w:tcW w:w="1928" w:type="dxa"/>
          </w:tcPr>
          <w:p w14:paraId="2C89B52E" w14:textId="77777777" w:rsidR="001654B0" w:rsidRDefault="001654B0" w:rsidP="002C3981">
            <w:pPr>
              <w:rPr>
                <w:rFonts w:ascii="Titillium" w:eastAsia="Times New Roman" w:hAnsi="Titillium" w:cs="Arial"/>
                <w:sz w:val="22"/>
                <w:szCs w:val="22"/>
                <w:lang w:val="en-GB"/>
              </w:rPr>
            </w:pPr>
          </w:p>
          <w:p w14:paraId="39F87A62" w14:textId="77777777" w:rsidR="001654B0" w:rsidRDefault="001654B0" w:rsidP="002C3981">
            <w:pPr>
              <w:rPr>
                <w:rFonts w:ascii="Titillium" w:eastAsia="Times New Roman" w:hAnsi="Titillium" w:cs="Arial"/>
                <w:sz w:val="22"/>
                <w:szCs w:val="22"/>
                <w:lang w:val="en-GB"/>
              </w:rPr>
            </w:pPr>
          </w:p>
          <w:p w14:paraId="0C7BCA53" w14:textId="77777777" w:rsidR="001654B0" w:rsidRDefault="001654B0" w:rsidP="002C3981">
            <w:pPr>
              <w:rPr>
                <w:rFonts w:ascii="Titillium" w:eastAsia="Times New Roman" w:hAnsi="Titillium" w:cs="Arial"/>
                <w:sz w:val="22"/>
                <w:szCs w:val="22"/>
                <w:lang w:val="en-GB"/>
              </w:rPr>
            </w:pPr>
          </w:p>
          <w:p w14:paraId="040D7D51" w14:textId="77777777" w:rsidR="001654B0" w:rsidRDefault="001654B0" w:rsidP="002C3981">
            <w:pPr>
              <w:rPr>
                <w:rFonts w:ascii="Titillium" w:eastAsia="Times New Roman" w:hAnsi="Titillium" w:cs="Arial"/>
                <w:sz w:val="22"/>
                <w:szCs w:val="22"/>
                <w:lang w:val="en-GB"/>
              </w:rPr>
            </w:pPr>
          </w:p>
          <w:p w14:paraId="148D3185" w14:textId="40FA1FE6" w:rsidR="001654B0" w:rsidRDefault="001654B0" w:rsidP="002C3981">
            <w:pPr>
              <w:rPr>
                <w:rFonts w:ascii="Titillium" w:eastAsia="Times New Roman" w:hAnsi="Titillium" w:cs="Arial"/>
                <w:sz w:val="22"/>
                <w:szCs w:val="22"/>
                <w:lang w:val="en-GB"/>
              </w:rPr>
            </w:pPr>
          </w:p>
          <w:p w14:paraId="56A68F99" w14:textId="77777777" w:rsidR="002C3981" w:rsidRDefault="002C3981" w:rsidP="002C3981">
            <w:pPr>
              <w:rPr>
                <w:rFonts w:ascii="Titillium" w:eastAsia="Times New Roman" w:hAnsi="Titillium" w:cs="Arial"/>
                <w:sz w:val="22"/>
                <w:szCs w:val="22"/>
                <w:lang w:val="en-GB"/>
              </w:rPr>
            </w:pPr>
          </w:p>
          <w:p w14:paraId="77BB14F6" w14:textId="77777777" w:rsidR="002C3981" w:rsidRDefault="002C3981" w:rsidP="002C3981">
            <w:pPr>
              <w:rPr>
                <w:rFonts w:ascii="Titillium" w:eastAsia="Times New Roman" w:hAnsi="Titillium" w:cs="Arial"/>
                <w:sz w:val="22"/>
                <w:szCs w:val="22"/>
                <w:lang w:val="en-GB"/>
              </w:rPr>
            </w:pPr>
          </w:p>
          <w:p w14:paraId="0A19E366" w14:textId="14E6DD0E" w:rsidR="001654B0" w:rsidRPr="00867F38" w:rsidRDefault="001654B0" w:rsidP="002C3981">
            <w:pPr>
              <w:spacing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30%</w:t>
            </w:r>
          </w:p>
        </w:tc>
        <w:tc>
          <w:tcPr>
            <w:tcW w:w="3938" w:type="dxa"/>
          </w:tcPr>
          <w:p w14:paraId="3C72D93D" w14:textId="77777777" w:rsidR="001654B0" w:rsidRDefault="001654B0" w:rsidP="002C3981">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Use applications as a proxy for expectation/awareness raising.</w:t>
            </w:r>
          </w:p>
          <w:p w14:paraId="1E358883" w14:textId="1D04CC2F" w:rsidR="001654B0" w:rsidRPr="00867F38" w:rsidRDefault="001654B0" w:rsidP="002C3981">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The range of priority groups will increase as we gain access to more robust data around other eligibility criteria, e.g. young adult carers, free school meals, EMA.</w:t>
            </w:r>
          </w:p>
        </w:tc>
      </w:tr>
      <w:tr w:rsidR="001654B0" w:rsidRPr="00867F38" w14:paraId="0C77C77B" w14:textId="77777777" w:rsidTr="002C3981">
        <w:tc>
          <w:tcPr>
            <w:tcW w:w="2551" w:type="dxa"/>
          </w:tcPr>
          <w:p w14:paraId="3F955CFF" w14:textId="77777777" w:rsidR="001654B0" w:rsidRPr="00867F38" w:rsidRDefault="001654B0" w:rsidP="002C3981">
            <w:pPr>
              <w:tabs>
                <w:tab w:val="num" w:pos="720"/>
              </w:tabs>
              <w:spacing w:before="120" w:after="240"/>
              <w:rPr>
                <w:rFonts w:ascii="Titillium" w:eastAsia="Arial Unicode MS" w:hAnsi="Titillium" w:cs="Arial"/>
                <w:sz w:val="22"/>
                <w:szCs w:val="24"/>
                <w:lang w:val="en-GB" w:eastAsia="en-GB"/>
              </w:rPr>
            </w:pPr>
          </w:p>
        </w:tc>
        <w:tc>
          <w:tcPr>
            <w:tcW w:w="3116" w:type="dxa"/>
          </w:tcPr>
          <w:p w14:paraId="601D7EF2" w14:textId="133A83AB" w:rsidR="001654B0" w:rsidRPr="001654B0" w:rsidRDefault="001654B0" w:rsidP="002C3981">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Attainment raising activity</w:t>
            </w:r>
          </w:p>
        </w:tc>
        <w:tc>
          <w:tcPr>
            <w:tcW w:w="2324" w:type="dxa"/>
          </w:tcPr>
          <w:p w14:paraId="46D9F2C4" w14:textId="538BD8D7" w:rsidR="001654B0" w:rsidRDefault="001654B0" w:rsidP="002C3981">
            <w:pPr>
              <w:rPr>
                <w:rFonts w:ascii="Titillium" w:eastAsia="Times New Roman" w:hAnsi="Titillium" w:cs="Arial"/>
                <w:sz w:val="22"/>
                <w:szCs w:val="22"/>
                <w:lang w:val="en-GB"/>
              </w:rPr>
            </w:pPr>
            <w:r>
              <w:rPr>
                <w:rFonts w:ascii="Titillium" w:eastAsia="Times New Roman" w:hAnsi="Titillium" w:cs="Arial"/>
                <w:sz w:val="22"/>
                <w:szCs w:val="22"/>
                <w:lang w:val="en-GB"/>
              </w:rPr>
              <w:t>Offers to WP groups</w:t>
            </w:r>
            <w:r>
              <w:rPr>
                <w:rFonts w:ascii="Titillium" w:eastAsia="Times New Roman" w:hAnsi="Titillium" w:cs="Arial"/>
                <w:sz w:val="22"/>
                <w:szCs w:val="22"/>
                <w:lang w:val="en-GB"/>
              </w:rPr>
              <w:br/>
              <w:t>(as % of applications from WP groups)</w:t>
            </w:r>
          </w:p>
          <w:p w14:paraId="370AA4D8" w14:textId="77777777" w:rsidR="002C3981" w:rsidRDefault="002C3981" w:rsidP="002C3981">
            <w:pPr>
              <w:rPr>
                <w:rFonts w:ascii="Titillium" w:eastAsia="Times New Roman" w:hAnsi="Titillium" w:cs="Arial"/>
                <w:sz w:val="22"/>
                <w:szCs w:val="22"/>
                <w:lang w:val="en-GB"/>
              </w:rPr>
            </w:pPr>
          </w:p>
          <w:p w14:paraId="669C01B9" w14:textId="32431329" w:rsidR="001654B0" w:rsidRDefault="001654B0" w:rsidP="002C3981">
            <w:pPr>
              <w:rPr>
                <w:rFonts w:ascii="Titillium" w:eastAsia="Times New Roman" w:hAnsi="Titillium" w:cs="Arial"/>
                <w:sz w:val="22"/>
                <w:szCs w:val="22"/>
                <w:lang w:val="en-GB"/>
              </w:rPr>
            </w:pPr>
            <w:r>
              <w:rPr>
                <w:rFonts w:ascii="Titillium" w:eastAsia="Times New Roman" w:hAnsi="Titillium" w:cs="Arial"/>
                <w:sz w:val="22"/>
                <w:szCs w:val="22"/>
                <w:lang w:val="en-GB"/>
              </w:rPr>
              <w:t>61% (2016/17)</w:t>
            </w:r>
          </w:p>
        </w:tc>
        <w:tc>
          <w:tcPr>
            <w:tcW w:w="1928" w:type="dxa"/>
          </w:tcPr>
          <w:p w14:paraId="5242CA16" w14:textId="77777777" w:rsidR="001654B0" w:rsidRDefault="001654B0" w:rsidP="002C3981">
            <w:pPr>
              <w:rPr>
                <w:rFonts w:ascii="Titillium" w:eastAsia="Times New Roman" w:hAnsi="Titillium" w:cs="Arial"/>
                <w:sz w:val="22"/>
                <w:szCs w:val="22"/>
                <w:lang w:val="en-GB"/>
              </w:rPr>
            </w:pPr>
          </w:p>
          <w:p w14:paraId="674F7EB0" w14:textId="77777777" w:rsidR="001654B0" w:rsidRDefault="001654B0" w:rsidP="002C3981">
            <w:pPr>
              <w:rPr>
                <w:rFonts w:ascii="Titillium" w:eastAsia="Times New Roman" w:hAnsi="Titillium" w:cs="Arial"/>
                <w:sz w:val="22"/>
                <w:szCs w:val="22"/>
                <w:lang w:val="en-GB"/>
              </w:rPr>
            </w:pPr>
          </w:p>
          <w:p w14:paraId="6FBC17D3" w14:textId="77777777" w:rsidR="001654B0" w:rsidRDefault="001654B0" w:rsidP="002C3981">
            <w:pPr>
              <w:rPr>
                <w:rFonts w:ascii="Titillium" w:eastAsia="Times New Roman" w:hAnsi="Titillium" w:cs="Arial"/>
                <w:sz w:val="22"/>
                <w:szCs w:val="22"/>
                <w:lang w:val="en-GB"/>
              </w:rPr>
            </w:pPr>
          </w:p>
          <w:p w14:paraId="487419A7" w14:textId="77777777" w:rsidR="002C3981" w:rsidRDefault="002C3981" w:rsidP="002C3981">
            <w:pPr>
              <w:rPr>
                <w:rFonts w:ascii="Titillium" w:eastAsia="Times New Roman" w:hAnsi="Titillium" w:cs="Arial"/>
                <w:sz w:val="22"/>
                <w:szCs w:val="22"/>
                <w:lang w:val="en-GB"/>
              </w:rPr>
            </w:pPr>
          </w:p>
          <w:p w14:paraId="09FB010F" w14:textId="1E9B5762" w:rsidR="001654B0" w:rsidRDefault="001654B0" w:rsidP="002C3981">
            <w:pPr>
              <w:rPr>
                <w:rFonts w:ascii="Titillium" w:eastAsia="Times New Roman" w:hAnsi="Titillium" w:cs="Arial"/>
                <w:sz w:val="22"/>
                <w:szCs w:val="22"/>
                <w:lang w:val="en-GB"/>
              </w:rPr>
            </w:pPr>
            <w:r>
              <w:rPr>
                <w:rFonts w:ascii="Titillium" w:eastAsia="Times New Roman" w:hAnsi="Titillium" w:cs="Arial"/>
                <w:sz w:val="22"/>
                <w:szCs w:val="22"/>
                <w:lang w:val="en-GB"/>
              </w:rPr>
              <w:t xml:space="preserve">65% </w:t>
            </w:r>
          </w:p>
        </w:tc>
        <w:tc>
          <w:tcPr>
            <w:tcW w:w="3938" w:type="dxa"/>
          </w:tcPr>
          <w:p w14:paraId="7D6450AC" w14:textId="5B0A1219" w:rsidR="001654B0" w:rsidRDefault="001654B0" w:rsidP="002C3981">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Use offers to students applying from WP groups as a proxy for attainment.  The focus is on all offers (unconditional and conditional), as this group tends to be made conditional offers due to the nature of entry routes.</w:t>
            </w:r>
          </w:p>
        </w:tc>
      </w:tr>
      <w:tr w:rsidR="001654B0" w:rsidRPr="00867F38" w14:paraId="7C6DE222" w14:textId="77777777" w:rsidTr="002C3981">
        <w:tc>
          <w:tcPr>
            <w:tcW w:w="2551" w:type="dxa"/>
          </w:tcPr>
          <w:p w14:paraId="1D1FD850" w14:textId="77777777" w:rsidR="001654B0" w:rsidRPr="00867F38" w:rsidRDefault="001654B0" w:rsidP="002C3981">
            <w:pPr>
              <w:tabs>
                <w:tab w:val="num" w:pos="720"/>
              </w:tabs>
              <w:spacing w:before="120" w:after="240"/>
              <w:rPr>
                <w:rFonts w:ascii="Titillium" w:eastAsia="Arial Unicode MS" w:hAnsi="Titillium" w:cs="Arial"/>
                <w:sz w:val="22"/>
                <w:szCs w:val="24"/>
                <w:lang w:val="en-GB" w:eastAsia="en-GB"/>
              </w:rPr>
            </w:pPr>
          </w:p>
        </w:tc>
        <w:tc>
          <w:tcPr>
            <w:tcW w:w="3116" w:type="dxa"/>
          </w:tcPr>
          <w:p w14:paraId="69BA3AF8" w14:textId="0CA9864C" w:rsidR="001654B0" w:rsidRPr="001654B0" w:rsidRDefault="001654B0" w:rsidP="002C3981">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 xml:space="preserve">Scottish domiciled undergraduate entrants: </w:t>
            </w:r>
            <w:r w:rsidRPr="00307598">
              <w:rPr>
                <w:rFonts w:ascii="Titillium" w:eastAsia="Times New Roman" w:hAnsi="Titillium" w:cs="Arial"/>
                <w:sz w:val="22"/>
                <w:szCs w:val="22"/>
                <w:lang w:val="en-GB"/>
              </w:rPr>
              <w:t>SIMD20 population</w:t>
            </w:r>
          </w:p>
        </w:tc>
        <w:tc>
          <w:tcPr>
            <w:tcW w:w="2324" w:type="dxa"/>
          </w:tcPr>
          <w:p w14:paraId="287527FE" w14:textId="5E91DB30" w:rsidR="001654B0" w:rsidRDefault="001654B0" w:rsidP="002C3981">
            <w:pPr>
              <w:spacing w:before="60" w:after="60"/>
              <w:rPr>
                <w:rFonts w:ascii="Titillium" w:eastAsia="Times New Roman" w:hAnsi="Titillium" w:cs="Arial"/>
                <w:sz w:val="22"/>
                <w:szCs w:val="22"/>
                <w:lang w:val="en-GB"/>
              </w:rPr>
            </w:pPr>
            <w:r w:rsidRPr="00307598">
              <w:rPr>
                <w:rFonts w:ascii="Titillium" w:eastAsia="Times New Roman" w:hAnsi="Titillium" w:cs="Arial"/>
                <w:sz w:val="22"/>
                <w:szCs w:val="22"/>
                <w:lang w:val="en-GB"/>
              </w:rPr>
              <w:t>1</w:t>
            </w:r>
            <w:r>
              <w:rPr>
                <w:rFonts w:ascii="Titillium" w:eastAsia="Times New Roman" w:hAnsi="Titillium" w:cs="Arial"/>
                <w:sz w:val="22"/>
                <w:szCs w:val="22"/>
                <w:lang w:val="en-GB"/>
              </w:rPr>
              <w:t>1.2</w:t>
            </w:r>
            <w:r w:rsidRPr="00307598">
              <w:rPr>
                <w:rFonts w:ascii="Titillium" w:eastAsia="Times New Roman" w:hAnsi="Titillium" w:cs="Arial"/>
                <w:sz w:val="22"/>
                <w:szCs w:val="22"/>
                <w:lang w:val="en-GB"/>
              </w:rPr>
              <w:t>% (201</w:t>
            </w:r>
            <w:r>
              <w:rPr>
                <w:rFonts w:ascii="Titillium" w:eastAsia="Times New Roman" w:hAnsi="Titillium" w:cs="Arial"/>
                <w:sz w:val="22"/>
                <w:szCs w:val="22"/>
                <w:lang w:val="en-GB"/>
              </w:rPr>
              <w:t>5</w:t>
            </w:r>
            <w:r w:rsidRPr="00307598">
              <w:rPr>
                <w:rFonts w:ascii="Titillium" w:eastAsia="Times New Roman" w:hAnsi="Titillium" w:cs="Arial"/>
                <w:sz w:val="22"/>
                <w:szCs w:val="22"/>
                <w:lang w:val="en-GB"/>
              </w:rPr>
              <w:t>/1</w:t>
            </w:r>
            <w:r>
              <w:rPr>
                <w:rFonts w:ascii="Titillium" w:eastAsia="Times New Roman" w:hAnsi="Titillium" w:cs="Arial"/>
                <w:sz w:val="22"/>
                <w:szCs w:val="22"/>
                <w:lang w:val="en-GB"/>
              </w:rPr>
              <w:t>6</w:t>
            </w:r>
            <w:r w:rsidRPr="00307598">
              <w:rPr>
                <w:rFonts w:ascii="Titillium" w:eastAsia="Times New Roman" w:hAnsi="Titillium" w:cs="Arial"/>
                <w:sz w:val="22"/>
                <w:szCs w:val="22"/>
                <w:lang w:val="en-GB"/>
              </w:rPr>
              <w:t>)</w:t>
            </w:r>
          </w:p>
        </w:tc>
        <w:tc>
          <w:tcPr>
            <w:tcW w:w="1928" w:type="dxa"/>
          </w:tcPr>
          <w:p w14:paraId="318C0454" w14:textId="1C92A884" w:rsidR="001654B0" w:rsidRDefault="001654B0" w:rsidP="002C3981">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 xml:space="preserve">14% </w:t>
            </w:r>
          </w:p>
        </w:tc>
        <w:tc>
          <w:tcPr>
            <w:tcW w:w="3938" w:type="dxa"/>
          </w:tcPr>
          <w:p w14:paraId="638EE82D" w14:textId="41578EE5" w:rsidR="001654B0" w:rsidRDefault="001654B0" w:rsidP="002C3981">
            <w:pPr>
              <w:spacing w:before="60" w:after="60"/>
              <w:rPr>
                <w:rFonts w:ascii="Titillium" w:eastAsia="Times New Roman" w:hAnsi="Titillium" w:cs="Arial"/>
                <w:sz w:val="22"/>
                <w:szCs w:val="22"/>
                <w:lang w:val="en-GB"/>
              </w:rPr>
            </w:pPr>
            <w:r w:rsidRPr="00307598">
              <w:rPr>
                <w:rFonts w:ascii="Titillium" w:eastAsia="Times New Roman" w:hAnsi="Titillium" w:cs="Arial"/>
                <w:sz w:val="22"/>
                <w:szCs w:val="22"/>
                <w:lang w:val="en-GB"/>
              </w:rPr>
              <w:t>Whilst the C</w:t>
            </w:r>
            <w:r>
              <w:rPr>
                <w:rFonts w:ascii="Titillium" w:eastAsia="Times New Roman" w:hAnsi="Titillium" w:cs="Arial"/>
                <w:sz w:val="22"/>
                <w:szCs w:val="22"/>
                <w:lang w:val="en-GB"/>
              </w:rPr>
              <w:t>o</w:t>
            </w:r>
            <w:r w:rsidRPr="00307598">
              <w:rPr>
                <w:rFonts w:ascii="Titillium" w:eastAsia="Times New Roman" w:hAnsi="Titillium" w:cs="Arial"/>
                <w:sz w:val="22"/>
                <w:szCs w:val="22"/>
                <w:lang w:val="en-GB"/>
              </w:rPr>
              <w:t xml:space="preserve">WA recommendation is for at least 10% by 2021, we aim to </w:t>
            </w:r>
            <w:r>
              <w:rPr>
                <w:rFonts w:ascii="Titillium" w:eastAsia="Times New Roman" w:hAnsi="Titillium" w:cs="Arial"/>
                <w:sz w:val="22"/>
                <w:szCs w:val="22"/>
                <w:lang w:val="en-GB"/>
              </w:rPr>
              <w:t xml:space="preserve">mirror the Scottish sector average </w:t>
            </w:r>
            <w:r w:rsidRPr="00307598">
              <w:rPr>
                <w:rFonts w:ascii="Titillium" w:eastAsia="Times New Roman" w:hAnsi="Titillium" w:cs="Arial"/>
                <w:sz w:val="22"/>
                <w:szCs w:val="22"/>
                <w:lang w:val="en-GB"/>
              </w:rPr>
              <w:t xml:space="preserve">as this reflects our ambition to be the lead institution for </w:t>
            </w:r>
            <w:r>
              <w:rPr>
                <w:rFonts w:ascii="Titillium" w:eastAsia="Times New Roman" w:hAnsi="Titillium" w:cs="Arial"/>
                <w:sz w:val="22"/>
                <w:szCs w:val="22"/>
                <w:lang w:val="en-GB"/>
              </w:rPr>
              <w:t>WP</w:t>
            </w:r>
            <w:r w:rsidRPr="00307598">
              <w:rPr>
                <w:rFonts w:ascii="Titillium" w:eastAsia="Times New Roman" w:hAnsi="Titillium" w:cs="Arial"/>
                <w:sz w:val="22"/>
                <w:szCs w:val="22"/>
                <w:lang w:val="en-GB"/>
              </w:rPr>
              <w:t xml:space="preserve"> in south east of Scotland</w:t>
            </w:r>
            <w:r>
              <w:rPr>
                <w:rFonts w:ascii="Titillium" w:eastAsia="Times New Roman" w:hAnsi="Titillium" w:cs="Arial"/>
                <w:sz w:val="22"/>
                <w:szCs w:val="22"/>
                <w:lang w:val="en-GB"/>
              </w:rPr>
              <w:t xml:space="preserve"> while acknowledging regional challenges</w:t>
            </w:r>
            <w:r w:rsidRPr="00307598">
              <w:rPr>
                <w:rFonts w:ascii="Titillium" w:eastAsia="Times New Roman" w:hAnsi="Titillium" w:cs="Arial"/>
                <w:sz w:val="22"/>
                <w:szCs w:val="22"/>
                <w:lang w:val="en-GB"/>
              </w:rPr>
              <w:t>.</w:t>
            </w:r>
          </w:p>
        </w:tc>
      </w:tr>
      <w:tr w:rsidR="001654B0" w:rsidRPr="00867F38" w14:paraId="16613103" w14:textId="77777777" w:rsidTr="00DF7B2C">
        <w:tc>
          <w:tcPr>
            <w:tcW w:w="2551" w:type="dxa"/>
            <w:tcBorders>
              <w:bottom w:val="single" w:sz="4" w:space="0" w:color="auto"/>
            </w:tcBorders>
          </w:tcPr>
          <w:p w14:paraId="7D74FE29" w14:textId="77777777" w:rsidR="001654B0" w:rsidRPr="00867F38" w:rsidRDefault="001654B0" w:rsidP="00DF7B2C">
            <w:pPr>
              <w:tabs>
                <w:tab w:val="num" w:pos="720"/>
              </w:tabs>
              <w:spacing w:before="120" w:after="240"/>
              <w:rPr>
                <w:rFonts w:ascii="Titillium" w:eastAsia="Arial Unicode MS" w:hAnsi="Titillium" w:cs="Arial"/>
                <w:sz w:val="22"/>
                <w:szCs w:val="24"/>
                <w:lang w:val="en-GB" w:eastAsia="en-GB"/>
              </w:rPr>
            </w:pPr>
          </w:p>
        </w:tc>
        <w:tc>
          <w:tcPr>
            <w:tcW w:w="3116" w:type="dxa"/>
          </w:tcPr>
          <w:p w14:paraId="0C475F43" w14:textId="4047E06D" w:rsidR="001654B0" w:rsidRPr="001654B0" w:rsidRDefault="001654B0" w:rsidP="00DF7B2C">
            <w:pPr>
              <w:spacing w:before="60" w:after="60" w:line="276" w:lineRule="auto"/>
              <w:rPr>
                <w:rFonts w:ascii="Titillium" w:eastAsia="Times New Roman" w:hAnsi="Titillium" w:cs="Arial"/>
                <w:sz w:val="22"/>
                <w:szCs w:val="22"/>
                <w:lang w:val="en-GB"/>
              </w:rPr>
            </w:pPr>
            <w:r w:rsidRPr="00307598">
              <w:rPr>
                <w:rFonts w:ascii="Titillium" w:eastAsia="Times New Roman" w:hAnsi="Titillium" w:cs="Arial"/>
                <w:sz w:val="22"/>
                <w:szCs w:val="22"/>
                <w:lang w:val="en-GB"/>
              </w:rPr>
              <w:t>Care experienced entrants</w:t>
            </w:r>
            <w:r>
              <w:rPr>
                <w:rFonts w:ascii="Titillium" w:eastAsia="Times New Roman" w:hAnsi="Titillium" w:cs="Arial"/>
                <w:sz w:val="22"/>
                <w:szCs w:val="22"/>
                <w:lang w:val="en-GB"/>
              </w:rPr>
              <w:t xml:space="preserve"> (headcount)</w:t>
            </w:r>
            <w:r w:rsidRPr="00307598">
              <w:rPr>
                <w:rFonts w:ascii="Titillium" w:eastAsia="Times New Roman" w:hAnsi="Titillium" w:cs="Arial"/>
                <w:sz w:val="22"/>
                <w:szCs w:val="22"/>
                <w:lang w:val="en-GB"/>
              </w:rPr>
              <w:t xml:space="preserve"> </w:t>
            </w:r>
          </w:p>
        </w:tc>
        <w:tc>
          <w:tcPr>
            <w:tcW w:w="2324" w:type="dxa"/>
          </w:tcPr>
          <w:p w14:paraId="291E4444" w14:textId="20798566" w:rsidR="001654B0" w:rsidRDefault="001654B0" w:rsidP="00DF7B2C">
            <w:pPr>
              <w:spacing w:before="60" w:after="60"/>
              <w:rPr>
                <w:rFonts w:ascii="Titillium" w:eastAsia="Times New Roman" w:hAnsi="Titillium" w:cs="Arial"/>
                <w:sz w:val="22"/>
                <w:szCs w:val="22"/>
                <w:lang w:val="en-GB"/>
              </w:rPr>
            </w:pPr>
            <w:r w:rsidRPr="00307598">
              <w:rPr>
                <w:rFonts w:ascii="Titillium" w:eastAsia="Times New Roman" w:hAnsi="Titillium" w:cs="Arial"/>
                <w:sz w:val="22"/>
                <w:szCs w:val="22"/>
                <w:lang w:val="en-GB"/>
              </w:rPr>
              <w:t>14 (2015/16)</w:t>
            </w:r>
          </w:p>
        </w:tc>
        <w:tc>
          <w:tcPr>
            <w:tcW w:w="1928" w:type="dxa"/>
          </w:tcPr>
          <w:p w14:paraId="092D9DA7" w14:textId="70FF5EB0"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28</w:t>
            </w:r>
          </w:p>
        </w:tc>
        <w:tc>
          <w:tcPr>
            <w:tcW w:w="3938" w:type="dxa"/>
          </w:tcPr>
          <w:p w14:paraId="3605C4F1" w14:textId="77777777" w:rsidR="001654B0" w:rsidRDefault="001654B0" w:rsidP="00DF7B2C">
            <w:pPr>
              <w:spacing w:before="60" w:after="60"/>
              <w:rPr>
                <w:rFonts w:ascii="Titillium" w:eastAsia="Times New Roman" w:hAnsi="Titillium" w:cs="Arial"/>
                <w:sz w:val="22"/>
                <w:szCs w:val="22"/>
                <w:lang w:val="en-GB"/>
              </w:rPr>
            </w:pPr>
          </w:p>
        </w:tc>
      </w:tr>
      <w:tr w:rsidR="001654B0" w:rsidRPr="00867F38" w14:paraId="08FDA067" w14:textId="77777777" w:rsidTr="00DF7B2C">
        <w:tc>
          <w:tcPr>
            <w:tcW w:w="2551" w:type="dxa"/>
            <w:tcBorders>
              <w:bottom w:val="nil"/>
            </w:tcBorders>
          </w:tcPr>
          <w:p w14:paraId="615338A8" w14:textId="77777777" w:rsidR="001654B0" w:rsidRPr="00867F38" w:rsidRDefault="001654B0" w:rsidP="00DF7B2C">
            <w:pPr>
              <w:tabs>
                <w:tab w:val="num" w:pos="720"/>
              </w:tabs>
              <w:spacing w:before="120" w:after="240"/>
              <w:rPr>
                <w:rFonts w:ascii="Titillium" w:eastAsia="Arial Unicode MS" w:hAnsi="Titillium" w:cs="Arial"/>
                <w:sz w:val="22"/>
                <w:szCs w:val="24"/>
                <w:lang w:val="en-GB" w:eastAsia="en-GB"/>
              </w:rPr>
            </w:pPr>
          </w:p>
        </w:tc>
        <w:tc>
          <w:tcPr>
            <w:tcW w:w="3116" w:type="dxa"/>
            <w:vMerge w:val="restart"/>
          </w:tcPr>
          <w:p w14:paraId="1F9DCCF4" w14:textId="77777777" w:rsidR="001654B0" w:rsidRDefault="001654B0" w:rsidP="00DF7B2C">
            <w:pPr>
              <w:spacing w:before="60" w:after="60"/>
              <w:contextualSpacing/>
              <w:rPr>
                <w:rFonts w:ascii="Titillium" w:eastAsia="Arial Unicode MS" w:hAnsi="Titillium" w:cs="Arial"/>
                <w:sz w:val="22"/>
                <w:szCs w:val="22"/>
                <w:lang w:val="en-GB" w:eastAsia="en-GB"/>
              </w:rPr>
            </w:pPr>
            <w:r w:rsidRPr="00307598">
              <w:rPr>
                <w:rFonts w:ascii="Titillium" w:eastAsia="Times New Roman" w:hAnsi="Titillium" w:cs="Arial"/>
                <w:sz w:val="22"/>
                <w:szCs w:val="22"/>
                <w:lang w:val="en-GB" w:eastAsia="en-GB"/>
              </w:rPr>
              <w:t>Participants in programmes whose numbers display a significant gender imbalance</w:t>
            </w:r>
          </w:p>
          <w:p w14:paraId="68972EA7" w14:textId="0D7D6BD0" w:rsidR="001654B0" w:rsidRPr="00307598" w:rsidRDefault="001654B0" w:rsidP="00DF7B2C">
            <w:pPr>
              <w:pStyle w:val="ListParagraph"/>
              <w:numPr>
                <w:ilvl w:val="0"/>
                <w:numId w:val="20"/>
              </w:numPr>
              <w:spacing w:before="60" w:after="60"/>
              <w:ind w:left="382" w:hanging="142"/>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Subjects allied to Medicine</w:t>
            </w:r>
          </w:p>
          <w:p w14:paraId="0AE5BC93" w14:textId="77777777" w:rsidR="001654B0" w:rsidRPr="00307598" w:rsidRDefault="001654B0" w:rsidP="00DF7B2C">
            <w:pPr>
              <w:pStyle w:val="ListParagraph"/>
              <w:numPr>
                <w:ilvl w:val="0"/>
                <w:numId w:val="20"/>
              </w:numPr>
              <w:spacing w:before="60" w:after="60"/>
              <w:ind w:left="382" w:hanging="142"/>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Mathematical &amp; Computer Science</w:t>
            </w:r>
          </w:p>
          <w:p w14:paraId="2A800934" w14:textId="77777777" w:rsidR="001654B0" w:rsidRPr="00307598" w:rsidRDefault="001654B0" w:rsidP="00DF7B2C">
            <w:pPr>
              <w:pStyle w:val="ListParagraph"/>
              <w:numPr>
                <w:ilvl w:val="0"/>
                <w:numId w:val="20"/>
              </w:numPr>
              <w:spacing w:before="60" w:after="60"/>
              <w:ind w:left="382" w:hanging="142"/>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Engineering</w:t>
            </w:r>
          </w:p>
          <w:p w14:paraId="255AAFC2" w14:textId="77777777" w:rsidR="001654B0" w:rsidRPr="001654B0" w:rsidRDefault="001654B0" w:rsidP="00DF7B2C">
            <w:pPr>
              <w:pStyle w:val="ListParagraph"/>
              <w:numPr>
                <w:ilvl w:val="0"/>
                <w:numId w:val="20"/>
              </w:numPr>
              <w:spacing w:before="60" w:after="60"/>
              <w:ind w:left="382" w:hanging="142"/>
              <w:rPr>
                <w:rFonts w:ascii="Titillium" w:eastAsia="Times New Roman" w:hAnsi="Titillium" w:cs="Arial"/>
                <w:sz w:val="22"/>
                <w:szCs w:val="22"/>
                <w:lang w:val="en-GB"/>
              </w:rPr>
            </w:pPr>
            <w:r w:rsidRPr="00307598">
              <w:rPr>
                <w:rFonts w:ascii="Titillium" w:eastAsia="Arial Unicode MS" w:hAnsi="Titillium" w:cs="Arial"/>
                <w:sz w:val="22"/>
                <w:szCs w:val="22"/>
                <w:lang w:val="en-GB" w:eastAsia="en-GB"/>
              </w:rPr>
              <w:t>Architecture, Building &amp; Planning</w:t>
            </w:r>
          </w:p>
          <w:p w14:paraId="50B16038" w14:textId="484F4D70" w:rsidR="001654B0" w:rsidRPr="001654B0" w:rsidRDefault="001654B0" w:rsidP="00DF7B2C">
            <w:pPr>
              <w:pStyle w:val="ListParagraph"/>
              <w:numPr>
                <w:ilvl w:val="0"/>
                <w:numId w:val="20"/>
              </w:numPr>
              <w:spacing w:before="60" w:after="60"/>
              <w:ind w:left="382" w:hanging="142"/>
              <w:rPr>
                <w:rFonts w:ascii="Titillium" w:eastAsia="Times New Roman" w:hAnsi="Titillium" w:cs="Arial"/>
                <w:sz w:val="22"/>
                <w:szCs w:val="22"/>
                <w:lang w:val="en-GB"/>
              </w:rPr>
            </w:pPr>
            <w:r w:rsidRPr="00307598">
              <w:rPr>
                <w:rFonts w:ascii="Titillium" w:eastAsia="Arial Unicode MS" w:hAnsi="Titillium" w:cs="Arial"/>
                <w:sz w:val="22"/>
                <w:szCs w:val="22"/>
                <w:lang w:val="en-GB" w:eastAsia="en-GB"/>
              </w:rPr>
              <w:t>Psychology</w:t>
            </w:r>
          </w:p>
        </w:tc>
        <w:tc>
          <w:tcPr>
            <w:tcW w:w="2324" w:type="dxa"/>
            <w:vMerge w:val="restart"/>
          </w:tcPr>
          <w:p w14:paraId="5F0426B6" w14:textId="77777777" w:rsidR="001654B0" w:rsidRDefault="001654B0" w:rsidP="00DF7B2C">
            <w:pPr>
              <w:spacing w:before="60" w:after="60"/>
              <w:rPr>
                <w:rFonts w:ascii="Titillium" w:eastAsia="Times New Roman" w:hAnsi="Titillium" w:cs="Arial"/>
                <w:sz w:val="22"/>
                <w:szCs w:val="22"/>
                <w:lang w:val="en-GB"/>
              </w:rPr>
            </w:pPr>
            <w:r>
              <w:rPr>
                <w:rFonts w:ascii="Titillium" w:eastAsia="Arial Unicode MS" w:hAnsi="Titillium" w:cs="Arial"/>
                <w:sz w:val="22"/>
                <w:szCs w:val="22"/>
                <w:lang w:val="en-GB" w:eastAsia="en-GB"/>
              </w:rPr>
              <w:t>2013/14 data</w:t>
            </w:r>
          </w:p>
          <w:p w14:paraId="35C03B45" w14:textId="77777777" w:rsidR="001654B0" w:rsidRDefault="001654B0" w:rsidP="00DF7B2C">
            <w:pPr>
              <w:spacing w:before="60" w:after="60"/>
              <w:contextualSpacing/>
              <w:rPr>
                <w:rFonts w:ascii="Titillium" w:eastAsia="Arial Unicode MS" w:hAnsi="Titillium" w:cs="Arial"/>
                <w:sz w:val="22"/>
                <w:szCs w:val="22"/>
                <w:lang w:val="en-GB" w:eastAsia="en-GB"/>
              </w:rPr>
            </w:pPr>
          </w:p>
          <w:p w14:paraId="75065B55" w14:textId="77777777" w:rsidR="001654B0" w:rsidRDefault="001654B0" w:rsidP="00DF7B2C">
            <w:pPr>
              <w:spacing w:before="60" w:after="60"/>
              <w:contextualSpacing/>
              <w:rPr>
                <w:rFonts w:ascii="Titillium" w:eastAsia="Arial Unicode MS" w:hAnsi="Titillium" w:cs="Arial"/>
                <w:sz w:val="22"/>
                <w:szCs w:val="22"/>
                <w:lang w:val="en-GB" w:eastAsia="en-GB"/>
              </w:rPr>
            </w:pPr>
          </w:p>
          <w:p w14:paraId="3D4DEEEE" w14:textId="5DED55ED" w:rsidR="001654B0" w:rsidRPr="00307598" w:rsidRDefault="001654B0" w:rsidP="00DF7B2C">
            <w:pPr>
              <w:spacing w:before="60" w:after="60"/>
              <w:contextualSpacing/>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86.9% F : 13.1% M</w:t>
            </w:r>
          </w:p>
          <w:p w14:paraId="71D3FFFE" w14:textId="20234513" w:rsidR="001654B0" w:rsidRPr="00307598" w:rsidRDefault="001654B0" w:rsidP="00DF7B2C">
            <w:pPr>
              <w:spacing w:before="60" w:after="60"/>
              <w:contextualSpacing/>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12.5%</w:t>
            </w:r>
            <w:r>
              <w:rPr>
                <w:rFonts w:ascii="Titillium" w:eastAsia="Arial Unicode MS" w:hAnsi="Titillium" w:cs="Arial"/>
                <w:sz w:val="22"/>
                <w:szCs w:val="22"/>
                <w:lang w:val="en-GB" w:eastAsia="en-GB"/>
              </w:rPr>
              <w:t xml:space="preserve"> </w:t>
            </w:r>
            <w:r w:rsidRPr="00307598">
              <w:rPr>
                <w:rFonts w:ascii="Titillium" w:eastAsia="Arial Unicode MS" w:hAnsi="Titillium" w:cs="Arial"/>
                <w:sz w:val="22"/>
                <w:szCs w:val="22"/>
                <w:lang w:val="en-GB" w:eastAsia="en-GB"/>
              </w:rPr>
              <w:t>F : 87.5% M</w:t>
            </w:r>
          </w:p>
          <w:p w14:paraId="6349ECBC" w14:textId="77777777" w:rsidR="001654B0" w:rsidRDefault="001654B0" w:rsidP="00DF7B2C">
            <w:pPr>
              <w:spacing w:before="60" w:after="60"/>
              <w:contextualSpacing/>
              <w:rPr>
                <w:rFonts w:ascii="Titillium" w:eastAsia="Arial Unicode MS" w:hAnsi="Titillium" w:cs="Arial"/>
                <w:sz w:val="22"/>
                <w:szCs w:val="22"/>
                <w:lang w:val="en-GB" w:eastAsia="en-GB"/>
              </w:rPr>
            </w:pPr>
          </w:p>
          <w:p w14:paraId="6D10A3D0" w14:textId="62DD6A75" w:rsidR="001654B0" w:rsidRPr="00307598" w:rsidRDefault="001654B0" w:rsidP="00DF7B2C">
            <w:pPr>
              <w:spacing w:before="60" w:after="60"/>
              <w:contextualSpacing/>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 xml:space="preserve">  </w:t>
            </w:r>
            <w:r w:rsidRPr="00307598">
              <w:rPr>
                <w:rFonts w:ascii="Titillium" w:eastAsia="Arial Unicode MS" w:hAnsi="Titillium" w:cs="Arial"/>
                <w:sz w:val="22"/>
                <w:szCs w:val="22"/>
                <w:lang w:val="en-GB" w:eastAsia="en-GB"/>
              </w:rPr>
              <w:t>6.6% F</w:t>
            </w:r>
            <w:r>
              <w:rPr>
                <w:rFonts w:ascii="Titillium" w:eastAsia="Arial Unicode MS" w:hAnsi="Titillium" w:cs="Arial"/>
                <w:sz w:val="22"/>
                <w:szCs w:val="22"/>
                <w:lang w:val="en-GB" w:eastAsia="en-GB"/>
              </w:rPr>
              <w:t xml:space="preserve"> </w:t>
            </w:r>
            <w:r w:rsidRPr="00307598">
              <w:rPr>
                <w:rFonts w:ascii="Titillium" w:eastAsia="Arial Unicode MS" w:hAnsi="Titillium" w:cs="Arial"/>
                <w:sz w:val="22"/>
                <w:szCs w:val="22"/>
                <w:lang w:val="en-GB" w:eastAsia="en-GB"/>
              </w:rPr>
              <w:t>: 93.4% M</w:t>
            </w:r>
          </w:p>
          <w:p w14:paraId="32695C2C" w14:textId="51C432B5" w:rsidR="001654B0" w:rsidRPr="00307598" w:rsidRDefault="001654B0" w:rsidP="00DF7B2C">
            <w:pPr>
              <w:spacing w:before="60" w:after="60"/>
              <w:contextualSpacing/>
              <w:rPr>
                <w:rFonts w:ascii="Titillium" w:eastAsia="Arial Unicode MS" w:hAnsi="Titillium" w:cs="Arial"/>
                <w:sz w:val="22"/>
                <w:szCs w:val="22"/>
                <w:lang w:val="en-GB" w:eastAsia="en-GB"/>
              </w:rPr>
            </w:pPr>
            <w:r w:rsidRPr="00307598">
              <w:rPr>
                <w:rFonts w:ascii="Titillium" w:eastAsia="Arial Unicode MS" w:hAnsi="Titillium" w:cs="Arial"/>
                <w:sz w:val="22"/>
                <w:szCs w:val="22"/>
                <w:lang w:val="en-GB" w:eastAsia="en-GB"/>
              </w:rPr>
              <w:t xml:space="preserve">20.3% F : </w:t>
            </w:r>
            <w:r>
              <w:rPr>
                <w:rFonts w:ascii="Titillium" w:eastAsia="Arial Unicode MS" w:hAnsi="Titillium" w:cs="Arial"/>
                <w:sz w:val="22"/>
                <w:szCs w:val="22"/>
                <w:lang w:val="en-GB" w:eastAsia="en-GB"/>
              </w:rPr>
              <w:t>7</w:t>
            </w:r>
            <w:r w:rsidRPr="00307598">
              <w:rPr>
                <w:rFonts w:ascii="Titillium" w:eastAsia="Arial Unicode MS" w:hAnsi="Titillium" w:cs="Arial"/>
                <w:sz w:val="22"/>
                <w:szCs w:val="22"/>
                <w:lang w:val="en-GB" w:eastAsia="en-GB"/>
              </w:rPr>
              <w:t>9.7% M</w:t>
            </w:r>
          </w:p>
          <w:p w14:paraId="21C19281" w14:textId="77777777" w:rsidR="001654B0" w:rsidRDefault="001654B0" w:rsidP="00DF7B2C">
            <w:pPr>
              <w:spacing w:before="60" w:after="60"/>
              <w:rPr>
                <w:rFonts w:ascii="Titillium" w:eastAsia="Arial Unicode MS" w:hAnsi="Titillium" w:cs="Arial"/>
                <w:sz w:val="22"/>
                <w:szCs w:val="22"/>
                <w:lang w:val="en-GB" w:eastAsia="en-GB"/>
              </w:rPr>
            </w:pPr>
          </w:p>
          <w:p w14:paraId="3FC5205B" w14:textId="02D43352" w:rsidR="001654B0" w:rsidRDefault="001654B0" w:rsidP="00DF7B2C">
            <w:pPr>
              <w:spacing w:before="60" w:after="60"/>
              <w:rPr>
                <w:rFonts w:ascii="Titillium" w:eastAsia="Times New Roman" w:hAnsi="Titillium" w:cs="Arial"/>
                <w:sz w:val="22"/>
                <w:szCs w:val="22"/>
                <w:lang w:val="en-GB"/>
              </w:rPr>
            </w:pPr>
            <w:r w:rsidRPr="00307598">
              <w:rPr>
                <w:rFonts w:ascii="Titillium" w:eastAsia="Arial Unicode MS" w:hAnsi="Titillium" w:cs="Arial"/>
                <w:sz w:val="22"/>
                <w:szCs w:val="22"/>
                <w:lang w:val="en-GB" w:eastAsia="en-GB"/>
              </w:rPr>
              <w:t>85.4% F : 14.6% M</w:t>
            </w:r>
          </w:p>
        </w:tc>
        <w:tc>
          <w:tcPr>
            <w:tcW w:w="1928" w:type="dxa"/>
            <w:vMerge w:val="restart"/>
          </w:tcPr>
          <w:p w14:paraId="05A0BFFF" w14:textId="77777777" w:rsidR="001654B0" w:rsidRDefault="001654B0" w:rsidP="00DF7B2C">
            <w:pPr>
              <w:spacing w:before="60" w:after="60"/>
              <w:rPr>
                <w:rFonts w:ascii="Titillium" w:eastAsia="Times New Roman" w:hAnsi="Titillium" w:cs="Arial"/>
                <w:sz w:val="22"/>
                <w:szCs w:val="22"/>
                <w:lang w:val="en-GB"/>
              </w:rPr>
            </w:pPr>
          </w:p>
          <w:p w14:paraId="6BF17FCC" w14:textId="77777777" w:rsidR="001654B0" w:rsidRDefault="001654B0" w:rsidP="00DF7B2C">
            <w:pPr>
              <w:spacing w:before="60" w:after="60"/>
              <w:contextualSpacing/>
              <w:rPr>
                <w:rFonts w:ascii="Titillium" w:eastAsia="Arial Unicode MS" w:hAnsi="Titillium" w:cs="Arial"/>
                <w:sz w:val="22"/>
                <w:szCs w:val="22"/>
                <w:lang w:val="en-GB" w:eastAsia="en-GB"/>
              </w:rPr>
            </w:pPr>
          </w:p>
          <w:p w14:paraId="619AF4EA" w14:textId="77777777" w:rsidR="001654B0" w:rsidRDefault="001654B0" w:rsidP="00DF7B2C">
            <w:pPr>
              <w:spacing w:before="60" w:after="60"/>
              <w:contextualSpacing/>
              <w:rPr>
                <w:rFonts w:ascii="Titillium" w:eastAsia="Arial Unicode MS" w:hAnsi="Titillium" w:cs="Arial"/>
                <w:sz w:val="22"/>
                <w:szCs w:val="22"/>
                <w:lang w:val="en-GB" w:eastAsia="en-GB"/>
              </w:rPr>
            </w:pPr>
          </w:p>
          <w:p w14:paraId="186C4023" w14:textId="3976EE49" w:rsidR="001654B0" w:rsidRDefault="001654B0" w:rsidP="00DF7B2C">
            <w:pPr>
              <w:spacing w:before="60" w:after="60"/>
              <w:contextualSpacing/>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82.0% F : 18.0% M</w:t>
            </w:r>
          </w:p>
          <w:p w14:paraId="0BE52AB4" w14:textId="77777777" w:rsidR="001654B0" w:rsidRPr="00307598" w:rsidRDefault="001654B0" w:rsidP="00DF7B2C">
            <w:pPr>
              <w:spacing w:before="60" w:after="60"/>
              <w:contextualSpacing/>
              <w:rPr>
                <w:rFonts w:ascii="Titillium" w:eastAsia="Times New Roman" w:hAnsi="Titillium" w:cs="Arial"/>
                <w:sz w:val="22"/>
                <w:szCs w:val="22"/>
                <w:lang w:val="en-GB"/>
              </w:rPr>
            </w:pPr>
            <w:r>
              <w:rPr>
                <w:rFonts w:ascii="Titillium" w:eastAsia="Arial Unicode MS" w:hAnsi="Titillium" w:cs="Arial"/>
                <w:sz w:val="22"/>
                <w:szCs w:val="22"/>
                <w:lang w:val="en-GB" w:eastAsia="en-GB"/>
              </w:rPr>
              <w:t>17.7% F : 82.3% M</w:t>
            </w:r>
          </w:p>
          <w:p w14:paraId="0C818AAC" w14:textId="77777777" w:rsidR="001654B0" w:rsidRDefault="001654B0" w:rsidP="00DF7B2C">
            <w:pPr>
              <w:spacing w:before="60" w:after="60"/>
              <w:contextualSpacing/>
              <w:rPr>
                <w:rFonts w:ascii="Titillium" w:eastAsia="Times New Roman" w:hAnsi="Titillium" w:cs="Arial"/>
                <w:sz w:val="22"/>
                <w:szCs w:val="22"/>
                <w:lang w:val="en-GB"/>
              </w:rPr>
            </w:pPr>
          </w:p>
          <w:p w14:paraId="71A3E067" w14:textId="42247AA3" w:rsidR="001654B0" w:rsidRDefault="001654B0" w:rsidP="00DF7B2C">
            <w:pPr>
              <w:spacing w:before="60" w:after="60"/>
              <w:contextualSpacing/>
              <w:rPr>
                <w:rFonts w:ascii="Titillium" w:eastAsia="Times New Roman" w:hAnsi="Titillium" w:cs="Arial"/>
                <w:sz w:val="22"/>
                <w:szCs w:val="22"/>
                <w:lang w:val="en-GB"/>
              </w:rPr>
            </w:pPr>
            <w:r>
              <w:rPr>
                <w:rFonts w:ascii="Titillium" w:eastAsia="Times New Roman" w:hAnsi="Titillium" w:cs="Arial"/>
                <w:sz w:val="22"/>
                <w:szCs w:val="22"/>
                <w:lang w:val="en-GB"/>
              </w:rPr>
              <w:t>14.2%: F : 85.8% M</w:t>
            </w:r>
          </w:p>
          <w:p w14:paraId="36E4C548" w14:textId="77777777" w:rsidR="001654B0" w:rsidRDefault="001654B0" w:rsidP="00DF7B2C">
            <w:pPr>
              <w:spacing w:before="60" w:after="60"/>
              <w:contextualSpacing/>
              <w:rPr>
                <w:rFonts w:ascii="Titillium" w:eastAsia="Times New Roman" w:hAnsi="Titillium" w:cs="Arial"/>
                <w:sz w:val="22"/>
                <w:szCs w:val="22"/>
                <w:lang w:val="en-GB"/>
              </w:rPr>
            </w:pPr>
            <w:r>
              <w:rPr>
                <w:rFonts w:ascii="Titillium" w:eastAsia="Times New Roman" w:hAnsi="Titillium" w:cs="Arial"/>
                <w:sz w:val="22"/>
                <w:szCs w:val="22"/>
                <w:lang w:val="en-GB"/>
              </w:rPr>
              <w:t>22.3% F : 77.7% M</w:t>
            </w:r>
          </w:p>
          <w:p w14:paraId="52ED1B10" w14:textId="77777777" w:rsidR="001654B0" w:rsidRDefault="001654B0" w:rsidP="00DF7B2C">
            <w:pPr>
              <w:spacing w:before="60" w:after="60"/>
              <w:rPr>
                <w:rFonts w:ascii="Titillium" w:eastAsia="Times New Roman" w:hAnsi="Titillium" w:cs="Arial"/>
                <w:sz w:val="22"/>
                <w:szCs w:val="22"/>
                <w:lang w:val="en-GB"/>
              </w:rPr>
            </w:pPr>
          </w:p>
          <w:p w14:paraId="08771F00" w14:textId="371244FB"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81.1% F : 18.9% M</w:t>
            </w:r>
          </w:p>
        </w:tc>
        <w:tc>
          <w:tcPr>
            <w:tcW w:w="3938" w:type="dxa"/>
            <w:vMerge w:val="restart"/>
          </w:tcPr>
          <w:p w14:paraId="5717CFD9" w14:textId="77777777" w:rsidR="001654B0" w:rsidRDefault="001654B0" w:rsidP="00DF7B2C">
            <w:pPr>
              <w:spacing w:before="60" w:after="60"/>
              <w:contextualSpacing/>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Positive trajectory toward 2030 targets of no subject area having a gender imbalance greater than 75/25</w:t>
            </w:r>
          </w:p>
          <w:p w14:paraId="478D8BC0" w14:textId="77777777" w:rsidR="001654B0" w:rsidRDefault="001654B0" w:rsidP="00DF7B2C">
            <w:pPr>
              <w:spacing w:before="60" w:after="60"/>
              <w:contextualSpacing/>
              <w:rPr>
                <w:rFonts w:ascii="Titillium" w:eastAsia="Arial Unicode MS" w:hAnsi="Titillium" w:cs="Arial"/>
                <w:sz w:val="22"/>
                <w:szCs w:val="22"/>
                <w:lang w:val="en-GB" w:eastAsia="en-GB"/>
              </w:rPr>
            </w:pPr>
          </w:p>
          <w:p w14:paraId="5CECF19B" w14:textId="77777777" w:rsidR="001654B0" w:rsidRDefault="001654B0" w:rsidP="00DF7B2C">
            <w:pPr>
              <w:spacing w:before="60" w:after="60"/>
              <w:rPr>
                <w:rFonts w:ascii="Titillium" w:eastAsia="Times New Roman" w:hAnsi="Titillium" w:cs="Arial"/>
                <w:sz w:val="22"/>
                <w:szCs w:val="22"/>
                <w:lang w:val="en-GB"/>
              </w:rPr>
            </w:pPr>
          </w:p>
        </w:tc>
      </w:tr>
      <w:tr w:rsidR="001654B0" w:rsidRPr="00867F38" w14:paraId="21FA7F3F" w14:textId="77777777" w:rsidTr="00DF7B2C">
        <w:tc>
          <w:tcPr>
            <w:tcW w:w="2551" w:type="dxa"/>
            <w:tcBorders>
              <w:top w:val="nil"/>
            </w:tcBorders>
          </w:tcPr>
          <w:p w14:paraId="2560BF47" w14:textId="77777777" w:rsidR="001654B0" w:rsidRPr="00867F38" w:rsidRDefault="001654B0" w:rsidP="00DF7B2C">
            <w:pPr>
              <w:tabs>
                <w:tab w:val="num" w:pos="720"/>
              </w:tabs>
              <w:spacing w:before="120" w:after="240"/>
              <w:rPr>
                <w:rFonts w:ascii="Titillium" w:eastAsia="Arial Unicode MS" w:hAnsi="Titillium" w:cs="Arial"/>
                <w:sz w:val="22"/>
                <w:szCs w:val="24"/>
                <w:lang w:val="en-GB" w:eastAsia="en-GB"/>
              </w:rPr>
            </w:pPr>
          </w:p>
        </w:tc>
        <w:tc>
          <w:tcPr>
            <w:tcW w:w="3116" w:type="dxa"/>
            <w:vMerge/>
          </w:tcPr>
          <w:p w14:paraId="0B96DD0A" w14:textId="142B4846" w:rsidR="001654B0" w:rsidRPr="001654B0" w:rsidRDefault="001654B0" w:rsidP="00DF7B2C">
            <w:pPr>
              <w:numPr>
                <w:ilvl w:val="0"/>
                <w:numId w:val="5"/>
              </w:numPr>
              <w:tabs>
                <w:tab w:val="num" w:pos="176"/>
              </w:tabs>
              <w:spacing w:before="60" w:after="60" w:line="276" w:lineRule="auto"/>
              <w:ind w:left="176" w:hanging="176"/>
              <w:rPr>
                <w:rFonts w:ascii="Titillium" w:eastAsia="Times New Roman" w:hAnsi="Titillium" w:cs="Arial"/>
                <w:sz w:val="22"/>
                <w:szCs w:val="22"/>
                <w:lang w:val="en-GB"/>
              </w:rPr>
            </w:pPr>
          </w:p>
        </w:tc>
        <w:tc>
          <w:tcPr>
            <w:tcW w:w="2324" w:type="dxa"/>
            <w:vMerge/>
          </w:tcPr>
          <w:p w14:paraId="35AA7EBB" w14:textId="2804E64F" w:rsidR="001654B0" w:rsidRDefault="001654B0" w:rsidP="00DF7B2C">
            <w:pPr>
              <w:spacing w:before="60" w:after="60"/>
              <w:rPr>
                <w:rFonts w:ascii="Titillium" w:eastAsia="Times New Roman" w:hAnsi="Titillium" w:cs="Arial"/>
                <w:sz w:val="22"/>
                <w:szCs w:val="22"/>
                <w:lang w:val="en-GB"/>
              </w:rPr>
            </w:pPr>
          </w:p>
        </w:tc>
        <w:tc>
          <w:tcPr>
            <w:tcW w:w="1928" w:type="dxa"/>
            <w:vMerge/>
          </w:tcPr>
          <w:p w14:paraId="68CCAB51" w14:textId="4D001D2E" w:rsidR="001654B0" w:rsidRDefault="001654B0" w:rsidP="00DF7B2C">
            <w:pPr>
              <w:spacing w:before="60" w:after="60"/>
              <w:rPr>
                <w:rFonts w:ascii="Titillium" w:eastAsia="Times New Roman" w:hAnsi="Titillium" w:cs="Arial"/>
                <w:sz w:val="22"/>
                <w:szCs w:val="22"/>
                <w:lang w:val="en-GB"/>
              </w:rPr>
            </w:pPr>
          </w:p>
        </w:tc>
        <w:tc>
          <w:tcPr>
            <w:tcW w:w="3938" w:type="dxa"/>
            <w:vMerge/>
          </w:tcPr>
          <w:p w14:paraId="0ED52509" w14:textId="77777777" w:rsidR="001654B0" w:rsidRDefault="001654B0" w:rsidP="00DF7B2C">
            <w:pPr>
              <w:spacing w:before="60" w:after="60"/>
              <w:rPr>
                <w:rFonts w:ascii="Titillium" w:eastAsia="Times New Roman" w:hAnsi="Titillium" w:cs="Arial"/>
                <w:sz w:val="22"/>
                <w:szCs w:val="22"/>
                <w:lang w:val="en-GB"/>
              </w:rPr>
            </w:pPr>
          </w:p>
        </w:tc>
      </w:tr>
      <w:tr w:rsidR="001654B0" w:rsidRPr="00867F38" w14:paraId="4EB2E020" w14:textId="77777777" w:rsidTr="002C3981">
        <w:tc>
          <w:tcPr>
            <w:tcW w:w="2551" w:type="dxa"/>
          </w:tcPr>
          <w:p w14:paraId="6F9603B6" w14:textId="77777777" w:rsidR="001654B0" w:rsidRPr="00867F38" w:rsidRDefault="001654B0" w:rsidP="00DF7B2C">
            <w:pPr>
              <w:tabs>
                <w:tab w:val="num" w:pos="720"/>
              </w:tabs>
              <w:spacing w:before="120" w:after="240"/>
              <w:rPr>
                <w:rFonts w:ascii="Titillium" w:eastAsia="Arial Unicode MS" w:hAnsi="Titillium" w:cs="Arial"/>
                <w:sz w:val="22"/>
                <w:szCs w:val="24"/>
                <w:lang w:val="en-GB" w:eastAsia="en-GB"/>
              </w:rPr>
            </w:pPr>
          </w:p>
        </w:tc>
        <w:tc>
          <w:tcPr>
            <w:tcW w:w="3116" w:type="dxa"/>
          </w:tcPr>
          <w:p w14:paraId="6B6F7292" w14:textId="7777777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Scottish domiciled undergraduate entrants:</w:t>
            </w:r>
          </w:p>
          <w:p w14:paraId="6919480A" w14:textId="2D8B43AD" w:rsidR="001654B0" w:rsidRPr="001654B0" w:rsidRDefault="001654B0" w:rsidP="00DF7B2C">
            <w:pPr>
              <w:spacing w:before="60" w:after="60" w:line="276" w:lineRule="auto"/>
              <w:rPr>
                <w:rFonts w:ascii="Titillium" w:eastAsia="Times New Roman" w:hAnsi="Titillium" w:cs="Arial"/>
                <w:sz w:val="22"/>
                <w:szCs w:val="22"/>
                <w:lang w:val="en-GB"/>
              </w:rPr>
            </w:pPr>
            <w:r w:rsidRPr="00307598">
              <w:rPr>
                <w:rFonts w:ascii="Titillium" w:eastAsia="Times New Roman" w:hAnsi="Titillium" w:cs="Arial"/>
                <w:sz w:val="22"/>
                <w:szCs w:val="22"/>
                <w:lang w:val="en-GB" w:eastAsia="en-GB"/>
              </w:rPr>
              <w:t>BME (black and minority ethnic) students</w:t>
            </w:r>
          </w:p>
        </w:tc>
        <w:tc>
          <w:tcPr>
            <w:tcW w:w="2324" w:type="dxa"/>
          </w:tcPr>
          <w:p w14:paraId="52B00868" w14:textId="7777777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2015/16</w:t>
            </w:r>
          </w:p>
          <w:p w14:paraId="463F5F56" w14:textId="7777777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196 (7.5%)</w:t>
            </w:r>
          </w:p>
          <w:p w14:paraId="09ED8945" w14:textId="77777777" w:rsidR="001654B0" w:rsidRDefault="001654B0" w:rsidP="00DF7B2C">
            <w:pPr>
              <w:spacing w:before="60" w:after="60"/>
              <w:rPr>
                <w:rFonts w:ascii="Titillium" w:eastAsia="Times New Roman" w:hAnsi="Titillium" w:cs="Arial"/>
                <w:sz w:val="22"/>
                <w:szCs w:val="22"/>
                <w:lang w:val="en-GB"/>
              </w:rPr>
            </w:pPr>
          </w:p>
        </w:tc>
        <w:tc>
          <w:tcPr>
            <w:tcW w:w="1928" w:type="dxa"/>
          </w:tcPr>
          <w:p w14:paraId="0839531E" w14:textId="77777777" w:rsidR="001654B0" w:rsidRDefault="001654B0" w:rsidP="00DF7B2C">
            <w:pPr>
              <w:spacing w:before="60" w:after="60"/>
              <w:rPr>
                <w:rFonts w:ascii="Titillium" w:eastAsia="Times New Roman" w:hAnsi="Titillium" w:cs="Arial"/>
                <w:sz w:val="22"/>
                <w:szCs w:val="22"/>
                <w:lang w:val="en-GB"/>
              </w:rPr>
            </w:pPr>
          </w:p>
          <w:p w14:paraId="78B7C32D" w14:textId="1A365674"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7.5%</w:t>
            </w:r>
          </w:p>
        </w:tc>
        <w:tc>
          <w:tcPr>
            <w:tcW w:w="3938" w:type="dxa"/>
          </w:tcPr>
          <w:p w14:paraId="3CC78E82" w14:textId="319F6E9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Maintain current levels at or above sector average (6%), while monitoring patterns for specific ethnic groups</w:t>
            </w:r>
          </w:p>
        </w:tc>
      </w:tr>
      <w:tr w:rsidR="001654B0" w:rsidRPr="00867F38" w14:paraId="10701B01" w14:textId="77777777" w:rsidTr="002C3981">
        <w:tc>
          <w:tcPr>
            <w:tcW w:w="2551" w:type="dxa"/>
          </w:tcPr>
          <w:p w14:paraId="281834F4" w14:textId="77777777" w:rsidR="001654B0" w:rsidRPr="00867F38" w:rsidRDefault="001654B0" w:rsidP="00DF7B2C">
            <w:pPr>
              <w:tabs>
                <w:tab w:val="num" w:pos="720"/>
              </w:tabs>
              <w:spacing w:before="120" w:after="240"/>
              <w:rPr>
                <w:rFonts w:ascii="Titillium" w:eastAsia="Arial Unicode MS" w:hAnsi="Titillium" w:cs="Arial"/>
                <w:sz w:val="22"/>
                <w:szCs w:val="24"/>
                <w:lang w:val="en-GB" w:eastAsia="en-GB"/>
              </w:rPr>
            </w:pPr>
          </w:p>
        </w:tc>
        <w:tc>
          <w:tcPr>
            <w:tcW w:w="3116" w:type="dxa"/>
          </w:tcPr>
          <w:p w14:paraId="487B795A" w14:textId="7777777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Enrolled students:</w:t>
            </w:r>
          </w:p>
          <w:p w14:paraId="43B43EAB" w14:textId="43EB428B"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Disabled students</w:t>
            </w:r>
          </w:p>
        </w:tc>
        <w:tc>
          <w:tcPr>
            <w:tcW w:w="2324" w:type="dxa"/>
          </w:tcPr>
          <w:p w14:paraId="378C5D90" w14:textId="7777777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2015/16</w:t>
            </w:r>
          </w:p>
          <w:p w14:paraId="74D511A4" w14:textId="1EEE24F2"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11.5%</w:t>
            </w:r>
          </w:p>
        </w:tc>
        <w:tc>
          <w:tcPr>
            <w:tcW w:w="1928" w:type="dxa"/>
          </w:tcPr>
          <w:p w14:paraId="310C2444" w14:textId="77777777" w:rsidR="001654B0" w:rsidRDefault="001654B0" w:rsidP="00DF7B2C">
            <w:pPr>
              <w:spacing w:before="60" w:after="60"/>
              <w:rPr>
                <w:rFonts w:ascii="Titillium" w:eastAsia="Times New Roman" w:hAnsi="Titillium" w:cs="Arial"/>
                <w:sz w:val="22"/>
                <w:szCs w:val="22"/>
                <w:lang w:val="en-GB"/>
              </w:rPr>
            </w:pPr>
          </w:p>
          <w:p w14:paraId="2D12B385" w14:textId="39D82211"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11.5%</w:t>
            </w:r>
          </w:p>
        </w:tc>
        <w:tc>
          <w:tcPr>
            <w:tcW w:w="3938" w:type="dxa"/>
          </w:tcPr>
          <w:p w14:paraId="417DC15E" w14:textId="339FA617"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Maintain current levels at or above sector average for a similar institution.</w:t>
            </w:r>
          </w:p>
        </w:tc>
      </w:tr>
      <w:tr w:rsidR="001654B0" w:rsidRPr="00867F38" w14:paraId="5A49D283" w14:textId="77777777" w:rsidTr="002C3981">
        <w:tc>
          <w:tcPr>
            <w:tcW w:w="2551" w:type="dxa"/>
          </w:tcPr>
          <w:p w14:paraId="20E259A4" w14:textId="77777777" w:rsidR="001654B0" w:rsidRPr="00867F38" w:rsidRDefault="001654B0" w:rsidP="00DF7B2C">
            <w:pPr>
              <w:tabs>
                <w:tab w:val="num" w:pos="720"/>
              </w:tabs>
              <w:spacing w:before="120" w:after="240"/>
              <w:rPr>
                <w:rFonts w:ascii="Titillium" w:eastAsia="Arial Unicode MS" w:hAnsi="Titillium" w:cs="Arial"/>
                <w:sz w:val="22"/>
                <w:szCs w:val="24"/>
                <w:lang w:val="en-GB" w:eastAsia="en-GB"/>
              </w:rPr>
            </w:pPr>
          </w:p>
        </w:tc>
        <w:tc>
          <w:tcPr>
            <w:tcW w:w="3116" w:type="dxa"/>
          </w:tcPr>
          <w:p w14:paraId="2695A546" w14:textId="11530041" w:rsidR="001654B0" w:rsidRDefault="001654B0" w:rsidP="00DF7B2C">
            <w:pPr>
              <w:spacing w:before="60" w:after="60"/>
              <w:rPr>
                <w:rFonts w:ascii="Titillium" w:eastAsia="Times New Roman" w:hAnsi="Titillium" w:cs="Arial"/>
                <w:sz w:val="22"/>
                <w:szCs w:val="22"/>
                <w:lang w:val="en-GB"/>
              </w:rPr>
            </w:pPr>
            <w:r w:rsidRPr="00307598">
              <w:rPr>
                <w:rFonts w:ascii="Titillium" w:eastAsia="Times New Roman" w:hAnsi="Titillium" w:cs="Arial"/>
                <w:sz w:val="22"/>
                <w:szCs w:val="22"/>
                <w:lang w:val="en-GB"/>
              </w:rPr>
              <w:t xml:space="preserve">Articulating </w:t>
            </w:r>
            <w:r>
              <w:rPr>
                <w:rFonts w:ascii="Titillium" w:eastAsia="Times New Roman" w:hAnsi="Titillium" w:cs="Arial"/>
                <w:sz w:val="22"/>
                <w:szCs w:val="22"/>
                <w:lang w:val="en-GB"/>
              </w:rPr>
              <w:t xml:space="preserve">entrants </w:t>
            </w:r>
            <w:r w:rsidRPr="00307598">
              <w:rPr>
                <w:rFonts w:ascii="Titillium" w:eastAsia="Times New Roman" w:hAnsi="Titillium" w:cs="Arial"/>
                <w:sz w:val="22"/>
                <w:szCs w:val="22"/>
                <w:lang w:val="en-GB"/>
              </w:rPr>
              <w:t>(no loss of time)</w:t>
            </w:r>
            <w:r>
              <w:rPr>
                <w:rFonts w:ascii="Titillium" w:eastAsia="Times New Roman" w:hAnsi="Titillium" w:cs="Arial"/>
                <w:sz w:val="22"/>
                <w:szCs w:val="22"/>
                <w:lang w:val="en-GB"/>
              </w:rPr>
              <w:t xml:space="preserve"> (headcount)</w:t>
            </w:r>
          </w:p>
        </w:tc>
        <w:tc>
          <w:tcPr>
            <w:tcW w:w="2324" w:type="dxa"/>
          </w:tcPr>
          <w:p w14:paraId="55F226DA" w14:textId="383D7E5A"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698</w:t>
            </w:r>
            <w:r w:rsidRPr="00307598">
              <w:rPr>
                <w:rFonts w:ascii="Titillium" w:eastAsia="Times New Roman" w:hAnsi="Titillium" w:cs="Arial"/>
                <w:sz w:val="22"/>
                <w:szCs w:val="22"/>
                <w:lang w:val="en-GB"/>
              </w:rPr>
              <w:t xml:space="preserve"> (2015/16)</w:t>
            </w:r>
          </w:p>
        </w:tc>
        <w:tc>
          <w:tcPr>
            <w:tcW w:w="1928" w:type="dxa"/>
          </w:tcPr>
          <w:p w14:paraId="45C94A6B" w14:textId="2A251A23" w:rsidR="001654B0" w:rsidRDefault="001654B0" w:rsidP="00DF7B2C">
            <w:pPr>
              <w:spacing w:before="60" w:after="60"/>
              <w:rPr>
                <w:rFonts w:ascii="Titillium" w:eastAsia="Times New Roman" w:hAnsi="Titillium" w:cs="Arial"/>
                <w:sz w:val="22"/>
                <w:szCs w:val="22"/>
                <w:lang w:val="en-GB"/>
              </w:rPr>
            </w:pPr>
            <w:r w:rsidRPr="00307598">
              <w:rPr>
                <w:rFonts w:ascii="Titillium" w:eastAsia="Times New Roman" w:hAnsi="Titillium" w:cs="Arial"/>
                <w:sz w:val="22"/>
                <w:szCs w:val="22"/>
                <w:lang w:val="en-GB"/>
              </w:rPr>
              <w:t>70</w:t>
            </w:r>
            <w:r>
              <w:rPr>
                <w:rFonts w:ascii="Titillium" w:eastAsia="Times New Roman" w:hAnsi="Titillium" w:cs="Arial"/>
                <w:sz w:val="22"/>
                <w:szCs w:val="22"/>
                <w:lang w:val="en-GB"/>
              </w:rPr>
              <w:t>7</w:t>
            </w:r>
          </w:p>
        </w:tc>
        <w:tc>
          <w:tcPr>
            <w:tcW w:w="3938" w:type="dxa"/>
          </w:tcPr>
          <w:p w14:paraId="5638C0D0" w14:textId="6C688994" w:rsidR="001654B0" w:rsidRDefault="001654B0" w:rsidP="00DF7B2C">
            <w:pPr>
              <w:spacing w:before="60" w:after="60"/>
              <w:rPr>
                <w:rFonts w:ascii="Titillium" w:eastAsia="Times New Roman" w:hAnsi="Titillium" w:cs="Arial"/>
                <w:sz w:val="22"/>
                <w:szCs w:val="22"/>
                <w:lang w:val="en-GB"/>
              </w:rPr>
            </w:pPr>
            <w:r>
              <w:rPr>
                <w:rFonts w:ascii="Titillium" w:eastAsia="Times New Roman" w:hAnsi="Titillium" w:cs="Arial"/>
                <w:sz w:val="22"/>
                <w:szCs w:val="22"/>
                <w:lang w:val="en-GB"/>
              </w:rPr>
              <w:t>Following the end of the Additional Funded Places scheme (107 places), we plan to mainstream these numbers into our University articulating population.</w:t>
            </w:r>
          </w:p>
        </w:tc>
      </w:tr>
    </w:tbl>
    <w:p w14:paraId="7465F024" w14:textId="77777777" w:rsidR="00DF7B2C" w:rsidRDefault="00DF7B2C">
      <w:r>
        <w:br w:type="page"/>
      </w: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3116"/>
        <w:gridCol w:w="2324"/>
        <w:gridCol w:w="1928"/>
        <w:gridCol w:w="3938"/>
      </w:tblGrid>
      <w:tr w:rsidR="00B445E5" w:rsidRPr="00867F38" w14:paraId="512E6B84" w14:textId="77777777" w:rsidTr="002C3981">
        <w:tc>
          <w:tcPr>
            <w:tcW w:w="2551" w:type="dxa"/>
          </w:tcPr>
          <w:p w14:paraId="7B937C0A" w14:textId="110E808A" w:rsidR="00B445E5" w:rsidRPr="00867F38" w:rsidRDefault="00B445E5" w:rsidP="00DF7B2C">
            <w:pPr>
              <w:tabs>
                <w:tab w:val="num" w:pos="720"/>
              </w:tabs>
              <w:spacing w:before="120" w:after="240"/>
              <w:rPr>
                <w:rFonts w:ascii="Titillium" w:eastAsia="Times New Roman" w:hAnsi="Titillium" w:cs="Arial"/>
                <w:i/>
                <w:iCs/>
                <w:sz w:val="22"/>
                <w:szCs w:val="22"/>
                <w:lang w:val="en-GB"/>
              </w:rPr>
            </w:pPr>
            <w:r w:rsidRPr="00867F38">
              <w:rPr>
                <w:rFonts w:ascii="Titillium" w:eastAsia="Arial Unicode MS" w:hAnsi="Titillium" w:cs="Arial"/>
                <w:sz w:val="22"/>
                <w:szCs w:val="24"/>
                <w:lang w:val="en-GB" w:eastAsia="en-GB"/>
              </w:rPr>
              <w:lastRenderedPageBreak/>
              <w:t>By 2020 we will have</w:t>
            </w:r>
            <w:r>
              <w:rPr>
                <w:rFonts w:ascii="Titillium" w:eastAsia="Arial Unicode MS" w:hAnsi="Titillium" w:cs="Arial"/>
                <w:sz w:val="22"/>
                <w:szCs w:val="24"/>
                <w:lang w:val="en-GB" w:eastAsia="en-GB"/>
              </w:rPr>
              <w:t xml:space="preserve"> improved the continuation, achievements and employability of widening participation students</w:t>
            </w:r>
          </w:p>
        </w:tc>
        <w:tc>
          <w:tcPr>
            <w:tcW w:w="3116" w:type="dxa"/>
          </w:tcPr>
          <w:p w14:paraId="602B7FFB" w14:textId="12EC32E2" w:rsidR="00B445E5" w:rsidRPr="00867F38" w:rsidRDefault="00B445E5" w:rsidP="00DF7B2C">
            <w:pPr>
              <w:spacing w:before="60" w:after="60" w:line="276" w:lineRule="auto"/>
              <w:rPr>
                <w:rFonts w:ascii="Titillium" w:eastAsia="Times New Roman" w:hAnsi="Titillium" w:cs="Arial"/>
                <w:sz w:val="22"/>
                <w:szCs w:val="22"/>
                <w:lang w:val="en-GB"/>
              </w:rPr>
            </w:pPr>
            <w:r w:rsidRPr="00867F38">
              <w:rPr>
                <w:rFonts w:ascii="Titillium" w:eastAsia="Times New Roman" w:hAnsi="Titillium" w:cs="Arial"/>
                <w:sz w:val="22"/>
                <w:szCs w:val="22"/>
                <w:lang w:val="en-GB"/>
              </w:rPr>
              <w:t xml:space="preserve">% FT UG Scottish domiciled entrants who continue or qualify following the year of entry: </w:t>
            </w:r>
            <w:r>
              <w:rPr>
                <w:rFonts w:ascii="Titillium" w:eastAsia="Times New Roman" w:hAnsi="Titillium" w:cs="Arial"/>
                <w:sz w:val="22"/>
                <w:szCs w:val="22"/>
                <w:lang w:val="en-GB"/>
              </w:rPr>
              <w:t>SI</w:t>
            </w:r>
            <w:r w:rsidRPr="00867F38">
              <w:rPr>
                <w:rFonts w:ascii="Titillium" w:eastAsia="Times New Roman" w:hAnsi="Titillium" w:cs="Arial"/>
                <w:sz w:val="22"/>
                <w:szCs w:val="22"/>
                <w:lang w:val="en-GB"/>
              </w:rPr>
              <w:t>MD20</w:t>
            </w:r>
          </w:p>
          <w:p w14:paraId="005EE80D" w14:textId="05E2B001" w:rsidR="00B445E5" w:rsidRPr="00867F38" w:rsidRDefault="00B445E5" w:rsidP="00DF7B2C">
            <w:pPr>
              <w:spacing w:before="60" w:after="60" w:line="276" w:lineRule="auto"/>
              <w:rPr>
                <w:rFonts w:ascii="Titillium" w:eastAsia="Times New Roman" w:hAnsi="Titillium" w:cs="Arial"/>
                <w:sz w:val="22"/>
                <w:szCs w:val="22"/>
                <w:lang w:val="en-GB"/>
              </w:rPr>
            </w:pPr>
          </w:p>
        </w:tc>
        <w:tc>
          <w:tcPr>
            <w:tcW w:w="2324" w:type="dxa"/>
          </w:tcPr>
          <w:p w14:paraId="53F8F7B7" w14:textId="2ABBCB48" w:rsidR="00B445E5" w:rsidRPr="00867F38" w:rsidRDefault="00B445E5" w:rsidP="00DF7B2C">
            <w:pPr>
              <w:spacing w:before="60" w:after="60" w:line="276" w:lineRule="auto"/>
              <w:rPr>
                <w:rFonts w:ascii="Titillium" w:eastAsia="Times New Roman" w:hAnsi="Titillium" w:cs="Arial"/>
                <w:sz w:val="22"/>
                <w:szCs w:val="22"/>
                <w:lang w:val="en-GB"/>
              </w:rPr>
            </w:pPr>
            <w:r w:rsidRPr="00867F38">
              <w:rPr>
                <w:rFonts w:ascii="Titillium" w:eastAsia="Times New Roman" w:hAnsi="Titillium" w:cs="Arial"/>
                <w:sz w:val="22"/>
                <w:szCs w:val="22"/>
                <w:lang w:val="en-GB"/>
              </w:rPr>
              <w:t>8</w:t>
            </w:r>
            <w:r>
              <w:rPr>
                <w:rFonts w:ascii="Titillium" w:eastAsia="Times New Roman" w:hAnsi="Titillium" w:cs="Arial"/>
                <w:sz w:val="22"/>
                <w:szCs w:val="22"/>
                <w:lang w:val="en-GB"/>
              </w:rPr>
              <w:t>4</w:t>
            </w:r>
            <w:r w:rsidRPr="00867F38">
              <w:rPr>
                <w:rFonts w:ascii="Titillium" w:eastAsia="Times New Roman" w:hAnsi="Titillium" w:cs="Arial"/>
                <w:sz w:val="22"/>
                <w:szCs w:val="22"/>
                <w:lang w:val="en-GB"/>
              </w:rPr>
              <w:t>% (201</w:t>
            </w:r>
            <w:r>
              <w:rPr>
                <w:rFonts w:ascii="Titillium" w:eastAsia="Times New Roman" w:hAnsi="Titillium" w:cs="Arial"/>
                <w:sz w:val="22"/>
                <w:szCs w:val="22"/>
                <w:lang w:val="en-GB"/>
              </w:rPr>
              <w:t>5</w:t>
            </w:r>
            <w:r w:rsidRPr="00867F38">
              <w:rPr>
                <w:rFonts w:ascii="Titillium" w:eastAsia="Times New Roman" w:hAnsi="Titillium" w:cs="Arial"/>
                <w:sz w:val="22"/>
                <w:szCs w:val="22"/>
                <w:lang w:val="en-GB"/>
              </w:rPr>
              <w:t>/1</w:t>
            </w:r>
            <w:r>
              <w:rPr>
                <w:rFonts w:ascii="Titillium" w:eastAsia="Times New Roman" w:hAnsi="Titillium" w:cs="Arial"/>
                <w:sz w:val="22"/>
                <w:szCs w:val="22"/>
                <w:lang w:val="en-GB"/>
              </w:rPr>
              <w:t>6</w:t>
            </w:r>
            <w:r w:rsidRPr="00867F38">
              <w:rPr>
                <w:rFonts w:ascii="Titillium" w:eastAsia="Times New Roman" w:hAnsi="Titillium" w:cs="Arial"/>
                <w:sz w:val="22"/>
                <w:szCs w:val="22"/>
                <w:lang w:val="en-GB"/>
              </w:rPr>
              <w:t>)</w:t>
            </w:r>
          </w:p>
        </w:tc>
        <w:tc>
          <w:tcPr>
            <w:tcW w:w="1928" w:type="dxa"/>
          </w:tcPr>
          <w:p w14:paraId="1143FBC8" w14:textId="0172573C" w:rsidR="00B445E5" w:rsidRPr="00867F38"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90%</w:t>
            </w:r>
          </w:p>
        </w:tc>
        <w:tc>
          <w:tcPr>
            <w:tcW w:w="3938" w:type="dxa"/>
          </w:tcPr>
          <w:p w14:paraId="781ED06A" w14:textId="77777777" w:rsidR="00B445E5" w:rsidRPr="00867F38" w:rsidRDefault="00B445E5" w:rsidP="00DF7B2C">
            <w:pPr>
              <w:spacing w:before="60" w:after="60" w:line="276" w:lineRule="auto"/>
              <w:rPr>
                <w:rFonts w:ascii="Titillium" w:eastAsia="Times New Roman" w:hAnsi="Titillium" w:cs="Arial"/>
                <w:sz w:val="22"/>
                <w:szCs w:val="22"/>
                <w:lang w:val="en-GB"/>
              </w:rPr>
            </w:pPr>
          </w:p>
        </w:tc>
      </w:tr>
      <w:tr w:rsidR="00B445E5" w:rsidRPr="00867F38" w14:paraId="07E2E75D" w14:textId="77777777" w:rsidTr="002C3981">
        <w:tc>
          <w:tcPr>
            <w:tcW w:w="2551" w:type="dxa"/>
          </w:tcPr>
          <w:p w14:paraId="71C8D44E" w14:textId="77777777" w:rsidR="00B445E5" w:rsidRPr="00867F38" w:rsidRDefault="00B445E5" w:rsidP="00DF7B2C">
            <w:pPr>
              <w:tabs>
                <w:tab w:val="num" w:pos="720"/>
              </w:tabs>
              <w:spacing w:before="120" w:after="240"/>
              <w:rPr>
                <w:rFonts w:ascii="Titillium" w:eastAsia="Arial Unicode MS" w:hAnsi="Titillium" w:cs="Arial"/>
                <w:sz w:val="22"/>
                <w:szCs w:val="24"/>
                <w:lang w:val="en-GB" w:eastAsia="en-GB"/>
              </w:rPr>
            </w:pPr>
          </w:p>
        </w:tc>
        <w:tc>
          <w:tcPr>
            <w:tcW w:w="3116" w:type="dxa"/>
          </w:tcPr>
          <w:p w14:paraId="4085A687" w14:textId="2D83105D" w:rsidR="00B445E5" w:rsidRPr="00867F38" w:rsidRDefault="00B445E5" w:rsidP="00DF7B2C">
            <w:pPr>
              <w:spacing w:before="60" w:after="60" w:line="276" w:lineRule="auto"/>
              <w:rPr>
                <w:rFonts w:ascii="Titillium" w:eastAsia="Times New Roman" w:hAnsi="Titillium" w:cs="Arial"/>
                <w:sz w:val="22"/>
                <w:szCs w:val="22"/>
                <w:lang w:val="en-GB"/>
              </w:rPr>
            </w:pPr>
            <w:r w:rsidRPr="00867F38">
              <w:rPr>
                <w:rFonts w:ascii="Titillium" w:eastAsia="Times New Roman" w:hAnsi="Titillium" w:cs="Arial"/>
                <w:sz w:val="22"/>
                <w:szCs w:val="22"/>
                <w:lang w:val="en-GB"/>
              </w:rPr>
              <w:t xml:space="preserve">Proportion of </w:t>
            </w:r>
            <w:r>
              <w:rPr>
                <w:rFonts w:ascii="Titillium" w:eastAsia="Times New Roman" w:hAnsi="Titillium" w:cs="Arial"/>
                <w:sz w:val="22"/>
                <w:szCs w:val="22"/>
                <w:lang w:val="en-GB"/>
              </w:rPr>
              <w:t>widening participation</w:t>
            </w:r>
            <w:r w:rsidRPr="00867F38">
              <w:rPr>
                <w:rFonts w:ascii="Titillium" w:eastAsia="Times New Roman" w:hAnsi="Titillium" w:cs="Arial"/>
                <w:sz w:val="22"/>
                <w:szCs w:val="22"/>
                <w:lang w:val="en-GB"/>
              </w:rPr>
              <w:t xml:space="preserve"> students entering graduate empl</w:t>
            </w:r>
            <w:r>
              <w:rPr>
                <w:rFonts w:ascii="Titillium" w:eastAsia="Times New Roman" w:hAnsi="Titillium" w:cs="Arial"/>
                <w:sz w:val="22"/>
                <w:szCs w:val="22"/>
                <w:lang w:val="en-GB"/>
              </w:rPr>
              <w:t>o</w:t>
            </w:r>
            <w:r w:rsidRPr="00867F38">
              <w:rPr>
                <w:rFonts w:ascii="Titillium" w:eastAsia="Times New Roman" w:hAnsi="Titillium" w:cs="Arial"/>
                <w:sz w:val="22"/>
                <w:szCs w:val="22"/>
                <w:lang w:val="en-GB"/>
              </w:rPr>
              <w:t>y</w:t>
            </w:r>
            <w:r>
              <w:rPr>
                <w:rFonts w:ascii="Titillium" w:eastAsia="Times New Roman" w:hAnsi="Titillium" w:cs="Arial"/>
                <w:sz w:val="22"/>
                <w:szCs w:val="22"/>
                <w:lang w:val="en-GB"/>
              </w:rPr>
              <w:t>ment</w:t>
            </w:r>
          </w:p>
        </w:tc>
        <w:tc>
          <w:tcPr>
            <w:tcW w:w="2324" w:type="dxa"/>
          </w:tcPr>
          <w:p w14:paraId="62525BFD" w14:textId="181796A1" w:rsidR="00B445E5" w:rsidRPr="00867F38"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Not currently available</w:t>
            </w:r>
          </w:p>
        </w:tc>
        <w:tc>
          <w:tcPr>
            <w:tcW w:w="1928" w:type="dxa"/>
          </w:tcPr>
          <w:p w14:paraId="0C9FD5AD" w14:textId="5BFA65F8" w:rsidR="00B445E5"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80%</w:t>
            </w:r>
          </w:p>
        </w:tc>
        <w:tc>
          <w:tcPr>
            <w:tcW w:w="3938" w:type="dxa"/>
          </w:tcPr>
          <w:p w14:paraId="6AD4FC60" w14:textId="3026BFE0" w:rsidR="00B445E5" w:rsidRPr="00867F38"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Need to develop method to measure and track this figure from DLHE statistics.  Overall target is to match general student population.</w:t>
            </w:r>
          </w:p>
        </w:tc>
      </w:tr>
      <w:tr w:rsidR="00B445E5" w:rsidRPr="00867F38" w14:paraId="6E876A55" w14:textId="77777777" w:rsidTr="002C3981">
        <w:tc>
          <w:tcPr>
            <w:tcW w:w="2551" w:type="dxa"/>
          </w:tcPr>
          <w:p w14:paraId="3A7400F5" w14:textId="77777777" w:rsidR="00B445E5" w:rsidRPr="00867F38" w:rsidRDefault="00B445E5" w:rsidP="00DF7B2C">
            <w:pPr>
              <w:tabs>
                <w:tab w:val="num" w:pos="720"/>
              </w:tabs>
              <w:spacing w:before="120" w:after="240"/>
              <w:rPr>
                <w:rFonts w:ascii="Titillium" w:eastAsia="Arial Unicode MS" w:hAnsi="Titillium" w:cs="Arial"/>
                <w:sz w:val="22"/>
                <w:szCs w:val="24"/>
                <w:lang w:val="en-GB" w:eastAsia="en-GB"/>
              </w:rPr>
            </w:pPr>
          </w:p>
        </w:tc>
        <w:tc>
          <w:tcPr>
            <w:tcW w:w="3116" w:type="dxa"/>
          </w:tcPr>
          <w:p w14:paraId="0F5586F5" w14:textId="599BB39D" w:rsidR="00B445E5" w:rsidRPr="00867F38" w:rsidRDefault="00B445E5" w:rsidP="00DF7B2C">
            <w:pPr>
              <w:spacing w:before="60" w:after="60" w:line="276" w:lineRule="auto"/>
              <w:rPr>
                <w:rFonts w:ascii="Titillium" w:eastAsia="Times New Roman" w:hAnsi="Titillium" w:cs="Arial"/>
                <w:sz w:val="22"/>
                <w:szCs w:val="22"/>
                <w:lang w:val="en-GB"/>
              </w:rPr>
            </w:pPr>
            <w:r w:rsidRPr="00317ABA">
              <w:rPr>
                <w:rFonts w:ascii="Titillium" w:eastAsia="Times New Roman" w:hAnsi="Titillium" w:cs="Arial"/>
                <w:sz w:val="22"/>
                <w:szCs w:val="22"/>
                <w:lang w:val="en-GB"/>
              </w:rPr>
              <w:t xml:space="preserve">Engagement of </w:t>
            </w:r>
            <w:r>
              <w:rPr>
                <w:rFonts w:ascii="Titillium" w:eastAsia="Times New Roman" w:hAnsi="Titillium" w:cs="Arial"/>
                <w:sz w:val="22"/>
                <w:szCs w:val="22"/>
                <w:lang w:val="en-GB"/>
              </w:rPr>
              <w:t>widening participation</w:t>
            </w:r>
            <w:r w:rsidRPr="00317ABA">
              <w:rPr>
                <w:rFonts w:ascii="Titillium" w:eastAsia="Times New Roman" w:hAnsi="Titillium" w:cs="Arial"/>
                <w:sz w:val="22"/>
                <w:szCs w:val="22"/>
                <w:lang w:val="en-GB"/>
              </w:rPr>
              <w:t xml:space="preserve"> students in employability/mobility opportunities</w:t>
            </w:r>
          </w:p>
        </w:tc>
        <w:tc>
          <w:tcPr>
            <w:tcW w:w="2324" w:type="dxa"/>
          </w:tcPr>
          <w:p w14:paraId="45467390" w14:textId="77777777" w:rsidR="00B445E5" w:rsidRDefault="00B445E5" w:rsidP="00DF7B2C">
            <w:pPr>
              <w:spacing w:before="120" w:after="120"/>
              <w:rPr>
                <w:rFonts w:ascii="Titillium" w:eastAsia="Times New Roman" w:hAnsi="Titillium" w:cs="Arial"/>
                <w:sz w:val="22"/>
                <w:szCs w:val="22"/>
                <w:lang w:val="en-GB"/>
              </w:rPr>
            </w:pPr>
            <w:r>
              <w:rPr>
                <w:rFonts w:ascii="Titillium" w:eastAsia="Times New Roman" w:hAnsi="Titillium" w:cs="Arial"/>
                <w:sz w:val="22"/>
                <w:szCs w:val="22"/>
                <w:lang w:val="en-GB"/>
              </w:rPr>
              <w:t>Not currently available</w:t>
            </w:r>
          </w:p>
          <w:p w14:paraId="5F271136" w14:textId="77777777" w:rsidR="00B445E5" w:rsidRPr="00867F38" w:rsidRDefault="00B445E5" w:rsidP="00DF7B2C">
            <w:pPr>
              <w:spacing w:before="60" w:after="60" w:line="276" w:lineRule="auto"/>
              <w:rPr>
                <w:rFonts w:ascii="Titillium" w:eastAsia="Times New Roman" w:hAnsi="Titillium" w:cs="Arial"/>
                <w:sz w:val="22"/>
                <w:szCs w:val="22"/>
                <w:lang w:val="en-GB"/>
              </w:rPr>
            </w:pPr>
          </w:p>
        </w:tc>
        <w:tc>
          <w:tcPr>
            <w:tcW w:w="1928" w:type="dxa"/>
          </w:tcPr>
          <w:p w14:paraId="78CC24E6" w14:textId="3ACC39DF" w:rsidR="00B445E5"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Mirror Edinburgh Napier student population</w:t>
            </w:r>
          </w:p>
        </w:tc>
        <w:tc>
          <w:tcPr>
            <w:tcW w:w="3938" w:type="dxa"/>
          </w:tcPr>
          <w:p w14:paraId="4AB0750E" w14:textId="77777777" w:rsidR="00B445E5" w:rsidRPr="00867F38" w:rsidRDefault="00B445E5" w:rsidP="00DF7B2C">
            <w:pPr>
              <w:spacing w:before="60" w:after="60" w:line="276" w:lineRule="auto"/>
              <w:rPr>
                <w:rFonts w:ascii="Titillium" w:eastAsia="Times New Roman" w:hAnsi="Titillium" w:cs="Arial"/>
                <w:sz w:val="22"/>
                <w:szCs w:val="22"/>
                <w:lang w:val="en-GB"/>
              </w:rPr>
            </w:pPr>
          </w:p>
        </w:tc>
      </w:tr>
      <w:tr w:rsidR="00B445E5" w:rsidRPr="00867F38" w14:paraId="18282A65" w14:textId="77777777" w:rsidTr="002C3981">
        <w:tc>
          <w:tcPr>
            <w:tcW w:w="2551" w:type="dxa"/>
          </w:tcPr>
          <w:p w14:paraId="7CDF8E47" w14:textId="3D1581A7" w:rsidR="00B445E5" w:rsidRPr="00867F38" w:rsidRDefault="00B445E5" w:rsidP="00DF7B2C">
            <w:pPr>
              <w:rPr>
                <w:rFonts w:ascii="Titillium" w:eastAsia="Times New Roman" w:hAnsi="Titillium" w:cs="Arial"/>
                <w:sz w:val="22"/>
                <w:szCs w:val="22"/>
                <w:lang w:val="en-GB"/>
              </w:rPr>
            </w:pPr>
            <w:r w:rsidRPr="00E46B9E">
              <w:rPr>
                <w:rFonts w:ascii="Titillium" w:eastAsia="Arial Unicode MS" w:hAnsi="Titillium" w:cs="Arial"/>
                <w:sz w:val="22"/>
                <w:szCs w:val="22"/>
                <w:lang w:val="en-GB" w:eastAsia="en-GB"/>
              </w:rPr>
              <w:t>By 2020 we will have established an evidence-based set of case</w:t>
            </w:r>
            <w:r>
              <w:rPr>
                <w:rFonts w:ascii="Titillium" w:eastAsia="Arial Unicode MS" w:hAnsi="Titillium" w:cs="Arial"/>
                <w:sz w:val="22"/>
                <w:szCs w:val="22"/>
                <w:lang w:val="en-GB" w:eastAsia="en-GB"/>
              </w:rPr>
              <w:t xml:space="preserve"> </w:t>
            </w:r>
            <w:r w:rsidRPr="00E46B9E">
              <w:rPr>
                <w:rFonts w:ascii="Titillium" w:eastAsia="Arial Unicode MS" w:hAnsi="Titillium" w:cs="Arial"/>
                <w:sz w:val="22"/>
                <w:szCs w:val="22"/>
                <w:lang w:val="en-GB" w:eastAsia="en-GB"/>
              </w:rPr>
              <w:t>studies related to widening participation and</w:t>
            </w:r>
            <w:r>
              <w:rPr>
                <w:rFonts w:ascii="Titillium" w:eastAsia="Arial Unicode MS" w:hAnsi="Titillium" w:cs="Arial"/>
                <w:sz w:val="22"/>
                <w:szCs w:val="22"/>
                <w:lang w:val="en-GB" w:eastAsia="en-GB"/>
              </w:rPr>
              <w:t xml:space="preserve"> will</w:t>
            </w:r>
            <w:r w:rsidRPr="00E46B9E">
              <w:rPr>
                <w:rFonts w:ascii="Titillium" w:eastAsia="Arial Unicode MS" w:hAnsi="Titillium" w:cs="Arial"/>
                <w:sz w:val="22"/>
                <w:szCs w:val="22"/>
                <w:lang w:val="en-GB" w:eastAsia="en-GB"/>
              </w:rPr>
              <w:t xml:space="preserve"> be pla</w:t>
            </w:r>
            <w:r w:rsidRPr="00E46B9E">
              <w:rPr>
                <w:rFonts w:ascii="Titillium" w:eastAsia="Arial Unicode MS" w:hAnsi="Titillium" w:cs="Arial"/>
                <w:bCs/>
                <w:sz w:val="22"/>
                <w:szCs w:val="22"/>
                <w:lang w:val="en-GB" w:eastAsia="en-GB"/>
              </w:rPr>
              <w:t>ying a lead role in the national conversation on how to improve widening participation</w:t>
            </w:r>
          </w:p>
        </w:tc>
        <w:tc>
          <w:tcPr>
            <w:tcW w:w="3116" w:type="dxa"/>
          </w:tcPr>
          <w:p w14:paraId="7B5DFFBA" w14:textId="1EB50751" w:rsidR="00B445E5" w:rsidRPr="00867F38" w:rsidRDefault="00B445E5" w:rsidP="00DF7B2C">
            <w:pPr>
              <w:spacing w:before="60" w:after="60" w:line="276" w:lineRule="auto"/>
              <w:rPr>
                <w:rFonts w:ascii="Titillium" w:eastAsia="Times New Roman" w:hAnsi="Titillium" w:cs="Arial"/>
                <w:sz w:val="22"/>
                <w:szCs w:val="22"/>
                <w:lang w:val="en-GB"/>
              </w:rPr>
            </w:pPr>
            <w:r w:rsidRPr="00151004">
              <w:rPr>
                <w:rFonts w:ascii="Titillium" w:eastAsia="Times New Roman" w:hAnsi="Titillium" w:cs="Arial"/>
                <w:sz w:val="22"/>
                <w:szCs w:val="22"/>
                <w:lang w:val="en-GB"/>
              </w:rPr>
              <w:t>Dissemination of evaluation and best practice</w:t>
            </w:r>
          </w:p>
        </w:tc>
        <w:tc>
          <w:tcPr>
            <w:tcW w:w="2324" w:type="dxa"/>
          </w:tcPr>
          <w:p w14:paraId="60287BCD" w14:textId="21E65F22" w:rsidR="00B445E5" w:rsidRPr="00867F38"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Not available</w:t>
            </w:r>
          </w:p>
        </w:tc>
        <w:tc>
          <w:tcPr>
            <w:tcW w:w="1928" w:type="dxa"/>
          </w:tcPr>
          <w:p w14:paraId="0C2263C8" w14:textId="1DDC5161" w:rsidR="00B445E5" w:rsidRPr="00867F38"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Increased outputs, impact and profile</w:t>
            </w:r>
          </w:p>
        </w:tc>
        <w:tc>
          <w:tcPr>
            <w:tcW w:w="3938" w:type="dxa"/>
          </w:tcPr>
          <w:p w14:paraId="282AA84B" w14:textId="77777777" w:rsidR="00B445E5" w:rsidRDefault="00B445E5" w:rsidP="00DF7B2C">
            <w:pPr>
              <w:spacing w:before="120" w:after="120"/>
              <w:rPr>
                <w:rFonts w:ascii="Titillium" w:eastAsia="Times New Roman" w:hAnsi="Titillium" w:cs="Arial"/>
                <w:sz w:val="22"/>
                <w:szCs w:val="22"/>
                <w:lang w:val="en-GB"/>
              </w:rPr>
            </w:pPr>
            <w:r>
              <w:rPr>
                <w:rFonts w:ascii="Titillium" w:eastAsia="Times New Roman" w:hAnsi="Titillium" w:cs="Arial"/>
                <w:sz w:val="22"/>
                <w:szCs w:val="22"/>
                <w:lang w:val="en-GB"/>
              </w:rPr>
              <w:t>Outputs include case studies and publications.</w:t>
            </w:r>
          </w:p>
          <w:p w14:paraId="1E5AB03F" w14:textId="0787059D" w:rsidR="00B445E5" w:rsidRPr="00867F38" w:rsidRDefault="00B445E5" w:rsidP="00DF7B2C">
            <w:pPr>
              <w:spacing w:before="60" w:after="60" w:line="276" w:lineRule="auto"/>
              <w:rPr>
                <w:rFonts w:ascii="Titillium" w:eastAsia="Times New Roman" w:hAnsi="Titillium" w:cs="Arial"/>
                <w:sz w:val="22"/>
                <w:szCs w:val="22"/>
                <w:lang w:val="en-GB"/>
              </w:rPr>
            </w:pPr>
            <w:r>
              <w:rPr>
                <w:rFonts w:ascii="Titillium" w:eastAsia="Times New Roman" w:hAnsi="Titillium" w:cs="Arial"/>
                <w:sz w:val="22"/>
                <w:szCs w:val="22"/>
                <w:lang w:val="en-GB"/>
              </w:rPr>
              <w:t>Profile will be assessed through representation and degree of influence at key WP policy groups and feedback from key stakeholders</w:t>
            </w:r>
          </w:p>
        </w:tc>
      </w:tr>
    </w:tbl>
    <w:p w14:paraId="3FC97B18" w14:textId="77777777" w:rsidR="00DF7B2C" w:rsidRDefault="00DF7B2C">
      <w:r>
        <w:br w:type="page"/>
      </w: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3116"/>
        <w:gridCol w:w="2324"/>
        <w:gridCol w:w="1928"/>
        <w:gridCol w:w="3938"/>
      </w:tblGrid>
      <w:tr w:rsidR="00B445E5" w:rsidRPr="00867F38" w14:paraId="61D3C11D" w14:textId="77777777" w:rsidTr="002C3981">
        <w:tc>
          <w:tcPr>
            <w:tcW w:w="2551" w:type="dxa"/>
          </w:tcPr>
          <w:p w14:paraId="0B321B6F" w14:textId="0C51F8FB" w:rsidR="00B445E5" w:rsidRPr="00E46B9E" w:rsidRDefault="00B445E5" w:rsidP="00B445E5">
            <w:pPr>
              <w:jc w:val="both"/>
              <w:rPr>
                <w:rFonts w:ascii="Titillium" w:eastAsia="Arial Unicode MS" w:hAnsi="Titillium" w:cs="Arial"/>
                <w:sz w:val="22"/>
                <w:szCs w:val="22"/>
                <w:lang w:val="en-GB" w:eastAsia="en-GB"/>
              </w:rPr>
            </w:pPr>
          </w:p>
        </w:tc>
        <w:tc>
          <w:tcPr>
            <w:tcW w:w="3116" w:type="dxa"/>
          </w:tcPr>
          <w:p w14:paraId="1C532BEC" w14:textId="41DC361A" w:rsidR="00B445E5" w:rsidRPr="00151004" w:rsidRDefault="00B445E5" w:rsidP="00546082">
            <w:pPr>
              <w:spacing w:before="60" w:after="60" w:line="276" w:lineRule="auto"/>
              <w:jc w:val="both"/>
              <w:rPr>
                <w:rFonts w:ascii="Titillium" w:eastAsia="Times New Roman" w:hAnsi="Titillium" w:cs="Arial"/>
                <w:sz w:val="22"/>
                <w:szCs w:val="22"/>
                <w:lang w:val="en-GB"/>
              </w:rPr>
            </w:pPr>
            <w:r>
              <w:rPr>
                <w:rFonts w:ascii="Titillium" w:eastAsia="Times New Roman" w:hAnsi="Titillium" w:cs="Arial"/>
                <w:sz w:val="22"/>
                <w:szCs w:val="22"/>
                <w:lang w:val="en-GB"/>
              </w:rPr>
              <w:t>Develop and disseminate robust data sets to underpin the deliverables outlined in sections 1 and 2</w:t>
            </w:r>
          </w:p>
        </w:tc>
        <w:tc>
          <w:tcPr>
            <w:tcW w:w="2324" w:type="dxa"/>
          </w:tcPr>
          <w:p w14:paraId="3DC8B1DC" w14:textId="38144FCC" w:rsidR="00B445E5" w:rsidRDefault="00B445E5" w:rsidP="00B445E5">
            <w:pPr>
              <w:spacing w:before="60" w:after="60" w:line="276" w:lineRule="auto"/>
              <w:jc w:val="both"/>
              <w:rPr>
                <w:rFonts w:ascii="Titillium" w:eastAsia="Times New Roman" w:hAnsi="Titillium" w:cs="Arial"/>
                <w:sz w:val="22"/>
                <w:szCs w:val="22"/>
                <w:lang w:val="en-GB"/>
              </w:rPr>
            </w:pPr>
            <w:r>
              <w:rPr>
                <w:rFonts w:ascii="Titillium" w:eastAsia="Times New Roman" w:hAnsi="Titillium" w:cs="Arial"/>
                <w:sz w:val="22"/>
                <w:szCs w:val="22"/>
                <w:lang w:val="en-GB"/>
              </w:rPr>
              <w:t>Not available</w:t>
            </w:r>
          </w:p>
        </w:tc>
        <w:tc>
          <w:tcPr>
            <w:tcW w:w="1928" w:type="dxa"/>
          </w:tcPr>
          <w:p w14:paraId="575C1671" w14:textId="7E462277" w:rsidR="00B445E5" w:rsidRDefault="00B445E5" w:rsidP="00B445E5">
            <w:pPr>
              <w:spacing w:before="60" w:after="60" w:line="276" w:lineRule="auto"/>
              <w:jc w:val="both"/>
              <w:rPr>
                <w:rFonts w:ascii="Titillium" w:eastAsia="Times New Roman" w:hAnsi="Titillium" w:cs="Arial"/>
                <w:sz w:val="22"/>
                <w:szCs w:val="22"/>
                <w:lang w:val="en-GB"/>
              </w:rPr>
            </w:pPr>
            <w:r>
              <w:rPr>
                <w:rFonts w:ascii="Titillium" w:eastAsia="Times New Roman" w:hAnsi="Titillium" w:cs="Arial"/>
                <w:sz w:val="22"/>
                <w:szCs w:val="22"/>
                <w:lang w:val="en-GB"/>
              </w:rPr>
              <w:t>Robust quantitative and qualitative data sets for all priority widening participation groups and activities</w:t>
            </w:r>
          </w:p>
        </w:tc>
        <w:tc>
          <w:tcPr>
            <w:tcW w:w="3938" w:type="dxa"/>
          </w:tcPr>
          <w:p w14:paraId="02D5DEDF" w14:textId="77777777" w:rsidR="00B445E5" w:rsidRDefault="00B445E5" w:rsidP="00B445E5">
            <w:pPr>
              <w:spacing w:before="120" w:after="120"/>
              <w:jc w:val="both"/>
              <w:rPr>
                <w:rFonts w:ascii="Titillium" w:eastAsia="Times New Roman" w:hAnsi="Titillium" w:cs="Arial"/>
                <w:sz w:val="22"/>
                <w:szCs w:val="22"/>
                <w:lang w:val="en-GB"/>
              </w:rPr>
            </w:pPr>
          </w:p>
        </w:tc>
      </w:tr>
    </w:tbl>
    <w:p w14:paraId="0B95CEC0" w14:textId="77777777" w:rsidR="00284BDA" w:rsidRPr="00867F38" w:rsidRDefault="00284BDA" w:rsidP="00284BDA">
      <w:pPr>
        <w:spacing w:before="120" w:after="120"/>
        <w:rPr>
          <w:rFonts w:ascii="Titillium" w:eastAsia="Times New Roman" w:hAnsi="Titillium" w:cs="Arial"/>
          <w:b/>
          <w:bCs/>
          <w:color w:val="003366"/>
          <w:szCs w:val="24"/>
          <w:lang w:val="en-GB"/>
        </w:rPr>
      </w:pPr>
      <w:r w:rsidRPr="00867F38">
        <w:rPr>
          <w:rFonts w:ascii="Titillium" w:eastAsia="Times New Roman" w:hAnsi="Titillium" w:cs="Arial"/>
          <w:b/>
          <w:bCs/>
          <w:color w:val="003366"/>
          <w:szCs w:val="24"/>
          <w:lang w:val="en-GB"/>
        </w:rPr>
        <w:t>Governance</w:t>
      </w:r>
    </w:p>
    <w:p w14:paraId="0D296509" w14:textId="4B833AB1" w:rsidR="00325155" w:rsidRPr="00867F38" w:rsidRDefault="00354303" w:rsidP="002A5A43">
      <w:pPr>
        <w:spacing w:before="120" w:after="120"/>
        <w:jc w:val="both"/>
        <w:rPr>
          <w:rFonts w:ascii="Titillium" w:eastAsia="Arial Unicode MS" w:hAnsi="Titillium" w:cs="Arial Unicode MS"/>
          <w:szCs w:val="24"/>
          <w:lang w:val="en-GB" w:eastAsia="en-GB"/>
        </w:rPr>
        <w:sectPr w:rsidR="00325155" w:rsidRPr="00867F38" w:rsidSect="00325155">
          <w:headerReference w:type="even" r:id="rId21"/>
          <w:headerReference w:type="default" r:id="rId22"/>
          <w:headerReference w:type="first" r:id="rId23"/>
          <w:pgSz w:w="16838" w:h="11906" w:orient="landscape"/>
          <w:pgMar w:top="1440" w:right="1080" w:bottom="1440" w:left="1080" w:header="708" w:footer="708" w:gutter="0"/>
          <w:cols w:space="708"/>
          <w:docGrid w:linePitch="360"/>
        </w:sectPr>
      </w:pPr>
      <w:r w:rsidRPr="00867F38">
        <w:rPr>
          <w:rFonts w:ascii="Titillium" w:eastAsia="Arial Unicode MS" w:hAnsi="Titillium" w:cs="Arial Unicode MS"/>
          <w:szCs w:val="24"/>
          <w:lang w:val="en-GB" w:eastAsia="en-GB"/>
        </w:rPr>
        <w:t>The delivery plan and progress of the Widening Participation Strategy will be monitored and reviewed through the</w:t>
      </w:r>
      <w:r w:rsidR="00C312E0">
        <w:rPr>
          <w:rFonts w:ascii="Titillium" w:eastAsia="Arial Unicode MS" w:hAnsi="Titillium" w:cs="Arial Unicode MS"/>
          <w:szCs w:val="24"/>
          <w:lang w:val="en-GB" w:eastAsia="en-GB"/>
        </w:rPr>
        <w:t xml:space="preserve"> </w:t>
      </w:r>
      <w:r w:rsidRPr="00867F38">
        <w:rPr>
          <w:rFonts w:ascii="Titillium" w:eastAsia="Arial Unicode MS" w:hAnsi="Titillium" w:cs="Arial Unicode MS"/>
          <w:szCs w:val="24"/>
          <w:lang w:val="en-GB" w:eastAsia="en-GB"/>
        </w:rPr>
        <w:t xml:space="preserve">Student Experience Committee and the annual planning rounds. </w:t>
      </w:r>
    </w:p>
    <w:p w14:paraId="779500F3" w14:textId="5E7A6BB3" w:rsidR="00AB005D" w:rsidRPr="00867F38" w:rsidRDefault="00AB005D" w:rsidP="00AB005D">
      <w:pPr>
        <w:rPr>
          <w:rFonts w:ascii="Titillium" w:eastAsia="Times New Roman" w:hAnsi="Titillium" w:cs="Arial"/>
          <w:b/>
          <w:bCs/>
          <w:color w:val="003366"/>
          <w:sz w:val="28"/>
          <w:szCs w:val="28"/>
          <w:lang w:val="en-GB"/>
        </w:rPr>
      </w:pPr>
      <w:r w:rsidRPr="00867F38">
        <w:rPr>
          <w:rFonts w:ascii="Titillium" w:eastAsia="Times New Roman" w:hAnsi="Titillium" w:cs="Arial"/>
          <w:b/>
          <w:bCs/>
          <w:color w:val="003366"/>
          <w:sz w:val="28"/>
          <w:szCs w:val="28"/>
          <w:lang w:val="en-GB"/>
        </w:rPr>
        <w:lastRenderedPageBreak/>
        <w:t>Strategic Alignment</w:t>
      </w:r>
      <w:r w:rsidR="0061330F">
        <w:rPr>
          <w:rFonts w:ascii="Titillium" w:eastAsia="Times New Roman" w:hAnsi="Titillium" w:cs="Arial"/>
          <w:b/>
          <w:bCs/>
          <w:color w:val="003366"/>
          <w:sz w:val="28"/>
          <w:szCs w:val="28"/>
          <w:lang w:val="en-GB"/>
        </w:rPr>
        <w:t xml:space="preserve"> </w:t>
      </w:r>
    </w:p>
    <w:p w14:paraId="2A5270ED" w14:textId="77777777" w:rsidR="00F037BE" w:rsidRPr="00867F38" w:rsidRDefault="00C0684D" w:rsidP="00375B0D">
      <w:pPr>
        <w:pStyle w:val="Heading9"/>
        <w:spacing w:before="240" w:after="120"/>
        <w:rPr>
          <w:rFonts w:ascii="Titillium" w:hAnsi="Titillium"/>
          <w:i w:val="0"/>
          <w:sz w:val="24"/>
          <w:szCs w:val="24"/>
          <w:lang w:val="en-GB"/>
        </w:rPr>
      </w:pPr>
      <w:r w:rsidRPr="00867F38">
        <w:rPr>
          <w:rFonts w:ascii="Titillium" w:hAnsi="Titillium"/>
          <w:b/>
          <w:i w:val="0"/>
          <w:sz w:val="24"/>
          <w:szCs w:val="24"/>
          <w:lang w:val="en-GB"/>
        </w:rPr>
        <w:t>Strategy 2020</w:t>
      </w:r>
    </w:p>
    <w:tbl>
      <w:tblPr>
        <w:tblStyle w:val="TableGrid"/>
        <w:tblW w:w="0" w:type="auto"/>
        <w:tblLook w:val="04A0" w:firstRow="1" w:lastRow="0" w:firstColumn="1" w:lastColumn="0" w:noHBand="0" w:noVBand="1"/>
      </w:tblPr>
      <w:tblGrid>
        <w:gridCol w:w="2789"/>
        <w:gridCol w:w="3443"/>
        <w:gridCol w:w="3544"/>
        <w:gridCol w:w="2268"/>
        <w:gridCol w:w="2105"/>
      </w:tblGrid>
      <w:tr w:rsidR="005332E0" w:rsidRPr="00867F38" w14:paraId="3BA92E73" w14:textId="77777777" w:rsidTr="0049463A">
        <w:tc>
          <w:tcPr>
            <w:tcW w:w="2789" w:type="dxa"/>
          </w:tcPr>
          <w:p w14:paraId="37C2F74F" w14:textId="77777777" w:rsidR="005332E0" w:rsidRPr="00867F38" w:rsidRDefault="005332E0" w:rsidP="00D74E77">
            <w:pPr>
              <w:spacing w:after="160" w:line="259" w:lineRule="auto"/>
              <w:rPr>
                <w:rFonts w:ascii="Titillium" w:hAnsi="Titillium" w:cs="Arial"/>
                <w:b/>
                <w:bCs/>
                <w:color w:val="003366"/>
                <w:sz w:val="22"/>
                <w:szCs w:val="22"/>
                <w:lang w:val="en-GB"/>
              </w:rPr>
            </w:pPr>
            <w:r w:rsidRPr="00867F38">
              <w:rPr>
                <w:rFonts w:ascii="Titillium" w:hAnsi="Titillium" w:cs="Arial"/>
                <w:b/>
                <w:bCs/>
                <w:color w:val="003366"/>
                <w:sz w:val="22"/>
                <w:szCs w:val="22"/>
                <w:lang w:val="en-GB"/>
              </w:rPr>
              <w:t>Strategy 2020 Cluster</w:t>
            </w:r>
          </w:p>
        </w:tc>
        <w:tc>
          <w:tcPr>
            <w:tcW w:w="3443" w:type="dxa"/>
          </w:tcPr>
          <w:p w14:paraId="4D9668EA" w14:textId="31CE6AD6" w:rsidR="005332E0" w:rsidRPr="00867F38" w:rsidRDefault="005332E0" w:rsidP="00D74E77">
            <w:pPr>
              <w:spacing w:after="160" w:line="259" w:lineRule="auto"/>
              <w:rPr>
                <w:rFonts w:ascii="Titillium" w:hAnsi="Titillium" w:cs="Arial"/>
                <w:b/>
                <w:bCs/>
                <w:color w:val="003366"/>
                <w:sz w:val="22"/>
                <w:szCs w:val="22"/>
                <w:lang w:val="en-GB"/>
              </w:rPr>
            </w:pPr>
            <w:r w:rsidRPr="00867F38">
              <w:rPr>
                <w:rFonts w:ascii="Titillium" w:hAnsi="Titillium" w:cs="Arial"/>
                <w:b/>
                <w:bCs/>
                <w:color w:val="003366"/>
                <w:sz w:val="22"/>
                <w:szCs w:val="22"/>
                <w:lang w:val="en-GB"/>
              </w:rPr>
              <w:t>Action</w:t>
            </w:r>
            <w:r w:rsidR="00111D00">
              <w:rPr>
                <w:rFonts w:ascii="Titillium" w:hAnsi="Titillium" w:cs="Arial"/>
                <w:b/>
                <w:bCs/>
                <w:color w:val="003366"/>
                <w:sz w:val="22"/>
                <w:szCs w:val="22"/>
                <w:lang w:val="en-GB"/>
              </w:rPr>
              <w:t>(s) in this strategy</w:t>
            </w:r>
          </w:p>
        </w:tc>
        <w:tc>
          <w:tcPr>
            <w:tcW w:w="3544" w:type="dxa"/>
          </w:tcPr>
          <w:p w14:paraId="1E43C355" w14:textId="77777777" w:rsidR="005332E0" w:rsidRPr="00867F38" w:rsidRDefault="005332E0" w:rsidP="00D74E77">
            <w:pPr>
              <w:spacing w:after="160" w:line="259" w:lineRule="auto"/>
              <w:rPr>
                <w:rFonts w:ascii="Titillium" w:hAnsi="Titillium" w:cs="Arial"/>
                <w:b/>
                <w:bCs/>
                <w:color w:val="003366"/>
                <w:sz w:val="22"/>
                <w:szCs w:val="22"/>
                <w:lang w:val="en-GB"/>
              </w:rPr>
            </w:pPr>
            <w:r w:rsidRPr="00867F38">
              <w:rPr>
                <w:rFonts w:ascii="Titillium" w:hAnsi="Titillium" w:cs="Arial"/>
                <w:b/>
                <w:bCs/>
                <w:color w:val="003366"/>
                <w:sz w:val="22"/>
                <w:szCs w:val="22"/>
                <w:lang w:val="en-GB"/>
              </w:rPr>
              <w:t>Outcome (what will be different)</w:t>
            </w:r>
          </w:p>
        </w:tc>
        <w:tc>
          <w:tcPr>
            <w:tcW w:w="2268" w:type="dxa"/>
          </w:tcPr>
          <w:p w14:paraId="28A9640E" w14:textId="77777777" w:rsidR="005332E0" w:rsidRPr="00867F38" w:rsidRDefault="005332E0" w:rsidP="00D74E77">
            <w:pPr>
              <w:spacing w:after="160" w:line="259" w:lineRule="auto"/>
              <w:rPr>
                <w:rFonts w:ascii="Titillium" w:hAnsi="Titillium" w:cs="Arial"/>
                <w:b/>
                <w:bCs/>
                <w:color w:val="003366"/>
                <w:sz w:val="22"/>
                <w:szCs w:val="22"/>
                <w:lang w:val="en-GB"/>
              </w:rPr>
            </w:pPr>
            <w:r w:rsidRPr="00867F38">
              <w:rPr>
                <w:rFonts w:ascii="Titillium" w:hAnsi="Titillium" w:cs="Arial"/>
                <w:b/>
                <w:bCs/>
                <w:color w:val="003366"/>
                <w:sz w:val="22"/>
                <w:szCs w:val="22"/>
                <w:lang w:val="en-GB"/>
              </w:rPr>
              <w:t>KPI</w:t>
            </w:r>
            <w:r w:rsidR="00CF0A5D" w:rsidRPr="00867F38">
              <w:rPr>
                <w:rFonts w:ascii="Titillium" w:hAnsi="Titillium" w:cs="Arial"/>
                <w:b/>
                <w:bCs/>
                <w:color w:val="003366"/>
                <w:sz w:val="22"/>
                <w:szCs w:val="22"/>
                <w:lang w:val="en-GB"/>
              </w:rPr>
              <w:t xml:space="preserve"> (Court)</w:t>
            </w:r>
          </w:p>
        </w:tc>
        <w:tc>
          <w:tcPr>
            <w:tcW w:w="2105" w:type="dxa"/>
          </w:tcPr>
          <w:p w14:paraId="05702E34" w14:textId="77777777" w:rsidR="005332E0" w:rsidRPr="00867F38" w:rsidRDefault="005332E0" w:rsidP="00D74E77">
            <w:pPr>
              <w:spacing w:after="160" w:line="259" w:lineRule="auto"/>
              <w:rPr>
                <w:rFonts w:ascii="Titillium" w:hAnsi="Titillium" w:cs="Arial"/>
                <w:b/>
                <w:bCs/>
                <w:color w:val="003366"/>
                <w:sz w:val="22"/>
                <w:szCs w:val="22"/>
                <w:lang w:val="en-GB"/>
              </w:rPr>
            </w:pPr>
            <w:r w:rsidRPr="00867F38">
              <w:rPr>
                <w:rFonts w:ascii="Titillium" w:hAnsi="Titillium" w:cs="Arial"/>
                <w:b/>
                <w:bCs/>
                <w:color w:val="003366"/>
                <w:sz w:val="22"/>
                <w:szCs w:val="22"/>
                <w:lang w:val="en-GB"/>
              </w:rPr>
              <w:t xml:space="preserve">PI </w:t>
            </w:r>
          </w:p>
        </w:tc>
      </w:tr>
      <w:tr w:rsidR="005332E0" w:rsidRPr="00867F38" w14:paraId="751518E0" w14:textId="77777777" w:rsidTr="0049463A">
        <w:tc>
          <w:tcPr>
            <w:tcW w:w="14149" w:type="dxa"/>
            <w:gridSpan w:val="5"/>
          </w:tcPr>
          <w:p w14:paraId="54B3140D" w14:textId="77777777" w:rsidR="005332E0" w:rsidRPr="00867F38" w:rsidRDefault="005332E0" w:rsidP="00D74E77">
            <w:pPr>
              <w:spacing w:after="160" w:line="259" w:lineRule="auto"/>
              <w:rPr>
                <w:rFonts w:ascii="Titillium" w:hAnsi="Titillium" w:cs="Arial"/>
                <w:b/>
                <w:bCs/>
                <w:sz w:val="20"/>
                <w:lang w:val="en-GB"/>
              </w:rPr>
            </w:pPr>
            <w:r w:rsidRPr="00867F38">
              <w:rPr>
                <w:rFonts w:ascii="Titillium" w:hAnsi="Titillium" w:cs="Arial"/>
                <w:b/>
                <w:bCs/>
                <w:sz w:val="20"/>
                <w:lang w:val="en-GB"/>
              </w:rPr>
              <w:t>To Deliver an Excellent, Personalised Student Experience, we will:</w:t>
            </w:r>
          </w:p>
        </w:tc>
      </w:tr>
      <w:tr w:rsidR="00ED3B81" w:rsidRPr="00867F38" w14:paraId="77C6CED2" w14:textId="77777777" w:rsidTr="0049463A">
        <w:tc>
          <w:tcPr>
            <w:tcW w:w="2789" w:type="dxa"/>
          </w:tcPr>
          <w:p w14:paraId="456847A1" w14:textId="1BC22DD8" w:rsidR="00ED3B81" w:rsidRPr="00867F38" w:rsidRDefault="00960000" w:rsidP="00ED3B81">
            <w:pPr>
              <w:spacing w:after="160" w:line="259" w:lineRule="auto"/>
              <w:rPr>
                <w:rFonts w:ascii="Titillium" w:hAnsi="Titillium" w:cs="Arial"/>
                <w:b/>
                <w:bCs/>
                <w:sz w:val="20"/>
                <w:lang w:val="en-GB"/>
              </w:rPr>
            </w:pPr>
            <w:sdt>
              <w:sdtPr>
                <w:rPr>
                  <w:rFonts w:ascii="Titillium" w:hAnsi="Titillium" w:cs="Arial"/>
                  <w:b/>
                  <w:bCs/>
                  <w:sz w:val="20"/>
                  <w:lang w:val="en-GB"/>
                </w:rPr>
                <w:alias w:val="Deliver Excellent, Personalised Student Experience"/>
                <w:tag w:val="Deliver Excellent, Personalised Student Experience"/>
                <w:id w:val="7882943"/>
                <w:placeholder>
                  <w:docPart w:val="F71EE550DFAA46989C1E68AD9BBA1498"/>
                </w:placeholder>
                <w:dropDownList>
                  <w:listItem w:value="Choose an item."/>
                  <w:listItem w:displayText="Engage students as partners in our plans and decision-making" w:value="Engage students as partners in our plans and decision-making"/>
                  <w:listItem w:displayText="Deliver a coherent, personalised student learning experience through a programme-focussed approach that creates a programme community &amp; identity" w:value="Deliver a coherent, personalised student learning experience through a programme-focussed approach that creates a programme community &amp; identity"/>
                  <w:listItem w:displayText="Adopt pedagogic and technological approaches that promote and support active student learning" w:value="Adopt pedagogic and technological approaches that promote and support active student learning"/>
                  <w:listItem w:displayText="Embed the principles of assessment for learning, including authentic and feedback-rich assessment" w:value="Embed the principles of assessment for learning, including authentic and feedback-rich assessment"/>
                  <w:listItem w:displayText="Provide accredited, work-related experience linked to the curriculum as part of every student's experience" w:value="Provide accredited, work-related experience linked to the curriculum as part of every student's experience"/>
                  <w:listItem w:displayText="Increase opportunities for students to acquire international, social, sporting, volunteering and cultural experiences, developing robust means of recognising the associated learning" w:value="Increase opportunities for students to acquire international, social, sporting, volunteering and cultural experiences, developing robust means of recognising the associated learning"/>
                  <w:listItem w:displayText="Invest in learning and social spaces that are accessible, flexible and IT enriched " w:value="Invest in learning and social spaces that are accessible, flexible and IT enriched "/>
                  <w:listItem w:displayText="Provide students with responsive personalised support" w:value="Provide students with responsive personalised support"/>
                  <w:listItem w:displayText="Expand opportunities for staff and students to work in teams and across disciplines" w:value="Expand opportunities for staff and students to work in teams and across disciplines"/>
                  <w:listItem w:displayText="Work with college and international partners to ensure effective student transitions and integration into the university" w:value="Work with college and international partners to ensure effective student transitions and integration into the university"/>
                </w:dropDownList>
              </w:sdtPr>
              <w:sdtEndPr/>
              <w:sdtContent>
                <w:r w:rsidR="00ED3B81">
                  <w:rPr>
                    <w:rFonts w:ascii="Titillium" w:hAnsi="Titillium" w:cs="Arial"/>
                    <w:b/>
                    <w:bCs/>
                    <w:sz w:val="20"/>
                    <w:lang w:val="en-GB"/>
                  </w:rPr>
                  <w:t>Work with college and international partners to ensure effective student transitions and integration into the university</w:t>
                </w:r>
              </w:sdtContent>
            </w:sdt>
          </w:p>
        </w:tc>
        <w:tc>
          <w:tcPr>
            <w:tcW w:w="3443" w:type="dxa"/>
          </w:tcPr>
          <w:p w14:paraId="4C90C7E0" w14:textId="5DF8E3D5" w:rsidR="00ED3B81" w:rsidRPr="00867F38" w:rsidRDefault="00ED3B81" w:rsidP="00ED3B81">
            <w:pPr>
              <w:spacing w:after="160" w:line="259" w:lineRule="auto"/>
              <w:rPr>
                <w:rFonts w:ascii="Titillium" w:hAnsi="Titillium" w:cs="Arial"/>
                <w:b/>
                <w:bCs/>
                <w:sz w:val="20"/>
                <w:lang w:val="en-GB"/>
              </w:rPr>
            </w:pPr>
            <w:r w:rsidRPr="007C13FB">
              <w:rPr>
                <w:rFonts w:ascii="Titillium" w:hAnsi="Titillium" w:cs="Arial"/>
                <w:bCs/>
                <w:sz w:val="20"/>
                <w:lang w:val="en-GB"/>
              </w:rPr>
              <w:t>1.3, 2.1, 2.2, 2.3, 2.4, 2.5</w:t>
            </w:r>
          </w:p>
        </w:tc>
        <w:tc>
          <w:tcPr>
            <w:tcW w:w="3544" w:type="dxa"/>
            <w:vMerge w:val="restart"/>
          </w:tcPr>
          <w:p w14:paraId="4E8381CF" w14:textId="77777777" w:rsidR="00ED3B81" w:rsidRPr="007C13FB" w:rsidRDefault="00ED3B81" w:rsidP="00ED3B81">
            <w:pPr>
              <w:spacing w:after="160" w:line="259" w:lineRule="auto"/>
              <w:rPr>
                <w:rFonts w:ascii="Titillium" w:hAnsi="Titillium" w:cs="Arial"/>
                <w:bCs/>
                <w:sz w:val="20"/>
                <w:lang w:val="en-GB"/>
              </w:rPr>
            </w:pPr>
            <w:r w:rsidRPr="007C13FB">
              <w:rPr>
                <w:rFonts w:ascii="Titillium" w:hAnsi="Titillium" w:cs="Arial"/>
                <w:bCs/>
                <w:sz w:val="20"/>
                <w:lang w:val="en-GB"/>
              </w:rPr>
              <w:t>We will have:</w:t>
            </w:r>
          </w:p>
          <w:p w14:paraId="2617B00D" w14:textId="77777777" w:rsidR="00ED3B81" w:rsidRPr="00657B24" w:rsidRDefault="00ED3B81" w:rsidP="00ED3B81">
            <w:pPr>
              <w:pStyle w:val="ListParagraph"/>
              <w:numPr>
                <w:ilvl w:val="0"/>
                <w:numId w:val="24"/>
              </w:numPr>
              <w:spacing w:after="160" w:line="259" w:lineRule="auto"/>
              <w:ind w:left="318" w:hanging="284"/>
              <w:rPr>
                <w:rFonts w:ascii="Titillium" w:hAnsi="Titillium" w:cs="Arial"/>
                <w:bCs/>
                <w:sz w:val="20"/>
                <w:lang w:val="en-GB"/>
              </w:rPr>
            </w:pPr>
            <w:r w:rsidRPr="00657B24">
              <w:rPr>
                <w:rFonts w:ascii="Titillium" w:hAnsi="Titillium" w:cs="Arial"/>
                <w:bCs/>
                <w:sz w:val="20"/>
                <w:lang w:val="en-GB"/>
              </w:rPr>
              <w:t>Increased the access and attainment profile of under-represented groups</w:t>
            </w:r>
          </w:p>
          <w:p w14:paraId="6950B4CA" w14:textId="7CEA515D" w:rsidR="00ED3B81" w:rsidRPr="00867F38" w:rsidRDefault="00ED3B81" w:rsidP="008C6F57">
            <w:pPr>
              <w:pStyle w:val="ListParagraph"/>
              <w:numPr>
                <w:ilvl w:val="0"/>
                <w:numId w:val="24"/>
              </w:numPr>
              <w:spacing w:after="160" w:line="259" w:lineRule="auto"/>
              <w:ind w:left="318" w:hanging="284"/>
              <w:rPr>
                <w:rFonts w:ascii="Titillium" w:hAnsi="Titillium" w:cs="Arial"/>
                <w:b/>
                <w:bCs/>
                <w:sz w:val="20"/>
                <w:lang w:val="en-GB"/>
              </w:rPr>
            </w:pPr>
            <w:r w:rsidRPr="00657B24">
              <w:rPr>
                <w:rFonts w:ascii="Titillium" w:hAnsi="Titillium" w:cs="Arial"/>
                <w:bCs/>
                <w:sz w:val="20"/>
                <w:lang w:val="en-GB"/>
              </w:rPr>
              <w:t>Improved the continuation, achievement, and employability of widening participation students</w:t>
            </w:r>
          </w:p>
        </w:tc>
        <w:tc>
          <w:tcPr>
            <w:tcW w:w="2268" w:type="dxa"/>
          </w:tcPr>
          <w:p w14:paraId="5834901C" w14:textId="3041EBCF" w:rsidR="00ED3B81" w:rsidRPr="00867F38" w:rsidRDefault="00960000" w:rsidP="00ED3B81">
            <w:pPr>
              <w:spacing w:after="160" w:line="259" w:lineRule="auto"/>
              <w:rPr>
                <w:rFonts w:ascii="Titillium" w:hAnsi="Titillium" w:cs="Arial"/>
                <w:bCs/>
                <w:sz w:val="20"/>
                <w:lang w:val="en-GB"/>
              </w:rPr>
            </w:pPr>
            <w:sdt>
              <w:sdtPr>
                <w:rPr>
                  <w:rFonts w:ascii="Titillium" w:hAnsi="Titillium" w:cs="Arial"/>
                  <w:bCs/>
                  <w:sz w:val="20"/>
                  <w:lang w:val="en-GB"/>
                </w:rPr>
                <w:alias w:val="Court KPI"/>
                <w:tag w:val="Court KPI"/>
                <w:id w:val="765035737"/>
                <w:placeholder>
                  <w:docPart w:val="C9071D29F7A440A488DF8FF0B236D4EE"/>
                </w:placeholder>
                <w:dropDownList>
                  <w:listItem w:value="Choose an item."/>
                  <w:listItem w:displayText="1.1 All Students" w:value="1.1 All Students"/>
                  <w:listItem w:displayText="1.2 Proportion of academic staff active in externally funded research" w:value="1.2 Proportion of academic staff active in externally funded research"/>
                  <w:listItem w:displayText="1.3 Number of research active staff (REF 2.5 standard)" w:value="1.3 Number of research active staff (REF 2.5 standard)"/>
                  <w:listItem w:displayText="1.4 Income from Research Grants and Contracts" w:value="1.4 Income from Research Grants and Contracts"/>
                  <w:listItem w:displayText="1.5 Taught Postgraduate numbers" w:value="1.5 Taught Postgraduate numbers"/>
                  <w:listItem w:displayText="1.6 Research Postgraduate numbers" w:value="1.6 Research Postgraduate numbers"/>
                  <w:listItem w:displayText="1.7 Student Satisfaction" w:value="1.7 Student Satisfaction"/>
                  <w:listItem w:displayText="2.1 Graduate Employability" w:value="2.1 Graduate Employability"/>
                  <w:listItem w:displayText="2.2 Entrants to Programmes with Work-related Experience Element" w:value="2.2 Entrants to Programmes with Work-related Experience Element"/>
                  <w:listItem w:displayText="2.3 Student participation in co-curricular activities (in development)" w:value="2.3 Student participation in co-curricular activities (in development)"/>
                  <w:listItem w:displayText="3.1 Total revenue from CPD and KE for Businesses and the Community" w:value="3.1 Total revenue from CPD and KE for Businesses and the Community"/>
                  <w:listItem w:displayText="3.2 Reduction in carbon emissions" w:value="3.2 Reduction in carbon emissions"/>
                  <w:listItem w:displayText="4.1 Total International (non-EU) students" w:value="4.1 Total International (non-EU) students"/>
                  <w:listItem w:displayText="4.2 International study opportunities and outward mobility (in development)" w:value="4.2 International study opportunities and outward mobility (in development)"/>
                  <w:listItem w:displayText="E.1 Overall employee engagement" w:value="E.1 Overall employee engagement"/>
                  <w:listItem w:displayText="E.2 University Total income" w:value="E.2 University Total income"/>
                  <w:listItem w:displayText="E.3 Financial Surplus" w:value="E.3 Financial Surplus"/>
                  <w:listItem w:displayText="Enabling action" w:value="Enabling action"/>
                  <w:listItem w:displayText="Compliance" w:value="Compliance"/>
                  <w:listItem w:displayText="Other" w:value="Other"/>
                </w:dropDownList>
              </w:sdtPr>
              <w:sdtEndPr/>
              <w:sdtContent>
                <w:r w:rsidR="00ED3B81">
                  <w:rPr>
                    <w:rFonts w:ascii="Titillium" w:hAnsi="Titillium" w:cs="Arial"/>
                    <w:bCs/>
                    <w:sz w:val="20"/>
                    <w:lang w:val="en-GB"/>
                  </w:rPr>
                  <w:t>Other</w:t>
                </w:r>
              </w:sdtContent>
            </w:sdt>
          </w:p>
        </w:tc>
        <w:tc>
          <w:tcPr>
            <w:tcW w:w="2105" w:type="dxa"/>
          </w:tcPr>
          <w:p w14:paraId="73895D22" w14:textId="7E061CBE" w:rsidR="00ED3B81" w:rsidRPr="00867F38" w:rsidRDefault="00ED3B81" w:rsidP="00ED3B81">
            <w:pPr>
              <w:spacing w:after="160" w:line="259" w:lineRule="auto"/>
              <w:rPr>
                <w:rFonts w:ascii="Titillium" w:hAnsi="Titillium" w:cs="Arial"/>
                <w:bCs/>
                <w:sz w:val="20"/>
                <w:lang w:val="en-GB"/>
              </w:rPr>
            </w:pPr>
            <w:r w:rsidRPr="007C13FB">
              <w:rPr>
                <w:rFonts w:ascii="Titillium" w:hAnsi="Titillium" w:cs="Arial"/>
                <w:bCs/>
                <w:sz w:val="20"/>
                <w:lang w:val="en-GB"/>
              </w:rPr>
              <w:t>% FT UG Scottish domiciled entrants who continue or qualify following the year of entry</w:t>
            </w:r>
          </w:p>
        </w:tc>
      </w:tr>
      <w:tr w:rsidR="00ED3B81" w:rsidRPr="00867F38" w14:paraId="690BE2C6" w14:textId="77777777" w:rsidTr="0049463A">
        <w:tc>
          <w:tcPr>
            <w:tcW w:w="2789" w:type="dxa"/>
          </w:tcPr>
          <w:p w14:paraId="20F936AB" w14:textId="7959BAFB" w:rsidR="00ED3B81" w:rsidRPr="00867F38" w:rsidRDefault="00960000" w:rsidP="00ED3B81">
            <w:pPr>
              <w:spacing w:after="160" w:line="259" w:lineRule="auto"/>
              <w:rPr>
                <w:rFonts w:ascii="Titillium" w:hAnsi="Titillium" w:cs="Arial"/>
                <w:b/>
                <w:bCs/>
                <w:sz w:val="20"/>
                <w:lang w:val="en-GB"/>
              </w:rPr>
            </w:pPr>
            <w:sdt>
              <w:sdtPr>
                <w:rPr>
                  <w:rFonts w:ascii="Titillium" w:hAnsi="Titillium" w:cs="Arial"/>
                  <w:b/>
                  <w:bCs/>
                  <w:sz w:val="20"/>
                  <w:lang w:val="en-GB"/>
                </w:rPr>
                <w:alias w:val="Deliver Excellent, Personalised Student Experience"/>
                <w:tag w:val="Deliver Excellent, Personalised Student Experience"/>
                <w:id w:val="-644193986"/>
                <w:placeholder>
                  <w:docPart w:val="06B24CCEEC84474EB1C6B93B60A8921F"/>
                </w:placeholder>
                <w:dropDownList>
                  <w:listItem w:value="Choose an item."/>
                  <w:listItem w:displayText="Engage students as partners in our plans and decision-making" w:value="Engage students as partners in our plans and decision-making"/>
                  <w:listItem w:displayText="Deliver a coherent, personalised student learning experience through a programme-focussed approach that creates a programme community &amp; identity" w:value="Deliver a coherent, personalised student learning experience through a programme-focussed approach that creates a programme community &amp; identity"/>
                  <w:listItem w:displayText="Adopt pedagogic and technological approaches that promote and support active student learning" w:value="Adopt pedagogic and technological approaches that promote and support active student learning"/>
                  <w:listItem w:displayText="Embed the principles of assessment for learning, including authentic and feedback-rich assessment" w:value="Embed the principles of assessment for learning, including authentic and feedback-rich assessment"/>
                  <w:listItem w:displayText="Provide accredited, work-related experience linked to the curriculum as part of every student's experience" w:value="Provide accredited, work-related experience linked to the curriculum as part of every student's experience"/>
                  <w:listItem w:displayText="Increase opportunities for students to acquire international, social, sporting, volunteering and cultural experiences, developing robust means of recognising the associated learning" w:value="Increase opportunities for students to acquire international, social, sporting, volunteering and cultural experiences, developing robust means of recognising the associated learning"/>
                  <w:listItem w:displayText="Invest in learning and social spaces that are accessible, flexible and IT enriched " w:value="Invest in learning and social spaces that are accessible, flexible and IT enriched "/>
                  <w:listItem w:displayText="Provide students with responsive personalised support" w:value="Provide students with responsive personalised support"/>
                  <w:listItem w:displayText="Expand opportunities for staff and students to work in teams and across disciplines" w:value="Expand opportunities for staff and students to work in teams and across disciplines"/>
                  <w:listItem w:displayText="Work with college and international partners to ensure effective student transitions and integration into the university" w:value="Work with college and international partners to ensure effective student transitions and integration into the university"/>
                </w:dropDownList>
              </w:sdtPr>
              <w:sdtEndPr/>
              <w:sdtContent>
                <w:r w:rsidR="00ED3B81">
                  <w:rPr>
                    <w:rFonts w:ascii="Titillium" w:hAnsi="Titillium" w:cs="Arial"/>
                    <w:b/>
                    <w:bCs/>
                    <w:sz w:val="20"/>
                    <w:lang w:val="en-GB"/>
                  </w:rPr>
                  <w:t>Provide students with responsive personalised support</w:t>
                </w:r>
              </w:sdtContent>
            </w:sdt>
          </w:p>
        </w:tc>
        <w:tc>
          <w:tcPr>
            <w:tcW w:w="3443" w:type="dxa"/>
          </w:tcPr>
          <w:p w14:paraId="13B2F2A6" w14:textId="2342BD41" w:rsidR="00ED3B81" w:rsidRPr="00867F38" w:rsidRDefault="00ED3B81" w:rsidP="00ED3B81">
            <w:pPr>
              <w:spacing w:after="160" w:line="259" w:lineRule="auto"/>
              <w:rPr>
                <w:rFonts w:ascii="Titillium" w:hAnsi="Titillium" w:cs="Arial"/>
                <w:b/>
                <w:bCs/>
                <w:sz w:val="20"/>
                <w:lang w:val="en-GB"/>
              </w:rPr>
            </w:pPr>
            <w:r w:rsidRPr="007C13FB">
              <w:rPr>
                <w:rFonts w:ascii="Titillium" w:hAnsi="Titillium" w:cs="Arial"/>
                <w:bCs/>
                <w:sz w:val="20"/>
                <w:lang w:val="en-GB"/>
              </w:rPr>
              <w:t>1.2, 2.1, 2.2, 2.3, 2.4, 2.5</w:t>
            </w:r>
          </w:p>
        </w:tc>
        <w:tc>
          <w:tcPr>
            <w:tcW w:w="3544" w:type="dxa"/>
            <w:vMerge/>
          </w:tcPr>
          <w:p w14:paraId="53138A71" w14:textId="77777777" w:rsidR="00ED3B81" w:rsidRPr="00867F38" w:rsidRDefault="00ED3B81" w:rsidP="00ED3B81">
            <w:pPr>
              <w:spacing w:after="160" w:line="259" w:lineRule="auto"/>
              <w:rPr>
                <w:rFonts w:ascii="Titillium" w:hAnsi="Titillium" w:cs="Arial"/>
                <w:b/>
                <w:bCs/>
                <w:sz w:val="20"/>
                <w:lang w:val="en-GB"/>
              </w:rPr>
            </w:pPr>
          </w:p>
        </w:tc>
        <w:tc>
          <w:tcPr>
            <w:tcW w:w="2268" w:type="dxa"/>
          </w:tcPr>
          <w:p w14:paraId="2FB2FD79" w14:textId="6F8B63C4" w:rsidR="00ED3B81" w:rsidRPr="00867F38" w:rsidRDefault="00960000" w:rsidP="00ED3B81">
            <w:pPr>
              <w:spacing w:after="160" w:line="259" w:lineRule="auto"/>
              <w:rPr>
                <w:rFonts w:ascii="Titillium" w:hAnsi="Titillium" w:cs="Arial"/>
                <w:bCs/>
                <w:sz w:val="20"/>
                <w:lang w:val="en-GB"/>
              </w:rPr>
            </w:pPr>
            <w:sdt>
              <w:sdtPr>
                <w:rPr>
                  <w:rFonts w:ascii="Titillium" w:hAnsi="Titillium" w:cs="Arial"/>
                  <w:bCs/>
                  <w:sz w:val="20"/>
                  <w:lang w:val="en-GB"/>
                </w:rPr>
                <w:alias w:val="Court KPI"/>
                <w:tag w:val="Court KPI"/>
                <w:id w:val="-340933963"/>
                <w:placeholder>
                  <w:docPart w:val="13CEDC7235404DC999C5A09FF8D837B2"/>
                </w:placeholder>
                <w:dropDownList>
                  <w:listItem w:value="Choose an item."/>
                  <w:listItem w:displayText="1.1 All Students" w:value="1.1 All Students"/>
                  <w:listItem w:displayText="1.2 Proportion of academic staff active in externally funded research" w:value="1.2 Proportion of academic staff active in externally funded research"/>
                  <w:listItem w:displayText="1.3 Number of research active staff (REF 2.5 standard)" w:value="1.3 Number of research active staff (REF 2.5 standard)"/>
                  <w:listItem w:displayText="1.4 Income from Research Grants and Contracts" w:value="1.4 Income from Research Grants and Contracts"/>
                  <w:listItem w:displayText="1.5 Taught Postgraduate numbers" w:value="1.5 Taught Postgraduate numbers"/>
                  <w:listItem w:displayText="1.6 Research Postgraduate numbers" w:value="1.6 Research Postgraduate numbers"/>
                  <w:listItem w:displayText="1.7 Student Satisfaction" w:value="1.7 Student Satisfaction"/>
                  <w:listItem w:displayText="2.1 Graduate Employability" w:value="2.1 Graduate Employability"/>
                  <w:listItem w:displayText="2.2 Entrants to Programmes with Work-related Experience Element" w:value="2.2 Entrants to Programmes with Work-related Experience Element"/>
                  <w:listItem w:displayText="2.3 Student participation in co-curricular activities (in development)" w:value="2.3 Student participation in co-curricular activities (in development)"/>
                  <w:listItem w:displayText="3.1 Total revenue from CPD and KE for Businesses and the Community" w:value="3.1 Total revenue from CPD and KE for Businesses and the Community"/>
                  <w:listItem w:displayText="3.2 Reduction in carbon emissions" w:value="3.2 Reduction in carbon emissions"/>
                  <w:listItem w:displayText="4.1 Total International (non-EU) students" w:value="4.1 Total International (non-EU) students"/>
                  <w:listItem w:displayText="4.2 International study opportunities and outward mobility (in development)" w:value="4.2 International study opportunities and outward mobility (in development)"/>
                  <w:listItem w:displayText="E.1 Overall employee engagement" w:value="E.1 Overall employee engagement"/>
                  <w:listItem w:displayText="E.2 University Total income" w:value="E.2 University Total income"/>
                  <w:listItem w:displayText="E.3 Financial Surplus" w:value="E.3 Financial Surplus"/>
                  <w:listItem w:displayText="Enabling action" w:value="Enabling action"/>
                  <w:listItem w:displayText="Compliance" w:value="Compliance"/>
                  <w:listItem w:displayText="Other" w:value="Other"/>
                </w:dropDownList>
              </w:sdtPr>
              <w:sdtEndPr/>
              <w:sdtContent>
                <w:r w:rsidR="00ED3B81">
                  <w:rPr>
                    <w:rFonts w:ascii="Titillium" w:hAnsi="Titillium" w:cs="Arial"/>
                    <w:bCs/>
                    <w:sz w:val="20"/>
                    <w:lang w:val="en-GB"/>
                  </w:rPr>
                  <w:t>1.7 Student Satisfaction</w:t>
                </w:r>
              </w:sdtContent>
            </w:sdt>
          </w:p>
        </w:tc>
        <w:tc>
          <w:tcPr>
            <w:tcW w:w="2105" w:type="dxa"/>
          </w:tcPr>
          <w:p w14:paraId="00B2DE6E" w14:textId="77777777" w:rsidR="00ED3B81" w:rsidRPr="00867F38" w:rsidRDefault="00ED3B81" w:rsidP="00ED3B81">
            <w:pPr>
              <w:spacing w:after="160" w:line="259" w:lineRule="auto"/>
              <w:rPr>
                <w:rFonts w:ascii="Titillium" w:hAnsi="Titillium" w:cs="Arial"/>
                <w:bCs/>
                <w:sz w:val="20"/>
                <w:lang w:val="en-GB"/>
              </w:rPr>
            </w:pPr>
          </w:p>
        </w:tc>
      </w:tr>
      <w:tr w:rsidR="00ED3B81" w:rsidRPr="00867F38" w14:paraId="28387DD1" w14:textId="77777777" w:rsidTr="0049463A">
        <w:tc>
          <w:tcPr>
            <w:tcW w:w="14149" w:type="dxa"/>
            <w:gridSpan w:val="5"/>
          </w:tcPr>
          <w:p w14:paraId="0807A458" w14:textId="77777777" w:rsidR="00ED3B81" w:rsidRPr="00867F38" w:rsidRDefault="00ED3B81" w:rsidP="00ED3B81">
            <w:pPr>
              <w:spacing w:after="160" w:line="259" w:lineRule="auto"/>
              <w:rPr>
                <w:rFonts w:ascii="Titillium" w:hAnsi="Titillium" w:cs="Arial"/>
                <w:b/>
                <w:bCs/>
                <w:sz w:val="20"/>
                <w:lang w:val="en-GB"/>
              </w:rPr>
            </w:pPr>
            <w:r w:rsidRPr="00867F38">
              <w:rPr>
                <w:rFonts w:ascii="Titillium" w:hAnsi="Titillium" w:cs="Arial"/>
                <w:b/>
                <w:bCs/>
                <w:sz w:val="20"/>
                <w:lang w:val="en-GB"/>
              </w:rPr>
              <w:t>To Build Innovation, Enterprise &amp; Citizenship, we will:</w:t>
            </w:r>
          </w:p>
        </w:tc>
      </w:tr>
      <w:tr w:rsidR="0049463A" w:rsidRPr="00867F38" w14:paraId="3E811F82" w14:textId="77777777" w:rsidTr="0049463A">
        <w:trPr>
          <w:trHeight w:val="1140"/>
        </w:trPr>
        <w:tc>
          <w:tcPr>
            <w:tcW w:w="2789" w:type="dxa"/>
            <w:vMerge w:val="restart"/>
          </w:tcPr>
          <w:p w14:paraId="1A3F7719" w14:textId="649D5B3D" w:rsidR="0049463A" w:rsidRPr="00867F38" w:rsidRDefault="00960000" w:rsidP="00ED3B81">
            <w:pPr>
              <w:spacing w:after="160" w:line="259" w:lineRule="auto"/>
              <w:rPr>
                <w:rFonts w:ascii="Titillium" w:hAnsi="Titillium" w:cs="Arial"/>
                <w:b/>
                <w:bCs/>
                <w:sz w:val="20"/>
                <w:lang w:val="en-GB"/>
              </w:rPr>
            </w:pPr>
            <w:sdt>
              <w:sdtPr>
                <w:rPr>
                  <w:rFonts w:ascii="Titillium" w:hAnsi="Titillium" w:cs="Arial"/>
                  <w:b/>
                  <w:bCs/>
                  <w:sz w:val="20"/>
                  <w:lang w:val="en-GB"/>
                </w:rPr>
                <w:alias w:val="Build Innovation, Enterprise &amp; Citizenship"/>
                <w:tag w:val="Build Innovation, Enterprise &amp; Citizenship"/>
                <w:id w:val="139460483"/>
                <w:placeholder>
                  <w:docPart w:val="099365080CFB4469B4CB388A1254B2C4"/>
                </w:placeholder>
                <w:dropDownList>
                  <w:listItem w:value="Choose an item."/>
                  <w:listItem w:displayText="Expand opportunities for students to engage with start up business and social enterprise" w:value="Expand opportunities for students to engage with start up business and social enterprise"/>
                  <w:listItem w:displayText="Grow knowledge exchange partnerships" w:value="Grow knowledge exchange partnerships"/>
                  <w:listItem w:displayText="Promote an innovation approach to programme delivery" w:value="Promote an innovation approach to programme delivery"/>
                  <w:listItem w:displayText="Provide a learning environment that develops graduates who have enterprising and innovative mind-sets who are well-prepared to thrive in complex uncertain environments" w:value="Provide a learning environment that develops graduates who have enterprising and innovative mind-sets who are well-prepared to thrive in complex uncertain environments"/>
                  <w:listItem w:displayText="Adopt a continuous improvement approach to service delivery, challenging current thinking, policies and processes, to deliver high partner/client satisfaction" w:value="Adopt a continuous improvement approach to service delivery, challenging current thinking, policies and processes, to deliver high partner/client satisfaction"/>
                  <w:listItem w:displayText="Maximise the use of our assets through increased social and commercial utilisation" w:value="Maximise the use of our assets through increased social and commercial utilisation"/>
                </w:dropDownList>
              </w:sdtPr>
              <w:sdtEndPr/>
              <w:sdtContent>
                <w:r w:rsidR="0049463A">
                  <w:rPr>
                    <w:rFonts w:ascii="Titillium" w:hAnsi="Titillium" w:cs="Arial"/>
                    <w:b/>
                    <w:bCs/>
                    <w:sz w:val="20"/>
                    <w:lang w:val="en-GB"/>
                  </w:rPr>
                  <w:t>Provide a learning environment that develops graduates who have enterprising and innovative mind-sets who are well-prepared to thrive in complex uncertain environments</w:t>
                </w:r>
              </w:sdtContent>
            </w:sdt>
          </w:p>
        </w:tc>
        <w:tc>
          <w:tcPr>
            <w:tcW w:w="3443" w:type="dxa"/>
            <w:vMerge w:val="restart"/>
          </w:tcPr>
          <w:p w14:paraId="0FC8A817" w14:textId="263AD113" w:rsidR="0049463A" w:rsidRPr="00867F38" w:rsidRDefault="0049463A" w:rsidP="00ED3B81">
            <w:pPr>
              <w:spacing w:after="160" w:line="259" w:lineRule="auto"/>
              <w:rPr>
                <w:rFonts w:ascii="Titillium" w:hAnsi="Titillium" w:cs="Arial"/>
                <w:b/>
                <w:bCs/>
                <w:sz w:val="20"/>
                <w:lang w:val="en-GB"/>
              </w:rPr>
            </w:pPr>
            <w:r w:rsidRPr="007C13FB">
              <w:rPr>
                <w:rFonts w:ascii="Titillium" w:hAnsi="Titillium" w:cs="Arial"/>
                <w:bCs/>
                <w:sz w:val="20"/>
                <w:lang w:val="en-GB"/>
              </w:rPr>
              <w:t>2.1, 2.2, 2.4, 2.5</w:t>
            </w:r>
          </w:p>
        </w:tc>
        <w:tc>
          <w:tcPr>
            <w:tcW w:w="3544" w:type="dxa"/>
            <w:vMerge w:val="restart"/>
          </w:tcPr>
          <w:p w14:paraId="1FE54210" w14:textId="5943E0DF" w:rsidR="0049463A" w:rsidRPr="00867F38" w:rsidRDefault="0049463A" w:rsidP="00ED3B81">
            <w:pPr>
              <w:spacing w:after="160" w:line="259" w:lineRule="auto"/>
              <w:rPr>
                <w:rFonts w:ascii="Titillium" w:hAnsi="Titillium" w:cs="Arial"/>
                <w:b/>
                <w:bCs/>
                <w:sz w:val="20"/>
                <w:lang w:val="en-GB"/>
              </w:rPr>
            </w:pPr>
            <w:r w:rsidRPr="007C13FB">
              <w:rPr>
                <w:rFonts w:ascii="Titillium" w:hAnsi="Titillium" w:cs="Arial"/>
                <w:bCs/>
                <w:sz w:val="20"/>
                <w:lang w:val="en-GB"/>
              </w:rPr>
              <w:t>We will have</w:t>
            </w:r>
            <w:r>
              <w:rPr>
                <w:rFonts w:ascii="Titillium" w:hAnsi="Titillium" w:cs="Arial"/>
                <w:bCs/>
                <w:sz w:val="20"/>
                <w:lang w:val="en-GB"/>
              </w:rPr>
              <w:t xml:space="preserve"> </w:t>
            </w:r>
            <w:r w:rsidRPr="007C13FB">
              <w:rPr>
                <w:rFonts w:ascii="Titillium" w:hAnsi="Titillium" w:cs="Arial"/>
                <w:bCs/>
                <w:sz w:val="20"/>
                <w:lang w:val="en-GB"/>
              </w:rPr>
              <w:t>improved the continuation, achievement, and employability of widening participation students</w:t>
            </w:r>
          </w:p>
        </w:tc>
        <w:tc>
          <w:tcPr>
            <w:tcW w:w="2268" w:type="dxa"/>
          </w:tcPr>
          <w:p w14:paraId="39243322" w14:textId="361179CA" w:rsidR="0049463A" w:rsidRPr="00867F38" w:rsidRDefault="00960000" w:rsidP="00ED3B81">
            <w:pPr>
              <w:spacing w:after="160" w:line="259" w:lineRule="auto"/>
              <w:rPr>
                <w:rFonts w:ascii="Titillium" w:hAnsi="Titillium" w:cs="Arial"/>
                <w:bCs/>
                <w:sz w:val="20"/>
                <w:lang w:val="en-GB"/>
              </w:rPr>
            </w:pPr>
            <w:sdt>
              <w:sdtPr>
                <w:rPr>
                  <w:rFonts w:ascii="Titillium" w:hAnsi="Titillium" w:cs="Arial"/>
                  <w:bCs/>
                  <w:sz w:val="20"/>
                  <w:lang w:val="en-GB"/>
                </w:rPr>
                <w:alias w:val="Court KPI"/>
                <w:tag w:val="Court KPI"/>
                <w:id w:val="-1450397602"/>
                <w:placeholder>
                  <w:docPart w:val="6EAE630D278C4D7886896F9E55813703"/>
                </w:placeholder>
                <w:dropDownList>
                  <w:listItem w:value="Choose an item."/>
                  <w:listItem w:displayText="1.1 All Students" w:value="1.1 All Students"/>
                  <w:listItem w:displayText="1.2 Proportion of academic staff active in externally funded research" w:value="1.2 Proportion of academic staff active in externally funded research"/>
                  <w:listItem w:displayText="1.3 Number of research active staff (REF 2.5 standard)" w:value="1.3 Number of research active staff (REF 2.5 standard)"/>
                  <w:listItem w:displayText="1.4 Income from Research Grants and Contracts" w:value="1.4 Income from Research Grants and Contracts"/>
                  <w:listItem w:displayText="1.5 Taught Postgraduate numbers" w:value="1.5 Taught Postgraduate numbers"/>
                  <w:listItem w:displayText="1.6 Research Postgraduate numbers" w:value="1.6 Research Postgraduate numbers"/>
                  <w:listItem w:displayText="1.7 Student Satisfaction" w:value="1.7 Student Satisfaction"/>
                  <w:listItem w:displayText="2.1 Graduate Employability" w:value="2.1 Graduate Employability"/>
                  <w:listItem w:displayText="2.2 Entrants to Programmes with Work-related Experience Element" w:value="2.2 Entrants to Programmes with Work-related Experience Element"/>
                  <w:listItem w:displayText="2.3 Student participation in co-curricular activities (in development)" w:value="2.3 Student participation in co-curricular activities (in development)"/>
                  <w:listItem w:displayText="3.1 Total revenue from CPD and KE for Businesses and the Community" w:value="3.1 Total revenue from CPD and KE for Businesses and the Community"/>
                  <w:listItem w:displayText="3.2 Reduction in carbon emissions" w:value="3.2 Reduction in carbon emissions"/>
                  <w:listItem w:displayText="4.1 Total International (non-EU) students" w:value="4.1 Total International (non-EU) students"/>
                  <w:listItem w:displayText="4.2 International study opportunities and outward mobility (in development)" w:value="4.2 International study opportunities and outward mobility (in development)"/>
                  <w:listItem w:displayText="E.1 Overall employee engagement" w:value="E.1 Overall employee engagement"/>
                  <w:listItem w:displayText="E.2 University Total income" w:value="E.2 University Total income"/>
                  <w:listItem w:displayText="E.3 Financial Surplus" w:value="E.3 Financial Surplus"/>
                  <w:listItem w:displayText="Enabling action" w:value="Enabling action"/>
                  <w:listItem w:displayText="Compliance" w:value="Compliance"/>
                  <w:listItem w:displayText="Other" w:value="Other"/>
                </w:dropDownList>
              </w:sdtPr>
              <w:sdtEndPr/>
              <w:sdtContent>
                <w:r w:rsidR="0049463A">
                  <w:rPr>
                    <w:rFonts w:ascii="Titillium" w:hAnsi="Titillium" w:cs="Arial"/>
                    <w:bCs/>
                    <w:sz w:val="20"/>
                    <w:lang w:val="en-GB"/>
                  </w:rPr>
                  <w:t>2.1 Graduate Employability</w:t>
                </w:r>
              </w:sdtContent>
            </w:sdt>
          </w:p>
        </w:tc>
        <w:tc>
          <w:tcPr>
            <w:tcW w:w="2105" w:type="dxa"/>
          </w:tcPr>
          <w:p w14:paraId="3CCA7897" w14:textId="4B5A079B" w:rsidR="0049463A" w:rsidRPr="00867F38" w:rsidRDefault="0049463A" w:rsidP="00ED3B81">
            <w:pPr>
              <w:spacing w:after="160" w:line="259" w:lineRule="auto"/>
              <w:rPr>
                <w:rFonts w:ascii="Titillium" w:hAnsi="Titillium" w:cs="Arial"/>
                <w:bCs/>
                <w:sz w:val="20"/>
                <w:lang w:val="en-GB"/>
              </w:rPr>
            </w:pPr>
            <w:r w:rsidRPr="007C13FB">
              <w:rPr>
                <w:rFonts w:ascii="Titillium" w:hAnsi="Titillium" w:cs="Arial"/>
                <w:bCs/>
                <w:sz w:val="20"/>
                <w:lang w:val="en-GB"/>
              </w:rPr>
              <w:t>Proportion of WP students entering graduate employability</w:t>
            </w:r>
          </w:p>
        </w:tc>
      </w:tr>
      <w:tr w:rsidR="0049463A" w:rsidRPr="00867F38" w14:paraId="0D07B4F6" w14:textId="77777777" w:rsidTr="0049463A">
        <w:trPr>
          <w:trHeight w:val="1140"/>
        </w:trPr>
        <w:tc>
          <w:tcPr>
            <w:tcW w:w="2789" w:type="dxa"/>
            <w:vMerge/>
          </w:tcPr>
          <w:p w14:paraId="3B78F784" w14:textId="77777777" w:rsidR="0049463A" w:rsidRDefault="0049463A" w:rsidP="00ED3B81">
            <w:pPr>
              <w:spacing w:after="160" w:line="259" w:lineRule="auto"/>
              <w:rPr>
                <w:rFonts w:ascii="Titillium" w:hAnsi="Titillium" w:cs="Arial"/>
                <w:b/>
                <w:bCs/>
                <w:sz w:val="20"/>
                <w:lang w:val="en-GB"/>
              </w:rPr>
            </w:pPr>
          </w:p>
        </w:tc>
        <w:tc>
          <w:tcPr>
            <w:tcW w:w="3443" w:type="dxa"/>
            <w:vMerge/>
          </w:tcPr>
          <w:p w14:paraId="2ABC5633" w14:textId="77777777" w:rsidR="0049463A" w:rsidRPr="007C13FB" w:rsidRDefault="0049463A" w:rsidP="00ED3B81">
            <w:pPr>
              <w:spacing w:after="160" w:line="259" w:lineRule="auto"/>
              <w:rPr>
                <w:rFonts w:ascii="Titillium" w:hAnsi="Titillium" w:cs="Arial"/>
                <w:bCs/>
                <w:sz w:val="20"/>
                <w:lang w:val="en-GB"/>
              </w:rPr>
            </w:pPr>
          </w:p>
        </w:tc>
        <w:tc>
          <w:tcPr>
            <w:tcW w:w="3544" w:type="dxa"/>
            <w:vMerge/>
          </w:tcPr>
          <w:p w14:paraId="1643B4CD" w14:textId="77777777" w:rsidR="0049463A" w:rsidRPr="007C13FB" w:rsidRDefault="0049463A" w:rsidP="00ED3B81">
            <w:pPr>
              <w:spacing w:after="160" w:line="259" w:lineRule="auto"/>
              <w:rPr>
                <w:rFonts w:ascii="Titillium" w:hAnsi="Titillium" w:cs="Arial"/>
                <w:bCs/>
                <w:sz w:val="20"/>
                <w:lang w:val="en-GB"/>
              </w:rPr>
            </w:pPr>
          </w:p>
        </w:tc>
        <w:tc>
          <w:tcPr>
            <w:tcW w:w="2268" w:type="dxa"/>
          </w:tcPr>
          <w:p w14:paraId="3E7BE0E2" w14:textId="2DC0B9F6" w:rsidR="0049463A" w:rsidRDefault="00960000" w:rsidP="00ED3B81">
            <w:pPr>
              <w:spacing w:after="160" w:line="259" w:lineRule="auto"/>
              <w:rPr>
                <w:rFonts w:ascii="Titillium" w:hAnsi="Titillium" w:cs="Arial"/>
                <w:bCs/>
                <w:sz w:val="20"/>
                <w:lang w:val="en-GB"/>
              </w:rPr>
            </w:pPr>
            <w:sdt>
              <w:sdtPr>
                <w:rPr>
                  <w:rFonts w:ascii="Titillium" w:hAnsi="Titillium" w:cs="Arial"/>
                  <w:bCs/>
                  <w:sz w:val="20"/>
                  <w:lang w:val="en-GB"/>
                </w:rPr>
                <w:alias w:val="Court KPI"/>
                <w:tag w:val="Court KPI"/>
                <w:id w:val="-297223890"/>
                <w:placeholder>
                  <w:docPart w:val="E885923B046A46F3B738469ED84A9786"/>
                </w:placeholder>
                <w:dropDownList>
                  <w:listItem w:value="Choose an item."/>
                  <w:listItem w:displayText="1.1 All Students" w:value="1.1 All Students"/>
                  <w:listItem w:displayText="1.2 Proportion of academic staff active in externally funded research" w:value="1.2 Proportion of academic staff active in externally funded research"/>
                  <w:listItem w:displayText="1.3 Number of research active staff (REF 2.5 standard)" w:value="1.3 Number of research active staff (REF 2.5 standard)"/>
                  <w:listItem w:displayText="1.4 Income from Research Grants and Contracts" w:value="1.4 Income from Research Grants and Contracts"/>
                  <w:listItem w:displayText="1.5 Taught Postgraduate numbers" w:value="1.5 Taught Postgraduate numbers"/>
                  <w:listItem w:displayText="1.6 Research Postgraduate numbers" w:value="1.6 Research Postgraduate numbers"/>
                  <w:listItem w:displayText="1.7 Student Satisfaction" w:value="1.7 Student Satisfaction"/>
                  <w:listItem w:displayText="2.1 Graduate Employability" w:value="2.1 Graduate Employability"/>
                  <w:listItem w:displayText="2.2 Entrants to Programmes with Work-related Experience Element" w:value="2.2 Entrants to Programmes with Work-related Experience Element"/>
                  <w:listItem w:displayText="2.3 Student participation in co-curricular activities (in development)" w:value="2.3 Student participation in co-curricular activities (in development)"/>
                  <w:listItem w:displayText="3.1 Total revenue from CPD and KE for Businesses and the Community" w:value="3.1 Total revenue from CPD and KE for Businesses and the Community"/>
                  <w:listItem w:displayText="3.2 Reduction in carbon emissions" w:value="3.2 Reduction in carbon emissions"/>
                  <w:listItem w:displayText="4.1 Total International (non-EU) students" w:value="4.1 Total International (non-EU) students"/>
                  <w:listItem w:displayText="4.2 International study opportunities and outward mobility (in development)" w:value="4.2 International study opportunities and outward mobility (in development)"/>
                  <w:listItem w:displayText="E.1 Overall employee engagement" w:value="E.1 Overall employee engagement"/>
                  <w:listItem w:displayText="E.2 University Total income" w:value="E.2 University Total income"/>
                  <w:listItem w:displayText="E.3 Financial Surplus" w:value="E.3 Financial Surplus"/>
                  <w:listItem w:displayText="Enabling action" w:value="Enabling action"/>
                  <w:listItem w:displayText="Compliance" w:value="Compliance"/>
                  <w:listItem w:displayText="Other" w:value="Other"/>
                </w:dropDownList>
              </w:sdtPr>
              <w:sdtEndPr/>
              <w:sdtContent>
                <w:r w:rsidR="0049463A">
                  <w:rPr>
                    <w:rFonts w:ascii="Titillium" w:hAnsi="Titillium" w:cs="Arial"/>
                    <w:bCs/>
                    <w:sz w:val="20"/>
                    <w:lang w:val="en-GB"/>
                  </w:rPr>
                  <w:t>2.3 Student participation in co-curricular activities (in development)</w:t>
                </w:r>
              </w:sdtContent>
            </w:sdt>
          </w:p>
        </w:tc>
        <w:tc>
          <w:tcPr>
            <w:tcW w:w="2105" w:type="dxa"/>
          </w:tcPr>
          <w:p w14:paraId="316F11B9" w14:textId="5EFCE82F" w:rsidR="0049463A" w:rsidRPr="00867F38" w:rsidRDefault="0049463A" w:rsidP="00ED3B81">
            <w:pPr>
              <w:spacing w:after="160" w:line="259" w:lineRule="auto"/>
              <w:rPr>
                <w:rFonts w:ascii="Titillium" w:hAnsi="Titillium" w:cs="Arial"/>
                <w:bCs/>
                <w:sz w:val="20"/>
                <w:lang w:val="en-GB"/>
              </w:rPr>
            </w:pPr>
            <w:r w:rsidRPr="007C13FB">
              <w:rPr>
                <w:rFonts w:ascii="Titillium" w:hAnsi="Titillium" w:cs="Arial"/>
                <w:bCs/>
                <w:sz w:val="20"/>
                <w:lang w:val="en-GB"/>
              </w:rPr>
              <w:t xml:space="preserve">Engagement of WP students </w:t>
            </w:r>
            <w:r w:rsidRPr="008257BD">
              <w:rPr>
                <w:rFonts w:ascii="Titillium" w:hAnsi="Titillium" w:cs="Arial"/>
                <w:bCs/>
                <w:sz w:val="20"/>
                <w:lang w:val="en-GB"/>
              </w:rPr>
              <w:t>in employability/mobility opportunities</w:t>
            </w:r>
          </w:p>
        </w:tc>
      </w:tr>
    </w:tbl>
    <w:p w14:paraId="33F3884F" w14:textId="77777777" w:rsidR="00EB0BFA" w:rsidRPr="00867F38" w:rsidRDefault="00EB0BFA" w:rsidP="00C0684D">
      <w:pPr>
        <w:rPr>
          <w:lang w:val="en-GB"/>
        </w:rPr>
      </w:pPr>
    </w:p>
    <w:p w14:paraId="20C1201C" w14:textId="77777777" w:rsidR="00EA6E21" w:rsidRPr="00867F38" w:rsidRDefault="00AB005D" w:rsidP="00375B0D">
      <w:pPr>
        <w:pStyle w:val="Heading9"/>
        <w:spacing w:before="240" w:after="120"/>
        <w:jc w:val="both"/>
        <w:rPr>
          <w:rFonts w:ascii="Titillium" w:hAnsi="Titillium"/>
          <w:i w:val="0"/>
          <w:sz w:val="24"/>
          <w:szCs w:val="24"/>
          <w:lang w:val="en-GB"/>
        </w:rPr>
      </w:pPr>
      <w:r w:rsidRPr="00867F38">
        <w:rPr>
          <w:rFonts w:ascii="Titillium" w:hAnsi="Titillium"/>
          <w:b/>
          <w:i w:val="0"/>
          <w:sz w:val="24"/>
          <w:szCs w:val="24"/>
          <w:lang w:val="en-GB"/>
        </w:rPr>
        <w:lastRenderedPageBreak/>
        <w:t>Other Strategies</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453"/>
      </w:tblGrid>
      <w:tr w:rsidR="00E43ACD" w:rsidRPr="00867F38" w14:paraId="53F82AC6" w14:textId="77777777" w:rsidTr="00852A41">
        <w:trPr>
          <w:trHeight w:val="492"/>
        </w:trPr>
        <w:tc>
          <w:tcPr>
            <w:tcW w:w="2405" w:type="dxa"/>
            <w:vAlign w:val="center"/>
          </w:tcPr>
          <w:p w14:paraId="2BF98ABF" w14:textId="77777777" w:rsidR="00E43ACD" w:rsidRPr="00867F38" w:rsidRDefault="00E43ACD" w:rsidP="00852A41">
            <w:pPr>
              <w:rPr>
                <w:rFonts w:ascii="Titillium" w:hAnsi="Titillium" w:cs="Arial"/>
                <w:b/>
                <w:color w:val="003366"/>
                <w:sz w:val="22"/>
                <w:szCs w:val="22"/>
                <w:lang w:val="en-GB"/>
              </w:rPr>
            </w:pPr>
            <w:r w:rsidRPr="00867F38">
              <w:rPr>
                <w:rFonts w:ascii="Titillium" w:hAnsi="Titillium" w:cs="Arial"/>
                <w:b/>
                <w:color w:val="003366"/>
                <w:sz w:val="22"/>
                <w:szCs w:val="22"/>
                <w:lang w:val="en-GB"/>
              </w:rPr>
              <w:t>Strategy</w:t>
            </w:r>
          </w:p>
        </w:tc>
        <w:tc>
          <w:tcPr>
            <w:tcW w:w="11453" w:type="dxa"/>
            <w:vAlign w:val="center"/>
          </w:tcPr>
          <w:p w14:paraId="1F4C7A2F" w14:textId="77777777" w:rsidR="00E43ACD" w:rsidRPr="00867F38" w:rsidRDefault="00E43ACD" w:rsidP="00852A41">
            <w:pPr>
              <w:rPr>
                <w:rFonts w:ascii="Titillium" w:hAnsi="Titillium" w:cs="Arial"/>
                <w:b/>
                <w:color w:val="003366"/>
                <w:sz w:val="22"/>
                <w:szCs w:val="22"/>
                <w:lang w:val="en-GB"/>
              </w:rPr>
            </w:pPr>
            <w:r w:rsidRPr="00867F38">
              <w:rPr>
                <w:rFonts w:ascii="Titillium" w:hAnsi="Titillium" w:cs="Arial"/>
                <w:b/>
                <w:color w:val="003366"/>
                <w:sz w:val="22"/>
                <w:szCs w:val="22"/>
                <w:lang w:val="en-GB"/>
              </w:rPr>
              <w:t>Strategic impact, alignment, dependency or connectivity</w:t>
            </w:r>
          </w:p>
        </w:tc>
      </w:tr>
      <w:tr w:rsidR="00EA6E21" w:rsidRPr="00867F38" w14:paraId="09805D67" w14:textId="77777777" w:rsidTr="00852A41">
        <w:trPr>
          <w:trHeight w:val="492"/>
        </w:trPr>
        <w:tc>
          <w:tcPr>
            <w:tcW w:w="2405" w:type="dxa"/>
            <w:vAlign w:val="center"/>
          </w:tcPr>
          <w:p w14:paraId="728DD5A1" w14:textId="6EFA3098" w:rsidR="0049463A" w:rsidRPr="00867F38" w:rsidRDefault="0049463A" w:rsidP="00852A41">
            <w:pPr>
              <w:rPr>
                <w:rFonts w:ascii="Titillium" w:hAnsi="Titillium" w:cs="Arial"/>
                <w:sz w:val="22"/>
                <w:szCs w:val="22"/>
                <w:lang w:val="en-GB"/>
              </w:rPr>
            </w:pPr>
            <w:r w:rsidRPr="00867F38">
              <w:rPr>
                <w:rFonts w:ascii="Titillium" w:hAnsi="Titillium" w:cs="Arial"/>
                <w:sz w:val="22"/>
                <w:szCs w:val="22"/>
                <w:lang w:val="en-GB"/>
              </w:rPr>
              <w:t>Academic Strategy</w:t>
            </w:r>
            <w:r>
              <w:rPr>
                <w:rFonts w:ascii="Titillium" w:hAnsi="Titillium" w:cs="Arial"/>
                <w:sz w:val="22"/>
                <w:szCs w:val="22"/>
                <w:lang w:val="en-GB"/>
              </w:rPr>
              <w:t xml:space="preserve"> &amp; Student Experience Strategy</w:t>
            </w:r>
          </w:p>
        </w:tc>
        <w:tc>
          <w:tcPr>
            <w:tcW w:w="11453" w:type="dxa"/>
            <w:vAlign w:val="center"/>
          </w:tcPr>
          <w:p w14:paraId="36DFF8AF" w14:textId="77777777" w:rsidR="0049463A" w:rsidRDefault="0049463A" w:rsidP="0049463A">
            <w:pPr>
              <w:spacing w:before="120" w:after="120"/>
              <w:rPr>
                <w:rFonts w:ascii="Titillium" w:hAnsi="Titillium" w:cs="Arial"/>
                <w:sz w:val="22"/>
                <w:szCs w:val="22"/>
                <w:lang w:val="en-GB"/>
              </w:rPr>
            </w:pPr>
            <w:r>
              <w:rPr>
                <w:rFonts w:ascii="Titillium" w:hAnsi="Titillium" w:cs="Arial"/>
                <w:sz w:val="22"/>
                <w:szCs w:val="22"/>
                <w:lang w:val="en-GB"/>
              </w:rPr>
              <w:t>This strategy helps to address key objectives/outcomes set out in the student experience strand of the Academic Strategy, and the underpinning Student Experience Strategy, in particular:</w:t>
            </w:r>
          </w:p>
          <w:p w14:paraId="4954324E" w14:textId="44405319" w:rsidR="0049463A" w:rsidRPr="00714092" w:rsidRDefault="0049463A" w:rsidP="0049463A">
            <w:pPr>
              <w:pStyle w:val="ListParagraph"/>
              <w:numPr>
                <w:ilvl w:val="0"/>
                <w:numId w:val="25"/>
              </w:numPr>
              <w:spacing w:before="120" w:after="120"/>
              <w:rPr>
                <w:rFonts w:ascii="Titillium" w:hAnsi="Titillium" w:cs="Arial"/>
                <w:sz w:val="22"/>
                <w:szCs w:val="22"/>
                <w:lang w:val="en-GB"/>
              </w:rPr>
            </w:pPr>
            <w:r>
              <w:rPr>
                <w:rFonts w:ascii="Titillium" w:hAnsi="Titillium" w:cs="Arial"/>
                <w:sz w:val="22"/>
                <w:szCs w:val="22"/>
                <w:lang w:val="en-GB"/>
              </w:rPr>
              <w:t>“</w:t>
            </w:r>
            <w:r w:rsidRPr="00B112BD">
              <w:rPr>
                <w:rFonts w:ascii="Titillium" w:hAnsi="Titillium" w:cs="Arial"/>
                <w:sz w:val="22"/>
                <w:szCs w:val="22"/>
                <w:lang w:val="en-GB"/>
              </w:rPr>
              <w:t>An inclusive environment that celebrates an</w:t>
            </w:r>
            <w:r w:rsidR="008C6F57">
              <w:rPr>
                <w:rFonts w:ascii="Titillium" w:hAnsi="Titillium" w:cs="Arial"/>
                <w:sz w:val="22"/>
                <w:szCs w:val="22"/>
                <w:lang w:val="en-GB"/>
              </w:rPr>
              <w:t>d</w:t>
            </w:r>
            <w:r w:rsidRPr="00B112BD">
              <w:rPr>
                <w:rFonts w:ascii="Titillium" w:hAnsi="Titillium" w:cs="Arial"/>
                <w:sz w:val="22"/>
                <w:szCs w:val="22"/>
                <w:lang w:val="en-GB"/>
              </w:rPr>
              <w:t xml:space="preserve"> supports the achievements of all, valuing diversity of experience, background, culture and ability”</w:t>
            </w:r>
          </w:p>
          <w:p w14:paraId="3E1AC748" w14:textId="77777777" w:rsidR="0049463A" w:rsidRPr="00B112BD" w:rsidRDefault="0049463A" w:rsidP="0049463A">
            <w:pPr>
              <w:pStyle w:val="ListParagraph"/>
              <w:numPr>
                <w:ilvl w:val="0"/>
                <w:numId w:val="25"/>
              </w:numPr>
              <w:spacing w:before="120" w:after="120"/>
              <w:rPr>
                <w:rFonts w:ascii="Titillium" w:hAnsi="Titillium" w:cs="Arial"/>
                <w:sz w:val="22"/>
                <w:szCs w:val="22"/>
                <w:lang w:val="en-GB"/>
              </w:rPr>
            </w:pPr>
            <w:r w:rsidRPr="00B112BD">
              <w:rPr>
                <w:rFonts w:ascii="Titillium" w:hAnsi="Titillium" w:cs="Arial"/>
                <w:sz w:val="22"/>
                <w:szCs w:val="22"/>
                <w:lang w:val="en-GB"/>
              </w:rPr>
              <w:t>“A student population that is highly inclusive, diverse and representative in terms of background, ethnicity, gender, disability, and age…”</w:t>
            </w:r>
          </w:p>
          <w:p w14:paraId="245BF30B" w14:textId="044C5CC0" w:rsidR="0049463A" w:rsidRDefault="00DF7B2C" w:rsidP="0049463A">
            <w:pPr>
              <w:pStyle w:val="ListParagraph"/>
              <w:numPr>
                <w:ilvl w:val="0"/>
                <w:numId w:val="25"/>
              </w:numPr>
              <w:spacing w:before="120" w:after="120"/>
              <w:rPr>
                <w:rFonts w:ascii="Titillium" w:hAnsi="Titillium" w:cs="Arial"/>
                <w:sz w:val="22"/>
                <w:szCs w:val="22"/>
                <w:lang w:val="en-GB"/>
              </w:rPr>
            </w:pPr>
            <w:r>
              <w:rPr>
                <w:rFonts w:ascii="Titillium" w:hAnsi="Titillium" w:cs="Arial"/>
                <w:sz w:val="22"/>
                <w:szCs w:val="22"/>
                <w:lang w:val="en-GB"/>
              </w:rPr>
              <w:t>“</w:t>
            </w:r>
            <w:r w:rsidR="0049463A" w:rsidRPr="00B112BD">
              <w:rPr>
                <w:rFonts w:ascii="Titillium" w:hAnsi="Titillium" w:cs="Arial"/>
                <w:sz w:val="22"/>
                <w:szCs w:val="22"/>
                <w:lang w:val="en-GB"/>
              </w:rPr>
              <w:t>Induction and transition support tailored to all students at all levels (including those articulating into programmes with adva</w:t>
            </w:r>
            <w:r w:rsidR="0049463A">
              <w:rPr>
                <w:rFonts w:ascii="Titillium" w:hAnsi="Titillium" w:cs="Arial"/>
                <w:sz w:val="22"/>
                <w:szCs w:val="22"/>
                <w:lang w:val="en-GB"/>
              </w:rPr>
              <w:t>n</w:t>
            </w:r>
            <w:r w:rsidR="0049463A" w:rsidRPr="00B112BD">
              <w:rPr>
                <w:rFonts w:ascii="Titillium" w:hAnsi="Titillium" w:cs="Arial"/>
                <w:sz w:val="22"/>
                <w:szCs w:val="22"/>
                <w:lang w:val="en-GB"/>
              </w:rPr>
              <w:t xml:space="preserve">ced </w:t>
            </w:r>
            <w:r>
              <w:rPr>
                <w:rFonts w:ascii="Titillium" w:hAnsi="Titillium" w:cs="Arial"/>
                <w:sz w:val="22"/>
                <w:szCs w:val="22"/>
                <w:lang w:val="en-GB"/>
              </w:rPr>
              <w:t>standing from partner colleges…”</w:t>
            </w:r>
          </w:p>
          <w:p w14:paraId="46496A50" w14:textId="490B4A55" w:rsidR="00EA6E21" w:rsidRPr="00867F38" w:rsidRDefault="0049463A" w:rsidP="0049463A">
            <w:pPr>
              <w:rPr>
                <w:rFonts w:ascii="Titillium" w:hAnsi="Titillium" w:cs="Arial"/>
                <w:sz w:val="22"/>
                <w:szCs w:val="22"/>
                <w:lang w:val="en-GB"/>
              </w:rPr>
            </w:pPr>
            <w:r>
              <w:rPr>
                <w:rFonts w:ascii="Titillium" w:hAnsi="Titillium" w:cs="Arial"/>
                <w:sz w:val="22"/>
                <w:szCs w:val="22"/>
                <w:lang w:val="en-GB"/>
              </w:rPr>
              <w:t>Targets in relation to access, articulation, attainment, retention, participation, representation and employability.</w:t>
            </w:r>
          </w:p>
        </w:tc>
      </w:tr>
      <w:tr w:rsidR="006879FB" w:rsidRPr="00867F38" w14:paraId="208250E4" w14:textId="77777777" w:rsidTr="00852A41">
        <w:trPr>
          <w:trHeight w:val="492"/>
        </w:trPr>
        <w:tc>
          <w:tcPr>
            <w:tcW w:w="2405" w:type="dxa"/>
            <w:vAlign w:val="center"/>
          </w:tcPr>
          <w:p w14:paraId="7C852F1B" w14:textId="6E2601EA" w:rsidR="006879FB" w:rsidRPr="00867F38" w:rsidRDefault="0049463A" w:rsidP="00852A41">
            <w:pPr>
              <w:rPr>
                <w:rFonts w:ascii="Titillium" w:hAnsi="Titillium" w:cs="Arial"/>
                <w:sz w:val="22"/>
                <w:szCs w:val="22"/>
                <w:lang w:val="en-GB"/>
              </w:rPr>
            </w:pPr>
            <w:r>
              <w:rPr>
                <w:rFonts w:ascii="Titillium" w:hAnsi="Titillium" w:cs="Arial"/>
                <w:sz w:val="22"/>
                <w:szCs w:val="22"/>
                <w:lang w:val="en-GB"/>
              </w:rPr>
              <w:t>UK &amp; EU Student Recruitment Plan</w:t>
            </w:r>
          </w:p>
        </w:tc>
        <w:tc>
          <w:tcPr>
            <w:tcW w:w="11453" w:type="dxa"/>
            <w:vAlign w:val="center"/>
          </w:tcPr>
          <w:p w14:paraId="1C6D19C5" w14:textId="05CDF3B6" w:rsidR="006879FB" w:rsidRPr="00867F38" w:rsidRDefault="0049463A" w:rsidP="00852A41">
            <w:pPr>
              <w:rPr>
                <w:rFonts w:ascii="Titillium" w:hAnsi="Titillium" w:cs="Arial"/>
                <w:sz w:val="22"/>
                <w:szCs w:val="22"/>
                <w:lang w:val="en-GB"/>
              </w:rPr>
            </w:pPr>
            <w:r>
              <w:rPr>
                <w:rFonts w:ascii="Titillium" w:hAnsi="Titillium" w:cs="Arial"/>
                <w:sz w:val="22"/>
                <w:szCs w:val="22"/>
                <w:lang w:val="en-GB"/>
              </w:rPr>
              <w:t xml:space="preserve">This strategy is specifically referenced in the </w:t>
            </w:r>
            <w:r w:rsidRPr="00B112BD">
              <w:rPr>
                <w:rFonts w:ascii="Titillium" w:hAnsi="Titillium" w:cs="Arial"/>
                <w:sz w:val="22"/>
                <w:szCs w:val="22"/>
                <w:lang w:val="en-GB"/>
              </w:rPr>
              <w:t>recruitment plan</w:t>
            </w:r>
            <w:r>
              <w:rPr>
                <w:rFonts w:ascii="Titillium" w:hAnsi="Titillium" w:cs="Arial"/>
                <w:sz w:val="22"/>
                <w:szCs w:val="22"/>
                <w:lang w:val="en-GB"/>
              </w:rPr>
              <w:t xml:space="preserve"> as the vehicle in which to realise our ambitions around increasing access and recruitment of UG students from </w:t>
            </w:r>
            <w:r w:rsidRPr="00B112BD">
              <w:rPr>
                <w:rFonts w:ascii="Titillium" w:hAnsi="Titillium" w:cs="Arial"/>
                <w:sz w:val="22"/>
                <w:szCs w:val="22"/>
                <w:lang w:val="en-GB"/>
              </w:rPr>
              <w:t xml:space="preserve">widening participation </w:t>
            </w:r>
            <w:r>
              <w:rPr>
                <w:rFonts w:ascii="Titillium" w:hAnsi="Titillium" w:cs="Arial"/>
                <w:sz w:val="22"/>
                <w:szCs w:val="22"/>
                <w:lang w:val="en-GB"/>
              </w:rPr>
              <w:t>groups</w:t>
            </w:r>
            <w:r w:rsidRPr="00B112BD">
              <w:rPr>
                <w:rFonts w:ascii="Titillium" w:hAnsi="Titillium" w:cs="Arial"/>
                <w:sz w:val="22"/>
                <w:szCs w:val="22"/>
                <w:lang w:val="en-GB"/>
              </w:rPr>
              <w:t>.</w:t>
            </w:r>
          </w:p>
        </w:tc>
      </w:tr>
    </w:tbl>
    <w:p w14:paraId="1C8BDFD5" w14:textId="77777777" w:rsidR="00D12C69" w:rsidRPr="00867F38" w:rsidRDefault="00AB005D" w:rsidP="00375B0D">
      <w:pPr>
        <w:pStyle w:val="Heading9"/>
        <w:spacing w:before="240" w:after="120"/>
        <w:rPr>
          <w:rFonts w:ascii="Titillium" w:hAnsi="Titillium" w:cs="Arial"/>
          <w:i w:val="0"/>
          <w:sz w:val="22"/>
          <w:lang w:val="en-GB"/>
        </w:rPr>
      </w:pPr>
      <w:r w:rsidRPr="00867F38">
        <w:rPr>
          <w:rFonts w:ascii="Titillium" w:hAnsi="Titillium"/>
          <w:b/>
          <w:i w:val="0"/>
          <w:sz w:val="24"/>
          <w:szCs w:val="24"/>
          <w:lang w:val="en-GB"/>
        </w:rPr>
        <w:t>Values</w:t>
      </w:r>
    </w:p>
    <w:tbl>
      <w:tblPr>
        <w:tblStyle w:val="TableGrid1"/>
        <w:tblW w:w="13858" w:type="dxa"/>
        <w:tblLayout w:type="fixed"/>
        <w:tblLook w:val="0000" w:firstRow="0" w:lastRow="0" w:firstColumn="0" w:lastColumn="0" w:noHBand="0" w:noVBand="0"/>
      </w:tblPr>
      <w:tblGrid>
        <w:gridCol w:w="2405"/>
        <w:gridCol w:w="11453"/>
      </w:tblGrid>
      <w:tr w:rsidR="00375B0D" w:rsidRPr="00867F38" w14:paraId="4BF44E6D" w14:textId="77777777" w:rsidTr="00375B0D">
        <w:trPr>
          <w:trHeight w:val="492"/>
        </w:trPr>
        <w:tc>
          <w:tcPr>
            <w:tcW w:w="2405" w:type="dxa"/>
          </w:tcPr>
          <w:p w14:paraId="3D16B6AF" w14:textId="77777777" w:rsidR="0045752A" w:rsidRPr="00867F38" w:rsidRDefault="0045752A" w:rsidP="00D74E77">
            <w:pPr>
              <w:rPr>
                <w:rFonts w:ascii="Titillium" w:hAnsi="Titillium" w:cs="Arial"/>
                <w:b/>
                <w:color w:val="003366"/>
                <w:sz w:val="22"/>
                <w:lang w:val="en-GB"/>
              </w:rPr>
            </w:pPr>
            <w:r w:rsidRPr="00867F38">
              <w:rPr>
                <w:rFonts w:ascii="Titillium" w:hAnsi="Titillium" w:cs="Arial"/>
                <w:b/>
                <w:color w:val="003366"/>
                <w:sz w:val="22"/>
                <w:lang w:val="en-GB"/>
              </w:rPr>
              <w:t>Value</w:t>
            </w:r>
          </w:p>
        </w:tc>
        <w:tc>
          <w:tcPr>
            <w:tcW w:w="11453" w:type="dxa"/>
          </w:tcPr>
          <w:p w14:paraId="2B6B3C48" w14:textId="77777777" w:rsidR="0045752A" w:rsidRPr="00867F38" w:rsidRDefault="0045752A" w:rsidP="00D74E77">
            <w:pPr>
              <w:rPr>
                <w:rFonts w:ascii="Titillium" w:hAnsi="Titillium" w:cs="Arial"/>
                <w:b/>
                <w:color w:val="003366"/>
                <w:sz w:val="22"/>
                <w:lang w:val="en-GB"/>
              </w:rPr>
            </w:pPr>
            <w:r w:rsidRPr="00867F38">
              <w:rPr>
                <w:rFonts w:ascii="Titillium" w:hAnsi="Titillium" w:cs="Arial"/>
                <w:b/>
                <w:color w:val="003366"/>
                <w:sz w:val="22"/>
                <w:lang w:val="en-GB"/>
              </w:rPr>
              <w:t>Impact/Alignment</w:t>
            </w:r>
          </w:p>
        </w:tc>
      </w:tr>
      <w:tr w:rsidR="00203959" w:rsidRPr="00867F38" w14:paraId="471348D1" w14:textId="77777777" w:rsidTr="00375B0D">
        <w:trPr>
          <w:trHeight w:val="492"/>
        </w:trPr>
        <w:tc>
          <w:tcPr>
            <w:tcW w:w="2405" w:type="dxa"/>
          </w:tcPr>
          <w:p w14:paraId="7671953E" w14:textId="77777777" w:rsidR="00203959" w:rsidRPr="00867F38" w:rsidRDefault="00203959" w:rsidP="00203959">
            <w:pPr>
              <w:rPr>
                <w:rFonts w:ascii="Arial" w:hAnsi="Arial" w:cs="Arial"/>
                <w:sz w:val="22"/>
                <w:lang w:val="en-GB"/>
              </w:rPr>
            </w:pPr>
            <w:r w:rsidRPr="00867F38">
              <w:rPr>
                <w:rFonts w:ascii="Titillium" w:hAnsi="Titillium" w:cs="Arial"/>
                <w:sz w:val="22"/>
                <w:lang w:val="en-GB"/>
              </w:rPr>
              <w:t>Ambitious</w:t>
            </w:r>
          </w:p>
        </w:tc>
        <w:tc>
          <w:tcPr>
            <w:tcW w:w="11453" w:type="dxa"/>
          </w:tcPr>
          <w:p w14:paraId="7E777011" w14:textId="3E59E51C" w:rsidR="00203959" w:rsidRPr="00867F38" w:rsidRDefault="00203959" w:rsidP="00203959">
            <w:pPr>
              <w:rPr>
                <w:rFonts w:ascii="Arial" w:hAnsi="Arial" w:cs="Arial"/>
                <w:sz w:val="22"/>
                <w:lang w:val="en-GB"/>
              </w:rPr>
            </w:pPr>
            <w:r w:rsidRPr="00C46DB7">
              <w:rPr>
                <w:rFonts w:ascii="Titillium" w:hAnsi="Titillium" w:cs="Arial"/>
                <w:sz w:val="22"/>
                <w:lang w:val="en-GB"/>
              </w:rPr>
              <w:t>Although recognising the challenges in striving to bridge the gap for those from widening participation backgrounds to accessing, and achieving success through, higher education, we are ambitious in our intent and outcomes</w:t>
            </w:r>
            <w:r w:rsidR="00AE1672">
              <w:rPr>
                <w:rFonts w:ascii="Titillium" w:hAnsi="Titillium" w:cs="Arial"/>
                <w:sz w:val="22"/>
                <w:lang w:val="en-GB"/>
              </w:rPr>
              <w:t>.</w:t>
            </w:r>
          </w:p>
        </w:tc>
      </w:tr>
      <w:tr w:rsidR="00203959" w:rsidRPr="00867F38" w14:paraId="226E9D0C" w14:textId="77777777" w:rsidTr="00375B0D">
        <w:trPr>
          <w:trHeight w:val="491"/>
        </w:trPr>
        <w:tc>
          <w:tcPr>
            <w:tcW w:w="2405" w:type="dxa"/>
          </w:tcPr>
          <w:p w14:paraId="49DD5184" w14:textId="77777777" w:rsidR="00203959" w:rsidRPr="00867F38" w:rsidRDefault="00203959" w:rsidP="00203959">
            <w:pPr>
              <w:rPr>
                <w:rFonts w:ascii="Arial" w:hAnsi="Arial" w:cs="Arial"/>
                <w:sz w:val="22"/>
                <w:lang w:val="en-GB"/>
              </w:rPr>
            </w:pPr>
            <w:r w:rsidRPr="00867F38">
              <w:rPr>
                <w:rFonts w:ascii="Titillium" w:hAnsi="Titillium" w:cs="Arial"/>
                <w:sz w:val="22"/>
                <w:lang w:val="en-GB"/>
              </w:rPr>
              <w:t>Innovative</w:t>
            </w:r>
          </w:p>
        </w:tc>
        <w:tc>
          <w:tcPr>
            <w:tcW w:w="11453" w:type="dxa"/>
          </w:tcPr>
          <w:p w14:paraId="4A8D1BC1" w14:textId="5682DCC2" w:rsidR="00203959" w:rsidRPr="00867F38" w:rsidRDefault="00203959" w:rsidP="00203959">
            <w:pPr>
              <w:rPr>
                <w:rFonts w:ascii="Arial" w:hAnsi="Arial" w:cs="Arial"/>
                <w:sz w:val="22"/>
                <w:lang w:val="en-GB"/>
              </w:rPr>
            </w:pPr>
            <w:r w:rsidRPr="00C46DB7">
              <w:rPr>
                <w:rFonts w:ascii="Titillium" w:hAnsi="Titillium" w:cs="Arial"/>
                <w:sz w:val="22"/>
                <w:lang w:val="en-GB"/>
              </w:rPr>
              <w:t>We will seek to be innovative in our approach to delivering this strategy recognising the need for new tactics to address a long-standing cultural inequality.</w:t>
            </w:r>
          </w:p>
        </w:tc>
      </w:tr>
      <w:tr w:rsidR="00203959" w:rsidRPr="00867F38" w14:paraId="00029A45" w14:textId="77777777" w:rsidTr="00375B0D">
        <w:trPr>
          <w:trHeight w:val="491"/>
        </w:trPr>
        <w:tc>
          <w:tcPr>
            <w:tcW w:w="2405" w:type="dxa"/>
          </w:tcPr>
          <w:p w14:paraId="088B9859" w14:textId="77777777" w:rsidR="00203959" w:rsidRPr="00867F38" w:rsidRDefault="00203959" w:rsidP="00203959">
            <w:pPr>
              <w:rPr>
                <w:rFonts w:ascii="Arial" w:hAnsi="Arial" w:cs="Arial"/>
                <w:sz w:val="22"/>
                <w:lang w:val="en-GB"/>
              </w:rPr>
            </w:pPr>
            <w:r w:rsidRPr="00867F38">
              <w:rPr>
                <w:rFonts w:ascii="Titillium" w:hAnsi="Titillium" w:cs="Arial"/>
                <w:sz w:val="22"/>
                <w:lang w:val="en-GB"/>
              </w:rPr>
              <w:t>Professional</w:t>
            </w:r>
          </w:p>
        </w:tc>
        <w:tc>
          <w:tcPr>
            <w:tcW w:w="11453" w:type="dxa"/>
          </w:tcPr>
          <w:p w14:paraId="6E6050A4" w14:textId="2039360A" w:rsidR="00203959" w:rsidRPr="00867F38" w:rsidRDefault="00203959" w:rsidP="008F6322">
            <w:pPr>
              <w:rPr>
                <w:rFonts w:ascii="Arial" w:hAnsi="Arial" w:cs="Arial"/>
                <w:sz w:val="22"/>
                <w:lang w:val="en-GB"/>
              </w:rPr>
            </w:pPr>
            <w:r w:rsidRPr="00C46DB7">
              <w:rPr>
                <w:rFonts w:ascii="Titillium" w:hAnsi="Titillium" w:cs="Arial"/>
                <w:sz w:val="22"/>
                <w:lang w:val="en-GB"/>
              </w:rPr>
              <w:t xml:space="preserve">Adopting a </w:t>
            </w:r>
            <w:r>
              <w:rPr>
                <w:rFonts w:ascii="Titillium" w:hAnsi="Titillium" w:cs="Arial"/>
                <w:sz w:val="22"/>
                <w:lang w:val="en-GB"/>
              </w:rPr>
              <w:t xml:space="preserve">robust and </w:t>
            </w:r>
            <w:r w:rsidRPr="00C46DB7">
              <w:rPr>
                <w:rFonts w:ascii="Titillium" w:hAnsi="Titillium" w:cs="Arial"/>
                <w:sz w:val="22"/>
                <w:lang w:val="en-GB"/>
              </w:rPr>
              <w:t>professional approach</w:t>
            </w:r>
            <w:r>
              <w:rPr>
                <w:rFonts w:ascii="Titillium" w:hAnsi="Titillium" w:cs="Arial"/>
                <w:sz w:val="22"/>
                <w:lang w:val="en-GB"/>
              </w:rPr>
              <w:t xml:space="preserve">, particularly to the evaluation of </w:t>
            </w:r>
            <w:r w:rsidRPr="00C46DB7">
              <w:rPr>
                <w:rFonts w:ascii="Titillium" w:hAnsi="Titillium" w:cs="Arial"/>
                <w:sz w:val="22"/>
                <w:lang w:val="en-GB"/>
              </w:rPr>
              <w:t>our work in this area</w:t>
            </w:r>
            <w:r w:rsidR="008F6322">
              <w:rPr>
                <w:rFonts w:ascii="Titillium" w:hAnsi="Titillium" w:cs="Arial"/>
                <w:sz w:val="22"/>
                <w:lang w:val="en-GB"/>
              </w:rPr>
              <w:t>,</w:t>
            </w:r>
            <w:r w:rsidRPr="00C46DB7">
              <w:rPr>
                <w:rFonts w:ascii="Titillium" w:hAnsi="Titillium" w:cs="Arial"/>
                <w:sz w:val="22"/>
                <w:lang w:val="en-GB"/>
              </w:rPr>
              <w:t xml:space="preserve"> will be critical if we are to be both effective and play a leading role in the national con</w:t>
            </w:r>
            <w:r>
              <w:rPr>
                <w:rFonts w:ascii="Titillium" w:hAnsi="Titillium" w:cs="Arial"/>
                <w:sz w:val="22"/>
                <w:lang w:val="en-GB"/>
              </w:rPr>
              <w:t>versation</w:t>
            </w:r>
            <w:r w:rsidRPr="00C46DB7">
              <w:rPr>
                <w:rFonts w:ascii="Titillium" w:hAnsi="Titillium" w:cs="Arial"/>
                <w:sz w:val="22"/>
                <w:lang w:val="en-GB"/>
              </w:rPr>
              <w:t>.</w:t>
            </w:r>
          </w:p>
        </w:tc>
      </w:tr>
      <w:tr w:rsidR="00203959" w:rsidRPr="00867F38" w14:paraId="212AF2B2" w14:textId="77777777" w:rsidTr="00375B0D">
        <w:trPr>
          <w:trHeight w:val="491"/>
        </w:trPr>
        <w:tc>
          <w:tcPr>
            <w:tcW w:w="2405" w:type="dxa"/>
          </w:tcPr>
          <w:p w14:paraId="7EE4F1C0" w14:textId="77777777" w:rsidR="00203959" w:rsidRPr="00867F38" w:rsidRDefault="00203959" w:rsidP="00203959">
            <w:pPr>
              <w:rPr>
                <w:rFonts w:ascii="Arial" w:hAnsi="Arial" w:cs="Arial"/>
                <w:sz w:val="22"/>
                <w:lang w:val="en-GB"/>
              </w:rPr>
            </w:pPr>
            <w:r w:rsidRPr="00867F38">
              <w:rPr>
                <w:rFonts w:ascii="Titillium" w:hAnsi="Titillium" w:cs="Arial"/>
                <w:sz w:val="22"/>
                <w:lang w:val="en-GB"/>
              </w:rPr>
              <w:t>Inclusive</w:t>
            </w:r>
          </w:p>
        </w:tc>
        <w:tc>
          <w:tcPr>
            <w:tcW w:w="11453" w:type="dxa"/>
          </w:tcPr>
          <w:p w14:paraId="301B44CB" w14:textId="0334D2EC" w:rsidR="00203959" w:rsidRPr="00867F38" w:rsidRDefault="00203959" w:rsidP="008F6322">
            <w:pPr>
              <w:rPr>
                <w:rFonts w:ascii="Arial" w:hAnsi="Arial" w:cs="Arial"/>
                <w:sz w:val="22"/>
                <w:lang w:val="en-GB"/>
              </w:rPr>
            </w:pPr>
            <w:r w:rsidRPr="002E4D49">
              <w:rPr>
                <w:rFonts w:ascii="Titillium" w:hAnsi="Titillium" w:cs="Arial"/>
                <w:sz w:val="22"/>
                <w:lang w:val="en-GB"/>
              </w:rPr>
              <w:t xml:space="preserve">This strategy is a significant enabler in ensuring the University is inclusive and accessible </w:t>
            </w:r>
            <w:r>
              <w:rPr>
                <w:rFonts w:ascii="Titillium" w:hAnsi="Titillium" w:cs="Arial"/>
                <w:sz w:val="22"/>
                <w:lang w:val="en-GB"/>
              </w:rPr>
              <w:t>in line with our</w:t>
            </w:r>
            <w:r w:rsidRPr="002E4D49">
              <w:rPr>
                <w:rFonts w:ascii="Titillium" w:hAnsi="Titillium" w:cs="Arial"/>
                <w:sz w:val="22"/>
                <w:lang w:val="en-GB"/>
              </w:rPr>
              <w:t xml:space="preserve"> </w:t>
            </w:r>
            <w:r>
              <w:rPr>
                <w:rFonts w:ascii="Titillium" w:hAnsi="Titillium" w:cs="Arial"/>
                <w:sz w:val="22"/>
                <w:lang w:val="en-GB"/>
              </w:rPr>
              <w:t>commitment</w:t>
            </w:r>
            <w:r w:rsidRPr="002E4D49">
              <w:rPr>
                <w:rFonts w:ascii="Titillium" w:hAnsi="Titillium"/>
                <w:sz w:val="22"/>
                <w:lang w:val="en-GB"/>
              </w:rPr>
              <w:t xml:space="preserve"> </w:t>
            </w:r>
            <w:r w:rsidRPr="0085483B">
              <w:rPr>
                <w:rFonts w:ascii="Titillium" w:hAnsi="Titillium"/>
                <w:sz w:val="22"/>
                <w:lang w:val="en-GB"/>
              </w:rPr>
              <w:t xml:space="preserve">to the principle of fairness </w:t>
            </w:r>
            <w:r w:rsidR="008F6322">
              <w:rPr>
                <w:rFonts w:ascii="Titillium" w:hAnsi="Titillium"/>
                <w:sz w:val="22"/>
                <w:lang w:val="en-GB"/>
              </w:rPr>
              <w:t>of</w:t>
            </w:r>
            <w:r w:rsidRPr="0085483B">
              <w:rPr>
                <w:rFonts w:ascii="Titillium" w:hAnsi="Titillium"/>
                <w:sz w:val="22"/>
                <w:lang w:val="en-GB"/>
              </w:rPr>
              <w:t xml:space="preserve"> access to higher education and promoting the success of under-represented groups who may have experienced barriers to entering higher education for social, cultural or economic reasons.</w:t>
            </w:r>
          </w:p>
        </w:tc>
      </w:tr>
    </w:tbl>
    <w:p w14:paraId="07AD4D11" w14:textId="77777777" w:rsidR="00D12C69" w:rsidRPr="00867F38" w:rsidRDefault="00AB005D" w:rsidP="00375B0D">
      <w:pPr>
        <w:spacing w:before="240" w:after="120"/>
        <w:jc w:val="both"/>
        <w:rPr>
          <w:rFonts w:ascii="Titillium" w:hAnsi="Titillium" w:cs="Arial"/>
          <w:b/>
          <w:lang w:val="en-GB"/>
        </w:rPr>
      </w:pPr>
      <w:r w:rsidRPr="00867F38">
        <w:rPr>
          <w:rFonts w:ascii="Titillium" w:hAnsi="Titillium" w:cs="Arial"/>
          <w:b/>
          <w:lang w:val="en-GB"/>
        </w:rPr>
        <w:lastRenderedPageBreak/>
        <w:t>Culture</w:t>
      </w:r>
    </w:p>
    <w:tbl>
      <w:tblPr>
        <w:tblStyle w:val="TableGrid1"/>
        <w:tblW w:w="0" w:type="auto"/>
        <w:tblLook w:val="04A0" w:firstRow="1" w:lastRow="0" w:firstColumn="1" w:lastColumn="0" w:noHBand="0" w:noVBand="1"/>
      </w:tblPr>
      <w:tblGrid>
        <w:gridCol w:w="4815"/>
        <w:gridCol w:w="9133"/>
      </w:tblGrid>
      <w:tr w:rsidR="00375B0D" w:rsidRPr="00867F38" w14:paraId="2AC80636" w14:textId="77777777" w:rsidTr="00375B0D">
        <w:tc>
          <w:tcPr>
            <w:tcW w:w="4815" w:type="dxa"/>
          </w:tcPr>
          <w:p w14:paraId="1E7233B5" w14:textId="77777777" w:rsidR="00CF0A5D" w:rsidRPr="00867F38" w:rsidRDefault="00CF0A5D" w:rsidP="00CF0A5D">
            <w:pPr>
              <w:spacing w:after="120"/>
              <w:jc w:val="both"/>
              <w:rPr>
                <w:rFonts w:ascii="Titillium" w:hAnsi="Titillium" w:cs="Arial"/>
                <w:b/>
                <w:color w:val="003366"/>
                <w:sz w:val="22"/>
                <w:szCs w:val="22"/>
                <w:lang w:val="en-GB"/>
              </w:rPr>
            </w:pPr>
            <w:r w:rsidRPr="00867F38">
              <w:rPr>
                <w:rFonts w:ascii="Titillium" w:hAnsi="Titillium" w:cs="Arial"/>
                <w:b/>
                <w:color w:val="003366"/>
                <w:sz w:val="22"/>
                <w:szCs w:val="22"/>
                <w:lang w:val="en-GB"/>
              </w:rPr>
              <w:t>Cultural Ambition</w:t>
            </w:r>
          </w:p>
        </w:tc>
        <w:tc>
          <w:tcPr>
            <w:tcW w:w="9133" w:type="dxa"/>
          </w:tcPr>
          <w:p w14:paraId="1E3678E1" w14:textId="77777777" w:rsidR="00CF0A5D" w:rsidRPr="00867F38" w:rsidRDefault="00CF0A5D" w:rsidP="00CF0A5D">
            <w:pPr>
              <w:spacing w:after="120"/>
              <w:jc w:val="both"/>
              <w:rPr>
                <w:rFonts w:ascii="Titillium" w:hAnsi="Titillium" w:cs="Arial"/>
                <w:b/>
                <w:color w:val="003366"/>
                <w:sz w:val="22"/>
                <w:szCs w:val="22"/>
                <w:lang w:val="en-GB"/>
              </w:rPr>
            </w:pPr>
            <w:r w:rsidRPr="00867F38">
              <w:rPr>
                <w:rFonts w:ascii="Titillium" w:hAnsi="Titillium" w:cs="Arial"/>
                <w:b/>
                <w:color w:val="003366"/>
                <w:sz w:val="22"/>
                <w:szCs w:val="22"/>
                <w:lang w:val="en-GB"/>
              </w:rPr>
              <w:t>Impact</w:t>
            </w:r>
          </w:p>
        </w:tc>
      </w:tr>
      <w:tr w:rsidR="00CF0A5D" w:rsidRPr="00867F38" w14:paraId="2CD9CBC9" w14:textId="77777777" w:rsidTr="00375B0D">
        <w:tc>
          <w:tcPr>
            <w:tcW w:w="4815" w:type="dxa"/>
          </w:tcPr>
          <w:p w14:paraId="56A3217A" w14:textId="47AA0F33" w:rsidR="00CF0A5D" w:rsidRPr="00867F38" w:rsidRDefault="00960000" w:rsidP="00CF0A5D">
            <w:pPr>
              <w:spacing w:after="120"/>
              <w:jc w:val="both"/>
              <w:rPr>
                <w:rFonts w:ascii="Titillium" w:hAnsi="Titillium" w:cs="Arial"/>
                <w:b/>
                <w:sz w:val="22"/>
                <w:szCs w:val="22"/>
                <w:lang w:val="en-GB"/>
              </w:rPr>
            </w:pPr>
            <w:sdt>
              <w:sdtPr>
                <w:rPr>
                  <w:rFonts w:ascii="Titillium" w:hAnsi="Titillium" w:cs="Arial"/>
                  <w:b/>
                  <w:sz w:val="22"/>
                  <w:szCs w:val="22"/>
                  <w:lang w:val="en-GB"/>
                </w:rPr>
                <w:alias w:val="Cultural ambition"/>
                <w:tag w:val="Cultural ambition"/>
                <w:id w:val="-650526273"/>
                <w:placeholder>
                  <w:docPart w:val="DefaultPlaceholder_1081868575"/>
                </w:placeholder>
                <w:dropDownList>
                  <w:listItem w:value="Choose an item."/>
                  <w:listItem w:displayText="We succeed through growth rather than cutting our cloth to fit" w:value="We succeed through growth rather than cutting our cloth to fit"/>
                  <w:listItem w:displayText="We are supported to take the opportunity, manage risk and learn for the future" w:value="We are supported to take the opportunity, manage risk and learn for the future"/>
                  <w:listItem w:displayText="We have high aspirations for, and confidence in, ourselves and our students" w:value="We have high aspirations for, and confidence in, ourselves and our students"/>
                  <w:listItem w:displayText="We respect and trust our colleagues and feel respected and trusted by them" w:value="We respect and trust our colleagues and feel respected and trusted by them"/>
                  <w:listItem w:displayText="We feel responsible and expect to be held to account for our contribution" w:value="We feel responsible and expect to be held to account for our contribution"/>
                  <w:listItem w:displayText="We are actively engaged in delivering our vision and our purpose" w:value="We are actively engaged in delivering our vision and our purpose"/>
                  <w:listItem w:displayText="We embrace change and are responsive to stakeholder, customer and society needs" w:value="We embrace change and are responsive to stakeholder, customer and society needs"/>
                  <w:listItem w:displayText="We value the external perspective" w:value="We value the external perspective"/>
                  <w:listItem w:displayText="We continuously improve and share best practice" w:value="We continuously improve and share best practice"/>
                  <w:listItem w:displayText="We are all part of one team delivering our academic ambitions and strategic objectives" w:value="We are all part of one team delivering our academic ambitions and strategic objectives"/>
                  <w:listItem w:displayText="We are empowered to make decisions about how best to play our part" w:value="We are empowered to make decisions about how best to play our part"/>
                  <w:listItem w:displayText="We have a sense of collective pride in our achievements" w:value="We have a sense of collective pride in our achievements"/>
                  <w:listItem w:displayText="We are led by our academic agenda" w:value="We are led by our academic agenda"/>
                </w:dropDownList>
              </w:sdtPr>
              <w:sdtEndPr/>
              <w:sdtContent>
                <w:r w:rsidR="003C25DF">
                  <w:rPr>
                    <w:rFonts w:ascii="Titillium" w:hAnsi="Titillium" w:cs="Arial"/>
                    <w:b/>
                    <w:sz w:val="22"/>
                    <w:szCs w:val="22"/>
                    <w:lang w:val="en-GB"/>
                  </w:rPr>
                  <w:t>We have high aspirations for, and confidence in, ourselves and our students</w:t>
                </w:r>
              </w:sdtContent>
            </w:sdt>
          </w:p>
        </w:tc>
        <w:tc>
          <w:tcPr>
            <w:tcW w:w="9133" w:type="dxa"/>
          </w:tcPr>
          <w:p w14:paraId="4B4839AF" w14:textId="12EED5C6" w:rsidR="00CF0A5D" w:rsidRPr="00867F38" w:rsidRDefault="00203959" w:rsidP="00CF0A5D">
            <w:pPr>
              <w:spacing w:after="120"/>
              <w:jc w:val="both"/>
              <w:rPr>
                <w:rFonts w:ascii="Titillium" w:hAnsi="Titillium" w:cs="Arial"/>
                <w:sz w:val="22"/>
                <w:szCs w:val="22"/>
                <w:lang w:val="en-GB"/>
              </w:rPr>
            </w:pPr>
            <w:r w:rsidRPr="00720FF8">
              <w:rPr>
                <w:rFonts w:ascii="Titillium" w:hAnsi="Titillium" w:cs="Arial"/>
                <w:sz w:val="22"/>
                <w:szCs w:val="22"/>
                <w:lang w:val="en-GB"/>
              </w:rPr>
              <w:t>This strategy is rooted in our aspirations for</w:t>
            </w:r>
            <w:r>
              <w:rPr>
                <w:rFonts w:ascii="Titillium" w:hAnsi="Titillium" w:cs="Arial"/>
                <w:sz w:val="22"/>
                <w:szCs w:val="22"/>
                <w:lang w:val="en-GB"/>
              </w:rPr>
              <w:t>,</w:t>
            </w:r>
            <w:r w:rsidRPr="00720FF8">
              <w:rPr>
                <w:rFonts w:ascii="Titillium" w:hAnsi="Titillium" w:cs="Arial"/>
                <w:sz w:val="22"/>
                <w:szCs w:val="22"/>
                <w:lang w:val="en-GB"/>
              </w:rPr>
              <w:t xml:space="preserve"> an</w:t>
            </w:r>
            <w:r>
              <w:rPr>
                <w:rFonts w:ascii="Titillium" w:hAnsi="Titillium" w:cs="Arial"/>
                <w:sz w:val="22"/>
                <w:szCs w:val="22"/>
                <w:lang w:val="en-GB"/>
              </w:rPr>
              <w:t>d</w:t>
            </w:r>
            <w:r w:rsidRPr="00720FF8">
              <w:rPr>
                <w:rFonts w:ascii="Titillium" w:hAnsi="Titillium" w:cs="Arial"/>
                <w:sz w:val="22"/>
                <w:szCs w:val="22"/>
                <w:lang w:val="en-GB"/>
              </w:rPr>
              <w:t xml:space="preserve"> confidence in</w:t>
            </w:r>
            <w:r>
              <w:rPr>
                <w:rFonts w:ascii="Titillium" w:hAnsi="Titillium" w:cs="Arial"/>
                <w:sz w:val="22"/>
                <w:szCs w:val="22"/>
                <w:lang w:val="en-GB"/>
              </w:rPr>
              <w:t>,</w:t>
            </w:r>
            <w:r w:rsidRPr="00720FF8">
              <w:rPr>
                <w:rFonts w:ascii="Titillium" w:hAnsi="Titillium" w:cs="Arial"/>
                <w:sz w:val="22"/>
                <w:szCs w:val="22"/>
                <w:lang w:val="en-GB"/>
              </w:rPr>
              <w:t xml:space="preserve"> our students, regardless of background a</w:t>
            </w:r>
            <w:r>
              <w:rPr>
                <w:rFonts w:ascii="Titillium" w:hAnsi="Titillium" w:cs="Arial"/>
                <w:sz w:val="22"/>
                <w:szCs w:val="22"/>
                <w:lang w:val="en-GB"/>
              </w:rPr>
              <w:t>s well as</w:t>
            </w:r>
            <w:r w:rsidRPr="00720FF8">
              <w:rPr>
                <w:rFonts w:ascii="Titillium" w:hAnsi="Titillium" w:cs="Arial"/>
                <w:sz w:val="22"/>
                <w:szCs w:val="22"/>
                <w:lang w:val="en-GB"/>
              </w:rPr>
              <w:t xml:space="preserve"> our own ability to pl</w:t>
            </w:r>
            <w:r>
              <w:rPr>
                <w:rFonts w:ascii="Titillium" w:hAnsi="Titillium" w:cs="Arial"/>
                <w:sz w:val="22"/>
                <w:szCs w:val="22"/>
                <w:lang w:val="en-GB"/>
              </w:rPr>
              <w:t>ay a leading role in this arena.</w:t>
            </w:r>
            <w:r w:rsidRPr="00720FF8">
              <w:rPr>
                <w:rFonts w:ascii="Titillium" w:hAnsi="Titillium" w:cs="Arial"/>
                <w:sz w:val="22"/>
                <w:szCs w:val="22"/>
                <w:lang w:val="en-GB"/>
              </w:rPr>
              <w:t xml:space="preserve"> The successful implementation of this strategy will not only demonstrate this ambition but show it to be achievable and </w:t>
            </w:r>
            <w:r w:rsidRPr="007E1790">
              <w:rPr>
                <w:rFonts w:ascii="Titillium" w:hAnsi="Titillium" w:cs="Arial"/>
                <w:sz w:val="22"/>
                <w:szCs w:val="22"/>
                <w:lang w:val="en-GB"/>
              </w:rPr>
              <w:t>well-placed.</w:t>
            </w:r>
          </w:p>
        </w:tc>
      </w:tr>
      <w:tr w:rsidR="0045752A" w:rsidRPr="00867F38" w14:paraId="16C90ECC" w14:textId="77777777" w:rsidTr="00375B0D">
        <w:tc>
          <w:tcPr>
            <w:tcW w:w="4815" w:type="dxa"/>
          </w:tcPr>
          <w:p w14:paraId="3A6BB65C" w14:textId="1305C58E" w:rsidR="0045752A" w:rsidRPr="00867F38" w:rsidRDefault="00960000" w:rsidP="00D74E77">
            <w:pPr>
              <w:spacing w:after="120"/>
              <w:jc w:val="both"/>
              <w:rPr>
                <w:rFonts w:ascii="Titillium" w:hAnsi="Titillium" w:cs="Arial"/>
                <w:b/>
                <w:sz w:val="22"/>
                <w:szCs w:val="22"/>
                <w:lang w:val="en-GB"/>
              </w:rPr>
            </w:pPr>
            <w:sdt>
              <w:sdtPr>
                <w:rPr>
                  <w:rFonts w:ascii="Titillium" w:hAnsi="Titillium" w:cs="Arial"/>
                  <w:b/>
                  <w:sz w:val="22"/>
                  <w:szCs w:val="22"/>
                  <w:lang w:val="en-GB"/>
                </w:rPr>
                <w:alias w:val="Cultural ambition"/>
                <w:tag w:val="Cultural ambition"/>
                <w:id w:val="969631203"/>
                <w:placeholder>
                  <w:docPart w:val="D7E5469CA43E4C67AD431D524F5A09B6"/>
                </w:placeholder>
                <w:dropDownList>
                  <w:listItem w:value="Choose an item."/>
                  <w:listItem w:displayText="We succeed through growth rather than cutting our cloth to fit" w:value="We succeed through growth rather than cutting our cloth to fit"/>
                  <w:listItem w:displayText="We are supported to take the opportunity, manage risk and learn for the future" w:value="We are supported to take the opportunity, manage risk and learn for the future"/>
                  <w:listItem w:displayText="We have high aspirations for, and confidence in, ourselves and our students" w:value="We have high aspirations for, and confidence in, ourselves and our students"/>
                  <w:listItem w:displayText="We respect and trust our colleagues and feel respected and trusted by them" w:value="We respect and trust our colleagues and feel respected and trusted by them"/>
                  <w:listItem w:displayText="We feel responsible and expect to be held to account for our contribution" w:value="We feel responsible and expect to be held to account for our contribution"/>
                  <w:listItem w:displayText="We are actively engaged in delivering our vision and our purpose" w:value="We are actively engaged in delivering our vision and our purpose"/>
                  <w:listItem w:displayText="We embrace change and are responsive to stakeholder, customer and society needs" w:value="We embrace change and are responsive to stakeholder, customer and society needs"/>
                  <w:listItem w:displayText="We value the external perspective" w:value="We value the external perspective"/>
                  <w:listItem w:displayText="We continuously improve and share best practice" w:value="We continuously improve and share best practice"/>
                  <w:listItem w:displayText="We are all part of one team delivering our academic ambitions and strategic objectives" w:value="We are all part of one team delivering our academic ambitions and strategic objectives"/>
                  <w:listItem w:displayText="We are empowered to make decisions about how best to play our part" w:value="We are empowered to make decisions about how best to play our part"/>
                  <w:listItem w:displayText="We have a sense of collective pride in our achievements" w:value="We have a sense of collective pride in our achievements"/>
                  <w:listItem w:displayText="We are led by our academic agenda" w:value="We are led by our academic agenda"/>
                </w:dropDownList>
              </w:sdtPr>
              <w:sdtEndPr/>
              <w:sdtContent>
                <w:r w:rsidR="003C25DF">
                  <w:rPr>
                    <w:rFonts w:ascii="Titillium" w:hAnsi="Titillium" w:cs="Arial"/>
                    <w:b/>
                    <w:sz w:val="22"/>
                    <w:szCs w:val="22"/>
                    <w:lang w:val="en-GB"/>
                  </w:rPr>
                  <w:t>We embrace change and are responsive to stakeholder, customer and society needs</w:t>
                </w:r>
              </w:sdtContent>
            </w:sdt>
          </w:p>
        </w:tc>
        <w:tc>
          <w:tcPr>
            <w:tcW w:w="9133" w:type="dxa"/>
          </w:tcPr>
          <w:p w14:paraId="513FC72E" w14:textId="16F159BB" w:rsidR="0045752A" w:rsidRPr="00867F38" w:rsidRDefault="00203959" w:rsidP="00D74E77">
            <w:pPr>
              <w:spacing w:after="120"/>
              <w:jc w:val="both"/>
              <w:rPr>
                <w:rFonts w:ascii="Titillium" w:hAnsi="Titillium" w:cs="Arial"/>
                <w:sz w:val="22"/>
                <w:szCs w:val="22"/>
                <w:lang w:val="en-GB"/>
              </w:rPr>
            </w:pPr>
            <w:r w:rsidRPr="00720FF8">
              <w:rPr>
                <w:rFonts w:ascii="Titillium" w:hAnsi="Titillium" w:cs="Arial"/>
                <w:sz w:val="22"/>
                <w:szCs w:val="22"/>
                <w:lang w:val="en-GB"/>
              </w:rPr>
              <w:t>Through this strategy we recognise the need to adopt different approaches to engage and support people from different backgrounds</w:t>
            </w:r>
            <w:r w:rsidRPr="007E1790">
              <w:rPr>
                <w:rFonts w:ascii="Titillium" w:hAnsi="Titillium" w:cs="Arial"/>
                <w:sz w:val="22"/>
                <w:szCs w:val="22"/>
                <w:lang w:val="en-GB"/>
              </w:rPr>
              <w:t>. We will also use widening access to and participation in Higher Education as a vehicle for positive change in society.</w:t>
            </w:r>
          </w:p>
        </w:tc>
      </w:tr>
    </w:tbl>
    <w:p w14:paraId="1D67B9A5" w14:textId="77777777" w:rsidR="002A5A43" w:rsidRPr="00867F38" w:rsidRDefault="002A5A43" w:rsidP="00AB005D">
      <w:pPr>
        <w:rPr>
          <w:rFonts w:ascii="Titillium" w:eastAsia="Times New Roman" w:hAnsi="Titillium" w:cs="Arial"/>
          <w:b/>
          <w:bCs/>
          <w:color w:val="003366"/>
          <w:sz w:val="28"/>
          <w:szCs w:val="28"/>
          <w:lang w:val="en-GB"/>
        </w:rPr>
        <w:sectPr w:rsidR="002A5A43" w:rsidRPr="00867F38" w:rsidSect="00D65B3D">
          <w:headerReference w:type="even" r:id="rId24"/>
          <w:headerReference w:type="default" r:id="rId25"/>
          <w:headerReference w:type="first" r:id="rId26"/>
          <w:pgSz w:w="16838" w:h="11906" w:orient="landscape"/>
          <w:pgMar w:top="1440" w:right="1080" w:bottom="1440" w:left="1080" w:header="708" w:footer="708" w:gutter="0"/>
          <w:cols w:space="708"/>
          <w:docGrid w:linePitch="360"/>
        </w:sectPr>
      </w:pPr>
    </w:p>
    <w:p w14:paraId="2F49A3FE" w14:textId="505E959A" w:rsidR="00AB005D" w:rsidRPr="0044589F" w:rsidRDefault="004871C7" w:rsidP="00AB005D">
      <w:pPr>
        <w:rPr>
          <w:rFonts w:ascii="Titillium" w:eastAsia="Times New Roman" w:hAnsi="Titillium" w:cs="Arial"/>
          <w:b/>
          <w:bCs/>
          <w:color w:val="003366"/>
          <w:sz w:val="28"/>
          <w:szCs w:val="28"/>
          <w:lang w:val="en-GB"/>
        </w:rPr>
      </w:pPr>
      <w:r w:rsidRPr="00EE34BE">
        <w:rPr>
          <w:rFonts w:ascii="Titillium" w:hAnsi="Titillium"/>
          <w:b/>
          <w:color w:val="003366"/>
          <w:sz w:val="28"/>
          <w:lang w:val="en-GB"/>
        </w:rPr>
        <w:lastRenderedPageBreak/>
        <w:t xml:space="preserve">Key Recommendations from </w:t>
      </w:r>
      <w:r w:rsidR="00DD3527" w:rsidRPr="0044589F">
        <w:rPr>
          <w:rFonts w:ascii="Titillium" w:eastAsia="Times New Roman" w:hAnsi="Titillium" w:cs="Arial"/>
          <w:b/>
          <w:bCs/>
          <w:color w:val="003366"/>
          <w:sz w:val="28"/>
          <w:szCs w:val="28"/>
          <w:lang w:val="en-GB"/>
        </w:rPr>
        <w:t>‘</w:t>
      </w:r>
      <w:r w:rsidRPr="00EE34BE">
        <w:rPr>
          <w:rFonts w:ascii="Titillium" w:hAnsi="Titillium"/>
          <w:b/>
          <w:color w:val="003366"/>
          <w:sz w:val="28"/>
          <w:lang w:val="en-GB"/>
        </w:rPr>
        <w:t xml:space="preserve">A Blueprint for </w:t>
      </w:r>
      <w:r w:rsidRPr="0044589F">
        <w:rPr>
          <w:rFonts w:ascii="Titillium" w:eastAsia="Times New Roman" w:hAnsi="Titillium" w:cs="Arial"/>
          <w:b/>
          <w:bCs/>
          <w:color w:val="003366"/>
          <w:sz w:val="28"/>
          <w:szCs w:val="28"/>
          <w:lang w:val="en-GB"/>
        </w:rPr>
        <w:t>Fairness</w:t>
      </w:r>
      <w:r w:rsidR="00DD3527" w:rsidRPr="0044589F">
        <w:rPr>
          <w:rFonts w:ascii="Titillium" w:eastAsia="Times New Roman" w:hAnsi="Titillium" w:cs="Arial"/>
          <w:b/>
          <w:bCs/>
          <w:color w:val="003366"/>
          <w:sz w:val="28"/>
          <w:szCs w:val="28"/>
          <w:lang w:val="en-GB"/>
        </w:rPr>
        <w:t>’</w:t>
      </w:r>
      <w:r w:rsidR="0044589F" w:rsidRPr="0044589F">
        <w:rPr>
          <w:rFonts w:ascii="Titillium" w:eastAsia="Times New Roman" w:hAnsi="Titillium" w:cs="Arial"/>
          <w:b/>
          <w:bCs/>
          <w:color w:val="003366"/>
          <w:sz w:val="28"/>
          <w:szCs w:val="28"/>
          <w:lang w:val="en-GB"/>
        </w:rPr>
        <w:t>,</w:t>
      </w:r>
      <w:r w:rsidR="0044589F" w:rsidRPr="00EE34BE">
        <w:rPr>
          <w:rFonts w:ascii="Titillium" w:hAnsi="Titillium"/>
          <w:b/>
          <w:color w:val="003366"/>
          <w:sz w:val="28"/>
          <w:lang w:val="en-GB"/>
        </w:rPr>
        <w:t xml:space="preserve"> </w:t>
      </w:r>
      <w:r w:rsidRPr="00EE34BE">
        <w:rPr>
          <w:rFonts w:ascii="Titillium" w:hAnsi="Titillium"/>
          <w:b/>
          <w:color w:val="003366"/>
          <w:sz w:val="28"/>
          <w:lang w:val="en-GB"/>
        </w:rPr>
        <w:t>Commission on Widening Access, March 2016</w:t>
      </w:r>
    </w:p>
    <w:p w14:paraId="1B2F5C2A" w14:textId="1C8C6B79" w:rsidR="004871C7" w:rsidRPr="00EE34BE" w:rsidRDefault="0044589F" w:rsidP="00EE34BE">
      <w:pPr>
        <w:spacing w:before="240" w:after="220"/>
        <w:ind w:left="62"/>
        <w:rPr>
          <w:rFonts w:ascii="Titillium" w:hAnsi="Titillium"/>
          <w:b/>
          <w:color w:val="003366"/>
          <w:lang w:val="en-GB"/>
        </w:rPr>
      </w:pPr>
      <w:r w:rsidRPr="00EE34BE">
        <w:rPr>
          <w:rFonts w:ascii="Titillium" w:hAnsi="Titillium"/>
          <w:b/>
          <w:color w:val="003366"/>
          <w:lang w:val="en-GB"/>
        </w:rPr>
        <w:t xml:space="preserve">This appendix contains </w:t>
      </w:r>
      <w:r>
        <w:rPr>
          <w:rFonts w:ascii="Titillium" w:eastAsia="Arial Unicode MS" w:hAnsi="Titillium" w:cs="Arial Unicode MS"/>
          <w:b/>
          <w:color w:val="003366"/>
          <w:szCs w:val="24"/>
          <w:lang w:val="en-GB" w:eastAsia="en-GB"/>
        </w:rPr>
        <w:t>those</w:t>
      </w:r>
      <w:r w:rsidRPr="00EE34BE">
        <w:rPr>
          <w:rFonts w:ascii="Titillium" w:hAnsi="Titillium"/>
          <w:b/>
          <w:color w:val="003366"/>
          <w:lang w:val="en-GB"/>
        </w:rPr>
        <w:t xml:space="preserve"> </w:t>
      </w:r>
      <w:r w:rsidR="004871C7" w:rsidRPr="00EE34BE">
        <w:rPr>
          <w:rFonts w:ascii="Titillium" w:hAnsi="Titillium"/>
          <w:b/>
          <w:color w:val="003366"/>
          <w:lang w:val="en-GB"/>
        </w:rPr>
        <w:t>recommendations</w:t>
      </w:r>
      <w:r>
        <w:rPr>
          <w:rFonts w:ascii="Titillium" w:eastAsia="Arial Unicode MS" w:hAnsi="Titillium" w:cs="Arial Unicode MS"/>
          <w:b/>
          <w:color w:val="003366"/>
          <w:szCs w:val="24"/>
          <w:lang w:val="en-GB" w:eastAsia="en-GB"/>
        </w:rPr>
        <w:t xml:space="preserve"> which are addressed through</w:t>
      </w:r>
      <w:r w:rsidRPr="0044589F">
        <w:rPr>
          <w:rFonts w:ascii="Titillium" w:eastAsia="Arial Unicode MS" w:hAnsi="Titillium" w:cs="Arial Unicode MS"/>
          <w:b/>
          <w:color w:val="003366"/>
          <w:szCs w:val="24"/>
          <w:lang w:val="en-GB" w:eastAsia="en-GB"/>
        </w:rPr>
        <w:t xml:space="preserve"> this</w:t>
      </w:r>
      <w:r w:rsidR="004871C7" w:rsidRPr="00EE34BE">
        <w:rPr>
          <w:rFonts w:ascii="Titillium" w:hAnsi="Titillium"/>
          <w:b/>
          <w:color w:val="003366"/>
          <w:lang w:val="en-GB"/>
        </w:rPr>
        <w:t xml:space="preserve"> Widening </w:t>
      </w:r>
      <w:r w:rsidRPr="0044589F">
        <w:rPr>
          <w:rFonts w:ascii="Titillium" w:eastAsia="Arial Unicode MS" w:hAnsi="Titillium" w:cs="Arial Unicode MS"/>
          <w:b/>
          <w:color w:val="003366"/>
          <w:szCs w:val="24"/>
          <w:lang w:val="en-GB" w:eastAsia="en-GB"/>
        </w:rPr>
        <w:t>Participation</w:t>
      </w:r>
      <w:r w:rsidR="004871C7" w:rsidRPr="00EE34BE">
        <w:rPr>
          <w:rFonts w:ascii="Titillium" w:hAnsi="Titillium"/>
          <w:b/>
          <w:color w:val="003366"/>
          <w:lang w:val="en-GB"/>
        </w:rPr>
        <w:t xml:space="preserve"> strategy.</w:t>
      </w:r>
    </w:p>
    <w:p w14:paraId="02EF68F0"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4</w:t>
      </w:r>
      <w:r w:rsidRPr="00EE34BE">
        <w:rPr>
          <w:rFonts w:ascii="Titillium" w:hAnsi="Titillium"/>
          <w:sz w:val="22"/>
          <w:lang w:val="en-GB"/>
        </w:rPr>
        <w:t>:  Universities, colleges, local authorities, schools, SFC funded access programmes and early years providers should work together to deliver a coordinated approach to access which removes duplication and provides a coherent and comprehensive offer to learners.</w:t>
      </w:r>
    </w:p>
    <w:p w14:paraId="35998313"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5</w:t>
      </w:r>
      <w:r w:rsidRPr="00EE34BE">
        <w:rPr>
          <w:rFonts w:ascii="Titillium" w:hAnsi="Titillium"/>
          <w:sz w:val="22"/>
          <w:lang w:val="en-GB"/>
        </w:rPr>
        <w:t>:  Universities should ensure their admissions processes and entry requirements are based on a strong educational rationale and are not unnecessarily prescriptive, to the detriment of learners who take advantage of the availability of a more flexible range of pathways.  This should be monitored by the SFC through the outcome agreement process.</w:t>
      </w:r>
    </w:p>
    <w:p w14:paraId="5D46391C"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6</w:t>
      </w:r>
      <w:r w:rsidRPr="00EE34BE">
        <w:rPr>
          <w:rFonts w:ascii="Titillium" w:hAnsi="Titillium"/>
          <w:sz w:val="22"/>
          <w:lang w:val="en-GB"/>
        </w:rPr>
        <w:t>:  The Scottish Government, working with key stakeholders, should ensure the key transitions phases around SCQF levels 6 to 8 are better used to provide students from disadvantaged backgrounds with the qualifications and experiences required to support fair access.</w:t>
      </w:r>
    </w:p>
    <w:p w14:paraId="6A09C368"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8</w:t>
      </w:r>
      <w:r w:rsidRPr="00EE34BE">
        <w:rPr>
          <w:rFonts w:ascii="Titillium" w:hAnsi="Titillium"/>
          <w:sz w:val="22"/>
          <w:lang w:val="en-GB"/>
        </w:rPr>
        <w:t>:  The SFC should seek more demanding articulation targets from those universities that have not traditionally been significant players in articulation.</w:t>
      </w:r>
    </w:p>
    <w:p w14:paraId="139A5DA0"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9</w:t>
      </w:r>
      <w:r w:rsidRPr="00EE34BE">
        <w:rPr>
          <w:rFonts w:ascii="Titillium" w:hAnsi="Titillium"/>
          <w:sz w:val="22"/>
          <w:lang w:val="en-GB"/>
        </w:rPr>
        <w:t>:  Universities colleges and the SFC should closely monitor the expansion of articulation to ensure it continues to support disadvantaged learners to progress to degree level study. Should this not be the case, a proportion of articulation places should be prioritised for disadvantaged learners.</w:t>
      </w:r>
    </w:p>
    <w:p w14:paraId="24068BBC"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10</w:t>
      </w:r>
      <w:r w:rsidRPr="00EE34BE">
        <w:rPr>
          <w:rFonts w:ascii="Titillium" w:hAnsi="Titillium"/>
          <w:sz w:val="22"/>
          <w:lang w:val="en-GB"/>
        </w:rPr>
        <w:t>:  The Scottish Funding Council, working with universities and colleges, should explore more efficient, flexible and learner centred models of articulation which provide learners with the choice of a broader range of institutions and courses.</w:t>
      </w:r>
    </w:p>
    <w:p w14:paraId="2A2B5F26"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11</w:t>
      </w:r>
      <w:r w:rsidRPr="00EE34BE">
        <w:rPr>
          <w:rFonts w:ascii="Titillium" w:hAnsi="Titillium"/>
          <w:sz w:val="22"/>
          <w:lang w:val="en-GB"/>
        </w:rPr>
        <w:t>:  By 2019 all universities should set access thresholds for all degree programmes against which learners from the most deprived backgrounds should be assessed. These access thresholds should be separate to standard entrance requirements and set as ambitiously as possible, at a level which accurately reflects the minimum academic standard and subject knowledge necessary to successfully complete a degree programme.</w:t>
      </w:r>
    </w:p>
    <w:p w14:paraId="5CEE02F4"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12</w:t>
      </w:r>
      <w:r w:rsidRPr="00EE34BE">
        <w:rPr>
          <w:rFonts w:ascii="Titillium" w:hAnsi="Titillium"/>
          <w:sz w:val="22"/>
          <w:lang w:val="en-GB"/>
        </w:rPr>
        <w:t>:  All universities should be as open and transparent as possible over their use of access thresholds and wider contextual admissions policies. In particular, they should seek to maximise applications from disadvantaged learners by proactively promoting the access thresholds to the relevant schools, pupils, parents, local authorities and teachers.</w:t>
      </w:r>
    </w:p>
    <w:p w14:paraId="31F435CA"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14</w:t>
      </w:r>
      <w:r w:rsidRPr="00EE34BE">
        <w:rPr>
          <w:rFonts w:ascii="Titillium" w:hAnsi="Titillium"/>
          <w:sz w:val="22"/>
          <w:lang w:val="en-GB"/>
        </w:rPr>
        <w:t>:  The SFC should undertake an independent review of the processes – such as personal statements and interviews – that are used to evaluate non-academic factors in applications, with the aim of assessing whether, and to what extent, they unfairly disadvantage access applicants.</w:t>
      </w:r>
    </w:p>
    <w:p w14:paraId="00C0567C"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lastRenderedPageBreak/>
        <w:t>Recommendation 15</w:t>
      </w:r>
      <w:r w:rsidRPr="00EE34BE">
        <w:rPr>
          <w:rFonts w:ascii="Titillium" w:hAnsi="Titillium"/>
          <w:sz w:val="22"/>
          <w:lang w:val="en-GB"/>
        </w:rPr>
        <w:t>:  Universities and colleges should increase engagement with our youngest children and their families as part of the provision of a coordinated package of support for those in our most deprived communities in line with Recommendation 4.</w:t>
      </w:r>
    </w:p>
    <w:p w14:paraId="6DC28D30"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16</w:t>
      </w:r>
      <w:r w:rsidRPr="00EE34BE">
        <w:rPr>
          <w:rFonts w:ascii="Titillium" w:hAnsi="Titillium"/>
          <w:sz w:val="22"/>
          <w:lang w:val="en-GB"/>
        </w:rPr>
        <w:t>:  Universities, working with schools, should take greater responsibility for the development of the pool of applicants from disadvantaged backgrounds by delivering academically based programmes to support highly able learners, who are at risk of not fulfilling their academic potential.</w:t>
      </w:r>
    </w:p>
    <w:p w14:paraId="5BAF68D7"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17</w:t>
      </w:r>
      <w:r w:rsidRPr="00EE34BE">
        <w:rPr>
          <w:rFonts w:ascii="Titillium" w:hAnsi="Titillium"/>
          <w:sz w:val="22"/>
          <w:lang w:val="en-GB"/>
        </w:rPr>
        <w:t>:  SDS and schools should work together to provide a more coordinated, tailored offer of information, advice and guidance to disadvantaged learners at key transition phases throughout their education.</w:t>
      </w:r>
    </w:p>
    <w:p w14:paraId="7355F5F7"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18</w:t>
      </w:r>
      <w:r w:rsidRPr="00EE34BE">
        <w:rPr>
          <w:rFonts w:ascii="Titillium" w:hAnsi="Titillium"/>
          <w:sz w:val="22"/>
          <w:lang w:val="en-GB"/>
        </w:rPr>
        <w:t>:  Universities, colleges and local authorities should work together to provide access to a range of Higher and Advanced Higher subjects, which ensures that those from disadvantaged backgrounds or living in rural areas are not restricted in their ability to access higher education by the subject choices available to them.</w:t>
      </w:r>
    </w:p>
    <w:p w14:paraId="43C9FA38"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20</w:t>
      </w:r>
      <w:r w:rsidRPr="00EE34BE">
        <w:rPr>
          <w:rFonts w:ascii="Titillium" w:hAnsi="Titillium"/>
          <w:sz w:val="22"/>
          <w:lang w:val="en-GB"/>
        </w:rPr>
        <w:t>:  Disadvantaged learners and their parents, should be provided with clear, accurate information on both the availability of student finance and the conditions for repayment. This should be taken forward by the bodies identified in Recommendation 17 and the Student Awards Agency Scotland.</w:t>
      </w:r>
    </w:p>
    <w:p w14:paraId="369108FE"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21</w:t>
      </w:r>
      <w:r w:rsidRPr="00EE34BE">
        <w:rPr>
          <w:rFonts w:ascii="Titillium" w:hAnsi="Titillium"/>
          <w:sz w:val="22"/>
          <w:lang w:val="en-GB"/>
        </w:rPr>
        <w:t>: By 2017, those with a care experience, who meet the access threshold should be entitled to the offer of a place at a Scottish university. Entitlement should also apply to those with a care experience who have had to take a break from higher education and wish to return. Learners should be assessed against minimum entry level in 2017 and 2018 and the access threshold thereafter.</w:t>
      </w:r>
    </w:p>
    <w:p w14:paraId="7512B929"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22</w:t>
      </w:r>
      <w:r w:rsidRPr="00EE34BE">
        <w:rPr>
          <w:rFonts w:ascii="Titillium" w:hAnsi="Titillium"/>
          <w:sz w:val="22"/>
          <w:lang w:val="en-GB"/>
        </w:rPr>
        <w:t>: The Scottish Government should replace student living costs loans with a non-repayable bursary and provide a more flexible package of student support for learners with a care experience from academic year 2017/18.</w:t>
      </w:r>
    </w:p>
    <w:p w14:paraId="6A563F45"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23</w:t>
      </w:r>
      <w:r w:rsidRPr="00EE34BE">
        <w:rPr>
          <w:rFonts w:ascii="Titillium" w:hAnsi="Titillium"/>
          <w:sz w:val="22"/>
          <w:lang w:val="en-GB"/>
        </w:rPr>
        <w:t>: The Scottish Government should develop an approach to allow those with a care experience to be identified from early years to post-school and on to employment to enable additional support, for example, a marker or a flag. Young people with care experience must be included in the development of how this would be used and shared.</w:t>
      </w:r>
    </w:p>
    <w:p w14:paraId="09C63122" w14:textId="77777777" w:rsidR="004871C7" w:rsidRPr="00EE34BE" w:rsidRDefault="004871C7" w:rsidP="00EE34BE">
      <w:pPr>
        <w:autoSpaceDE w:val="0"/>
        <w:autoSpaceDN w:val="0"/>
        <w:adjustRightInd w:val="0"/>
        <w:spacing w:before="120" w:after="120"/>
        <w:rPr>
          <w:rFonts w:ascii="Titillium" w:hAnsi="Titillium"/>
          <w:b/>
          <w:sz w:val="22"/>
          <w:lang w:val="en-GB"/>
        </w:rPr>
      </w:pPr>
      <w:r w:rsidRPr="00EE34BE">
        <w:rPr>
          <w:rFonts w:ascii="Titillium" w:hAnsi="Titillium"/>
          <w:b/>
          <w:sz w:val="22"/>
          <w:lang w:val="en-GB"/>
        </w:rPr>
        <w:t>Recommendation 25</w:t>
      </w:r>
      <w:r w:rsidRPr="00EE34BE">
        <w:rPr>
          <w:rFonts w:ascii="Titillium" w:hAnsi="Titillium"/>
          <w:sz w:val="22"/>
          <w:lang w:val="en-GB"/>
        </w:rPr>
        <w:t xml:space="preserve">: The SFC should monitor how institution spend from core funding is being used to support access through the Outcome </w:t>
      </w:r>
      <w:r w:rsidRPr="00EE34BE">
        <w:rPr>
          <w:rFonts w:ascii="Titillium" w:hAnsi="Titillium"/>
          <w:b/>
          <w:sz w:val="22"/>
          <w:lang w:val="en-GB"/>
        </w:rPr>
        <w:t>Agreement process.</w:t>
      </w:r>
    </w:p>
    <w:p w14:paraId="13578A85"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29</w:t>
      </w:r>
      <w:r w:rsidRPr="00EE34BE">
        <w:rPr>
          <w:rFonts w:ascii="Titillium" w:hAnsi="Titillium"/>
          <w:sz w:val="22"/>
          <w:lang w:val="en-GB"/>
        </w:rPr>
        <w:t xml:space="preserve">: The Scottish Government should improve mechanisms to track learners and share data to support fair access. Specifically, the Government should </w:t>
      </w:r>
    </w:p>
    <w:p w14:paraId="2069C764" w14:textId="77777777" w:rsidR="004871C7" w:rsidRPr="00EE34BE" w:rsidRDefault="004871C7" w:rsidP="00EE34BE">
      <w:pPr>
        <w:pStyle w:val="ListParagraph"/>
        <w:numPr>
          <w:ilvl w:val="0"/>
          <w:numId w:val="14"/>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t xml:space="preserve">lead the work necessary to develop and implement the use of a unique learner number to be used to track learners’ progress from early learning, throughout education and onwards into employment. </w:t>
      </w:r>
    </w:p>
    <w:p w14:paraId="15130E37" w14:textId="77777777" w:rsidR="004871C7" w:rsidRPr="00EE34BE" w:rsidRDefault="004871C7" w:rsidP="00EE34BE">
      <w:pPr>
        <w:pStyle w:val="ListParagraph"/>
        <w:numPr>
          <w:ilvl w:val="0"/>
          <w:numId w:val="14"/>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lastRenderedPageBreak/>
        <w:t>review data access arrangements to provide a national process for the provision of information to practitioners and policy makers working on fair access. This review should consider access to and sharing of data held by local authorities, schools, UCAS and SAAS.</w:t>
      </w:r>
    </w:p>
    <w:p w14:paraId="17150104"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31</w:t>
      </w:r>
      <w:r w:rsidRPr="00EE34BE">
        <w:rPr>
          <w:rFonts w:ascii="Titillium" w:hAnsi="Titillium"/>
          <w:sz w:val="22"/>
          <w:lang w:val="en-GB"/>
        </w:rPr>
        <w:t>: The Scottish Government and the Scottish Funding Council, working with key stakeholders, should develop a consistent and robust set of measures to identify access students by 2018.</w:t>
      </w:r>
    </w:p>
    <w:p w14:paraId="1BD4B04D" w14:textId="77777777" w:rsidR="004871C7" w:rsidRPr="00EE34BE" w:rsidRDefault="004871C7" w:rsidP="00EE34BE">
      <w:pPr>
        <w:autoSpaceDE w:val="0"/>
        <w:autoSpaceDN w:val="0"/>
        <w:adjustRightInd w:val="0"/>
        <w:spacing w:before="120" w:after="120"/>
        <w:rPr>
          <w:rFonts w:ascii="Titillium" w:hAnsi="Titillium"/>
          <w:sz w:val="22"/>
          <w:lang w:val="en-GB"/>
        </w:rPr>
      </w:pPr>
      <w:r w:rsidRPr="00EE34BE">
        <w:rPr>
          <w:rFonts w:ascii="Titillium" w:hAnsi="Titillium"/>
          <w:b/>
          <w:sz w:val="22"/>
          <w:lang w:val="en-GB"/>
        </w:rPr>
        <w:t>Recommendation 32</w:t>
      </w:r>
      <w:r w:rsidRPr="00EE34BE">
        <w:rPr>
          <w:rFonts w:ascii="Titillium" w:hAnsi="Titillium"/>
          <w:sz w:val="22"/>
          <w:lang w:val="en-GB"/>
        </w:rPr>
        <w:t>: The Scottish Government and the Scottish Funding Council should implement the following targets to drive forward the delivery of equal access in Scotland:</w:t>
      </w:r>
    </w:p>
    <w:p w14:paraId="497C3624" w14:textId="77777777" w:rsidR="004871C7" w:rsidRPr="00EE34BE" w:rsidRDefault="004871C7" w:rsidP="00EE34BE">
      <w:pPr>
        <w:autoSpaceDE w:val="0"/>
        <w:autoSpaceDN w:val="0"/>
        <w:adjustRightInd w:val="0"/>
        <w:spacing w:before="120" w:after="120"/>
        <w:ind w:left="720"/>
        <w:rPr>
          <w:rFonts w:ascii="Titillium" w:hAnsi="Titillium"/>
          <w:sz w:val="22"/>
          <w:lang w:val="en-GB"/>
        </w:rPr>
      </w:pPr>
      <w:r w:rsidRPr="00EE34BE">
        <w:rPr>
          <w:rFonts w:ascii="Titillium" w:hAnsi="Titillium"/>
          <w:sz w:val="22"/>
          <w:lang w:val="en-GB"/>
        </w:rPr>
        <w:t>To realise the First Minister’s ambition of equality of access to higher education in Scotland:</w:t>
      </w:r>
    </w:p>
    <w:p w14:paraId="3D35D773" w14:textId="77777777" w:rsidR="004871C7" w:rsidRPr="00EE34BE" w:rsidRDefault="004871C7" w:rsidP="00EE34BE">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t>By 2030, students from the 20% most deprived backgrounds should represent 20% of entrants to higher education. Equality of access should be seen in both the college sector and the university sector.</w:t>
      </w:r>
    </w:p>
    <w:p w14:paraId="55971E7C" w14:textId="77777777" w:rsidR="004871C7" w:rsidRPr="00EE34BE" w:rsidRDefault="004871C7" w:rsidP="00EE34BE">
      <w:pPr>
        <w:autoSpaceDE w:val="0"/>
        <w:autoSpaceDN w:val="0"/>
        <w:adjustRightInd w:val="0"/>
        <w:spacing w:before="120" w:after="120"/>
        <w:ind w:left="720"/>
        <w:rPr>
          <w:rFonts w:ascii="Titillium" w:hAnsi="Titillium"/>
          <w:sz w:val="22"/>
          <w:lang w:val="en-GB"/>
        </w:rPr>
      </w:pPr>
      <w:r w:rsidRPr="00EE34BE">
        <w:rPr>
          <w:rFonts w:ascii="Titillium" w:hAnsi="Titillium"/>
          <w:sz w:val="22"/>
          <w:lang w:val="en-GB"/>
        </w:rPr>
        <w:t>To drive progress toward this goal:</w:t>
      </w:r>
    </w:p>
    <w:p w14:paraId="21794E5F" w14:textId="77777777" w:rsidR="004871C7" w:rsidRPr="00EE34BE" w:rsidRDefault="004871C7" w:rsidP="00EE34BE">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t>By 2021, students from the 20% most deprived backgrounds should represent at least 16% of full-time first degree entrants to Scottish HEIs as a whole.</w:t>
      </w:r>
    </w:p>
    <w:p w14:paraId="45C04563" w14:textId="77777777" w:rsidR="004871C7" w:rsidRPr="00EE34BE" w:rsidRDefault="004871C7" w:rsidP="00EE34BE">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t>By 2021, students from the 20% most deprived backgrounds should represent at least 10% of full-time first degree entrants to every individual Scottish university.</w:t>
      </w:r>
    </w:p>
    <w:p w14:paraId="7C32CD9D" w14:textId="77777777" w:rsidR="004871C7" w:rsidRPr="00EE34BE" w:rsidRDefault="004871C7" w:rsidP="00EE34BE">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t>By 2026, students from the 20% most deprived backgrounds should represent at least 18% of full-time first degree entrants to Scottish universities as a whole.</w:t>
      </w:r>
    </w:p>
    <w:p w14:paraId="4406FA65" w14:textId="77777777" w:rsidR="004871C7" w:rsidRPr="00EE34BE" w:rsidRDefault="004871C7" w:rsidP="00EE34BE">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EE34BE">
        <w:rPr>
          <w:rFonts w:ascii="Titillium" w:hAnsi="Titillium"/>
          <w:sz w:val="22"/>
          <w:lang w:val="en-GB"/>
        </w:rPr>
        <w:t>In 2022, the target of 10% for individual Scottish universities should be reviewed and a higher level target should be considered for the subsequent years.</w:t>
      </w:r>
    </w:p>
    <w:p w14:paraId="1D9051B6" w14:textId="38A33C49" w:rsidR="00184C55" w:rsidRDefault="00184C55">
      <w:pPr>
        <w:spacing w:after="160" w:line="259" w:lineRule="auto"/>
        <w:rPr>
          <w:rFonts w:ascii="Titillium" w:eastAsia="Arial Unicode MS" w:hAnsi="Titillium" w:cs="Arial Unicode MS"/>
          <w:szCs w:val="24"/>
          <w:lang w:val="en-GB" w:eastAsia="en-GB"/>
        </w:rPr>
      </w:pPr>
      <w:r>
        <w:rPr>
          <w:rFonts w:ascii="Titillium" w:eastAsia="Arial Unicode MS" w:hAnsi="Titillium" w:cs="Arial Unicode MS"/>
          <w:szCs w:val="24"/>
          <w:lang w:val="en-GB" w:eastAsia="en-GB"/>
        </w:rPr>
        <w:br w:type="page"/>
      </w:r>
    </w:p>
    <w:p w14:paraId="7545FFA4" w14:textId="32451A5C" w:rsidR="00184C55" w:rsidRPr="0044589F" w:rsidRDefault="00184C55" w:rsidP="00184C55">
      <w:pPr>
        <w:rPr>
          <w:rFonts w:ascii="Titillium" w:eastAsia="Times New Roman" w:hAnsi="Titillium" w:cs="Arial"/>
          <w:b/>
          <w:bCs/>
          <w:color w:val="003366"/>
          <w:sz w:val="28"/>
          <w:szCs w:val="28"/>
          <w:lang w:val="en-GB"/>
        </w:rPr>
      </w:pPr>
      <w:r w:rsidRPr="00EE34BE">
        <w:rPr>
          <w:rFonts w:ascii="Titillium" w:hAnsi="Titillium"/>
          <w:b/>
          <w:color w:val="003366"/>
          <w:sz w:val="28"/>
          <w:lang w:val="en-GB"/>
        </w:rPr>
        <w:lastRenderedPageBreak/>
        <w:t xml:space="preserve">Key Recommendations from </w:t>
      </w:r>
      <w:r w:rsidRPr="0044589F">
        <w:rPr>
          <w:rFonts w:ascii="Titillium" w:eastAsia="Times New Roman" w:hAnsi="Titillium" w:cs="Arial"/>
          <w:b/>
          <w:bCs/>
          <w:color w:val="003366"/>
          <w:sz w:val="28"/>
          <w:szCs w:val="28"/>
          <w:lang w:val="en-GB"/>
        </w:rPr>
        <w:t>‘</w:t>
      </w:r>
      <w:r>
        <w:rPr>
          <w:rFonts w:ascii="Titillium" w:hAnsi="Titillium"/>
          <w:b/>
          <w:color w:val="003366"/>
          <w:sz w:val="28"/>
          <w:lang w:val="en-GB"/>
        </w:rPr>
        <w:t>Futures not Backgrounds</w:t>
      </w:r>
      <w:r w:rsidRPr="0044589F">
        <w:rPr>
          <w:rFonts w:ascii="Titillium" w:eastAsia="Times New Roman" w:hAnsi="Titillium" w:cs="Arial"/>
          <w:b/>
          <w:bCs/>
          <w:color w:val="003366"/>
          <w:sz w:val="28"/>
          <w:szCs w:val="28"/>
          <w:lang w:val="en-GB"/>
        </w:rPr>
        <w:t>’,</w:t>
      </w:r>
      <w:r w:rsidRPr="00EE34BE">
        <w:rPr>
          <w:rFonts w:ascii="Titillium" w:hAnsi="Titillium"/>
          <w:b/>
          <w:color w:val="003366"/>
          <w:sz w:val="28"/>
          <w:lang w:val="en-GB"/>
        </w:rPr>
        <w:t xml:space="preserve"> </w:t>
      </w:r>
      <w:r>
        <w:rPr>
          <w:rFonts w:ascii="Titillium" w:hAnsi="Titillium"/>
          <w:b/>
          <w:color w:val="003366"/>
          <w:sz w:val="28"/>
          <w:lang w:val="en-GB"/>
        </w:rPr>
        <w:t>Universities Scotland</w:t>
      </w:r>
      <w:r w:rsidRPr="00EE34BE">
        <w:rPr>
          <w:rFonts w:ascii="Titillium" w:hAnsi="Titillium"/>
          <w:b/>
          <w:color w:val="003366"/>
          <w:sz w:val="28"/>
          <w:lang w:val="en-GB"/>
        </w:rPr>
        <w:t xml:space="preserve">, </w:t>
      </w:r>
      <w:r>
        <w:rPr>
          <w:rFonts w:ascii="Titillium" w:hAnsi="Titillium"/>
          <w:b/>
          <w:color w:val="003366"/>
          <w:sz w:val="28"/>
          <w:lang w:val="en-GB"/>
        </w:rPr>
        <w:t>August</w:t>
      </w:r>
      <w:r w:rsidRPr="00EE34BE">
        <w:rPr>
          <w:rFonts w:ascii="Titillium" w:hAnsi="Titillium"/>
          <w:b/>
          <w:color w:val="003366"/>
          <w:sz w:val="28"/>
          <w:lang w:val="en-GB"/>
        </w:rPr>
        <w:t xml:space="preserve"> 2016</w:t>
      </w:r>
    </w:p>
    <w:p w14:paraId="196D1E0F" w14:textId="642DE9B8" w:rsidR="00184C55" w:rsidRDefault="00184C55" w:rsidP="00184C55">
      <w:pPr>
        <w:spacing w:before="240" w:after="220"/>
        <w:ind w:left="62"/>
        <w:rPr>
          <w:rFonts w:ascii="Titillium" w:hAnsi="Titillium"/>
          <w:b/>
          <w:color w:val="003366"/>
          <w:lang w:val="en-GB"/>
        </w:rPr>
      </w:pPr>
      <w:r w:rsidRPr="00EE34BE">
        <w:rPr>
          <w:rFonts w:ascii="Titillium" w:hAnsi="Titillium"/>
          <w:b/>
          <w:color w:val="003366"/>
          <w:lang w:val="en-GB"/>
        </w:rPr>
        <w:t xml:space="preserve">This appendix contains </w:t>
      </w:r>
      <w:r>
        <w:rPr>
          <w:rFonts w:ascii="Titillium" w:eastAsia="Arial Unicode MS" w:hAnsi="Titillium" w:cs="Arial Unicode MS"/>
          <w:b/>
          <w:color w:val="003366"/>
          <w:szCs w:val="24"/>
          <w:lang w:val="en-GB" w:eastAsia="en-GB"/>
        </w:rPr>
        <w:t>those</w:t>
      </w:r>
      <w:r w:rsidRPr="00EE34BE">
        <w:rPr>
          <w:rFonts w:ascii="Titillium" w:hAnsi="Titillium"/>
          <w:b/>
          <w:color w:val="003366"/>
          <w:lang w:val="en-GB"/>
        </w:rPr>
        <w:t xml:space="preserve"> </w:t>
      </w:r>
      <w:r>
        <w:rPr>
          <w:rFonts w:ascii="Titillium" w:hAnsi="Titillium"/>
          <w:b/>
          <w:color w:val="003366"/>
          <w:lang w:val="en-GB"/>
        </w:rPr>
        <w:t>actions</w:t>
      </w:r>
      <w:r>
        <w:rPr>
          <w:rFonts w:ascii="Titillium" w:eastAsia="Arial Unicode MS" w:hAnsi="Titillium" w:cs="Arial Unicode MS"/>
          <w:b/>
          <w:color w:val="003366"/>
          <w:szCs w:val="24"/>
          <w:lang w:val="en-GB" w:eastAsia="en-GB"/>
        </w:rPr>
        <w:t xml:space="preserve"> which are addressed through</w:t>
      </w:r>
      <w:r w:rsidRPr="0044589F">
        <w:rPr>
          <w:rFonts w:ascii="Titillium" w:eastAsia="Arial Unicode MS" w:hAnsi="Titillium" w:cs="Arial Unicode MS"/>
          <w:b/>
          <w:color w:val="003366"/>
          <w:szCs w:val="24"/>
          <w:lang w:val="en-GB" w:eastAsia="en-GB"/>
        </w:rPr>
        <w:t xml:space="preserve"> this</w:t>
      </w:r>
      <w:r w:rsidRPr="00EE34BE">
        <w:rPr>
          <w:rFonts w:ascii="Titillium" w:hAnsi="Titillium"/>
          <w:b/>
          <w:color w:val="003366"/>
          <w:lang w:val="en-GB"/>
        </w:rPr>
        <w:t xml:space="preserve"> Widening </w:t>
      </w:r>
      <w:r w:rsidRPr="0044589F">
        <w:rPr>
          <w:rFonts w:ascii="Titillium" w:eastAsia="Arial Unicode MS" w:hAnsi="Titillium" w:cs="Arial Unicode MS"/>
          <w:b/>
          <w:color w:val="003366"/>
          <w:szCs w:val="24"/>
          <w:lang w:val="en-GB" w:eastAsia="en-GB"/>
        </w:rPr>
        <w:t>Participation</w:t>
      </w:r>
      <w:r w:rsidRPr="00EE34BE">
        <w:rPr>
          <w:rFonts w:ascii="Titillium" w:hAnsi="Titillium"/>
          <w:b/>
          <w:color w:val="003366"/>
          <w:lang w:val="en-GB"/>
        </w:rPr>
        <w:t xml:space="preserve"> strategy.</w:t>
      </w:r>
    </w:p>
    <w:p w14:paraId="334643EC" w14:textId="6DDBB937" w:rsidR="00184C55" w:rsidRDefault="00184C55" w:rsidP="00184C55">
      <w:pPr>
        <w:spacing w:before="240" w:after="220"/>
        <w:ind w:left="62"/>
        <w:rPr>
          <w:rFonts w:ascii="Titillium" w:hAnsi="Titillium"/>
          <w:sz w:val="22"/>
          <w:lang w:val="en-GB"/>
        </w:rPr>
      </w:pPr>
      <w:r>
        <w:rPr>
          <w:rFonts w:ascii="Titillium" w:hAnsi="Titillium"/>
          <w:b/>
          <w:sz w:val="22"/>
          <w:lang w:val="en-GB"/>
        </w:rPr>
        <w:t>Action 1:</w:t>
      </w:r>
      <w:r w:rsidRPr="00184C55">
        <w:rPr>
          <w:rFonts w:ascii="Titillium" w:hAnsi="Titillium"/>
          <w:b/>
          <w:sz w:val="22"/>
          <w:lang w:val="en-GB"/>
        </w:rPr>
        <w:t xml:space="preserve"> </w:t>
      </w:r>
      <w:r w:rsidRPr="00184C55">
        <w:rPr>
          <w:rFonts w:ascii="Titillium" w:hAnsi="Titillium"/>
          <w:sz w:val="22"/>
          <w:lang w:val="en-GB"/>
        </w:rPr>
        <w:t>Admissions: A system of admissions that does more to level the playing field for applicants</w:t>
      </w:r>
      <w:r>
        <w:rPr>
          <w:rFonts w:ascii="Titillium" w:hAnsi="Titillium"/>
          <w:sz w:val="22"/>
          <w:lang w:val="en-GB"/>
        </w:rPr>
        <w:t>:</w:t>
      </w:r>
    </w:p>
    <w:p w14:paraId="0CCB29FA" w14:textId="4AB847E5" w:rsidR="00184C55" w:rsidRDefault="00184C55" w:rsidP="00184C55">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184C55">
        <w:rPr>
          <w:rFonts w:ascii="Titillium" w:hAnsi="Titillium"/>
          <w:sz w:val="22"/>
          <w:lang w:val="en-GB"/>
        </w:rPr>
        <w:t>Identify and share best practice in the use of contextual admissions. This will include identifying where it is possible to achieve more consistency in their use across institutions</w:t>
      </w:r>
      <w:r w:rsidR="005831BF">
        <w:rPr>
          <w:rFonts w:ascii="Titillium" w:hAnsi="Titillium"/>
          <w:sz w:val="22"/>
          <w:lang w:val="en-GB"/>
        </w:rPr>
        <w:t>.</w:t>
      </w:r>
    </w:p>
    <w:p w14:paraId="0A9986EC" w14:textId="77777777" w:rsidR="00184C55" w:rsidRDefault="00184C55" w:rsidP="00184C55">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184C55">
        <w:rPr>
          <w:rFonts w:ascii="Titillium" w:hAnsi="Titillium"/>
          <w:sz w:val="22"/>
          <w:lang w:val="en-GB"/>
        </w:rPr>
        <w:t xml:space="preserve">Consider how to make the use of contextual admissions better understood by potential applicants, their parents, guardians, teachers and others. We hope this will dispel perceptions some people hold that higher education is an unattainable goal. We hope it will support aspirations, inform decision-making and encourage more applications from all backgrounds. </w:t>
      </w:r>
    </w:p>
    <w:p w14:paraId="561CEA67" w14:textId="77777777" w:rsidR="00184C55" w:rsidRDefault="00184C55" w:rsidP="00184C55">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184C55">
        <w:rPr>
          <w:rFonts w:ascii="Titillium" w:hAnsi="Titillium"/>
          <w:sz w:val="22"/>
          <w:lang w:val="en-GB"/>
        </w:rPr>
        <w:t xml:space="preserve">Look at how applicants from deprived backgrounds and care-experienced learners are identified in admissions. </w:t>
      </w:r>
    </w:p>
    <w:p w14:paraId="57BFA2F7" w14:textId="78E205CA" w:rsidR="00184C55" w:rsidRDefault="00184C55" w:rsidP="00184C55">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184C55">
        <w:rPr>
          <w:rFonts w:ascii="Titillium" w:hAnsi="Titillium"/>
          <w:sz w:val="22"/>
          <w:lang w:val="en-GB"/>
        </w:rPr>
        <w:t>Consider how and where it is appropriate to make adjusted offers to applicants who have markers of deprivation or underrepresentation.</w:t>
      </w:r>
    </w:p>
    <w:p w14:paraId="3763A47E" w14:textId="27D2C97B" w:rsidR="00184C55" w:rsidRDefault="003F2D6C" w:rsidP="003F2D6C">
      <w:pPr>
        <w:autoSpaceDE w:val="0"/>
        <w:autoSpaceDN w:val="0"/>
        <w:adjustRightInd w:val="0"/>
        <w:spacing w:before="120" w:after="120"/>
        <w:rPr>
          <w:rFonts w:ascii="Titillium" w:hAnsi="Titillium"/>
          <w:sz w:val="22"/>
          <w:lang w:val="en-GB"/>
        </w:rPr>
      </w:pPr>
      <w:r>
        <w:rPr>
          <w:rFonts w:ascii="Titillium" w:hAnsi="Titillium"/>
          <w:b/>
          <w:sz w:val="22"/>
          <w:lang w:val="en-GB"/>
        </w:rPr>
        <w:t xml:space="preserve">Action 2: </w:t>
      </w:r>
      <w:r w:rsidRPr="003F2D6C">
        <w:rPr>
          <w:rFonts w:ascii="Titillium" w:hAnsi="Titillium"/>
          <w:sz w:val="22"/>
          <w:lang w:val="en-GB"/>
        </w:rPr>
        <w:t>Making bridging and other access programmes transferable across Scotland</w:t>
      </w:r>
      <w:r w:rsidR="009E3349">
        <w:rPr>
          <w:rFonts w:ascii="Titillium" w:hAnsi="Titillium"/>
          <w:sz w:val="22"/>
          <w:lang w:val="en-GB"/>
        </w:rPr>
        <w:t>.</w:t>
      </w:r>
    </w:p>
    <w:p w14:paraId="2DC58F14" w14:textId="62D69A31" w:rsidR="009E3349" w:rsidRDefault="009E3349" w:rsidP="003F2D6C">
      <w:pPr>
        <w:autoSpaceDE w:val="0"/>
        <w:autoSpaceDN w:val="0"/>
        <w:adjustRightInd w:val="0"/>
        <w:spacing w:before="120" w:after="120"/>
        <w:rPr>
          <w:rFonts w:ascii="Titillium" w:hAnsi="Titillium"/>
          <w:sz w:val="22"/>
          <w:lang w:val="en-GB"/>
        </w:rPr>
      </w:pPr>
      <w:r w:rsidRPr="009E3349">
        <w:rPr>
          <w:rFonts w:ascii="Titillium" w:hAnsi="Titillium"/>
          <w:b/>
          <w:sz w:val="22"/>
          <w:lang w:val="en-GB"/>
        </w:rPr>
        <w:t>Action 3:</w:t>
      </w:r>
      <w:r>
        <w:rPr>
          <w:rFonts w:ascii="Titillium" w:hAnsi="Titillium"/>
          <w:sz w:val="22"/>
          <w:lang w:val="en-GB"/>
        </w:rPr>
        <w:t xml:space="preserve"> </w:t>
      </w:r>
      <w:r w:rsidRPr="009E3349">
        <w:rPr>
          <w:rFonts w:ascii="Titillium" w:hAnsi="Titillium"/>
          <w:sz w:val="22"/>
          <w:lang w:val="en-GB"/>
        </w:rPr>
        <w:t>Building on articulation from college</w:t>
      </w:r>
      <w:r>
        <w:rPr>
          <w:rFonts w:ascii="Titillium" w:hAnsi="Titillium"/>
          <w:sz w:val="22"/>
          <w:lang w:val="en-GB"/>
        </w:rPr>
        <w:t>:</w:t>
      </w:r>
    </w:p>
    <w:p w14:paraId="138EA82E" w14:textId="0CAC182A" w:rsidR="009E3349" w:rsidRDefault="009E3349" w:rsidP="009E3349">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9E3349">
        <w:rPr>
          <w:rFonts w:ascii="Titillium" w:hAnsi="Titillium"/>
          <w:sz w:val="22"/>
          <w:lang w:val="en-GB"/>
        </w:rPr>
        <w:t>At the moment, where credit is given for the HN qualification 82 per cent of students get full credit. However, that still leaves some receiving only partial credit and some students progress with no credit given for their HN qualification. It is important to consider that where no credit is given this can be for a variety of reasons including student choice. Universities see scope to improve on the number of students given full credit for their prior study and reducing the number who receive no credit at all. We are committed to addressing this.</w:t>
      </w:r>
    </w:p>
    <w:p w14:paraId="62435BBB" w14:textId="6113D547" w:rsidR="009E3349" w:rsidRDefault="009E3349" w:rsidP="009E3349">
      <w:pPr>
        <w:pStyle w:val="ListParagraph"/>
        <w:numPr>
          <w:ilvl w:val="0"/>
          <w:numId w:val="15"/>
        </w:numPr>
        <w:autoSpaceDE w:val="0"/>
        <w:autoSpaceDN w:val="0"/>
        <w:adjustRightInd w:val="0"/>
        <w:spacing w:before="120" w:after="120"/>
        <w:contextualSpacing w:val="0"/>
        <w:rPr>
          <w:rFonts w:ascii="Titillium" w:hAnsi="Titillium"/>
          <w:sz w:val="22"/>
          <w:lang w:val="en-GB"/>
        </w:rPr>
      </w:pPr>
      <w:r w:rsidRPr="009E3349">
        <w:rPr>
          <w:rFonts w:ascii="Titillium" w:hAnsi="Titillium"/>
          <w:sz w:val="22"/>
          <w:lang w:val="en-GB"/>
        </w:rPr>
        <w:t>We want to work with our college partners to increase both the number of articulation routes between courses and the number of students using them. In doing so we will diversify opportunity and improve the contribution articulation makes to widening access. This should also mean developing new routes to a broader number of institutions. This will require closer partnerships between colleges and universities to develop the curriculum in a way that works for the student that can be delivered in both sectors.</w:t>
      </w:r>
    </w:p>
    <w:p w14:paraId="3A1D9154" w14:textId="591A008D" w:rsidR="009E3349" w:rsidRPr="00F37C53" w:rsidRDefault="00012F43" w:rsidP="00012F43">
      <w:pPr>
        <w:autoSpaceDE w:val="0"/>
        <w:autoSpaceDN w:val="0"/>
        <w:adjustRightInd w:val="0"/>
        <w:spacing w:before="120" w:after="120"/>
        <w:rPr>
          <w:rFonts w:ascii="Titillium" w:hAnsi="Titillium"/>
          <w:sz w:val="22"/>
          <w:lang w:val="en-GB"/>
        </w:rPr>
      </w:pPr>
      <w:r w:rsidRPr="00012F43">
        <w:rPr>
          <w:rFonts w:ascii="Titillium" w:hAnsi="Titillium"/>
          <w:b/>
          <w:sz w:val="22"/>
          <w:lang w:val="en-GB"/>
        </w:rPr>
        <w:t>Action 4</w:t>
      </w:r>
      <w:r>
        <w:rPr>
          <w:rFonts w:ascii="Titillium" w:hAnsi="Titillium"/>
          <w:sz w:val="22"/>
          <w:lang w:val="en-GB"/>
        </w:rPr>
        <w:t xml:space="preserve">: </w:t>
      </w:r>
      <w:r w:rsidRPr="00012F43">
        <w:rPr>
          <w:rFonts w:ascii="Titillium" w:hAnsi="Titillium"/>
          <w:sz w:val="22"/>
          <w:lang w:val="en-GB"/>
        </w:rPr>
        <w:t>An inclusive definition of underrepresentation</w:t>
      </w:r>
      <w:r>
        <w:rPr>
          <w:rFonts w:ascii="Titillium" w:hAnsi="Titillium"/>
          <w:sz w:val="22"/>
          <w:lang w:val="en-GB"/>
        </w:rPr>
        <w:t>.</w:t>
      </w:r>
    </w:p>
    <w:p w14:paraId="694C924F" w14:textId="7F6712E2" w:rsidR="00184C55" w:rsidRDefault="00184C55">
      <w:pPr>
        <w:spacing w:after="160" w:line="259" w:lineRule="auto"/>
        <w:rPr>
          <w:rFonts w:ascii="Titillium" w:eastAsia="Arial Unicode MS" w:hAnsi="Titillium" w:cs="Arial Unicode MS"/>
          <w:szCs w:val="24"/>
          <w:lang w:val="en-GB" w:eastAsia="en-GB"/>
        </w:rPr>
      </w:pPr>
      <w:r>
        <w:rPr>
          <w:rFonts w:ascii="Titillium" w:eastAsia="Arial Unicode MS" w:hAnsi="Titillium" w:cs="Arial Unicode MS"/>
          <w:szCs w:val="24"/>
          <w:lang w:val="en-GB" w:eastAsia="en-GB"/>
        </w:rPr>
        <w:br w:type="page"/>
      </w:r>
    </w:p>
    <w:p w14:paraId="304C6455" w14:textId="77777777" w:rsidR="008323BC" w:rsidRPr="00867F38" w:rsidRDefault="008323BC">
      <w:pPr>
        <w:spacing w:after="160" w:line="259" w:lineRule="auto"/>
        <w:rPr>
          <w:rFonts w:ascii="Titillium" w:eastAsia="Arial Unicode MS" w:hAnsi="Titillium" w:cs="Arial Unicode MS"/>
          <w:szCs w:val="24"/>
          <w:lang w:val="en-GB" w:eastAsia="en-GB"/>
        </w:rPr>
        <w:sectPr w:rsidR="008323BC" w:rsidRPr="00867F38" w:rsidSect="002A5A43">
          <w:headerReference w:type="even" r:id="rId27"/>
          <w:headerReference w:type="default" r:id="rId28"/>
          <w:headerReference w:type="first" r:id="rId29"/>
          <w:pgSz w:w="16838" w:h="11906" w:orient="landscape"/>
          <w:pgMar w:top="1440" w:right="1080" w:bottom="1440" w:left="1080" w:header="708" w:footer="708" w:gutter="0"/>
          <w:cols w:space="708"/>
          <w:docGrid w:linePitch="360"/>
        </w:sectPr>
      </w:pPr>
    </w:p>
    <w:p w14:paraId="48244ED4" w14:textId="77777777" w:rsidR="00EA0701" w:rsidRPr="004D4F18" w:rsidRDefault="00EA0701" w:rsidP="00EA0701">
      <w:pPr>
        <w:spacing w:after="160" w:line="259" w:lineRule="auto"/>
        <w:rPr>
          <w:rFonts w:ascii="Titillium" w:hAnsi="Titillium"/>
          <w:b/>
          <w:color w:val="003366"/>
          <w:sz w:val="28"/>
          <w:lang w:val="en-GB"/>
        </w:rPr>
      </w:pPr>
      <w:r w:rsidRPr="004D4F18">
        <w:rPr>
          <w:rFonts w:ascii="Titillium" w:hAnsi="Titillium"/>
          <w:b/>
          <w:color w:val="003366"/>
          <w:sz w:val="28"/>
          <w:lang w:val="en-GB"/>
        </w:rPr>
        <w:lastRenderedPageBreak/>
        <w:t>Data relating to SIMD quintile</w:t>
      </w:r>
    </w:p>
    <w:p w14:paraId="59280E0A" w14:textId="12B3BE65" w:rsidR="00EA0701" w:rsidRPr="0044589F" w:rsidRDefault="00EA0701" w:rsidP="00EA0701">
      <w:pPr>
        <w:spacing w:after="160" w:line="259" w:lineRule="auto"/>
        <w:rPr>
          <w:rFonts w:ascii="Titillium" w:eastAsia="Arial Unicode MS" w:hAnsi="Titillium" w:cs="Arial Unicode MS"/>
          <w:sz w:val="20"/>
          <w:szCs w:val="24"/>
          <w:lang w:val="en-GB" w:eastAsia="en-GB"/>
        </w:rPr>
      </w:pPr>
      <w:r w:rsidRPr="0044589F">
        <w:rPr>
          <w:rFonts w:ascii="Titillium" w:eastAsia="Times New Roman" w:hAnsi="Titillium" w:cs="Arial"/>
          <w:b/>
          <w:bCs/>
          <w:color w:val="003366"/>
          <w:szCs w:val="28"/>
          <w:lang w:val="en-GB"/>
        </w:rPr>
        <w:t>Table C</w:t>
      </w:r>
      <w:r>
        <w:rPr>
          <w:rFonts w:ascii="Titillium" w:eastAsia="Times New Roman" w:hAnsi="Titillium" w:cs="Arial"/>
          <w:b/>
          <w:bCs/>
          <w:color w:val="003366"/>
          <w:szCs w:val="28"/>
          <w:lang w:val="en-GB"/>
        </w:rPr>
        <w:t>1</w:t>
      </w:r>
      <w:r w:rsidRPr="0044589F">
        <w:rPr>
          <w:rFonts w:ascii="Titillium" w:eastAsia="Times New Roman" w:hAnsi="Titillium" w:cs="Arial"/>
          <w:b/>
          <w:bCs/>
          <w:color w:val="003366"/>
          <w:szCs w:val="28"/>
          <w:lang w:val="en-GB"/>
        </w:rPr>
        <w:tab/>
      </w:r>
      <w:r w:rsidRPr="004D4F18">
        <w:rPr>
          <w:rFonts w:ascii="Titillium" w:eastAsia="Times New Roman" w:hAnsi="Titillium" w:cs="Arial"/>
          <w:b/>
          <w:bCs/>
          <w:color w:val="003366"/>
          <w:szCs w:val="28"/>
          <w:lang w:val="en-GB"/>
        </w:rPr>
        <w:t>SIMD20 Students: Where Do They Come From?</w:t>
      </w:r>
      <w:r>
        <w:rPr>
          <w:rFonts w:ascii="Titillium" w:eastAsia="Times New Roman" w:hAnsi="Titillium" w:cs="Arial"/>
          <w:b/>
          <w:bCs/>
          <w:color w:val="003366"/>
          <w:szCs w:val="28"/>
          <w:lang w:val="en-GB"/>
        </w:rPr>
        <w:t xml:space="preserve"> (2014/15)</w:t>
      </w:r>
    </w:p>
    <w:p w14:paraId="70AF8B58" w14:textId="77777777" w:rsidR="00EA0701" w:rsidRPr="004D4F18" w:rsidRDefault="00EA0701" w:rsidP="00EA0701">
      <w:pPr>
        <w:rPr>
          <w:rFonts w:ascii="Titillium" w:hAnsi="Titillium"/>
          <w:sz w:val="22"/>
          <w:lang w:val="en-GB"/>
        </w:rPr>
      </w:pPr>
      <w:r w:rsidRPr="004D4F18">
        <w:rPr>
          <w:rFonts w:ascii="Titillium" w:hAnsi="Titillium"/>
          <w:sz w:val="22"/>
          <w:lang w:val="en-GB"/>
        </w:rPr>
        <w:t xml:space="preserve">Table includes all SIMD20 Scottish students, eligible to pay home fees and fundable by funding council studying for first degree in 2014/15. </w:t>
      </w:r>
    </w:p>
    <w:p w14:paraId="19819686" w14:textId="77777777" w:rsidR="00EA0701" w:rsidRDefault="00EA0701" w:rsidP="00EA0701">
      <w:pPr>
        <w:rPr>
          <w:rFonts w:ascii="Titillium" w:hAnsi="Titillium"/>
          <w:sz w:val="22"/>
          <w:lang w:val="en-GB"/>
        </w:rPr>
      </w:pPr>
      <w:r w:rsidRPr="004D4F18">
        <w:rPr>
          <w:rFonts w:ascii="Titillium" w:hAnsi="Titillium"/>
          <w:sz w:val="22"/>
          <w:lang w:val="en-GB"/>
        </w:rPr>
        <w:t xml:space="preserve">There were 111,305 Scottish First Degree students in total in 2014/15, so those coming from SIMD20 areas comprised 12.58% of the Scottish first degree population in 2014/15. </w:t>
      </w:r>
    </w:p>
    <w:p w14:paraId="1B78475B" w14:textId="77777777" w:rsidR="00EA0701" w:rsidRPr="004D4F18" w:rsidRDefault="00EA0701" w:rsidP="00EA0701">
      <w:pPr>
        <w:rPr>
          <w:rFonts w:ascii="Titillium" w:hAnsi="Titillium"/>
          <w:sz w:val="22"/>
          <w:lang w:val="en-GB"/>
        </w:rPr>
      </w:pPr>
    </w:p>
    <w:tbl>
      <w:tblPr>
        <w:tblW w:w="12060" w:type="dxa"/>
        <w:tblLook w:val="04A0" w:firstRow="1" w:lastRow="0" w:firstColumn="1" w:lastColumn="0" w:noHBand="0" w:noVBand="1"/>
      </w:tblPr>
      <w:tblGrid>
        <w:gridCol w:w="3300"/>
        <w:gridCol w:w="2920"/>
        <w:gridCol w:w="2920"/>
        <w:gridCol w:w="2920"/>
      </w:tblGrid>
      <w:tr w:rsidR="00EA0701" w:rsidRPr="00106559" w14:paraId="6B14E06D" w14:textId="77777777" w:rsidTr="00994383">
        <w:trPr>
          <w:trHeight w:val="405"/>
        </w:trPr>
        <w:tc>
          <w:tcPr>
            <w:tcW w:w="3300" w:type="dxa"/>
            <w:tcBorders>
              <w:top w:val="single" w:sz="4" w:space="0" w:color="auto"/>
              <w:left w:val="single" w:sz="4" w:space="0" w:color="auto"/>
              <w:bottom w:val="single" w:sz="4" w:space="0" w:color="auto"/>
            </w:tcBorders>
            <w:shd w:val="clear" w:color="auto" w:fill="auto"/>
            <w:noWrap/>
            <w:hideMark/>
          </w:tcPr>
          <w:p w14:paraId="70563C22" w14:textId="77777777" w:rsidR="00EA0701" w:rsidRPr="004D4F18" w:rsidRDefault="00EA0701" w:rsidP="00B13AF2">
            <w:pPr>
              <w:spacing w:line="276" w:lineRule="auto"/>
              <w:rPr>
                <w:rFonts w:ascii="Titillium" w:eastAsia="Times New Roman" w:hAnsi="Titillium" w:cs="Arial"/>
                <w:b/>
                <w:color w:val="003366"/>
                <w:sz w:val="22"/>
                <w:szCs w:val="22"/>
                <w:lang w:val="en-GB" w:eastAsia="en-GB"/>
              </w:rPr>
            </w:pPr>
            <w:r w:rsidRPr="004D4F18">
              <w:rPr>
                <w:rFonts w:ascii="Titillium" w:eastAsia="Times New Roman" w:hAnsi="Titillium" w:cs="Arial"/>
                <w:b/>
                <w:color w:val="003366"/>
                <w:sz w:val="22"/>
                <w:szCs w:val="22"/>
                <w:lang w:val="en-GB" w:eastAsia="en-GB"/>
              </w:rPr>
              <w:t>County Name</w:t>
            </w:r>
          </w:p>
        </w:tc>
        <w:tc>
          <w:tcPr>
            <w:tcW w:w="2920" w:type="dxa"/>
            <w:tcBorders>
              <w:top w:val="single" w:sz="4" w:space="0" w:color="auto"/>
              <w:bottom w:val="single" w:sz="4" w:space="0" w:color="auto"/>
              <w:right w:val="single" w:sz="4" w:space="0" w:color="auto"/>
            </w:tcBorders>
            <w:shd w:val="clear" w:color="auto" w:fill="auto"/>
            <w:noWrap/>
            <w:hideMark/>
          </w:tcPr>
          <w:p w14:paraId="374DC888" w14:textId="77777777" w:rsidR="00EA0701" w:rsidRPr="004D4F18" w:rsidRDefault="00EA0701" w:rsidP="00B13AF2">
            <w:pPr>
              <w:spacing w:line="276" w:lineRule="auto"/>
              <w:rPr>
                <w:rFonts w:ascii="Titillium" w:eastAsia="Times New Roman" w:hAnsi="Titillium" w:cs="Arial"/>
                <w:b/>
                <w:color w:val="003366"/>
                <w:sz w:val="22"/>
                <w:szCs w:val="22"/>
                <w:lang w:val="en-GB" w:eastAsia="en-GB"/>
              </w:rPr>
            </w:pPr>
            <w:r w:rsidRPr="004D4F18">
              <w:rPr>
                <w:rFonts w:ascii="Titillium" w:eastAsia="Times New Roman" w:hAnsi="Titillium" w:cs="Arial"/>
                <w:b/>
                <w:color w:val="003366"/>
                <w:sz w:val="22"/>
                <w:szCs w:val="22"/>
                <w:lang w:val="en-GB" w:eastAsia="en-GB"/>
              </w:rPr>
              <w:t>Rounded Headcount</w:t>
            </w:r>
          </w:p>
        </w:tc>
        <w:tc>
          <w:tcPr>
            <w:tcW w:w="2920" w:type="dxa"/>
            <w:tcBorders>
              <w:top w:val="single" w:sz="4" w:space="0" w:color="auto"/>
              <w:left w:val="single" w:sz="4" w:space="0" w:color="auto"/>
              <w:bottom w:val="single" w:sz="4" w:space="0" w:color="auto"/>
            </w:tcBorders>
            <w:shd w:val="clear" w:color="auto" w:fill="auto"/>
          </w:tcPr>
          <w:p w14:paraId="3E12DDB3" w14:textId="77777777" w:rsidR="00EA0701" w:rsidRPr="004D4F18" w:rsidRDefault="00EA0701" w:rsidP="00B13AF2">
            <w:pPr>
              <w:spacing w:line="276" w:lineRule="auto"/>
              <w:rPr>
                <w:rFonts w:ascii="Titillium" w:eastAsia="Times New Roman" w:hAnsi="Titillium" w:cs="Arial"/>
                <w:b/>
                <w:color w:val="003366"/>
                <w:sz w:val="22"/>
                <w:szCs w:val="22"/>
                <w:lang w:val="en-GB" w:eastAsia="en-GB"/>
              </w:rPr>
            </w:pPr>
            <w:r w:rsidRPr="004D4F18">
              <w:rPr>
                <w:rFonts w:ascii="Titillium" w:eastAsia="Times New Roman" w:hAnsi="Titillium" w:cs="Arial"/>
                <w:b/>
                <w:color w:val="003366"/>
                <w:sz w:val="22"/>
                <w:szCs w:val="22"/>
                <w:lang w:val="en-GB" w:eastAsia="en-GB"/>
              </w:rPr>
              <w:t>County Name</w:t>
            </w:r>
          </w:p>
        </w:tc>
        <w:tc>
          <w:tcPr>
            <w:tcW w:w="2920" w:type="dxa"/>
            <w:tcBorders>
              <w:top w:val="single" w:sz="4" w:space="0" w:color="auto"/>
              <w:bottom w:val="single" w:sz="4" w:space="0" w:color="auto"/>
              <w:right w:val="single" w:sz="4" w:space="0" w:color="auto"/>
            </w:tcBorders>
            <w:shd w:val="clear" w:color="auto" w:fill="auto"/>
          </w:tcPr>
          <w:p w14:paraId="74D00320" w14:textId="77777777" w:rsidR="00EA0701" w:rsidRPr="004D4F18" w:rsidRDefault="00EA0701" w:rsidP="00B13AF2">
            <w:pPr>
              <w:spacing w:line="276" w:lineRule="auto"/>
              <w:rPr>
                <w:rFonts w:ascii="Titillium" w:eastAsia="Times New Roman" w:hAnsi="Titillium" w:cs="Arial"/>
                <w:b/>
                <w:color w:val="003366"/>
                <w:sz w:val="22"/>
                <w:szCs w:val="22"/>
                <w:lang w:val="en-GB" w:eastAsia="en-GB"/>
              </w:rPr>
            </w:pPr>
            <w:r w:rsidRPr="004D4F18">
              <w:rPr>
                <w:rFonts w:ascii="Titillium" w:eastAsia="Times New Roman" w:hAnsi="Titillium" w:cs="Arial"/>
                <w:b/>
                <w:color w:val="003366"/>
                <w:sz w:val="22"/>
                <w:szCs w:val="22"/>
                <w:lang w:val="en-GB" w:eastAsia="en-GB"/>
              </w:rPr>
              <w:t>Rounded Headcount</w:t>
            </w:r>
          </w:p>
        </w:tc>
      </w:tr>
      <w:tr w:rsidR="00EA0701" w:rsidRPr="00106559" w14:paraId="53882D94" w14:textId="77777777" w:rsidTr="00994383">
        <w:trPr>
          <w:trHeight w:val="340"/>
        </w:trPr>
        <w:tc>
          <w:tcPr>
            <w:tcW w:w="3300" w:type="dxa"/>
            <w:tcBorders>
              <w:top w:val="single" w:sz="4" w:space="0" w:color="auto"/>
              <w:left w:val="single" w:sz="4" w:space="0" w:color="auto"/>
            </w:tcBorders>
            <w:shd w:val="clear" w:color="auto" w:fill="auto"/>
            <w:noWrap/>
            <w:hideMark/>
          </w:tcPr>
          <w:p w14:paraId="1AF2B4E7"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City of Glasgow</w:t>
            </w:r>
          </w:p>
        </w:tc>
        <w:tc>
          <w:tcPr>
            <w:tcW w:w="2920" w:type="dxa"/>
            <w:tcBorders>
              <w:top w:val="single" w:sz="4" w:space="0" w:color="auto"/>
              <w:right w:val="single" w:sz="4" w:space="0" w:color="auto"/>
            </w:tcBorders>
            <w:shd w:val="clear" w:color="auto" w:fill="auto"/>
            <w:noWrap/>
            <w:hideMark/>
          </w:tcPr>
          <w:p w14:paraId="6C12CCC5"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4,215</w:t>
            </w:r>
          </w:p>
        </w:tc>
        <w:tc>
          <w:tcPr>
            <w:tcW w:w="2920" w:type="dxa"/>
            <w:tcBorders>
              <w:top w:val="single" w:sz="4" w:space="0" w:color="auto"/>
              <w:left w:val="single" w:sz="4" w:space="0" w:color="auto"/>
            </w:tcBorders>
            <w:shd w:val="clear" w:color="auto" w:fill="auto"/>
          </w:tcPr>
          <w:p w14:paraId="28468D04"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Falkirk</w:t>
            </w:r>
          </w:p>
        </w:tc>
        <w:tc>
          <w:tcPr>
            <w:tcW w:w="2920" w:type="dxa"/>
            <w:tcBorders>
              <w:top w:val="single" w:sz="4" w:space="0" w:color="auto"/>
              <w:right w:val="single" w:sz="4" w:space="0" w:color="auto"/>
            </w:tcBorders>
            <w:shd w:val="clear" w:color="auto" w:fill="auto"/>
          </w:tcPr>
          <w:p w14:paraId="359C9836"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235</w:t>
            </w:r>
          </w:p>
        </w:tc>
      </w:tr>
      <w:tr w:rsidR="00EA0701" w:rsidRPr="00106559" w14:paraId="215AA22D" w14:textId="77777777" w:rsidTr="00994383">
        <w:trPr>
          <w:trHeight w:val="340"/>
        </w:trPr>
        <w:tc>
          <w:tcPr>
            <w:tcW w:w="3300" w:type="dxa"/>
            <w:tcBorders>
              <w:left w:val="single" w:sz="4" w:space="0" w:color="auto"/>
            </w:tcBorders>
            <w:shd w:val="clear" w:color="auto" w:fill="auto"/>
            <w:noWrap/>
            <w:hideMark/>
          </w:tcPr>
          <w:p w14:paraId="2A495811"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North Lanarkshire</w:t>
            </w:r>
          </w:p>
        </w:tc>
        <w:tc>
          <w:tcPr>
            <w:tcW w:w="2920" w:type="dxa"/>
            <w:tcBorders>
              <w:right w:val="single" w:sz="4" w:space="0" w:color="auto"/>
            </w:tcBorders>
            <w:shd w:val="clear" w:color="auto" w:fill="auto"/>
            <w:noWrap/>
            <w:hideMark/>
          </w:tcPr>
          <w:p w14:paraId="5AC43AB9"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1,410</w:t>
            </w:r>
          </w:p>
        </w:tc>
        <w:tc>
          <w:tcPr>
            <w:tcW w:w="2920" w:type="dxa"/>
            <w:tcBorders>
              <w:left w:val="single" w:sz="4" w:space="0" w:color="auto"/>
            </w:tcBorders>
            <w:shd w:val="clear" w:color="auto" w:fill="auto"/>
          </w:tcPr>
          <w:p w14:paraId="350DAE0A"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Clackmannanshire</w:t>
            </w:r>
          </w:p>
        </w:tc>
        <w:tc>
          <w:tcPr>
            <w:tcW w:w="2920" w:type="dxa"/>
            <w:tcBorders>
              <w:right w:val="single" w:sz="4" w:space="0" w:color="auto"/>
            </w:tcBorders>
            <w:shd w:val="clear" w:color="auto" w:fill="auto"/>
          </w:tcPr>
          <w:p w14:paraId="68DA7F83"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155</w:t>
            </w:r>
          </w:p>
        </w:tc>
      </w:tr>
      <w:tr w:rsidR="00EA0701" w:rsidRPr="00106559" w14:paraId="0B567A2B" w14:textId="77777777" w:rsidTr="00994383">
        <w:trPr>
          <w:trHeight w:val="340"/>
        </w:trPr>
        <w:tc>
          <w:tcPr>
            <w:tcW w:w="3300" w:type="dxa"/>
            <w:tcBorders>
              <w:left w:val="single" w:sz="4" w:space="0" w:color="auto"/>
            </w:tcBorders>
            <w:shd w:val="clear" w:color="auto" w:fill="auto"/>
            <w:noWrap/>
            <w:hideMark/>
          </w:tcPr>
          <w:p w14:paraId="2D0C6D2B"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City of Edinburgh</w:t>
            </w:r>
          </w:p>
        </w:tc>
        <w:tc>
          <w:tcPr>
            <w:tcW w:w="2920" w:type="dxa"/>
            <w:tcBorders>
              <w:right w:val="single" w:sz="4" w:space="0" w:color="auto"/>
            </w:tcBorders>
            <w:shd w:val="clear" w:color="auto" w:fill="auto"/>
            <w:noWrap/>
            <w:hideMark/>
          </w:tcPr>
          <w:p w14:paraId="50C4D5C6"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920</w:t>
            </w:r>
          </w:p>
        </w:tc>
        <w:tc>
          <w:tcPr>
            <w:tcW w:w="2920" w:type="dxa"/>
            <w:tcBorders>
              <w:left w:val="single" w:sz="4" w:space="0" w:color="auto"/>
            </w:tcBorders>
            <w:shd w:val="clear" w:color="auto" w:fill="auto"/>
          </w:tcPr>
          <w:p w14:paraId="2A49EDE3"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Dumfries and Galloway</w:t>
            </w:r>
          </w:p>
        </w:tc>
        <w:tc>
          <w:tcPr>
            <w:tcW w:w="2920" w:type="dxa"/>
            <w:tcBorders>
              <w:right w:val="single" w:sz="4" w:space="0" w:color="auto"/>
            </w:tcBorders>
            <w:shd w:val="clear" w:color="auto" w:fill="auto"/>
          </w:tcPr>
          <w:p w14:paraId="7137F8F3"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135</w:t>
            </w:r>
          </w:p>
        </w:tc>
      </w:tr>
      <w:tr w:rsidR="00EA0701" w:rsidRPr="00106559" w14:paraId="6A881242" w14:textId="77777777" w:rsidTr="00994383">
        <w:trPr>
          <w:trHeight w:val="340"/>
        </w:trPr>
        <w:tc>
          <w:tcPr>
            <w:tcW w:w="3300" w:type="dxa"/>
            <w:tcBorders>
              <w:left w:val="single" w:sz="4" w:space="0" w:color="auto"/>
            </w:tcBorders>
            <w:shd w:val="clear" w:color="auto" w:fill="auto"/>
            <w:noWrap/>
            <w:hideMark/>
          </w:tcPr>
          <w:p w14:paraId="0F9968B7"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City of Dundee</w:t>
            </w:r>
          </w:p>
        </w:tc>
        <w:tc>
          <w:tcPr>
            <w:tcW w:w="2920" w:type="dxa"/>
            <w:tcBorders>
              <w:right w:val="single" w:sz="4" w:space="0" w:color="auto"/>
            </w:tcBorders>
            <w:shd w:val="clear" w:color="auto" w:fill="auto"/>
            <w:noWrap/>
            <w:hideMark/>
          </w:tcPr>
          <w:p w14:paraId="0B52E497"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810</w:t>
            </w:r>
          </w:p>
        </w:tc>
        <w:tc>
          <w:tcPr>
            <w:tcW w:w="2920" w:type="dxa"/>
            <w:tcBorders>
              <w:left w:val="single" w:sz="4" w:space="0" w:color="auto"/>
            </w:tcBorders>
            <w:shd w:val="clear" w:color="auto" w:fill="auto"/>
          </w:tcPr>
          <w:p w14:paraId="06181980"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East Renfrewshire</w:t>
            </w:r>
          </w:p>
        </w:tc>
        <w:tc>
          <w:tcPr>
            <w:tcW w:w="2920" w:type="dxa"/>
            <w:tcBorders>
              <w:right w:val="single" w:sz="4" w:space="0" w:color="auto"/>
            </w:tcBorders>
            <w:shd w:val="clear" w:color="auto" w:fill="auto"/>
          </w:tcPr>
          <w:p w14:paraId="6596F028"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120</w:t>
            </w:r>
          </w:p>
        </w:tc>
      </w:tr>
      <w:tr w:rsidR="00EA0701" w:rsidRPr="00106559" w14:paraId="0975C4D2" w14:textId="77777777" w:rsidTr="00994383">
        <w:trPr>
          <w:trHeight w:val="340"/>
        </w:trPr>
        <w:tc>
          <w:tcPr>
            <w:tcW w:w="3300" w:type="dxa"/>
            <w:tcBorders>
              <w:left w:val="single" w:sz="4" w:space="0" w:color="auto"/>
            </w:tcBorders>
            <w:shd w:val="clear" w:color="auto" w:fill="auto"/>
            <w:noWrap/>
            <w:hideMark/>
          </w:tcPr>
          <w:p w14:paraId="0131651E"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South Lanarkshire</w:t>
            </w:r>
          </w:p>
        </w:tc>
        <w:tc>
          <w:tcPr>
            <w:tcW w:w="2920" w:type="dxa"/>
            <w:tcBorders>
              <w:right w:val="single" w:sz="4" w:space="0" w:color="auto"/>
            </w:tcBorders>
            <w:shd w:val="clear" w:color="auto" w:fill="auto"/>
            <w:noWrap/>
            <w:hideMark/>
          </w:tcPr>
          <w:p w14:paraId="5F00DC08"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705</w:t>
            </w:r>
          </w:p>
        </w:tc>
        <w:tc>
          <w:tcPr>
            <w:tcW w:w="2920" w:type="dxa"/>
            <w:tcBorders>
              <w:left w:val="single" w:sz="4" w:space="0" w:color="auto"/>
            </w:tcBorders>
            <w:shd w:val="clear" w:color="auto" w:fill="auto"/>
          </w:tcPr>
          <w:p w14:paraId="3F05F839"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Angus</w:t>
            </w:r>
          </w:p>
        </w:tc>
        <w:tc>
          <w:tcPr>
            <w:tcW w:w="2920" w:type="dxa"/>
            <w:tcBorders>
              <w:right w:val="single" w:sz="4" w:space="0" w:color="auto"/>
            </w:tcBorders>
            <w:shd w:val="clear" w:color="auto" w:fill="auto"/>
          </w:tcPr>
          <w:p w14:paraId="6310756D"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115</w:t>
            </w:r>
          </w:p>
        </w:tc>
      </w:tr>
      <w:tr w:rsidR="00EA0701" w:rsidRPr="00106559" w14:paraId="55A9A33E" w14:textId="77777777" w:rsidTr="00994383">
        <w:trPr>
          <w:trHeight w:val="340"/>
        </w:trPr>
        <w:tc>
          <w:tcPr>
            <w:tcW w:w="3300" w:type="dxa"/>
            <w:tcBorders>
              <w:left w:val="single" w:sz="4" w:space="0" w:color="auto"/>
            </w:tcBorders>
            <w:shd w:val="clear" w:color="auto" w:fill="auto"/>
            <w:noWrap/>
            <w:hideMark/>
          </w:tcPr>
          <w:p w14:paraId="060C6730"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Renfrewshire</w:t>
            </w:r>
          </w:p>
        </w:tc>
        <w:tc>
          <w:tcPr>
            <w:tcW w:w="2920" w:type="dxa"/>
            <w:tcBorders>
              <w:right w:val="single" w:sz="4" w:space="0" w:color="auto"/>
            </w:tcBorders>
            <w:shd w:val="clear" w:color="auto" w:fill="auto"/>
            <w:noWrap/>
            <w:hideMark/>
          </w:tcPr>
          <w:p w14:paraId="24DF4713"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700</w:t>
            </w:r>
          </w:p>
        </w:tc>
        <w:tc>
          <w:tcPr>
            <w:tcW w:w="2920" w:type="dxa"/>
            <w:tcBorders>
              <w:left w:val="single" w:sz="4" w:space="0" w:color="auto"/>
            </w:tcBorders>
            <w:shd w:val="clear" w:color="auto" w:fill="auto"/>
          </w:tcPr>
          <w:p w14:paraId="24B664F1"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Perth and Kinross</w:t>
            </w:r>
          </w:p>
        </w:tc>
        <w:tc>
          <w:tcPr>
            <w:tcW w:w="2920" w:type="dxa"/>
            <w:tcBorders>
              <w:right w:val="single" w:sz="4" w:space="0" w:color="auto"/>
            </w:tcBorders>
            <w:shd w:val="clear" w:color="auto" w:fill="auto"/>
          </w:tcPr>
          <w:p w14:paraId="044B3E82"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115</w:t>
            </w:r>
          </w:p>
        </w:tc>
      </w:tr>
      <w:tr w:rsidR="00EA0701" w:rsidRPr="00106559" w14:paraId="6D718A98" w14:textId="77777777" w:rsidTr="00994383">
        <w:trPr>
          <w:trHeight w:val="340"/>
        </w:trPr>
        <w:tc>
          <w:tcPr>
            <w:tcW w:w="3300" w:type="dxa"/>
            <w:tcBorders>
              <w:left w:val="single" w:sz="4" w:space="0" w:color="auto"/>
            </w:tcBorders>
            <w:shd w:val="clear" w:color="auto" w:fill="auto"/>
            <w:noWrap/>
            <w:hideMark/>
          </w:tcPr>
          <w:p w14:paraId="67E86D31"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Fife</w:t>
            </w:r>
          </w:p>
        </w:tc>
        <w:tc>
          <w:tcPr>
            <w:tcW w:w="2920" w:type="dxa"/>
            <w:tcBorders>
              <w:right w:val="single" w:sz="4" w:space="0" w:color="auto"/>
            </w:tcBorders>
            <w:shd w:val="clear" w:color="auto" w:fill="auto"/>
            <w:noWrap/>
            <w:hideMark/>
          </w:tcPr>
          <w:p w14:paraId="5AB1F1AD"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680</w:t>
            </w:r>
          </w:p>
        </w:tc>
        <w:tc>
          <w:tcPr>
            <w:tcW w:w="2920" w:type="dxa"/>
            <w:tcBorders>
              <w:left w:val="single" w:sz="4" w:space="0" w:color="auto"/>
            </w:tcBorders>
            <w:shd w:val="clear" w:color="auto" w:fill="auto"/>
          </w:tcPr>
          <w:p w14:paraId="779163DE"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Argyll and Bute</w:t>
            </w:r>
          </w:p>
        </w:tc>
        <w:tc>
          <w:tcPr>
            <w:tcW w:w="2920" w:type="dxa"/>
            <w:tcBorders>
              <w:right w:val="single" w:sz="4" w:space="0" w:color="auto"/>
            </w:tcBorders>
            <w:shd w:val="clear" w:color="auto" w:fill="auto"/>
          </w:tcPr>
          <w:p w14:paraId="1FB13CAD"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110</w:t>
            </w:r>
          </w:p>
        </w:tc>
      </w:tr>
      <w:tr w:rsidR="00EA0701" w:rsidRPr="00106559" w14:paraId="76542844" w14:textId="77777777" w:rsidTr="00994383">
        <w:trPr>
          <w:trHeight w:val="340"/>
        </w:trPr>
        <w:tc>
          <w:tcPr>
            <w:tcW w:w="3300" w:type="dxa"/>
            <w:tcBorders>
              <w:left w:val="single" w:sz="4" w:space="0" w:color="auto"/>
            </w:tcBorders>
            <w:shd w:val="clear" w:color="auto" w:fill="auto"/>
            <w:noWrap/>
            <w:hideMark/>
          </w:tcPr>
          <w:p w14:paraId="37DEC994"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North Ayrshire</w:t>
            </w:r>
          </w:p>
        </w:tc>
        <w:tc>
          <w:tcPr>
            <w:tcW w:w="2920" w:type="dxa"/>
            <w:tcBorders>
              <w:right w:val="single" w:sz="4" w:space="0" w:color="auto"/>
            </w:tcBorders>
            <w:shd w:val="clear" w:color="auto" w:fill="auto"/>
            <w:noWrap/>
            <w:hideMark/>
          </w:tcPr>
          <w:p w14:paraId="78E7FD04"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625</w:t>
            </w:r>
          </w:p>
        </w:tc>
        <w:tc>
          <w:tcPr>
            <w:tcW w:w="2920" w:type="dxa"/>
            <w:tcBorders>
              <w:left w:val="single" w:sz="4" w:space="0" w:color="auto"/>
            </w:tcBorders>
            <w:shd w:val="clear" w:color="auto" w:fill="auto"/>
          </w:tcPr>
          <w:p w14:paraId="76E282E1"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Midlothian</w:t>
            </w:r>
          </w:p>
        </w:tc>
        <w:tc>
          <w:tcPr>
            <w:tcW w:w="2920" w:type="dxa"/>
            <w:tcBorders>
              <w:right w:val="single" w:sz="4" w:space="0" w:color="auto"/>
            </w:tcBorders>
            <w:shd w:val="clear" w:color="auto" w:fill="auto"/>
          </w:tcPr>
          <w:p w14:paraId="6AC3D876"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105</w:t>
            </w:r>
          </w:p>
        </w:tc>
      </w:tr>
      <w:tr w:rsidR="00EA0701" w:rsidRPr="00106559" w14:paraId="632E2793" w14:textId="77777777" w:rsidTr="00994383">
        <w:trPr>
          <w:trHeight w:val="340"/>
        </w:trPr>
        <w:tc>
          <w:tcPr>
            <w:tcW w:w="3300" w:type="dxa"/>
            <w:tcBorders>
              <w:left w:val="single" w:sz="4" w:space="0" w:color="auto"/>
            </w:tcBorders>
            <w:shd w:val="clear" w:color="auto" w:fill="auto"/>
            <w:noWrap/>
            <w:hideMark/>
          </w:tcPr>
          <w:p w14:paraId="1599AD25"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West Dunbartonshire</w:t>
            </w:r>
          </w:p>
        </w:tc>
        <w:tc>
          <w:tcPr>
            <w:tcW w:w="2920" w:type="dxa"/>
            <w:tcBorders>
              <w:right w:val="single" w:sz="4" w:space="0" w:color="auto"/>
            </w:tcBorders>
            <w:shd w:val="clear" w:color="auto" w:fill="auto"/>
            <w:noWrap/>
            <w:hideMark/>
          </w:tcPr>
          <w:p w14:paraId="43942268"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520</w:t>
            </w:r>
          </w:p>
        </w:tc>
        <w:tc>
          <w:tcPr>
            <w:tcW w:w="2920" w:type="dxa"/>
            <w:tcBorders>
              <w:left w:val="single" w:sz="4" w:space="0" w:color="auto"/>
            </w:tcBorders>
            <w:shd w:val="clear" w:color="auto" w:fill="auto"/>
          </w:tcPr>
          <w:p w14:paraId="24F8D1F0"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Stirling</w:t>
            </w:r>
          </w:p>
        </w:tc>
        <w:tc>
          <w:tcPr>
            <w:tcW w:w="2920" w:type="dxa"/>
            <w:tcBorders>
              <w:right w:val="single" w:sz="4" w:space="0" w:color="auto"/>
            </w:tcBorders>
            <w:shd w:val="clear" w:color="auto" w:fill="auto"/>
          </w:tcPr>
          <w:p w14:paraId="789ABC13"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90</w:t>
            </w:r>
          </w:p>
        </w:tc>
      </w:tr>
      <w:tr w:rsidR="00EA0701" w:rsidRPr="00106559" w14:paraId="576996B2" w14:textId="77777777" w:rsidTr="00994383">
        <w:trPr>
          <w:trHeight w:val="340"/>
        </w:trPr>
        <w:tc>
          <w:tcPr>
            <w:tcW w:w="3300" w:type="dxa"/>
            <w:tcBorders>
              <w:left w:val="single" w:sz="4" w:space="0" w:color="auto"/>
            </w:tcBorders>
            <w:shd w:val="clear" w:color="auto" w:fill="auto"/>
            <w:noWrap/>
            <w:hideMark/>
          </w:tcPr>
          <w:p w14:paraId="7CB12A36"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Inverclyde</w:t>
            </w:r>
          </w:p>
        </w:tc>
        <w:tc>
          <w:tcPr>
            <w:tcW w:w="2920" w:type="dxa"/>
            <w:tcBorders>
              <w:right w:val="single" w:sz="4" w:space="0" w:color="auto"/>
            </w:tcBorders>
            <w:shd w:val="clear" w:color="auto" w:fill="auto"/>
            <w:noWrap/>
            <w:hideMark/>
          </w:tcPr>
          <w:p w14:paraId="33AD4477"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435</w:t>
            </w:r>
          </w:p>
        </w:tc>
        <w:tc>
          <w:tcPr>
            <w:tcW w:w="2920" w:type="dxa"/>
            <w:tcBorders>
              <w:left w:val="single" w:sz="4" w:space="0" w:color="auto"/>
            </w:tcBorders>
            <w:shd w:val="clear" w:color="auto" w:fill="auto"/>
          </w:tcPr>
          <w:p w14:paraId="192863F9"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East Dunbartonshire</w:t>
            </w:r>
          </w:p>
        </w:tc>
        <w:tc>
          <w:tcPr>
            <w:tcW w:w="2920" w:type="dxa"/>
            <w:tcBorders>
              <w:right w:val="single" w:sz="4" w:space="0" w:color="auto"/>
            </w:tcBorders>
            <w:shd w:val="clear" w:color="auto" w:fill="auto"/>
          </w:tcPr>
          <w:p w14:paraId="3D8FF9A9"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70</w:t>
            </w:r>
          </w:p>
        </w:tc>
      </w:tr>
      <w:tr w:rsidR="00EA0701" w:rsidRPr="00106559" w14:paraId="508EF6F5" w14:textId="77777777" w:rsidTr="00994383">
        <w:trPr>
          <w:trHeight w:val="340"/>
        </w:trPr>
        <w:tc>
          <w:tcPr>
            <w:tcW w:w="3300" w:type="dxa"/>
            <w:tcBorders>
              <w:left w:val="single" w:sz="4" w:space="0" w:color="auto"/>
            </w:tcBorders>
            <w:shd w:val="clear" w:color="auto" w:fill="auto"/>
            <w:noWrap/>
            <w:hideMark/>
          </w:tcPr>
          <w:p w14:paraId="08C6FD63"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East Ayrshire</w:t>
            </w:r>
          </w:p>
        </w:tc>
        <w:tc>
          <w:tcPr>
            <w:tcW w:w="2920" w:type="dxa"/>
            <w:tcBorders>
              <w:right w:val="single" w:sz="4" w:space="0" w:color="auto"/>
            </w:tcBorders>
            <w:shd w:val="clear" w:color="auto" w:fill="auto"/>
            <w:noWrap/>
            <w:hideMark/>
          </w:tcPr>
          <w:p w14:paraId="54F386D2"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420</w:t>
            </w:r>
          </w:p>
        </w:tc>
        <w:tc>
          <w:tcPr>
            <w:tcW w:w="2920" w:type="dxa"/>
            <w:tcBorders>
              <w:left w:val="single" w:sz="4" w:space="0" w:color="auto"/>
            </w:tcBorders>
            <w:shd w:val="clear" w:color="auto" w:fill="auto"/>
          </w:tcPr>
          <w:p w14:paraId="1D88078C"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East Lothian</w:t>
            </w:r>
          </w:p>
        </w:tc>
        <w:tc>
          <w:tcPr>
            <w:tcW w:w="2920" w:type="dxa"/>
            <w:tcBorders>
              <w:right w:val="single" w:sz="4" w:space="0" w:color="auto"/>
            </w:tcBorders>
            <w:shd w:val="clear" w:color="auto" w:fill="auto"/>
          </w:tcPr>
          <w:p w14:paraId="069656DC"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65</w:t>
            </w:r>
          </w:p>
        </w:tc>
      </w:tr>
      <w:tr w:rsidR="00EA0701" w:rsidRPr="00106559" w14:paraId="1EB23E81" w14:textId="77777777" w:rsidTr="00994383">
        <w:trPr>
          <w:trHeight w:val="340"/>
        </w:trPr>
        <w:tc>
          <w:tcPr>
            <w:tcW w:w="3300" w:type="dxa"/>
            <w:tcBorders>
              <w:left w:val="single" w:sz="4" w:space="0" w:color="auto"/>
            </w:tcBorders>
            <w:shd w:val="clear" w:color="auto" w:fill="auto"/>
            <w:noWrap/>
            <w:hideMark/>
          </w:tcPr>
          <w:p w14:paraId="17A50852"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City of Aberdeen</w:t>
            </w:r>
          </w:p>
        </w:tc>
        <w:tc>
          <w:tcPr>
            <w:tcW w:w="2920" w:type="dxa"/>
            <w:tcBorders>
              <w:right w:val="single" w:sz="4" w:space="0" w:color="auto"/>
            </w:tcBorders>
            <w:shd w:val="clear" w:color="auto" w:fill="auto"/>
            <w:noWrap/>
            <w:hideMark/>
          </w:tcPr>
          <w:p w14:paraId="313CFA2C"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315</w:t>
            </w:r>
          </w:p>
        </w:tc>
        <w:tc>
          <w:tcPr>
            <w:tcW w:w="2920" w:type="dxa"/>
            <w:tcBorders>
              <w:left w:val="single" w:sz="4" w:space="0" w:color="auto"/>
            </w:tcBorders>
            <w:shd w:val="clear" w:color="auto" w:fill="auto"/>
          </w:tcPr>
          <w:p w14:paraId="0B562F4C"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Scottish Borders</w:t>
            </w:r>
          </w:p>
        </w:tc>
        <w:tc>
          <w:tcPr>
            <w:tcW w:w="2920" w:type="dxa"/>
            <w:tcBorders>
              <w:right w:val="single" w:sz="4" w:space="0" w:color="auto"/>
            </w:tcBorders>
            <w:shd w:val="clear" w:color="auto" w:fill="auto"/>
          </w:tcPr>
          <w:p w14:paraId="04612AC3"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55</w:t>
            </w:r>
          </w:p>
        </w:tc>
      </w:tr>
      <w:tr w:rsidR="00EA0701" w:rsidRPr="00106559" w14:paraId="44AAC5C9" w14:textId="77777777" w:rsidTr="00994383">
        <w:trPr>
          <w:trHeight w:val="340"/>
        </w:trPr>
        <w:tc>
          <w:tcPr>
            <w:tcW w:w="3300" w:type="dxa"/>
            <w:tcBorders>
              <w:left w:val="single" w:sz="4" w:space="0" w:color="auto"/>
            </w:tcBorders>
            <w:shd w:val="clear" w:color="auto" w:fill="auto"/>
            <w:noWrap/>
            <w:hideMark/>
          </w:tcPr>
          <w:p w14:paraId="37148F2A"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West Lothian</w:t>
            </w:r>
          </w:p>
        </w:tc>
        <w:tc>
          <w:tcPr>
            <w:tcW w:w="2920" w:type="dxa"/>
            <w:tcBorders>
              <w:right w:val="single" w:sz="4" w:space="0" w:color="auto"/>
            </w:tcBorders>
            <w:shd w:val="clear" w:color="auto" w:fill="auto"/>
            <w:noWrap/>
            <w:hideMark/>
          </w:tcPr>
          <w:p w14:paraId="2AC50FDB"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315</w:t>
            </w:r>
          </w:p>
        </w:tc>
        <w:tc>
          <w:tcPr>
            <w:tcW w:w="2920" w:type="dxa"/>
            <w:tcBorders>
              <w:left w:val="single" w:sz="4" w:space="0" w:color="auto"/>
            </w:tcBorders>
            <w:shd w:val="clear" w:color="auto" w:fill="auto"/>
          </w:tcPr>
          <w:p w14:paraId="64FE16FA"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Aberdeenshire</w:t>
            </w:r>
          </w:p>
        </w:tc>
        <w:tc>
          <w:tcPr>
            <w:tcW w:w="2920" w:type="dxa"/>
            <w:tcBorders>
              <w:right w:val="single" w:sz="4" w:space="0" w:color="auto"/>
            </w:tcBorders>
            <w:shd w:val="clear" w:color="auto" w:fill="auto"/>
          </w:tcPr>
          <w:p w14:paraId="02C46D89"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25</w:t>
            </w:r>
          </w:p>
        </w:tc>
      </w:tr>
      <w:tr w:rsidR="00EA0701" w:rsidRPr="00106559" w14:paraId="049E74A4" w14:textId="77777777" w:rsidTr="00994383">
        <w:trPr>
          <w:trHeight w:val="340"/>
        </w:trPr>
        <w:tc>
          <w:tcPr>
            <w:tcW w:w="3300" w:type="dxa"/>
            <w:tcBorders>
              <w:left w:val="single" w:sz="4" w:space="0" w:color="auto"/>
            </w:tcBorders>
            <w:shd w:val="clear" w:color="auto" w:fill="auto"/>
            <w:noWrap/>
            <w:hideMark/>
          </w:tcPr>
          <w:p w14:paraId="66727F85"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Highland</w:t>
            </w:r>
          </w:p>
        </w:tc>
        <w:tc>
          <w:tcPr>
            <w:tcW w:w="2920" w:type="dxa"/>
            <w:tcBorders>
              <w:right w:val="single" w:sz="4" w:space="0" w:color="auto"/>
            </w:tcBorders>
            <w:shd w:val="clear" w:color="auto" w:fill="auto"/>
            <w:noWrap/>
            <w:hideMark/>
          </w:tcPr>
          <w:p w14:paraId="5192F771"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270</w:t>
            </w:r>
          </w:p>
        </w:tc>
        <w:tc>
          <w:tcPr>
            <w:tcW w:w="2920" w:type="dxa"/>
            <w:tcBorders>
              <w:left w:val="single" w:sz="4" w:space="0" w:color="auto"/>
            </w:tcBorders>
            <w:shd w:val="clear" w:color="auto" w:fill="auto"/>
          </w:tcPr>
          <w:p w14:paraId="0E2B99FF"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Moray</w:t>
            </w:r>
          </w:p>
        </w:tc>
        <w:tc>
          <w:tcPr>
            <w:tcW w:w="2920" w:type="dxa"/>
            <w:tcBorders>
              <w:right w:val="single" w:sz="4" w:space="0" w:color="auto"/>
            </w:tcBorders>
            <w:shd w:val="clear" w:color="auto" w:fill="auto"/>
          </w:tcPr>
          <w:p w14:paraId="39BF8D59" w14:textId="77777777" w:rsidR="00EA0701" w:rsidRPr="00360B73" w:rsidRDefault="00EA0701" w:rsidP="00B13AF2">
            <w:pPr>
              <w:tabs>
                <w:tab w:val="right" w:pos="1379"/>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15</w:t>
            </w:r>
          </w:p>
        </w:tc>
      </w:tr>
      <w:tr w:rsidR="00EA0701" w:rsidRPr="00106559" w14:paraId="66459F6C" w14:textId="77777777" w:rsidTr="00994383">
        <w:trPr>
          <w:trHeight w:val="340"/>
        </w:trPr>
        <w:tc>
          <w:tcPr>
            <w:tcW w:w="3300" w:type="dxa"/>
            <w:tcBorders>
              <w:left w:val="single" w:sz="4" w:space="0" w:color="auto"/>
            </w:tcBorders>
            <w:shd w:val="clear" w:color="auto" w:fill="auto"/>
            <w:noWrap/>
            <w:hideMark/>
          </w:tcPr>
          <w:p w14:paraId="4DED5ADE" w14:textId="77777777" w:rsidR="00EA0701" w:rsidRPr="00360B73" w:rsidRDefault="00EA0701" w:rsidP="00B13AF2">
            <w:pPr>
              <w:rPr>
                <w:rFonts w:ascii="Titillium" w:eastAsia="Times New Roman" w:hAnsi="Titillium" w:cs="Arial"/>
                <w:color w:val="222222"/>
                <w:sz w:val="22"/>
                <w:lang w:eastAsia="en-GB"/>
              </w:rPr>
            </w:pPr>
            <w:r w:rsidRPr="00360B73">
              <w:rPr>
                <w:rFonts w:ascii="Titillium" w:eastAsia="Times New Roman" w:hAnsi="Titillium" w:cs="Arial"/>
                <w:color w:val="222222"/>
                <w:sz w:val="22"/>
                <w:lang w:eastAsia="en-GB"/>
              </w:rPr>
              <w:t>South Ayrshire</w:t>
            </w:r>
          </w:p>
        </w:tc>
        <w:tc>
          <w:tcPr>
            <w:tcW w:w="2920" w:type="dxa"/>
            <w:tcBorders>
              <w:right w:val="single" w:sz="4" w:space="0" w:color="auto"/>
            </w:tcBorders>
            <w:shd w:val="clear" w:color="auto" w:fill="auto"/>
            <w:noWrap/>
            <w:hideMark/>
          </w:tcPr>
          <w:p w14:paraId="25C3E5B2" w14:textId="77777777" w:rsidR="00EA0701" w:rsidRPr="00360B73" w:rsidRDefault="00EA0701" w:rsidP="00B13AF2">
            <w:pPr>
              <w:tabs>
                <w:tab w:val="right" w:pos="1407"/>
              </w:tabs>
              <w:rPr>
                <w:rFonts w:ascii="Titillium" w:eastAsia="Times New Roman" w:hAnsi="Titillium" w:cs="Arial"/>
                <w:color w:val="222222"/>
                <w:sz w:val="22"/>
                <w:lang w:eastAsia="en-GB"/>
              </w:rPr>
            </w:pPr>
            <w:r>
              <w:rPr>
                <w:rFonts w:ascii="Titillium" w:eastAsia="Times New Roman" w:hAnsi="Titillium" w:cs="Arial"/>
                <w:color w:val="222222"/>
                <w:sz w:val="22"/>
                <w:lang w:eastAsia="en-GB"/>
              </w:rPr>
              <w:tab/>
            </w:r>
            <w:r w:rsidRPr="00360B73">
              <w:rPr>
                <w:rFonts w:ascii="Titillium" w:eastAsia="Times New Roman" w:hAnsi="Titillium" w:cs="Arial"/>
                <w:color w:val="222222"/>
                <w:sz w:val="22"/>
                <w:lang w:eastAsia="en-GB"/>
              </w:rPr>
              <w:t>250</w:t>
            </w:r>
          </w:p>
        </w:tc>
        <w:tc>
          <w:tcPr>
            <w:tcW w:w="2920" w:type="dxa"/>
            <w:tcBorders>
              <w:left w:val="single" w:sz="4" w:space="0" w:color="auto"/>
            </w:tcBorders>
            <w:shd w:val="clear" w:color="auto" w:fill="auto"/>
          </w:tcPr>
          <w:p w14:paraId="674F987B" w14:textId="77777777" w:rsidR="00EA0701" w:rsidRPr="00360B73" w:rsidRDefault="00EA0701" w:rsidP="00B13AF2">
            <w:pPr>
              <w:rPr>
                <w:rFonts w:ascii="Titillium" w:eastAsia="Times New Roman" w:hAnsi="Titillium" w:cs="Arial"/>
                <w:color w:val="222222"/>
                <w:sz w:val="22"/>
                <w:lang w:eastAsia="en-GB"/>
              </w:rPr>
            </w:pPr>
          </w:p>
        </w:tc>
        <w:tc>
          <w:tcPr>
            <w:tcW w:w="2920" w:type="dxa"/>
            <w:tcBorders>
              <w:right w:val="single" w:sz="4" w:space="0" w:color="auto"/>
            </w:tcBorders>
            <w:shd w:val="clear" w:color="auto" w:fill="auto"/>
          </w:tcPr>
          <w:p w14:paraId="73999713" w14:textId="77777777" w:rsidR="00EA0701" w:rsidRPr="00360B73" w:rsidRDefault="00EA0701" w:rsidP="00B13AF2">
            <w:pPr>
              <w:tabs>
                <w:tab w:val="right" w:pos="1379"/>
              </w:tabs>
              <w:rPr>
                <w:rFonts w:ascii="Titillium" w:eastAsia="Times New Roman" w:hAnsi="Titillium" w:cs="Arial"/>
                <w:color w:val="222222"/>
                <w:sz w:val="22"/>
                <w:lang w:eastAsia="en-GB"/>
              </w:rPr>
            </w:pPr>
          </w:p>
        </w:tc>
      </w:tr>
      <w:tr w:rsidR="00EA0701" w:rsidRPr="00106559" w14:paraId="79E23B30" w14:textId="77777777" w:rsidTr="00994383">
        <w:trPr>
          <w:trHeight w:val="340"/>
        </w:trPr>
        <w:tc>
          <w:tcPr>
            <w:tcW w:w="3300" w:type="dxa"/>
            <w:tcBorders>
              <w:left w:val="single" w:sz="4" w:space="0" w:color="auto"/>
              <w:bottom w:val="single" w:sz="4" w:space="0" w:color="auto"/>
            </w:tcBorders>
            <w:shd w:val="clear" w:color="auto" w:fill="auto"/>
            <w:noWrap/>
            <w:hideMark/>
          </w:tcPr>
          <w:p w14:paraId="1801E541" w14:textId="77777777" w:rsidR="00EA0701" w:rsidRPr="00360B73" w:rsidRDefault="00EA0701" w:rsidP="00B13AF2">
            <w:pPr>
              <w:rPr>
                <w:rFonts w:ascii="Titillium" w:eastAsia="Times New Roman" w:hAnsi="Titillium" w:cs="Arial"/>
                <w:b/>
                <w:bCs/>
                <w:color w:val="31455E"/>
                <w:sz w:val="22"/>
                <w:lang w:eastAsia="en-GB"/>
              </w:rPr>
            </w:pPr>
            <w:r w:rsidRPr="00360B73">
              <w:rPr>
                <w:rFonts w:ascii="Titillium" w:eastAsia="Times New Roman" w:hAnsi="Titillium" w:cs="Arial"/>
                <w:b/>
                <w:bCs/>
                <w:color w:val="31455E"/>
                <w:sz w:val="22"/>
                <w:lang w:eastAsia="en-GB"/>
              </w:rPr>
              <w:t>Overall - Summary</w:t>
            </w:r>
          </w:p>
        </w:tc>
        <w:tc>
          <w:tcPr>
            <w:tcW w:w="2920" w:type="dxa"/>
            <w:tcBorders>
              <w:bottom w:val="single" w:sz="4" w:space="0" w:color="auto"/>
              <w:right w:val="single" w:sz="4" w:space="0" w:color="auto"/>
            </w:tcBorders>
            <w:shd w:val="clear" w:color="auto" w:fill="auto"/>
            <w:noWrap/>
            <w:hideMark/>
          </w:tcPr>
          <w:p w14:paraId="1BC49B20" w14:textId="77777777" w:rsidR="00EA0701" w:rsidRPr="00360B73" w:rsidRDefault="00EA0701" w:rsidP="00B13AF2">
            <w:pPr>
              <w:tabs>
                <w:tab w:val="right" w:pos="1832"/>
              </w:tabs>
              <w:jc w:val="right"/>
              <w:rPr>
                <w:rFonts w:ascii="Titillium" w:eastAsia="Times New Roman" w:hAnsi="Titillium" w:cs="Arial"/>
                <w:b/>
                <w:bCs/>
                <w:color w:val="31455E"/>
                <w:sz w:val="22"/>
                <w:lang w:eastAsia="en-GB"/>
              </w:rPr>
            </w:pPr>
          </w:p>
        </w:tc>
        <w:tc>
          <w:tcPr>
            <w:tcW w:w="2920" w:type="dxa"/>
            <w:tcBorders>
              <w:left w:val="single" w:sz="4" w:space="0" w:color="auto"/>
              <w:bottom w:val="single" w:sz="4" w:space="0" w:color="auto"/>
            </w:tcBorders>
            <w:shd w:val="clear" w:color="auto" w:fill="auto"/>
          </w:tcPr>
          <w:p w14:paraId="607FCA0E" w14:textId="77777777" w:rsidR="00EA0701" w:rsidRPr="00360B73" w:rsidRDefault="00EA0701" w:rsidP="00B13AF2">
            <w:pPr>
              <w:jc w:val="right"/>
              <w:rPr>
                <w:rFonts w:ascii="Titillium" w:eastAsia="Times New Roman" w:hAnsi="Titillium" w:cs="Arial"/>
                <w:b/>
                <w:bCs/>
                <w:color w:val="31455E"/>
                <w:sz w:val="22"/>
                <w:lang w:eastAsia="en-GB"/>
              </w:rPr>
            </w:pPr>
          </w:p>
        </w:tc>
        <w:tc>
          <w:tcPr>
            <w:tcW w:w="2920" w:type="dxa"/>
            <w:tcBorders>
              <w:bottom w:val="single" w:sz="4" w:space="0" w:color="auto"/>
              <w:right w:val="single" w:sz="4" w:space="0" w:color="auto"/>
            </w:tcBorders>
            <w:shd w:val="clear" w:color="auto" w:fill="auto"/>
          </w:tcPr>
          <w:p w14:paraId="2177541A" w14:textId="77777777" w:rsidR="00EA0701" w:rsidRPr="00360B73" w:rsidRDefault="00EA0701" w:rsidP="00B13AF2">
            <w:pPr>
              <w:tabs>
                <w:tab w:val="right" w:pos="1379"/>
              </w:tabs>
              <w:rPr>
                <w:rFonts w:ascii="Titillium" w:eastAsia="Times New Roman" w:hAnsi="Titillium" w:cs="Arial"/>
                <w:b/>
                <w:bCs/>
                <w:color w:val="31455E"/>
                <w:sz w:val="22"/>
                <w:lang w:eastAsia="en-GB"/>
              </w:rPr>
            </w:pPr>
            <w:r>
              <w:rPr>
                <w:rFonts w:ascii="Titillium" w:eastAsia="Times New Roman" w:hAnsi="Titillium" w:cs="Arial"/>
                <w:b/>
                <w:bCs/>
                <w:color w:val="31455E"/>
                <w:sz w:val="22"/>
                <w:lang w:eastAsia="en-GB"/>
              </w:rPr>
              <w:tab/>
            </w:r>
            <w:r w:rsidRPr="00360B73">
              <w:rPr>
                <w:rFonts w:ascii="Titillium" w:eastAsia="Times New Roman" w:hAnsi="Titillium" w:cs="Arial"/>
                <w:b/>
                <w:bCs/>
                <w:color w:val="31455E"/>
                <w:sz w:val="22"/>
                <w:lang w:eastAsia="en-GB"/>
              </w:rPr>
              <w:t>14,000</w:t>
            </w:r>
          </w:p>
        </w:tc>
      </w:tr>
    </w:tbl>
    <w:p w14:paraId="4381FD88" w14:textId="77777777" w:rsidR="00EA0701" w:rsidRDefault="00EA0701">
      <w:pPr>
        <w:spacing w:after="160" w:line="259" w:lineRule="auto"/>
        <w:rPr>
          <w:rFonts w:ascii="Titillium" w:hAnsi="Titillium"/>
          <w:b/>
          <w:color w:val="003366"/>
          <w:sz w:val="28"/>
          <w:lang w:val="en-GB"/>
        </w:rPr>
      </w:pPr>
      <w:r>
        <w:rPr>
          <w:rFonts w:ascii="Titillium" w:hAnsi="Titillium"/>
          <w:b/>
          <w:color w:val="003366"/>
          <w:sz w:val="28"/>
          <w:lang w:val="en-GB"/>
        </w:rPr>
        <w:br w:type="page"/>
      </w:r>
    </w:p>
    <w:p w14:paraId="5574B041" w14:textId="77777777" w:rsidR="00EA0701" w:rsidRPr="0044589F" w:rsidRDefault="00EA0701" w:rsidP="00EA0701">
      <w:pPr>
        <w:spacing w:after="160" w:line="259" w:lineRule="auto"/>
        <w:rPr>
          <w:rFonts w:ascii="Titillium" w:eastAsia="Arial Unicode MS" w:hAnsi="Titillium" w:cs="Arial Unicode MS"/>
          <w:sz w:val="20"/>
          <w:szCs w:val="24"/>
          <w:lang w:val="en-GB" w:eastAsia="en-GB"/>
        </w:rPr>
      </w:pPr>
      <w:r w:rsidRPr="0044589F">
        <w:rPr>
          <w:rFonts w:ascii="Titillium" w:eastAsia="Times New Roman" w:hAnsi="Titillium" w:cs="Arial"/>
          <w:b/>
          <w:bCs/>
          <w:color w:val="003366"/>
          <w:szCs w:val="28"/>
          <w:lang w:val="en-GB"/>
        </w:rPr>
        <w:lastRenderedPageBreak/>
        <w:t>Table C2</w:t>
      </w:r>
      <w:r w:rsidRPr="0044589F">
        <w:rPr>
          <w:rFonts w:ascii="Titillium" w:eastAsia="Times New Roman" w:hAnsi="Titillium" w:cs="Arial"/>
          <w:b/>
          <w:bCs/>
          <w:color w:val="003366"/>
          <w:szCs w:val="28"/>
          <w:lang w:val="en-GB"/>
        </w:rPr>
        <w:tab/>
        <w:t>Scottish Domiciled Undergraduate Entrants (SDUE) to Scottish HEIs, 2014/15, by deprivation quintile (HESA)</w:t>
      </w:r>
    </w:p>
    <w:tbl>
      <w:tblPr>
        <w:tblW w:w="102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40"/>
        <w:gridCol w:w="1417"/>
        <w:gridCol w:w="1417"/>
        <w:gridCol w:w="1417"/>
        <w:gridCol w:w="1644"/>
      </w:tblGrid>
      <w:tr w:rsidR="002F3EDF" w:rsidRPr="0044589F" w14:paraId="4C1BED70" w14:textId="77777777" w:rsidTr="002F3EDF">
        <w:trPr>
          <w:trHeight w:val="300"/>
        </w:trPr>
        <w:tc>
          <w:tcPr>
            <w:tcW w:w="4340" w:type="dxa"/>
            <w:tcBorders>
              <w:top w:val="single" w:sz="4" w:space="0" w:color="auto"/>
              <w:left w:val="single" w:sz="4" w:space="0" w:color="auto"/>
              <w:bottom w:val="single" w:sz="4" w:space="0" w:color="auto"/>
              <w:right w:val="nil"/>
            </w:tcBorders>
            <w:shd w:val="clear" w:color="auto" w:fill="auto"/>
            <w:noWrap/>
            <w:vAlign w:val="bottom"/>
            <w:hideMark/>
          </w:tcPr>
          <w:p w14:paraId="789A8C18" w14:textId="77777777" w:rsidR="002F3EDF" w:rsidRPr="0044589F" w:rsidRDefault="002F3EDF" w:rsidP="00B13AF2">
            <w:pPr>
              <w:spacing w:line="276" w:lineRule="auto"/>
              <w:rPr>
                <w:rFonts w:ascii="Titillium" w:eastAsia="Times New Roman" w:hAnsi="Titillium" w:cs="Arial"/>
                <w:b/>
                <w:color w:val="003366"/>
                <w:sz w:val="22"/>
                <w:szCs w:val="22"/>
                <w:lang w:val="en-GB" w:eastAsia="en-GB"/>
              </w:rPr>
            </w:pPr>
            <w:r w:rsidRPr="0044589F">
              <w:rPr>
                <w:rFonts w:ascii="Titillium" w:eastAsia="Times New Roman" w:hAnsi="Titillium" w:cs="Arial"/>
                <w:b/>
                <w:color w:val="003366"/>
                <w:sz w:val="22"/>
                <w:szCs w:val="22"/>
                <w:lang w:val="en-GB" w:eastAsia="en-GB"/>
              </w:rPr>
              <w:t>HEI</w:t>
            </w:r>
          </w:p>
        </w:tc>
        <w:tc>
          <w:tcPr>
            <w:tcW w:w="1417" w:type="dxa"/>
            <w:tcBorders>
              <w:top w:val="single" w:sz="4" w:space="0" w:color="auto"/>
              <w:left w:val="nil"/>
              <w:bottom w:val="single" w:sz="4" w:space="0" w:color="auto"/>
              <w:right w:val="nil"/>
            </w:tcBorders>
          </w:tcPr>
          <w:p w14:paraId="7E467D4C" w14:textId="106F7F03" w:rsidR="002F3EDF" w:rsidRPr="0044589F" w:rsidRDefault="00A17B13" w:rsidP="00A17B13">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SI</w:t>
            </w:r>
            <w:r w:rsidR="002F3EDF">
              <w:rPr>
                <w:rFonts w:ascii="Titillium" w:eastAsia="Times New Roman" w:hAnsi="Titillium" w:cs="Arial"/>
                <w:b/>
                <w:color w:val="003366"/>
                <w:sz w:val="22"/>
                <w:szCs w:val="22"/>
                <w:lang w:val="en-GB" w:eastAsia="en-GB"/>
              </w:rPr>
              <w:t>MD20</w:t>
            </w:r>
            <w:r w:rsidR="00112251">
              <w:rPr>
                <w:rFonts w:ascii="Titillium" w:eastAsia="Times New Roman" w:hAnsi="Titillium" w:cs="Arial"/>
                <w:b/>
                <w:color w:val="003366"/>
                <w:sz w:val="22"/>
                <w:szCs w:val="22"/>
                <w:lang w:val="en-GB" w:eastAsia="en-GB"/>
              </w:rPr>
              <w:t xml:space="preserve"> </w:t>
            </w:r>
          </w:p>
        </w:tc>
        <w:tc>
          <w:tcPr>
            <w:tcW w:w="1417" w:type="dxa"/>
            <w:tcBorders>
              <w:top w:val="single" w:sz="4" w:space="0" w:color="auto"/>
              <w:left w:val="nil"/>
              <w:bottom w:val="single" w:sz="4" w:space="0" w:color="auto"/>
              <w:right w:val="nil"/>
            </w:tcBorders>
          </w:tcPr>
          <w:p w14:paraId="2BD39D40" w14:textId="32FD20D8" w:rsidR="002F3EDF" w:rsidRPr="0044589F" w:rsidRDefault="002F3EDF" w:rsidP="00B13AF2">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Total SDUE</w:t>
            </w:r>
          </w:p>
        </w:tc>
        <w:tc>
          <w:tcPr>
            <w:tcW w:w="1417" w:type="dxa"/>
            <w:tcBorders>
              <w:top w:val="single" w:sz="4" w:space="0" w:color="auto"/>
              <w:left w:val="nil"/>
              <w:bottom w:val="single" w:sz="4" w:space="0" w:color="auto"/>
              <w:right w:val="nil"/>
            </w:tcBorders>
            <w:shd w:val="clear" w:color="auto" w:fill="auto"/>
            <w:noWrap/>
            <w:vAlign w:val="bottom"/>
            <w:hideMark/>
          </w:tcPr>
          <w:p w14:paraId="5BFD76CB" w14:textId="5EBAF03D" w:rsidR="002F3EDF" w:rsidRPr="0044589F" w:rsidRDefault="002F3EDF" w:rsidP="00B13AF2">
            <w:pPr>
              <w:spacing w:line="276" w:lineRule="auto"/>
              <w:jc w:val="right"/>
              <w:rPr>
                <w:rFonts w:ascii="Titillium" w:eastAsia="Times New Roman" w:hAnsi="Titillium" w:cs="Arial"/>
                <w:b/>
                <w:color w:val="003366"/>
                <w:sz w:val="22"/>
                <w:szCs w:val="22"/>
                <w:lang w:val="en-GB" w:eastAsia="en-GB"/>
              </w:rPr>
            </w:pPr>
            <w:r w:rsidRPr="0044589F">
              <w:rPr>
                <w:rFonts w:ascii="Titillium" w:eastAsia="Times New Roman" w:hAnsi="Titillium" w:cs="Arial"/>
                <w:b/>
                <w:color w:val="003366"/>
                <w:sz w:val="22"/>
                <w:szCs w:val="22"/>
                <w:lang w:val="en-GB" w:eastAsia="en-GB"/>
              </w:rPr>
              <w:t xml:space="preserve">% </w:t>
            </w:r>
            <w:r w:rsidR="00A17B13">
              <w:rPr>
                <w:rFonts w:ascii="Titillium" w:eastAsia="Times New Roman" w:hAnsi="Titillium" w:cs="Arial"/>
                <w:b/>
                <w:color w:val="003366"/>
                <w:sz w:val="22"/>
                <w:szCs w:val="22"/>
                <w:lang w:val="en-GB" w:eastAsia="en-GB"/>
              </w:rPr>
              <w:t>SI</w:t>
            </w:r>
            <w:r w:rsidRPr="0044589F">
              <w:rPr>
                <w:rFonts w:ascii="Titillium" w:eastAsia="Times New Roman" w:hAnsi="Titillium" w:cs="Arial"/>
                <w:b/>
                <w:color w:val="003366"/>
                <w:sz w:val="22"/>
                <w:szCs w:val="22"/>
                <w:lang w:val="en-GB" w:eastAsia="en-GB"/>
              </w:rPr>
              <w:t>MD 20</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25C3302D" w14:textId="449F40BB" w:rsidR="002F3EDF" w:rsidRPr="0044589F" w:rsidRDefault="002F3EDF" w:rsidP="00B13AF2">
            <w:pPr>
              <w:spacing w:line="276" w:lineRule="auto"/>
              <w:jc w:val="right"/>
              <w:rPr>
                <w:rFonts w:ascii="Titillium" w:eastAsia="Times New Roman" w:hAnsi="Titillium" w:cs="Arial"/>
                <w:b/>
                <w:color w:val="003366"/>
                <w:sz w:val="22"/>
                <w:szCs w:val="22"/>
                <w:lang w:val="en-GB" w:eastAsia="en-GB"/>
              </w:rPr>
            </w:pPr>
            <w:r w:rsidRPr="0044589F">
              <w:rPr>
                <w:rFonts w:ascii="Titillium" w:eastAsia="Times New Roman" w:hAnsi="Titillium" w:cs="Arial"/>
                <w:b/>
                <w:color w:val="003366"/>
                <w:sz w:val="22"/>
                <w:szCs w:val="22"/>
                <w:lang w:val="en-GB" w:eastAsia="en-GB"/>
              </w:rPr>
              <w:t xml:space="preserve">% </w:t>
            </w:r>
            <w:r w:rsidR="00A17B13">
              <w:rPr>
                <w:rFonts w:ascii="Titillium" w:eastAsia="Times New Roman" w:hAnsi="Titillium" w:cs="Arial"/>
                <w:b/>
                <w:color w:val="003366"/>
                <w:sz w:val="22"/>
                <w:szCs w:val="22"/>
                <w:lang w:val="en-GB" w:eastAsia="en-GB"/>
              </w:rPr>
              <w:t>SI</w:t>
            </w:r>
            <w:r w:rsidRPr="0044589F">
              <w:rPr>
                <w:rFonts w:ascii="Titillium" w:eastAsia="Times New Roman" w:hAnsi="Titillium" w:cs="Arial"/>
                <w:b/>
                <w:color w:val="003366"/>
                <w:sz w:val="22"/>
                <w:szCs w:val="22"/>
                <w:lang w:val="en-GB" w:eastAsia="en-GB"/>
              </w:rPr>
              <w:t>MD 0 to 40</w:t>
            </w:r>
          </w:p>
        </w:tc>
      </w:tr>
      <w:tr w:rsidR="002F3EDF" w:rsidRPr="0044589F" w14:paraId="6A35F727" w14:textId="77777777" w:rsidTr="002F3EDF">
        <w:trPr>
          <w:trHeight w:val="340"/>
        </w:trPr>
        <w:tc>
          <w:tcPr>
            <w:tcW w:w="4340" w:type="dxa"/>
            <w:tcBorders>
              <w:top w:val="single" w:sz="4" w:space="0" w:color="auto"/>
              <w:left w:val="single" w:sz="4" w:space="0" w:color="auto"/>
              <w:bottom w:val="nil"/>
              <w:right w:val="nil"/>
            </w:tcBorders>
            <w:shd w:val="clear" w:color="auto" w:fill="auto"/>
            <w:noWrap/>
            <w:vAlign w:val="bottom"/>
            <w:hideMark/>
          </w:tcPr>
          <w:p w14:paraId="6670B947"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Aberdeen, University of</w:t>
            </w:r>
          </w:p>
        </w:tc>
        <w:tc>
          <w:tcPr>
            <w:tcW w:w="1417" w:type="dxa"/>
            <w:tcBorders>
              <w:top w:val="single" w:sz="4" w:space="0" w:color="auto"/>
              <w:left w:val="nil"/>
              <w:bottom w:val="nil"/>
              <w:right w:val="nil"/>
            </w:tcBorders>
          </w:tcPr>
          <w:p w14:paraId="054C8E73" w14:textId="434B0237"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84</w:t>
            </w:r>
          </w:p>
        </w:tc>
        <w:tc>
          <w:tcPr>
            <w:tcW w:w="1417" w:type="dxa"/>
            <w:tcBorders>
              <w:top w:val="single" w:sz="4" w:space="0" w:color="auto"/>
              <w:left w:val="nil"/>
              <w:bottom w:val="nil"/>
              <w:right w:val="nil"/>
            </w:tcBorders>
          </w:tcPr>
          <w:p w14:paraId="0DD5F87D" w14:textId="030FC553"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523</w:t>
            </w:r>
          </w:p>
        </w:tc>
        <w:tc>
          <w:tcPr>
            <w:tcW w:w="1417" w:type="dxa"/>
            <w:tcBorders>
              <w:top w:val="single" w:sz="4" w:space="0" w:color="auto"/>
              <w:left w:val="nil"/>
              <w:bottom w:val="nil"/>
              <w:right w:val="nil"/>
            </w:tcBorders>
            <w:shd w:val="clear" w:color="auto" w:fill="auto"/>
            <w:noWrap/>
            <w:vAlign w:val="bottom"/>
            <w:hideMark/>
          </w:tcPr>
          <w:p w14:paraId="0D80BF99" w14:textId="704478AA"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5.5%</w:t>
            </w:r>
          </w:p>
        </w:tc>
        <w:tc>
          <w:tcPr>
            <w:tcW w:w="1644" w:type="dxa"/>
            <w:tcBorders>
              <w:top w:val="single" w:sz="4" w:space="0" w:color="auto"/>
              <w:left w:val="nil"/>
              <w:bottom w:val="nil"/>
              <w:right w:val="single" w:sz="4" w:space="0" w:color="auto"/>
            </w:tcBorders>
            <w:shd w:val="clear" w:color="auto" w:fill="auto"/>
            <w:noWrap/>
            <w:vAlign w:val="bottom"/>
            <w:hideMark/>
          </w:tcPr>
          <w:p w14:paraId="1F430C27"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15.7%</w:t>
            </w:r>
          </w:p>
        </w:tc>
      </w:tr>
      <w:tr w:rsidR="002F3EDF" w:rsidRPr="0044589F" w14:paraId="21B7F4CA"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33577BD8"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Abertay Dundee, University of</w:t>
            </w:r>
          </w:p>
        </w:tc>
        <w:tc>
          <w:tcPr>
            <w:tcW w:w="1417" w:type="dxa"/>
            <w:tcBorders>
              <w:top w:val="nil"/>
              <w:left w:val="nil"/>
              <w:bottom w:val="nil"/>
              <w:right w:val="nil"/>
            </w:tcBorders>
          </w:tcPr>
          <w:p w14:paraId="073C5676" w14:textId="2FA0D079"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139</w:t>
            </w:r>
          </w:p>
        </w:tc>
        <w:tc>
          <w:tcPr>
            <w:tcW w:w="1417" w:type="dxa"/>
            <w:tcBorders>
              <w:top w:val="nil"/>
              <w:left w:val="nil"/>
              <w:bottom w:val="nil"/>
              <w:right w:val="nil"/>
            </w:tcBorders>
          </w:tcPr>
          <w:p w14:paraId="7D338210" w14:textId="6F981E5C"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889</w:t>
            </w:r>
          </w:p>
        </w:tc>
        <w:tc>
          <w:tcPr>
            <w:tcW w:w="1417" w:type="dxa"/>
            <w:tcBorders>
              <w:top w:val="nil"/>
              <w:left w:val="nil"/>
              <w:bottom w:val="nil"/>
              <w:right w:val="nil"/>
            </w:tcBorders>
            <w:shd w:val="clear" w:color="auto" w:fill="auto"/>
            <w:noWrap/>
            <w:vAlign w:val="bottom"/>
            <w:hideMark/>
          </w:tcPr>
          <w:p w14:paraId="3E36DDCB" w14:textId="64AA8815"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15.7%</w:t>
            </w:r>
          </w:p>
        </w:tc>
        <w:tc>
          <w:tcPr>
            <w:tcW w:w="1644" w:type="dxa"/>
            <w:tcBorders>
              <w:top w:val="nil"/>
              <w:left w:val="nil"/>
              <w:bottom w:val="nil"/>
              <w:right w:val="single" w:sz="4" w:space="0" w:color="auto"/>
            </w:tcBorders>
            <w:shd w:val="clear" w:color="auto" w:fill="auto"/>
            <w:noWrap/>
            <w:vAlign w:val="bottom"/>
            <w:hideMark/>
          </w:tcPr>
          <w:p w14:paraId="59E783CB"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34.4%</w:t>
            </w:r>
          </w:p>
        </w:tc>
      </w:tr>
      <w:tr w:rsidR="002F3EDF" w:rsidRPr="0044589F" w14:paraId="6BDF7B58"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2936AE65"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Dundee, University of</w:t>
            </w:r>
          </w:p>
        </w:tc>
        <w:tc>
          <w:tcPr>
            <w:tcW w:w="1417" w:type="dxa"/>
            <w:tcBorders>
              <w:top w:val="nil"/>
              <w:left w:val="nil"/>
              <w:bottom w:val="nil"/>
              <w:right w:val="nil"/>
            </w:tcBorders>
          </w:tcPr>
          <w:p w14:paraId="5A8A6D47" w14:textId="476A794A"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319</w:t>
            </w:r>
          </w:p>
        </w:tc>
        <w:tc>
          <w:tcPr>
            <w:tcW w:w="1417" w:type="dxa"/>
            <w:tcBorders>
              <w:top w:val="nil"/>
              <w:left w:val="nil"/>
              <w:bottom w:val="nil"/>
              <w:right w:val="nil"/>
            </w:tcBorders>
          </w:tcPr>
          <w:p w14:paraId="0CC1395B" w14:textId="0F11C005"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007</w:t>
            </w:r>
          </w:p>
        </w:tc>
        <w:tc>
          <w:tcPr>
            <w:tcW w:w="1417" w:type="dxa"/>
            <w:tcBorders>
              <w:top w:val="nil"/>
              <w:left w:val="nil"/>
              <w:bottom w:val="nil"/>
              <w:right w:val="nil"/>
            </w:tcBorders>
            <w:shd w:val="clear" w:color="auto" w:fill="auto"/>
            <w:noWrap/>
            <w:vAlign w:val="bottom"/>
            <w:hideMark/>
          </w:tcPr>
          <w:p w14:paraId="31CD1755" w14:textId="3C11AA5B"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15.9%</w:t>
            </w:r>
          </w:p>
        </w:tc>
        <w:tc>
          <w:tcPr>
            <w:tcW w:w="1644" w:type="dxa"/>
            <w:tcBorders>
              <w:top w:val="nil"/>
              <w:left w:val="nil"/>
              <w:bottom w:val="nil"/>
              <w:right w:val="single" w:sz="4" w:space="0" w:color="auto"/>
            </w:tcBorders>
            <w:shd w:val="clear" w:color="auto" w:fill="auto"/>
            <w:noWrap/>
            <w:vAlign w:val="bottom"/>
            <w:hideMark/>
          </w:tcPr>
          <w:p w14:paraId="2404EC07"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35.5%</w:t>
            </w:r>
          </w:p>
        </w:tc>
      </w:tr>
      <w:tr w:rsidR="002F3EDF" w:rsidRPr="0044589F" w14:paraId="4A704938"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778BBEA6"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Napier University</w:t>
            </w:r>
          </w:p>
        </w:tc>
        <w:tc>
          <w:tcPr>
            <w:tcW w:w="1417" w:type="dxa"/>
            <w:tcBorders>
              <w:top w:val="nil"/>
              <w:left w:val="nil"/>
              <w:bottom w:val="nil"/>
              <w:right w:val="nil"/>
            </w:tcBorders>
          </w:tcPr>
          <w:p w14:paraId="0F29EB13" w14:textId="5ABBE2B9"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300</w:t>
            </w:r>
          </w:p>
        </w:tc>
        <w:tc>
          <w:tcPr>
            <w:tcW w:w="1417" w:type="dxa"/>
            <w:tcBorders>
              <w:top w:val="nil"/>
              <w:left w:val="nil"/>
              <w:bottom w:val="nil"/>
              <w:right w:val="nil"/>
            </w:tcBorders>
          </w:tcPr>
          <w:p w14:paraId="103E218E" w14:textId="37004281"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841</w:t>
            </w:r>
          </w:p>
        </w:tc>
        <w:tc>
          <w:tcPr>
            <w:tcW w:w="1417" w:type="dxa"/>
            <w:tcBorders>
              <w:top w:val="nil"/>
              <w:left w:val="nil"/>
              <w:bottom w:val="nil"/>
              <w:right w:val="nil"/>
            </w:tcBorders>
            <w:shd w:val="clear" w:color="auto" w:fill="auto"/>
            <w:noWrap/>
            <w:vAlign w:val="bottom"/>
            <w:hideMark/>
          </w:tcPr>
          <w:p w14:paraId="471DE4DC" w14:textId="6BC218CB"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10.6%</w:t>
            </w:r>
          </w:p>
        </w:tc>
        <w:tc>
          <w:tcPr>
            <w:tcW w:w="1644" w:type="dxa"/>
            <w:tcBorders>
              <w:top w:val="nil"/>
              <w:left w:val="nil"/>
              <w:bottom w:val="nil"/>
              <w:right w:val="single" w:sz="4" w:space="0" w:color="auto"/>
            </w:tcBorders>
            <w:shd w:val="clear" w:color="auto" w:fill="auto"/>
            <w:noWrap/>
            <w:vAlign w:val="bottom"/>
            <w:hideMark/>
          </w:tcPr>
          <w:p w14:paraId="60E19DD1"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27.0%</w:t>
            </w:r>
          </w:p>
        </w:tc>
      </w:tr>
      <w:tr w:rsidR="002F3EDF" w:rsidRPr="0044589F" w14:paraId="772FEA72"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50B5D191"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University of</w:t>
            </w:r>
          </w:p>
        </w:tc>
        <w:tc>
          <w:tcPr>
            <w:tcW w:w="1417" w:type="dxa"/>
            <w:tcBorders>
              <w:top w:val="nil"/>
              <w:left w:val="nil"/>
              <w:bottom w:val="nil"/>
              <w:right w:val="nil"/>
            </w:tcBorders>
          </w:tcPr>
          <w:p w14:paraId="6D5680E4" w14:textId="74F5C10D"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145</w:t>
            </w:r>
          </w:p>
        </w:tc>
        <w:tc>
          <w:tcPr>
            <w:tcW w:w="1417" w:type="dxa"/>
            <w:tcBorders>
              <w:top w:val="nil"/>
              <w:left w:val="nil"/>
              <w:bottom w:val="nil"/>
              <w:right w:val="nil"/>
            </w:tcBorders>
          </w:tcPr>
          <w:p w14:paraId="3FABD109" w14:textId="200432AC"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068</w:t>
            </w:r>
          </w:p>
        </w:tc>
        <w:tc>
          <w:tcPr>
            <w:tcW w:w="1417" w:type="dxa"/>
            <w:tcBorders>
              <w:top w:val="nil"/>
              <w:left w:val="nil"/>
              <w:bottom w:val="nil"/>
              <w:right w:val="nil"/>
            </w:tcBorders>
            <w:shd w:val="clear" w:color="auto" w:fill="auto"/>
            <w:noWrap/>
            <w:vAlign w:val="bottom"/>
            <w:hideMark/>
          </w:tcPr>
          <w:p w14:paraId="6A359AEA" w14:textId="3A99F72A"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7.0%</w:t>
            </w:r>
          </w:p>
        </w:tc>
        <w:tc>
          <w:tcPr>
            <w:tcW w:w="1644" w:type="dxa"/>
            <w:tcBorders>
              <w:top w:val="nil"/>
              <w:left w:val="nil"/>
              <w:bottom w:val="nil"/>
              <w:right w:val="single" w:sz="4" w:space="0" w:color="auto"/>
            </w:tcBorders>
            <w:shd w:val="clear" w:color="auto" w:fill="auto"/>
            <w:noWrap/>
            <w:vAlign w:val="bottom"/>
            <w:hideMark/>
          </w:tcPr>
          <w:p w14:paraId="2584EAC9"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18.9%</w:t>
            </w:r>
          </w:p>
        </w:tc>
      </w:tr>
      <w:tr w:rsidR="002F3EDF" w:rsidRPr="0044589F" w14:paraId="689CCC89"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044217EC"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Glasgow Caledonian University</w:t>
            </w:r>
          </w:p>
        </w:tc>
        <w:tc>
          <w:tcPr>
            <w:tcW w:w="1417" w:type="dxa"/>
            <w:tcBorders>
              <w:top w:val="nil"/>
              <w:left w:val="nil"/>
              <w:bottom w:val="nil"/>
              <w:right w:val="nil"/>
            </w:tcBorders>
          </w:tcPr>
          <w:p w14:paraId="2FC6B19F" w14:textId="12FBF481"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842</w:t>
            </w:r>
          </w:p>
        </w:tc>
        <w:tc>
          <w:tcPr>
            <w:tcW w:w="1417" w:type="dxa"/>
            <w:tcBorders>
              <w:top w:val="nil"/>
              <w:left w:val="nil"/>
              <w:bottom w:val="nil"/>
              <w:right w:val="nil"/>
            </w:tcBorders>
          </w:tcPr>
          <w:p w14:paraId="5297D17B" w14:textId="5C18A1DC"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4</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085</w:t>
            </w:r>
          </w:p>
        </w:tc>
        <w:tc>
          <w:tcPr>
            <w:tcW w:w="1417" w:type="dxa"/>
            <w:tcBorders>
              <w:top w:val="nil"/>
              <w:left w:val="nil"/>
              <w:bottom w:val="nil"/>
              <w:right w:val="nil"/>
            </w:tcBorders>
            <w:shd w:val="clear" w:color="auto" w:fill="auto"/>
            <w:noWrap/>
            <w:vAlign w:val="bottom"/>
            <w:hideMark/>
          </w:tcPr>
          <w:p w14:paraId="769C59A0" w14:textId="3D7F2AC0"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20.6%</w:t>
            </w:r>
          </w:p>
        </w:tc>
        <w:tc>
          <w:tcPr>
            <w:tcW w:w="1644" w:type="dxa"/>
            <w:tcBorders>
              <w:top w:val="nil"/>
              <w:left w:val="nil"/>
              <w:bottom w:val="nil"/>
              <w:right w:val="single" w:sz="4" w:space="0" w:color="auto"/>
            </w:tcBorders>
            <w:shd w:val="clear" w:color="auto" w:fill="auto"/>
            <w:noWrap/>
            <w:vAlign w:val="bottom"/>
            <w:hideMark/>
          </w:tcPr>
          <w:p w14:paraId="6727455C"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40.6%</w:t>
            </w:r>
          </w:p>
        </w:tc>
      </w:tr>
      <w:tr w:rsidR="002F3EDF" w:rsidRPr="0044589F" w14:paraId="6A3B01F3"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625F961C"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Glasgow School of Art</w:t>
            </w:r>
          </w:p>
        </w:tc>
        <w:tc>
          <w:tcPr>
            <w:tcW w:w="1417" w:type="dxa"/>
            <w:tcBorders>
              <w:top w:val="nil"/>
              <w:left w:val="nil"/>
              <w:bottom w:val="nil"/>
              <w:right w:val="nil"/>
            </w:tcBorders>
          </w:tcPr>
          <w:p w14:paraId="2A8266C0" w14:textId="66DFB82D"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42</w:t>
            </w:r>
          </w:p>
        </w:tc>
        <w:tc>
          <w:tcPr>
            <w:tcW w:w="1417" w:type="dxa"/>
            <w:tcBorders>
              <w:top w:val="nil"/>
              <w:left w:val="nil"/>
              <w:bottom w:val="nil"/>
              <w:right w:val="nil"/>
            </w:tcBorders>
          </w:tcPr>
          <w:p w14:paraId="762738F0" w14:textId="3584DF39"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183</w:t>
            </w:r>
          </w:p>
        </w:tc>
        <w:tc>
          <w:tcPr>
            <w:tcW w:w="1417" w:type="dxa"/>
            <w:tcBorders>
              <w:top w:val="nil"/>
              <w:left w:val="nil"/>
              <w:bottom w:val="nil"/>
              <w:right w:val="nil"/>
            </w:tcBorders>
            <w:shd w:val="clear" w:color="auto" w:fill="auto"/>
            <w:noWrap/>
            <w:vAlign w:val="bottom"/>
            <w:hideMark/>
          </w:tcPr>
          <w:p w14:paraId="080E910F" w14:textId="254C2B56"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23.0%</w:t>
            </w:r>
          </w:p>
        </w:tc>
        <w:tc>
          <w:tcPr>
            <w:tcW w:w="1644" w:type="dxa"/>
            <w:tcBorders>
              <w:top w:val="nil"/>
              <w:left w:val="nil"/>
              <w:bottom w:val="nil"/>
              <w:right w:val="single" w:sz="4" w:space="0" w:color="auto"/>
            </w:tcBorders>
            <w:shd w:val="clear" w:color="auto" w:fill="auto"/>
            <w:noWrap/>
            <w:vAlign w:val="bottom"/>
            <w:hideMark/>
          </w:tcPr>
          <w:p w14:paraId="31DF9A9B"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38.8%</w:t>
            </w:r>
          </w:p>
        </w:tc>
      </w:tr>
      <w:tr w:rsidR="002F3EDF" w:rsidRPr="0044589F" w14:paraId="0E9160EE"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74C6B8B7"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Glasgow, University of</w:t>
            </w:r>
          </w:p>
        </w:tc>
        <w:tc>
          <w:tcPr>
            <w:tcW w:w="1417" w:type="dxa"/>
            <w:tcBorders>
              <w:top w:val="nil"/>
              <w:left w:val="nil"/>
              <w:bottom w:val="nil"/>
              <w:right w:val="nil"/>
            </w:tcBorders>
          </w:tcPr>
          <w:p w14:paraId="6402A8C1" w14:textId="2FA982D8"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382</w:t>
            </w:r>
          </w:p>
        </w:tc>
        <w:tc>
          <w:tcPr>
            <w:tcW w:w="1417" w:type="dxa"/>
            <w:tcBorders>
              <w:top w:val="nil"/>
              <w:left w:val="nil"/>
              <w:bottom w:val="nil"/>
              <w:right w:val="nil"/>
            </w:tcBorders>
          </w:tcPr>
          <w:p w14:paraId="3F625BB7" w14:textId="380669A9"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778</w:t>
            </w:r>
          </w:p>
        </w:tc>
        <w:tc>
          <w:tcPr>
            <w:tcW w:w="1417" w:type="dxa"/>
            <w:tcBorders>
              <w:top w:val="nil"/>
              <w:left w:val="nil"/>
              <w:bottom w:val="nil"/>
              <w:right w:val="nil"/>
            </w:tcBorders>
            <w:shd w:val="clear" w:color="auto" w:fill="auto"/>
            <w:noWrap/>
            <w:vAlign w:val="bottom"/>
            <w:hideMark/>
          </w:tcPr>
          <w:p w14:paraId="06A944D6" w14:textId="59C03FF4"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13.9%</w:t>
            </w:r>
          </w:p>
        </w:tc>
        <w:tc>
          <w:tcPr>
            <w:tcW w:w="1644" w:type="dxa"/>
            <w:tcBorders>
              <w:top w:val="nil"/>
              <w:left w:val="nil"/>
              <w:bottom w:val="nil"/>
              <w:right w:val="single" w:sz="4" w:space="0" w:color="auto"/>
            </w:tcBorders>
            <w:shd w:val="clear" w:color="auto" w:fill="auto"/>
            <w:noWrap/>
            <w:vAlign w:val="bottom"/>
            <w:hideMark/>
          </w:tcPr>
          <w:p w14:paraId="26C27F10"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28.1%</w:t>
            </w:r>
          </w:p>
        </w:tc>
      </w:tr>
      <w:tr w:rsidR="002F3EDF" w:rsidRPr="0044589F" w14:paraId="3BA9704B"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7A405550"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Heriot-Watt University</w:t>
            </w:r>
          </w:p>
        </w:tc>
        <w:tc>
          <w:tcPr>
            <w:tcW w:w="1417" w:type="dxa"/>
            <w:tcBorders>
              <w:top w:val="nil"/>
              <w:left w:val="nil"/>
              <w:bottom w:val="nil"/>
              <w:right w:val="nil"/>
            </w:tcBorders>
          </w:tcPr>
          <w:p w14:paraId="0240C9BA" w14:textId="150D72E9"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137</w:t>
            </w:r>
          </w:p>
        </w:tc>
        <w:tc>
          <w:tcPr>
            <w:tcW w:w="1417" w:type="dxa"/>
            <w:tcBorders>
              <w:top w:val="nil"/>
              <w:left w:val="nil"/>
              <w:bottom w:val="nil"/>
              <w:right w:val="nil"/>
            </w:tcBorders>
          </w:tcPr>
          <w:p w14:paraId="3B3EC8AD" w14:textId="69105215"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175</w:t>
            </w:r>
          </w:p>
        </w:tc>
        <w:tc>
          <w:tcPr>
            <w:tcW w:w="1417" w:type="dxa"/>
            <w:tcBorders>
              <w:top w:val="nil"/>
              <w:left w:val="nil"/>
              <w:bottom w:val="nil"/>
              <w:right w:val="nil"/>
            </w:tcBorders>
            <w:shd w:val="clear" w:color="auto" w:fill="auto"/>
            <w:noWrap/>
            <w:vAlign w:val="bottom"/>
            <w:hideMark/>
          </w:tcPr>
          <w:p w14:paraId="1115C983" w14:textId="3B6560C9"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11.7%</w:t>
            </w:r>
          </w:p>
        </w:tc>
        <w:tc>
          <w:tcPr>
            <w:tcW w:w="1644" w:type="dxa"/>
            <w:tcBorders>
              <w:top w:val="nil"/>
              <w:left w:val="nil"/>
              <w:bottom w:val="nil"/>
              <w:right w:val="single" w:sz="4" w:space="0" w:color="auto"/>
            </w:tcBorders>
            <w:shd w:val="clear" w:color="auto" w:fill="auto"/>
            <w:noWrap/>
            <w:vAlign w:val="bottom"/>
            <w:hideMark/>
          </w:tcPr>
          <w:p w14:paraId="0BE06C5A"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28.8%</w:t>
            </w:r>
          </w:p>
        </w:tc>
      </w:tr>
      <w:tr w:rsidR="002F3EDF" w:rsidRPr="0044589F" w14:paraId="283997EB"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6E45BE8A"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Highlands and Islands, University of the</w:t>
            </w:r>
          </w:p>
        </w:tc>
        <w:tc>
          <w:tcPr>
            <w:tcW w:w="1417" w:type="dxa"/>
            <w:tcBorders>
              <w:top w:val="nil"/>
              <w:left w:val="nil"/>
              <w:bottom w:val="nil"/>
              <w:right w:val="nil"/>
            </w:tcBorders>
          </w:tcPr>
          <w:p w14:paraId="110E7CF3" w14:textId="3FFE1156"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288</w:t>
            </w:r>
          </w:p>
        </w:tc>
        <w:tc>
          <w:tcPr>
            <w:tcW w:w="1417" w:type="dxa"/>
            <w:tcBorders>
              <w:top w:val="nil"/>
              <w:left w:val="nil"/>
              <w:bottom w:val="nil"/>
              <w:right w:val="nil"/>
            </w:tcBorders>
          </w:tcPr>
          <w:p w14:paraId="4D01E539" w14:textId="3229D9BB"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325</w:t>
            </w:r>
          </w:p>
        </w:tc>
        <w:tc>
          <w:tcPr>
            <w:tcW w:w="1417" w:type="dxa"/>
            <w:tcBorders>
              <w:top w:val="nil"/>
              <w:left w:val="nil"/>
              <w:bottom w:val="nil"/>
              <w:right w:val="nil"/>
            </w:tcBorders>
            <w:shd w:val="clear" w:color="auto" w:fill="auto"/>
            <w:noWrap/>
            <w:vAlign w:val="bottom"/>
            <w:hideMark/>
          </w:tcPr>
          <w:p w14:paraId="04ABB769" w14:textId="72A55D86"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8.7%</w:t>
            </w:r>
          </w:p>
        </w:tc>
        <w:tc>
          <w:tcPr>
            <w:tcW w:w="1644" w:type="dxa"/>
            <w:tcBorders>
              <w:top w:val="nil"/>
              <w:left w:val="nil"/>
              <w:bottom w:val="nil"/>
              <w:right w:val="single" w:sz="4" w:space="0" w:color="auto"/>
            </w:tcBorders>
            <w:shd w:val="clear" w:color="auto" w:fill="auto"/>
            <w:noWrap/>
            <w:vAlign w:val="bottom"/>
            <w:hideMark/>
          </w:tcPr>
          <w:p w14:paraId="4AA7F39D"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27.1%</w:t>
            </w:r>
          </w:p>
        </w:tc>
      </w:tr>
      <w:tr w:rsidR="002F3EDF" w:rsidRPr="0044589F" w14:paraId="121E4AFB"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4485C998"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Queen Margaret University</w:t>
            </w:r>
          </w:p>
        </w:tc>
        <w:tc>
          <w:tcPr>
            <w:tcW w:w="1417" w:type="dxa"/>
            <w:tcBorders>
              <w:top w:val="nil"/>
              <w:left w:val="nil"/>
              <w:bottom w:val="nil"/>
              <w:right w:val="nil"/>
            </w:tcBorders>
          </w:tcPr>
          <w:p w14:paraId="5EC7777E" w14:textId="10EBEF08"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86</w:t>
            </w:r>
          </w:p>
        </w:tc>
        <w:tc>
          <w:tcPr>
            <w:tcW w:w="1417" w:type="dxa"/>
            <w:tcBorders>
              <w:top w:val="nil"/>
              <w:left w:val="nil"/>
              <w:bottom w:val="nil"/>
              <w:right w:val="nil"/>
            </w:tcBorders>
          </w:tcPr>
          <w:p w14:paraId="59B10679" w14:textId="5E271FA3"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757</w:t>
            </w:r>
          </w:p>
        </w:tc>
        <w:tc>
          <w:tcPr>
            <w:tcW w:w="1417" w:type="dxa"/>
            <w:tcBorders>
              <w:top w:val="nil"/>
              <w:left w:val="nil"/>
              <w:bottom w:val="nil"/>
              <w:right w:val="nil"/>
            </w:tcBorders>
            <w:shd w:val="clear" w:color="auto" w:fill="auto"/>
            <w:noWrap/>
            <w:vAlign w:val="bottom"/>
            <w:hideMark/>
          </w:tcPr>
          <w:p w14:paraId="5B93A109" w14:textId="5CC3AC2C"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11.4%</w:t>
            </w:r>
          </w:p>
        </w:tc>
        <w:tc>
          <w:tcPr>
            <w:tcW w:w="1644" w:type="dxa"/>
            <w:tcBorders>
              <w:top w:val="nil"/>
              <w:left w:val="nil"/>
              <w:bottom w:val="nil"/>
              <w:right w:val="single" w:sz="4" w:space="0" w:color="auto"/>
            </w:tcBorders>
            <w:shd w:val="clear" w:color="auto" w:fill="auto"/>
            <w:noWrap/>
            <w:vAlign w:val="bottom"/>
            <w:hideMark/>
          </w:tcPr>
          <w:p w14:paraId="4995C7C9"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29.6%</w:t>
            </w:r>
          </w:p>
        </w:tc>
      </w:tr>
      <w:tr w:rsidR="002F3EDF" w:rsidRPr="0044589F" w14:paraId="1787255D"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2F2F344F"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Robert Gordon University</w:t>
            </w:r>
          </w:p>
        </w:tc>
        <w:tc>
          <w:tcPr>
            <w:tcW w:w="1417" w:type="dxa"/>
            <w:tcBorders>
              <w:top w:val="nil"/>
              <w:left w:val="nil"/>
              <w:bottom w:val="nil"/>
              <w:right w:val="nil"/>
            </w:tcBorders>
          </w:tcPr>
          <w:p w14:paraId="24181D5C" w14:textId="463DB0C4"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163</w:t>
            </w:r>
          </w:p>
        </w:tc>
        <w:tc>
          <w:tcPr>
            <w:tcW w:w="1417" w:type="dxa"/>
            <w:tcBorders>
              <w:top w:val="nil"/>
              <w:left w:val="nil"/>
              <w:bottom w:val="nil"/>
              <w:right w:val="nil"/>
            </w:tcBorders>
          </w:tcPr>
          <w:p w14:paraId="293F2492" w14:textId="0A929635"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261</w:t>
            </w:r>
          </w:p>
        </w:tc>
        <w:tc>
          <w:tcPr>
            <w:tcW w:w="1417" w:type="dxa"/>
            <w:tcBorders>
              <w:top w:val="nil"/>
              <w:left w:val="nil"/>
              <w:bottom w:val="nil"/>
              <w:right w:val="nil"/>
            </w:tcBorders>
            <w:shd w:val="clear" w:color="auto" w:fill="auto"/>
            <w:noWrap/>
            <w:vAlign w:val="bottom"/>
            <w:hideMark/>
          </w:tcPr>
          <w:p w14:paraId="40F68C39" w14:textId="77523EC6"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7.2%</w:t>
            </w:r>
          </w:p>
        </w:tc>
        <w:tc>
          <w:tcPr>
            <w:tcW w:w="1644" w:type="dxa"/>
            <w:tcBorders>
              <w:top w:val="nil"/>
              <w:left w:val="nil"/>
              <w:bottom w:val="nil"/>
              <w:right w:val="single" w:sz="4" w:space="0" w:color="auto"/>
            </w:tcBorders>
            <w:shd w:val="clear" w:color="auto" w:fill="auto"/>
            <w:noWrap/>
            <w:vAlign w:val="bottom"/>
            <w:hideMark/>
          </w:tcPr>
          <w:p w14:paraId="4D6E3229"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17.5%</w:t>
            </w:r>
          </w:p>
        </w:tc>
      </w:tr>
      <w:tr w:rsidR="002F3EDF" w:rsidRPr="0044589F" w14:paraId="224A5894"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36B12BCA"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Royal Conservatoire of Scotland</w:t>
            </w:r>
          </w:p>
        </w:tc>
        <w:tc>
          <w:tcPr>
            <w:tcW w:w="1417" w:type="dxa"/>
            <w:tcBorders>
              <w:top w:val="nil"/>
              <w:left w:val="nil"/>
              <w:bottom w:val="nil"/>
              <w:right w:val="nil"/>
            </w:tcBorders>
          </w:tcPr>
          <w:p w14:paraId="2EEC1C69" w14:textId="47B32525"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12</w:t>
            </w:r>
          </w:p>
        </w:tc>
        <w:tc>
          <w:tcPr>
            <w:tcW w:w="1417" w:type="dxa"/>
            <w:tcBorders>
              <w:top w:val="nil"/>
              <w:left w:val="nil"/>
              <w:bottom w:val="nil"/>
              <w:right w:val="nil"/>
            </w:tcBorders>
          </w:tcPr>
          <w:p w14:paraId="7A10E519" w14:textId="71E5F3ED"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148</w:t>
            </w:r>
          </w:p>
        </w:tc>
        <w:tc>
          <w:tcPr>
            <w:tcW w:w="1417" w:type="dxa"/>
            <w:tcBorders>
              <w:top w:val="nil"/>
              <w:left w:val="nil"/>
              <w:bottom w:val="nil"/>
              <w:right w:val="nil"/>
            </w:tcBorders>
            <w:shd w:val="clear" w:color="auto" w:fill="auto"/>
            <w:noWrap/>
            <w:vAlign w:val="bottom"/>
            <w:hideMark/>
          </w:tcPr>
          <w:p w14:paraId="45E9B767" w14:textId="766ACB94"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8.1%</w:t>
            </w:r>
          </w:p>
        </w:tc>
        <w:tc>
          <w:tcPr>
            <w:tcW w:w="1644" w:type="dxa"/>
            <w:tcBorders>
              <w:top w:val="nil"/>
              <w:left w:val="nil"/>
              <w:bottom w:val="nil"/>
              <w:right w:val="single" w:sz="4" w:space="0" w:color="auto"/>
            </w:tcBorders>
            <w:shd w:val="clear" w:color="auto" w:fill="auto"/>
            <w:noWrap/>
            <w:vAlign w:val="bottom"/>
            <w:hideMark/>
          </w:tcPr>
          <w:p w14:paraId="322DCE26"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24.3%</w:t>
            </w:r>
          </w:p>
        </w:tc>
      </w:tr>
      <w:tr w:rsidR="002F3EDF" w:rsidRPr="0044589F" w14:paraId="69719DC1"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1934F844" w14:textId="3E95851B" w:rsidR="002F3EDF" w:rsidRPr="0044589F" w:rsidRDefault="002F3EDF" w:rsidP="004D0ABE">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Scot</w:t>
            </w:r>
            <w:r w:rsidR="004D0ABE">
              <w:rPr>
                <w:rFonts w:ascii="Titillium" w:eastAsia="Times New Roman" w:hAnsi="Titillium" w:cs="Arial"/>
                <w:sz w:val="22"/>
                <w:szCs w:val="22"/>
                <w:lang w:val="en-GB"/>
              </w:rPr>
              <w:t>land’s Rural College</w:t>
            </w:r>
            <w:r w:rsidR="001A4085">
              <w:rPr>
                <w:rFonts w:ascii="Titillium" w:eastAsia="Times New Roman" w:hAnsi="Titillium" w:cs="Arial"/>
                <w:sz w:val="22"/>
                <w:szCs w:val="22"/>
                <w:lang w:val="en-GB"/>
              </w:rPr>
              <w:t xml:space="preserve"> (SRUC)</w:t>
            </w:r>
          </w:p>
        </w:tc>
        <w:tc>
          <w:tcPr>
            <w:tcW w:w="1417" w:type="dxa"/>
            <w:tcBorders>
              <w:top w:val="nil"/>
              <w:left w:val="nil"/>
              <w:bottom w:val="nil"/>
              <w:right w:val="nil"/>
            </w:tcBorders>
          </w:tcPr>
          <w:p w14:paraId="3CAFCA04" w14:textId="3EA4E365"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102</w:t>
            </w:r>
          </w:p>
        </w:tc>
        <w:tc>
          <w:tcPr>
            <w:tcW w:w="1417" w:type="dxa"/>
            <w:tcBorders>
              <w:top w:val="nil"/>
              <w:left w:val="nil"/>
              <w:bottom w:val="nil"/>
              <w:right w:val="nil"/>
            </w:tcBorders>
          </w:tcPr>
          <w:p w14:paraId="163E04E4" w14:textId="1DCBB2E0"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892</w:t>
            </w:r>
          </w:p>
        </w:tc>
        <w:tc>
          <w:tcPr>
            <w:tcW w:w="1417" w:type="dxa"/>
            <w:tcBorders>
              <w:top w:val="nil"/>
              <w:left w:val="nil"/>
              <w:bottom w:val="nil"/>
              <w:right w:val="nil"/>
            </w:tcBorders>
            <w:shd w:val="clear" w:color="auto" w:fill="auto"/>
            <w:noWrap/>
            <w:vAlign w:val="bottom"/>
            <w:hideMark/>
          </w:tcPr>
          <w:p w14:paraId="2024FBA8" w14:textId="7531E57E"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11.5%</w:t>
            </w:r>
          </w:p>
        </w:tc>
        <w:tc>
          <w:tcPr>
            <w:tcW w:w="1644" w:type="dxa"/>
            <w:tcBorders>
              <w:top w:val="nil"/>
              <w:left w:val="nil"/>
              <w:bottom w:val="nil"/>
              <w:right w:val="single" w:sz="4" w:space="0" w:color="auto"/>
            </w:tcBorders>
            <w:shd w:val="clear" w:color="auto" w:fill="auto"/>
            <w:noWrap/>
            <w:vAlign w:val="bottom"/>
            <w:hideMark/>
          </w:tcPr>
          <w:p w14:paraId="45D7234A"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27.2%</w:t>
            </w:r>
          </w:p>
        </w:tc>
      </w:tr>
      <w:tr w:rsidR="002F3EDF" w:rsidRPr="0044589F" w14:paraId="2AA9C7BC"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46BDE714"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St Andrews, University of</w:t>
            </w:r>
          </w:p>
        </w:tc>
        <w:tc>
          <w:tcPr>
            <w:tcW w:w="1417" w:type="dxa"/>
            <w:tcBorders>
              <w:top w:val="nil"/>
              <w:left w:val="nil"/>
              <w:bottom w:val="nil"/>
              <w:right w:val="nil"/>
            </w:tcBorders>
          </w:tcPr>
          <w:p w14:paraId="10CA4037" w14:textId="56B46332"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38</w:t>
            </w:r>
          </w:p>
        </w:tc>
        <w:tc>
          <w:tcPr>
            <w:tcW w:w="1417" w:type="dxa"/>
            <w:tcBorders>
              <w:top w:val="nil"/>
              <w:left w:val="nil"/>
              <w:bottom w:val="nil"/>
              <w:right w:val="nil"/>
            </w:tcBorders>
          </w:tcPr>
          <w:p w14:paraId="2F672197" w14:textId="2A9A04E2"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733</w:t>
            </w:r>
          </w:p>
        </w:tc>
        <w:tc>
          <w:tcPr>
            <w:tcW w:w="1417" w:type="dxa"/>
            <w:tcBorders>
              <w:top w:val="nil"/>
              <w:left w:val="nil"/>
              <w:bottom w:val="nil"/>
              <w:right w:val="nil"/>
            </w:tcBorders>
            <w:shd w:val="clear" w:color="auto" w:fill="auto"/>
            <w:noWrap/>
            <w:vAlign w:val="bottom"/>
            <w:hideMark/>
          </w:tcPr>
          <w:p w14:paraId="7E56CEAB" w14:textId="644E6AE1"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5.2%</w:t>
            </w:r>
          </w:p>
        </w:tc>
        <w:tc>
          <w:tcPr>
            <w:tcW w:w="1644" w:type="dxa"/>
            <w:tcBorders>
              <w:top w:val="nil"/>
              <w:left w:val="nil"/>
              <w:bottom w:val="nil"/>
              <w:right w:val="single" w:sz="4" w:space="0" w:color="auto"/>
            </w:tcBorders>
            <w:shd w:val="clear" w:color="auto" w:fill="auto"/>
            <w:noWrap/>
            <w:vAlign w:val="bottom"/>
            <w:hideMark/>
          </w:tcPr>
          <w:p w14:paraId="63435F3E"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14.1%</w:t>
            </w:r>
          </w:p>
        </w:tc>
      </w:tr>
      <w:tr w:rsidR="002F3EDF" w:rsidRPr="0044589F" w14:paraId="38B7CC08"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4E603496"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Stirling, University of</w:t>
            </w:r>
          </w:p>
        </w:tc>
        <w:tc>
          <w:tcPr>
            <w:tcW w:w="1417" w:type="dxa"/>
            <w:tcBorders>
              <w:top w:val="nil"/>
              <w:left w:val="nil"/>
              <w:bottom w:val="nil"/>
              <w:right w:val="nil"/>
            </w:tcBorders>
          </w:tcPr>
          <w:p w14:paraId="508E8484" w14:textId="614E5645"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279</w:t>
            </w:r>
          </w:p>
        </w:tc>
        <w:tc>
          <w:tcPr>
            <w:tcW w:w="1417" w:type="dxa"/>
            <w:tcBorders>
              <w:top w:val="nil"/>
              <w:left w:val="nil"/>
              <w:bottom w:val="nil"/>
              <w:right w:val="nil"/>
            </w:tcBorders>
          </w:tcPr>
          <w:p w14:paraId="341289A2" w14:textId="3499165E"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963</w:t>
            </w:r>
          </w:p>
        </w:tc>
        <w:tc>
          <w:tcPr>
            <w:tcW w:w="1417" w:type="dxa"/>
            <w:tcBorders>
              <w:top w:val="nil"/>
              <w:left w:val="nil"/>
              <w:bottom w:val="nil"/>
              <w:right w:val="nil"/>
            </w:tcBorders>
            <w:shd w:val="clear" w:color="auto" w:fill="auto"/>
            <w:noWrap/>
            <w:vAlign w:val="bottom"/>
            <w:hideMark/>
          </w:tcPr>
          <w:p w14:paraId="5BCE4EA9" w14:textId="22806E41"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14.2%</w:t>
            </w:r>
          </w:p>
        </w:tc>
        <w:tc>
          <w:tcPr>
            <w:tcW w:w="1644" w:type="dxa"/>
            <w:tcBorders>
              <w:top w:val="nil"/>
              <w:left w:val="nil"/>
              <w:bottom w:val="nil"/>
              <w:right w:val="single" w:sz="4" w:space="0" w:color="auto"/>
            </w:tcBorders>
            <w:shd w:val="clear" w:color="auto" w:fill="auto"/>
            <w:noWrap/>
            <w:vAlign w:val="bottom"/>
            <w:hideMark/>
          </w:tcPr>
          <w:p w14:paraId="14AC8004"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34.7%</w:t>
            </w:r>
          </w:p>
        </w:tc>
      </w:tr>
      <w:tr w:rsidR="002F3EDF" w:rsidRPr="0044589F" w14:paraId="770F2684"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7E1B19AE"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Strathclyde, University of</w:t>
            </w:r>
          </w:p>
        </w:tc>
        <w:tc>
          <w:tcPr>
            <w:tcW w:w="1417" w:type="dxa"/>
            <w:tcBorders>
              <w:top w:val="nil"/>
              <w:left w:val="nil"/>
              <w:bottom w:val="nil"/>
              <w:right w:val="nil"/>
            </w:tcBorders>
          </w:tcPr>
          <w:p w14:paraId="426A913A" w14:textId="15507E7E"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417</w:t>
            </w:r>
          </w:p>
        </w:tc>
        <w:tc>
          <w:tcPr>
            <w:tcW w:w="1417" w:type="dxa"/>
            <w:tcBorders>
              <w:top w:val="nil"/>
              <w:left w:val="nil"/>
              <w:bottom w:val="nil"/>
              <w:right w:val="nil"/>
            </w:tcBorders>
          </w:tcPr>
          <w:p w14:paraId="40592887" w14:textId="6FFBE6F1"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134</w:t>
            </w:r>
          </w:p>
        </w:tc>
        <w:tc>
          <w:tcPr>
            <w:tcW w:w="1417" w:type="dxa"/>
            <w:tcBorders>
              <w:top w:val="nil"/>
              <w:left w:val="nil"/>
              <w:bottom w:val="nil"/>
              <w:right w:val="nil"/>
            </w:tcBorders>
            <w:shd w:val="clear" w:color="auto" w:fill="auto"/>
            <w:noWrap/>
            <w:vAlign w:val="bottom"/>
            <w:hideMark/>
          </w:tcPr>
          <w:p w14:paraId="70B5330D" w14:textId="4636D368"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13.5%</w:t>
            </w:r>
          </w:p>
        </w:tc>
        <w:tc>
          <w:tcPr>
            <w:tcW w:w="1644" w:type="dxa"/>
            <w:tcBorders>
              <w:top w:val="nil"/>
              <w:left w:val="nil"/>
              <w:bottom w:val="nil"/>
              <w:right w:val="single" w:sz="4" w:space="0" w:color="auto"/>
            </w:tcBorders>
            <w:shd w:val="clear" w:color="auto" w:fill="auto"/>
            <w:noWrap/>
            <w:vAlign w:val="bottom"/>
            <w:hideMark/>
          </w:tcPr>
          <w:p w14:paraId="727469E3"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28.0%</w:t>
            </w:r>
          </w:p>
        </w:tc>
      </w:tr>
      <w:tr w:rsidR="002F3EDF" w:rsidRPr="0044589F" w14:paraId="5B8884E6" w14:textId="77777777" w:rsidTr="002F3EDF">
        <w:trPr>
          <w:trHeight w:val="340"/>
        </w:trPr>
        <w:tc>
          <w:tcPr>
            <w:tcW w:w="4340" w:type="dxa"/>
            <w:tcBorders>
              <w:top w:val="nil"/>
              <w:left w:val="single" w:sz="4" w:space="0" w:color="auto"/>
              <w:bottom w:val="nil"/>
              <w:right w:val="nil"/>
            </w:tcBorders>
            <w:shd w:val="clear" w:color="auto" w:fill="auto"/>
            <w:noWrap/>
            <w:vAlign w:val="bottom"/>
            <w:hideMark/>
          </w:tcPr>
          <w:p w14:paraId="1B459C4D" w14:textId="77777777" w:rsidR="002F3EDF" w:rsidRPr="0044589F" w:rsidRDefault="002F3EDF" w:rsidP="00B13AF2">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West of Scotland, University of the</w:t>
            </w:r>
          </w:p>
        </w:tc>
        <w:tc>
          <w:tcPr>
            <w:tcW w:w="1417" w:type="dxa"/>
            <w:tcBorders>
              <w:top w:val="nil"/>
              <w:left w:val="nil"/>
              <w:bottom w:val="nil"/>
              <w:right w:val="nil"/>
            </w:tcBorders>
          </w:tcPr>
          <w:p w14:paraId="2665B540" w14:textId="4C11710E"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1077</w:t>
            </w:r>
          </w:p>
        </w:tc>
        <w:tc>
          <w:tcPr>
            <w:tcW w:w="1417" w:type="dxa"/>
            <w:tcBorders>
              <w:top w:val="nil"/>
              <w:left w:val="nil"/>
              <w:bottom w:val="nil"/>
              <w:right w:val="nil"/>
            </w:tcBorders>
          </w:tcPr>
          <w:p w14:paraId="10D88E96" w14:textId="2DD7A0BD" w:rsidR="002F3EDF" w:rsidRPr="0044589F" w:rsidRDefault="002F3EDF" w:rsidP="00B13AF2">
            <w:pPr>
              <w:jc w:val="right"/>
              <w:rPr>
                <w:rFonts w:ascii="Titillium" w:eastAsia="Times New Roman" w:hAnsi="Titillium" w:cs="Arial"/>
                <w:sz w:val="22"/>
                <w:szCs w:val="22"/>
                <w:lang w:val="en-GB"/>
              </w:rPr>
            </w:pPr>
            <w:r>
              <w:rPr>
                <w:rFonts w:ascii="Titillium" w:eastAsia="Times New Roman" w:hAnsi="Titillium" w:cs="Arial"/>
                <w:sz w:val="22"/>
                <w:szCs w:val="22"/>
                <w:lang w:val="en-GB"/>
              </w:rPr>
              <w:t>3</w:t>
            </w:r>
            <w:r w:rsidR="00FD41F1">
              <w:rPr>
                <w:rFonts w:ascii="Titillium" w:eastAsia="Times New Roman" w:hAnsi="Titillium" w:cs="Arial"/>
                <w:sz w:val="22"/>
                <w:szCs w:val="22"/>
                <w:lang w:val="en-GB"/>
              </w:rPr>
              <w:t>,</w:t>
            </w:r>
            <w:r>
              <w:rPr>
                <w:rFonts w:ascii="Titillium" w:eastAsia="Times New Roman" w:hAnsi="Titillium" w:cs="Arial"/>
                <w:sz w:val="22"/>
                <w:szCs w:val="22"/>
                <w:lang w:val="en-GB"/>
              </w:rPr>
              <w:t>793</w:t>
            </w:r>
          </w:p>
        </w:tc>
        <w:tc>
          <w:tcPr>
            <w:tcW w:w="1417" w:type="dxa"/>
            <w:tcBorders>
              <w:top w:val="nil"/>
              <w:left w:val="nil"/>
              <w:bottom w:val="nil"/>
              <w:right w:val="nil"/>
            </w:tcBorders>
            <w:shd w:val="clear" w:color="auto" w:fill="auto"/>
            <w:noWrap/>
            <w:vAlign w:val="bottom"/>
            <w:hideMark/>
          </w:tcPr>
          <w:p w14:paraId="588A03AC" w14:textId="3774A487" w:rsidR="002F3EDF" w:rsidRPr="0044589F" w:rsidRDefault="002F3EDF" w:rsidP="00B13AF2">
            <w:pPr>
              <w:jc w:val="right"/>
              <w:rPr>
                <w:rFonts w:ascii="Titillium" w:eastAsia="Times New Roman" w:hAnsi="Titillium" w:cs="Arial"/>
                <w:sz w:val="22"/>
                <w:szCs w:val="22"/>
                <w:lang w:val="en-GB"/>
              </w:rPr>
            </w:pPr>
            <w:r w:rsidRPr="0044589F">
              <w:rPr>
                <w:rFonts w:ascii="Titillium" w:eastAsia="Times New Roman" w:hAnsi="Titillium" w:cs="Arial"/>
                <w:sz w:val="22"/>
                <w:szCs w:val="22"/>
                <w:lang w:val="en-GB"/>
              </w:rPr>
              <w:t>28.5%</w:t>
            </w:r>
          </w:p>
        </w:tc>
        <w:tc>
          <w:tcPr>
            <w:tcW w:w="1644" w:type="dxa"/>
            <w:tcBorders>
              <w:top w:val="nil"/>
              <w:left w:val="nil"/>
              <w:bottom w:val="nil"/>
              <w:right w:val="single" w:sz="4" w:space="0" w:color="auto"/>
            </w:tcBorders>
            <w:shd w:val="clear" w:color="auto" w:fill="auto"/>
            <w:noWrap/>
            <w:vAlign w:val="bottom"/>
            <w:hideMark/>
          </w:tcPr>
          <w:p w14:paraId="41BBC52F" w14:textId="77777777" w:rsidR="002F3EDF" w:rsidRPr="0044589F" w:rsidRDefault="002F3EDF" w:rsidP="00B13AF2">
            <w:pPr>
              <w:tabs>
                <w:tab w:val="right" w:pos="1218"/>
              </w:tabs>
              <w:rPr>
                <w:rFonts w:ascii="Titillium" w:eastAsia="Times New Roman" w:hAnsi="Titillium" w:cs="Arial"/>
                <w:sz w:val="22"/>
                <w:szCs w:val="22"/>
                <w:lang w:val="en-GB"/>
              </w:rPr>
            </w:pPr>
            <w:r>
              <w:rPr>
                <w:rFonts w:ascii="Titillium" w:eastAsia="Times New Roman" w:hAnsi="Titillium" w:cs="Arial"/>
                <w:sz w:val="22"/>
                <w:szCs w:val="22"/>
                <w:lang w:val="en-GB"/>
              </w:rPr>
              <w:tab/>
            </w:r>
            <w:r w:rsidRPr="0044589F">
              <w:rPr>
                <w:rFonts w:ascii="Titillium" w:eastAsia="Times New Roman" w:hAnsi="Titillium" w:cs="Arial"/>
                <w:sz w:val="22"/>
                <w:szCs w:val="22"/>
                <w:lang w:val="en-GB"/>
              </w:rPr>
              <w:t>50.8%</w:t>
            </w:r>
          </w:p>
        </w:tc>
      </w:tr>
      <w:tr w:rsidR="002F3EDF" w:rsidRPr="0044589F" w14:paraId="1215FA8A" w14:textId="77777777" w:rsidTr="002F3EDF">
        <w:trPr>
          <w:trHeight w:val="340"/>
        </w:trPr>
        <w:tc>
          <w:tcPr>
            <w:tcW w:w="4340" w:type="dxa"/>
            <w:tcBorders>
              <w:top w:val="nil"/>
              <w:left w:val="single" w:sz="4" w:space="0" w:color="auto"/>
              <w:bottom w:val="single" w:sz="4" w:space="0" w:color="auto"/>
              <w:right w:val="nil"/>
            </w:tcBorders>
            <w:shd w:val="clear" w:color="auto" w:fill="auto"/>
            <w:noWrap/>
            <w:vAlign w:val="bottom"/>
            <w:hideMark/>
          </w:tcPr>
          <w:p w14:paraId="1F5F49D1" w14:textId="77777777" w:rsidR="002F3EDF" w:rsidRPr="0044589F" w:rsidRDefault="002F3EDF" w:rsidP="00B13AF2">
            <w:pPr>
              <w:jc w:val="both"/>
              <w:rPr>
                <w:rFonts w:ascii="Titillium" w:eastAsia="Times New Roman" w:hAnsi="Titillium" w:cs="Arial"/>
                <w:b/>
                <w:i/>
                <w:sz w:val="22"/>
                <w:szCs w:val="22"/>
                <w:lang w:val="en-GB"/>
              </w:rPr>
            </w:pPr>
            <w:r w:rsidRPr="0044589F">
              <w:rPr>
                <w:rFonts w:ascii="Titillium" w:eastAsia="Times New Roman" w:hAnsi="Titillium" w:cs="Arial"/>
                <w:b/>
                <w:i/>
                <w:sz w:val="22"/>
                <w:szCs w:val="22"/>
                <w:lang w:val="en-GB"/>
              </w:rPr>
              <w:t>Sector</w:t>
            </w:r>
          </w:p>
        </w:tc>
        <w:tc>
          <w:tcPr>
            <w:tcW w:w="1417" w:type="dxa"/>
            <w:tcBorders>
              <w:top w:val="nil"/>
              <w:left w:val="nil"/>
              <w:bottom w:val="single" w:sz="4" w:space="0" w:color="auto"/>
              <w:right w:val="nil"/>
            </w:tcBorders>
          </w:tcPr>
          <w:p w14:paraId="0A465E66" w14:textId="542AF249" w:rsidR="002F3EDF" w:rsidRPr="0044589F" w:rsidRDefault="002F3EDF" w:rsidP="00B13AF2">
            <w:pPr>
              <w:jc w:val="right"/>
              <w:rPr>
                <w:rFonts w:ascii="Titillium" w:eastAsia="Times New Roman" w:hAnsi="Titillium" w:cs="Arial"/>
                <w:b/>
                <w:i/>
                <w:sz w:val="22"/>
                <w:szCs w:val="22"/>
                <w:lang w:val="en-GB"/>
              </w:rPr>
            </w:pPr>
            <w:r>
              <w:rPr>
                <w:rFonts w:ascii="Titillium" w:eastAsia="Times New Roman" w:hAnsi="Titillium" w:cs="Arial"/>
                <w:b/>
                <w:i/>
                <w:sz w:val="22"/>
                <w:szCs w:val="22"/>
                <w:lang w:val="en-GB"/>
              </w:rPr>
              <w:t>4852</w:t>
            </w:r>
          </w:p>
        </w:tc>
        <w:tc>
          <w:tcPr>
            <w:tcW w:w="1417" w:type="dxa"/>
            <w:tcBorders>
              <w:top w:val="nil"/>
              <w:left w:val="nil"/>
              <w:bottom w:val="single" w:sz="4" w:space="0" w:color="auto"/>
              <w:right w:val="nil"/>
            </w:tcBorders>
          </w:tcPr>
          <w:p w14:paraId="3CB2D0B2" w14:textId="443E4FCC" w:rsidR="002F3EDF" w:rsidRPr="0044589F" w:rsidRDefault="002F3EDF" w:rsidP="00B13AF2">
            <w:pPr>
              <w:jc w:val="right"/>
              <w:rPr>
                <w:rFonts w:ascii="Titillium" w:eastAsia="Times New Roman" w:hAnsi="Titillium" w:cs="Arial"/>
                <w:b/>
                <w:i/>
                <w:sz w:val="22"/>
                <w:szCs w:val="22"/>
                <w:lang w:val="en-GB"/>
              </w:rPr>
            </w:pPr>
            <w:r>
              <w:rPr>
                <w:rFonts w:ascii="Titillium" w:eastAsia="Times New Roman" w:hAnsi="Titillium" w:cs="Arial"/>
                <w:b/>
                <w:i/>
                <w:sz w:val="22"/>
                <w:szCs w:val="22"/>
                <w:lang w:val="en-GB"/>
              </w:rPr>
              <w:t>34</w:t>
            </w:r>
            <w:r w:rsidR="00FD41F1">
              <w:rPr>
                <w:rFonts w:ascii="Titillium" w:eastAsia="Times New Roman" w:hAnsi="Titillium" w:cs="Arial"/>
                <w:b/>
                <w:i/>
                <w:sz w:val="22"/>
                <w:szCs w:val="22"/>
                <w:lang w:val="en-GB"/>
              </w:rPr>
              <w:t>,</w:t>
            </w:r>
            <w:r>
              <w:rPr>
                <w:rFonts w:ascii="Titillium" w:eastAsia="Times New Roman" w:hAnsi="Titillium" w:cs="Arial"/>
                <w:b/>
                <w:i/>
                <w:sz w:val="22"/>
                <w:szCs w:val="22"/>
                <w:lang w:val="en-GB"/>
              </w:rPr>
              <w:t>555</w:t>
            </w:r>
          </w:p>
        </w:tc>
        <w:tc>
          <w:tcPr>
            <w:tcW w:w="1417" w:type="dxa"/>
            <w:tcBorders>
              <w:top w:val="nil"/>
              <w:left w:val="nil"/>
              <w:bottom w:val="single" w:sz="4" w:space="0" w:color="auto"/>
              <w:right w:val="nil"/>
            </w:tcBorders>
            <w:shd w:val="clear" w:color="auto" w:fill="auto"/>
            <w:noWrap/>
            <w:vAlign w:val="bottom"/>
            <w:hideMark/>
          </w:tcPr>
          <w:p w14:paraId="259F9DBC" w14:textId="5EE2C52A" w:rsidR="002F3EDF" w:rsidRPr="0044589F" w:rsidRDefault="002F3EDF" w:rsidP="00B13AF2">
            <w:pPr>
              <w:jc w:val="right"/>
              <w:rPr>
                <w:rFonts w:ascii="Titillium" w:eastAsia="Times New Roman" w:hAnsi="Titillium" w:cs="Arial"/>
                <w:b/>
                <w:i/>
                <w:sz w:val="22"/>
                <w:szCs w:val="22"/>
                <w:lang w:val="en-GB"/>
              </w:rPr>
            </w:pPr>
            <w:r w:rsidRPr="0044589F">
              <w:rPr>
                <w:rFonts w:ascii="Titillium" w:eastAsia="Times New Roman" w:hAnsi="Titillium" w:cs="Arial"/>
                <w:b/>
                <w:i/>
                <w:sz w:val="22"/>
                <w:szCs w:val="22"/>
                <w:lang w:val="en-GB"/>
              </w:rPr>
              <w:t>14.1%</w:t>
            </w:r>
          </w:p>
        </w:tc>
        <w:tc>
          <w:tcPr>
            <w:tcW w:w="1644" w:type="dxa"/>
            <w:tcBorders>
              <w:top w:val="nil"/>
              <w:left w:val="nil"/>
              <w:bottom w:val="single" w:sz="4" w:space="0" w:color="auto"/>
              <w:right w:val="single" w:sz="4" w:space="0" w:color="auto"/>
            </w:tcBorders>
            <w:shd w:val="clear" w:color="auto" w:fill="auto"/>
            <w:noWrap/>
            <w:vAlign w:val="bottom"/>
            <w:hideMark/>
          </w:tcPr>
          <w:p w14:paraId="777301B8" w14:textId="77777777" w:rsidR="002F3EDF" w:rsidRPr="0044589F" w:rsidRDefault="002F3EDF" w:rsidP="00B13AF2">
            <w:pPr>
              <w:tabs>
                <w:tab w:val="right" w:pos="1218"/>
              </w:tabs>
              <w:rPr>
                <w:rFonts w:ascii="Titillium" w:eastAsia="Times New Roman" w:hAnsi="Titillium" w:cs="Arial"/>
                <w:b/>
                <w:i/>
                <w:sz w:val="22"/>
                <w:szCs w:val="22"/>
                <w:lang w:val="en-GB"/>
              </w:rPr>
            </w:pPr>
            <w:r>
              <w:rPr>
                <w:rFonts w:ascii="Titillium" w:eastAsia="Times New Roman" w:hAnsi="Titillium" w:cs="Arial"/>
                <w:b/>
                <w:i/>
                <w:sz w:val="22"/>
                <w:szCs w:val="22"/>
                <w:lang w:val="en-GB"/>
              </w:rPr>
              <w:tab/>
            </w:r>
            <w:r w:rsidRPr="0044589F">
              <w:rPr>
                <w:rFonts w:ascii="Titillium" w:eastAsia="Times New Roman" w:hAnsi="Titillium" w:cs="Arial"/>
                <w:b/>
                <w:i/>
                <w:sz w:val="22"/>
                <w:szCs w:val="22"/>
                <w:lang w:val="en-GB"/>
              </w:rPr>
              <w:t>30.8%</w:t>
            </w:r>
          </w:p>
        </w:tc>
      </w:tr>
    </w:tbl>
    <w:p w14:paraId="70393BFF" w14:textId="77777777" w:rsidR="00EA0701" w:rsidRDefault="00EA0701" w:rsidP="00EA0701">
      <w:pPr>
        <w:rPr>
          <w:rFonts w:ascii="Titillium" w:eastAsia="Times New Roman" w:hAnsi="Titillium" w:cs="Arial"/>
          <w:color w:val="000000"/>
          <w:sz w:val="22"/>
          <w:szCs w:val="22"/>
          <w:lang w:val="en-GB" w:eastAsia="en-GB"/>
        </w:rPr>
      </w:pPr>
    </w:p>
    <w:p w14:paraId="33F10351" w14:textId="40190E45" w:rsidR="00EA0701" w:rsidRDefault="00EA0701">
      <w:pPr>
        <w:spacing w:after="160" w:line="259" w:lineRule="auto"/>
        <w:rPr>
          <w:rFonts w:ascii="Titillium" w:hAnsi="Titillium"/>
          <w:b/>
          <w:color w:val="003366"/>
          <w:sz w:val="28"/>
          <w:lang w:val="en-GB"/>
        </w:rPr>
      </w:pPr>
      <w:r>
        <w:rPr>
          <w:rFonts w:ascii="Titillium" w:hAnsi="Titillium"/>
          <w:b/>
          <w:color w:val="003366"/>
          <w:sz w:val="28"/>
          <w:lang w:val="en-GB"/>
        </w:rPr>
        <w:br w:type="page"/>
      </w:r>
    </w:p>
    <w:p w14:paraId="1C4550B9" w14:textId="77777777" w:rsidR="00EA0701" w:rsidRDefault="00EA0701">
      <w:pPr>
        <w:spacing w:after="160" w:line="259" w:lineRule="auto"/>
        <w:rPr>
          <w:rFonts w:ascii="Titillium" w:hAnsi="Titillium"/>
          <w:b/>
          <w:color w:val="003366"/>
          <w:sz w:val="28"/>
          <w:lang w:val="en-GB"/>
        </w:rPr>
      </w:pPr>
    </w:p>
    <w:p w14:paraId="5AC0BFFE" w14:textId="586FB235" w:rsidR="008323BC" w:rsidRDefault="00F04C00">
      <w:pPr>
        <w:spacing w:after="160" w:line="259" w:lineRule="auto"/>
        <w:rPr>
          <w:rFonts w:ascii="Titillium" w:eastAsia="Times New Roman" w:hAnsi="Titillium" w:cs="Arial"/>
          <w:b/>
          <w:bCs/>
          <w:color w:val="003366"/>
          <w:szCs w:val="28"/>
          <w:lang w:val="en-GB"/>
        </w:rPr>
      </w:pPr>
      <w:r w:rsidRPr="0044589F">
        <w:rPr>
          <w:rFonts w:ascii="Titillium" w:eastAsia="Times New Roman" w:hAnsi="Titillium" w:cs="Arial"/>
          <w:b/>
          <w:bCs/>
          <w:color w:val="003366"/>
          <w:szCs w:val="28"/>
          <w:lang w:val="en-GB"/>
        </w:rPr>
        <w:t>Table C</w:t>
      </w:r>
      <w:r w:rsidR="008252EB">
        <w:rPr>
          <w:rFonts w:ascii="Titillium" w:eastAsia="Times New Roman" w:hAnsi="Titillium" w:cs="Arial"/>
          <w:b/>
          <w:bCs/>
          <w:color w:val="003366"/>
          <w:szCs w:val="28"/>
          <w:lang w:val="en-GB"/>
        </w:rPr>
        <w:t>3</w:t>
      </w:r>
      <w:r w:rsidRPr="0044589F">
        <w:rPr>
          <w:rFonts w:ascii="Titillium" w:eastAsia="Times New Roman" w:hAnsi="Titillium" w:cs="Arial"/>
          <w:b/>
          <w:bCs/>
          <w:color w:val="003366"/>
          <w:szCs w:val="28"/>
          <w:lang w:val="en-GB"/>
        </w:rPr>
        <w:tab/>
      </w:r>
      <w:r w:rsidR="00BD6B2D" w:rsidRPr="0044589F">
        <w:rPr>
          <w:rFonts w:ascii="Titillium" w:eastAsia="Times New Roman" w:hAnsi="Titillium" w:cs="Arial"/>
          <w:b/>
          <w:bCs/>
          <w:color w:val="003366"/>
          <w:szCs w:val="28"/>
          <w:lang w:val="en-GB"/>
        </w:rPr>
        <w:t xml:space="preserve">Top 20 </w:t>
      </w:r>
      <w:r w:rsidR="009D26FE">
        <w:rPr>
          <w:rFonts w:ascii="Titillium" w:eastAsia="Times New Roman" w:hAnsi="Titillium" w:cs="Arial"/>
          <w:b/>
          <w:bCs/>
          <w:color w:val="003366"/>
          <w:szCs w:val="28"/>
          <w:lang w:val="en-GB"/>
        </w:rPr>
        <w:t xml:space="preserve">priority regional </w:t>
      </w:r>
      <w:r w:rsidR="00BD6B2D" w:rsidRPr="0044589F">
        <w:rPr>
          <w:rFonts w:ascii="Titillium" w:eastAsia="Times New Roman" w:hAnsi="Titillium" w:cs="Arial"/>
          <w:b/>
          <w:bCs/>
          <w:color w:val="003366"/>
          <w:szCs w:val="28"/>
          <w:lang w:val="en-GB"/>
        </w:rPr>
        <w:t xml:space="preserve">schools by proportion of </w:t>
      </w:r>
      <w:r w:rsidR="009D26FE">
        <w:rPr>
          <w:rFonts w:ascii="Titillium" w:eastAsia="Times New Roman" w:hAnsi="Titillium" w:cs="Arial"/>
          <w:b/>
          <w:bCs/>
          <w:color w:val="003366"/>
          <w:szCs w:val="28"/>
          <w:lang w:val="en-GB"/>
        </w:rPr>
        <w:t>SI</w:t>
      </w:r>
      <w:r w:rsidR="00BD6B2D" w:rsidRPr="0044589F">
        <w:rPr>
          <w:rFonts w:ascii="Titillium" w:eastAsia="Times New Roman" w:hAnsi="Titillium" w:cs="Arial"/>
          <w:b/>
          <w:bCs/>
          <w:color w:val="003366"/>
          <w:szCs w:val="28"/>
          <w:lang w:val="en-GB"/>
        </w:rPr>
        <w:t>MD20 pupils (September, 2016)</w:t>
      </w:r>
    </w:p>
    <w:tbl>
      <w:tblPr>
        <w:tblW w:w="9323" w:type="dxa"/>
        <w:tblLook w:val="04A0" w:firstRow="1" w:lastRow="0" w:firstColumn="1" w:lastColumn="0" w:noHBand="0" w:noVBand="1"/>
      </w:tblPr>
      <w:tblGrid>
        <w:gridCol w:w="2094"/>
        <w:gridCol w:w="3118"/>
        <w:gridCol w:w="1446"/>
        <w:gridCol w:w="1191"/>
        <w:gridCol w:w="1191"/>
        <w:gridCol w:w="283"/>
      </w:tblGrid>
      <w:tr w:rsidR="008252EB" w:rsidRPr="0044589F" w14:paraId="43E5177A" w14:textId="77777777" w:rsidTr="008252EB">
        <w:trPr>
          <w:trHeight w:val="300"/>
        </w:trPr>
        <w:tc>
          <w:tcPr>
            <w:tcW w:w="2094" w:type="dxa"/>
            <w:tcBorders>
              <w:top w:val="single" w:sz="4" w:space="0" w:color="auto"/>
              <w:left w:val="single" w:sz="4" w:space="0" w:color="auto"/>
              <w:bottom w:val="single" w:sz="4" w:space="0" w:color="auto"/>
            </w:tcBorders>
            <w:shd w:val="clear" w:color="auto" w:fill="auto"/>
            <w:noWrap/>
            <w:vAlign w:val="bottom"/>
            <w:hideMark/>
          </w:tcPr>
          <w:p w14:paraId="345F5FA0" w14:textId="77777777" w:rsidR="008252EB" w:rsidRPr="0044589F" w:rsidRDefault="008252EB" w:rsidP="008252EB">
            <w:pPr>
              <w:spacing w:line="276" w:lineRule="auto"/>
              <w:rPr>
                <w:rFonts w:ascii="Titillium" w:eastAsia="Times New Roman" w:hAnsi="Titillium" w:cs="Arial"/>
                <w:b/>
                <w:color w:val="003366"/>
                <w:sz w:val="22"/>
                <w:szCs w:val="22"/>
                <w:lang w:val="en-GB" w:eastAsia="en-GB"/>
              </w:rPr>
            </w:pPr>
            <w:r w:rsidRPr="0044589F">
              <w:rPr>
                <w:rFonts w:ascii="Titillium" w:eastAsia="Times New Roman" w:hAnsi="Titillium" w:cs="Arial"/>
                <w:b/>
                <w:color w:val="003366"/>
                <w:sz w:val="22"/>
                <w:szCs w:val="22"/>
                <w:lang w:val="en-GB" w:eastAsia="en-GB"/>
              </w:rPr>
              <w:t xml:space="preserve">LA </w:t>
            </w:r>
          </w:p>
        </w:tc>
        <w:tc>
          <w:tcPr>
            <w:tcW w:w="3118" w:type="dxa"/>
            <w:tcBorders>
              <w:top w:val="single" w:sz="4" w:space="0" w:color="auto"/>
              <w:bottom w:val="single" w:sz="4" w:space="0" w:color="auto"/>
            </w:tcBorders>
            <w:shd w:val="clear" w:color="auto" w:fill="auto"/>
            <w:noWrap/>
            <w:vAlign w:val="bottom"/>
            <w:hideMark/>
          </w:tcPr>
          <w:p w14:paraId="49E447FA" w14:textId="77777777" w:rsidR="008252EB" w:rsidRPr="0044589F" w:rsidRDefault="008252EB" w:rsidP="008252EB">
            <w:pPr>
              <w:spacing w:line="276" w:lineRule="auto"/>
              <w:rPr>
                <w:rFonts w:ascii="Titillium" w:eastAsia="Times New Roman" w:hAnsi="Titillium" w:cs="Arial"/>
                <w:b/>
                <w:color w:val="003366"/>
                <w:sz w:val="22"/>
                <w:szCs w:val="22"/>
                <w:lang w:val="en-GB" w:eastAsia="en-GB"/>
              </w:rPr>
            </w:pPr>
            <w:r w:rsidRPr="0044589F">
              <w:rPr>
                <w:rFonts w:ascii="Titillium" w:eastAsia="Times New Roman" w:hAnsi="Titillium" w:cs="Arial"/>
                <w:b/>
                <w:color w:val="003366"/>
                <w:sz w:val="22"/>
                <w:szCs w:val="22"/>
                <w:lang w:val="en-GB" w:eastAsia="en-GB"/>
              </w:rPr>
              <w:t>School</w:t>
            </w:r>
          </w:p>
        </w:tc>
        <w:tc>
          <w:tcPr>
            <w:tcW w:w="1446" w:type="dxa"/>
            <w:tcBorders>
              <w:top w:val="single" w:sz="4" w:space="0" w:color="auto"/>
              <w:bottom w:val="single" w:sz="4" w:space="0" w:color="auto"/>
            </w:tcBorders>
            <w:vAlign w:val="bottom"/>
          </w:tcPr>
          <w:p w14:paraId="17CC4E3F" w14:textId="6ADD2EF2" w:rsidR="008252EB" w:rsidRPr="0044589F" w:rsidRDefault="00A17B13" w:rsidP="00A17B13">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SIMD20</w:t>
            </w:r>
          </w:p>
        </w:tc>
        <w:tc>
          <w:tcPr>
            <w:tcW w:w="1191" w:type="dxa"/>
            <w:tcBorders>
              <w:top w:val="single" w:sz="4" w:space="0" w:color="auto"/>
              <w:bottom w:val="single" w:sz="4" w:space="0" w:color="auto"/>
            </w:tcBorders>
            <w:shd w:val="clear" w:color="auto" w:fill="auto"/>
            <w:noWrap/>
            <w:vAlign w:val="bottom"/>
            <w:hideMark/>
          </w:tcPr>
          <w:p w14:paraId="55AA2D44" w14:textId="4D022CDC" w:rsidR="008252EB" w:rsidRPr="0044589F" w:rsidRDefault="00A17B13" w:rsidP="00A17B13">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 xml:space="preserve">Total </w:t>
            </w:r>
            <w:r w:rsidR="008252EB" w:rsidRPr="0044589F">
              <w:rPr>
                <w:rFonts w:ascii="Titillium" w:eastAsia="Times New Roman" w:hAnsi="Titillium" w:cs="Arial"/>
                <w:b/>
                <w:color w:val="003366"/>
                <w:sz w:val="22"/>
                <w:szCs w:val="22"/>
                <w:lang w:val="en-GB" w:eastAsia="en-GB"/>
              </w:rPr>
              <w:t>Roll</w:t>
            </w:r>
          </w:p>
        </w:tc>
        <w:tc>
          <w:tcPr>
            <w:tcW w:w="1191" w:type="dxa"/>
            <w:tcBorders>
              <w:top w:val="single" w:sz="4" w:space="0" w:color="auto"/>
              <w:bottom w:val="single" w:sz="4" w:space="0" w:color="auto"/>
            </w:tcBorders>
            <w:shd w:val="clear" w:color="auto" w:fill="auto"/>
            <w:noWrap/>
            <w:vAlign w:val="bottom"/>
            <w:hideMark/>
          </w:tcPr>
          <w:p w14:paraId="7C9775AC" w14:textId="425EE19D" w:rsidR="008252EB" w:rsidRPr="0044589F" w:rsidRDefault="008252EB" w:rsidP="00A17B13">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 xml:space="preserve">% </w:t>
            </w:r>
            <w:r w:rsidR="00A17B13">
              <w:rPr>
                <w:rFonts w:ascii="Titillium" w:eastAsia="Times New Roman" w:hAnsi="Titillium" w:cs="Arial"/>
                <w:b/>
                <w:color w:val="003366"/>
                <w:sz w:val="22"/>
                <w:szCs w:val="22"/>
                <w:lang w:val="en-GB" w:eastAsia="en-GB"/>
              </w:rPr>
              <w:t>SI</w:t>
            </w:r>
            <w:r w:rsidRPr="0044589F">
              <w:rPr>
                <w:rFonts w:ascii="Titillium" w:eastAsia="Times New Roman" w:hAnsi="Titillium" w:cs="Arial"/>
                <w:b/>
                <w:color w:val="003366"/>
                <w:sz w:val="22"/>
                <w:szCs w:val="22"/>
                <w:lang w:val="en-GB" w:eastAsia="en-GB"/>
              </w:rPr>
              <w:t>MD20</w:t>
            </w:r>
          </w:p>
        </w:tc>
        <w:tc>
          <w:tcPr>
            <w:tcW w:w="283" w:type="dxa"/>
            <w:tcBorders>
              <w:top w:val="single" w:sz="4" w:space="0" w:color="auto"/>
              <w:bottom w:val="single" w:sz="4" w:space="0" w:color="auto"/>
              <w:right w:val="single" w:sz="4" w:space="0" w:color="auto"/>
            </w:tcBorders>
            <w:shd w:val="clear" w:color="auto" w:fill="auto"/>
            <w:noWrap/>
            <w:vAlign w:val="bottom"/>
          </w:tcPr>
          <w:p w14:paraId="389B9663" w14:textId="7549C378" w:rsidR="008252EB" w:rsidRPr="0044589F" w:rsidRDefault="008252EB" w:rsidP="008252EB">
            <w:pPr>
              <w:spacing w:line="276" w:lineRule="auto"/>
              <w:rPr>
                <w:rFonts w:ascii="Titillium" w:eastAsia="Times New Roman" w:hAnsi="Titillium" w:cs="Arial"/>
                <w:b/>
                <w:color w:val="003366"/>
                <w:sz w:val="22"/>
                <w:szCs w:val="22"/>
                <w:lang w:val="en-GB" w:eastAsia="en-GB"/>
              </w:rPr>
            </w:pPr>
          </w:p>
        </w:tc>
      </w:tr>
      <w:tr w:rsidR="008252EB" w:rsidRPr="0044589F" w14:paraId="3C3E8342" w14:textId="77777777" w:rsidTr="008252EB">
        <w:trPr>
          <w:trHeight w:val="340"/>
        </w:trPr>
        <w:tc>
          <w:tcPr>
            <w:tcW w:w="2094" w:type="dxa"/>
            <w:tcBorders>
              <w:top w:val="single" w:sz="4" w:space="0" w:color="auto"/>
              <w:left w:val="single" w:sz="4" w:space="0" w:color="auto"/>
            </w:tcBorders>
            <w:shd w:val="clear" w:color="auto" w:fill="auto"/>
            <w:noWrap/>
            <w:vAlign w:val="bottom"/>
            <w:hideMark/>
          </w:tcPr>
          <w:p w14:paraId="5AB5FC97"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tcBorders>
              <w:top w:val="single" w:sz="4" w:space="0" w:color="auto"/>
            </w:tcBorders>
            <w:shd w:val="clear" w:color="auto" w:fill="auto"/>
            <w:noWrap/>
            <w:vAlign w:val="bottom"/>
            <w:hideMark/>
          </w:tcPr>
          <w:p w14:paraId="12A80281"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Castlebrae High          </w:t>
            </w:r>
          </w:p>
        </w:tc>
        <w:tc>
          <w:tcPr>
            <w:tcW w:w="1446" w:type="dxa"/>
            <w:tcBorders>
              <w:top w:val="single" w:sz="4" w:space="0" w:color="auto"/>
            </w:tcBorders>
            <w:vAlign w:val="bottom"/>
          </w:tcPr>
          <w:p w14:paraId="7423A071" w14:textId="722E302C"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163</w:t>
            </w:r>
          </w:p>
        </w:tc>
        <w:tc>
          <w:tcPr>
            <w:tcW w:w="1191" w:type="dxa"/>
            <w:tcBorders>
              <w:top w:val="single" w:sz="4" w:space="0" w:color="auto"/>
            </w:tcBorders>
            <w:shd w:val="clear" w:color="auto" w:fill="auto"/>
            <w:noWrap/>
            <w:vAlign w:val="bottom"/>
            <w:hideMark/>
          </w:tcPr>
          <w:p w14:paraId="5274CA95" w14:textId="3188C7B9"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198</w:t>
            </w:r>
          </w:p>
        </w:tc>
        <w:tc>
          <w:tcPr>
            <w:tcW w:w="1191" w:type="dxa"/>
            <w:tcBorders>
              <w:top w:val="single" w:sz="4" w:space="0" w:color="auto"/>
            </w:tcBorders>
            <w:shd w:val="clear" w:color="auto" w:fill="auto"/>
            <w:noWrap/>
            <w:vAlign w:val="bottom"/>
            <w:hideMark/>
          </w:tcPr>
          <w:p w14:paraId="658C870D" w14:textId="4AA75437"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90.4</w:t>
            </w:r>
            <w:r>
              <w:rPr>
                <w:rFonts w:ascii="Titillium" w:eastAsia="Times New Roman" w:hAnsi="Titillium" w:cs="Arial"/>
                <w:color w:val="000000"/>
                <w:sz w:val="22"/>
                <w:szCs w:val="22"/>
                <w:lang w:val="en-GB" w:eastAsia="en-GB"/>
              </w:rPr>
              <w:t>%</w:t>
            </w:r>
          </w:p>
        </w:tc>
        <w:tc>
          <w:tcPr>
            <w:tcW w:w="283" w:type="dxa"/>
            <w:tcBorders>
              <w:top w:val="single" w:sz="4" w:space="0" w:color="auto"/>
              <w:right w:val="single" w:sz="4" w:space="0" w:color="auto"/>
            </w:tcBorders>
            <w:shd w:val="clear" w:color="auto" w:fill="auto"/>
            <w:noWrap/>
            <w:vAlign w:val="bottom"/>
          </w:tcPr>
          <w:p w14:paraId="63548350" w14:textId="29DCB8CC" w:rsidR="008252EB" w:rsidRPr="0044589F" w:rsidRDefault="008252EB" w:rsidP="008252EB">
            <w:pPr>
              <w:jc w:val="right"/>
              <w:rPr>
                <w:rFonts w:ascii="Titillium" w:eastAsia="Times New Roman" w:hAnsi="Titillium"/>
                <w:sz w:val="22"/>
                <w:szCs w:val="22"/>
                <w:lang w:val="en-GB" w:eastAsia="en-GB"/>
              </w:rPr>
            </w:pPr>
          </w:p>
        </w:tc>
      </w:tr>
      <w:tr w:rsidR="008252EB" w:rsidRPr="0044589F" w14:paraId="44626E0D" w14:textId="77777777" w:rsidTr="008252EB">
        <w:trPr>
          <w:trHeight w:val="340"/>
        </w:trPr>
        <w:tc>
          <w:tcPr>
            <w:tcW w:w="2094" w:type="dxa"/>
            <w:tcBorders>
              <w:left w:val="single" w:sz="4" w:space="0" w:color="auto"/>
            </w:tcBorders>
            <w:shd w:val="clear" w:color="auto" w:fill="auto"/>
            <w:noWrap/>
            <w:vAlign w:val="bottom"/>
            <w:hideMark/>
          </w:tcPr>
          <w:p w14:paraId="453E43BB"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00B94517"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Wester Hailes Education C</w:t>
            </w:r>
          </w:p>
        </w:tc>
        <w:tc>
          <w:tcPr>
            <w:tcW w:w="1446" w:type="dxa"/>
            <w:vAlign w:val="bottom"/>
          </w:tcPr>
          <w:p w14:paraId="44AB5539" w14:textId="70FAFDB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229</w:t>
            </w:r>
          </w:p>
        </w:tc>
        <w:tc>
          <w:tcPr>
            <w:tcW w:w="1191" w:type="dxa"/>
            <w:shd w:val="clear" w:color="auto" w:fill="auto"/>
            <w:noWrap/>
            <w:vAlign w:val="bottom"/>
            <w:hideMark/>
          </w:tcPr>
          <w:p w14:paraId="5E9C22E6" w14:textId="57CD79F1"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303</w:t>
            </w:r>
          </w:p>
        </w:tc>
        <w:tc>
          <w:tcPr>
            <w:tcW w:w="1191" w:type="dxa"/>
            <w:shd w:val="clear" w:color="auto" w:fill="auto"/>
            <w:noWrap/>
            <w:vAlign w:val="bottom"/>
            <w:hideMark/>
          </w:tcPr>
          <w:p w14:paraId="26F3BD74" w14:textId="470281A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83.2</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7A0246C8" w14:textId="13AA3AA9" w:rsidR="008252EB" w:rsidRPr="0044589F" w:rsidRDefault="008252EB" w:rsidP="008252EB">
            <w:pPr>
              <w:jc w:val="right"/>
              <w:rPr>
                <w:rFonts w:ascii="Titillium" w:eastAsia="Times New Roman" w:hAnsi="Titillium"/>
                <w:sz w:val="22"/>
                <w:szCs w:val="22"/>
                <w:lang w:val="en-GB" w:eastAsia="en-GB"/>
              </w:rPr>
            </w:pPr>
          </w:p>
        </w:tc>
      </w:tr>
      <w:tr w:rsidR="008252EB" w:rsidRPr="0044589F" w14:paraId="395F5857" w14:textId="77777777" w:rsidTr="008252EB">
        <w:trPr>
          <w:trHeight w:val="340"/>
        </w:trPr>
        <w:tc>
          <w:tcPr>
            <w:tcW w:w="2094" w:type="dxa"/>
            <w:tcBorders>
              <w:left w:val="single" w:sz="4" w:space="0" w:color="auto"/>
            </w:tcBorders>
            <w:shd w:val="clear" w:color="auto" w:fill="auto"/>
            <w:noWrap/>
            <w:vAlign w:val="bottom"/>
            <w:hideMark/>
          </w:tcPr>
          <w:p w14:paraId="0F24CB42"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119650FC" w14:textId="3806BC60"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Craigroyston Community High</w:t>
            </w:r>
          </w:p>
        </w:tc>
        <w:tc>
          <w:tcPr>
            <w:tcW w:w="1446" w:type="dxa"/>
            <w:vAlign w:val="bottom"/>
          </w:tcPr>
          <w:p w14:paraId="72D1F459" w14:textId="67E37D4A"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278</w:t>
            </w:r>
          </w:p>
        </w:tc>
        <w:tc>
          <w:tcPr>
            <w:tcW w:w="1191" w:type="dxa"/>
            <w:shd w:val="clear" w:color="auto" w:fill="auto"/>
            <w:noWrap/>
            <w:vAlign w:val="bottom"/>
            <w:hideMark/>
          </w:tcPr>
          <w:p w14:paraId="4EAD9B41" w14:textId="2DB961A7"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404</w:t>
            </w:r>
          </w:p>
        </w:tc>
        <w:tc>
          <w:tcPr>
            <w:tcW w:w="1191" w:type="dxa"/>
            <w:shd w:val="clear" w:color="auto" w:fill="auto"/>
            <w:noWrap/>
            <w:vAlign w:val="bottom"/>
            <w:hideMark/>
          </w:tcPr>
          <w:p w14:paraId="7529DFEE" w14:textId="0AA7F95F"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75.7</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1EB8FA19" w14:textId="049922FD" w:rsidR="008252EB" w:rsidRPr="0044589F" w:rsidRDefault="008252EB" w:rsidP="008252EB">
            <w:pPr>
              <w:jc w:val="right"/>
              <w:rPr>
                <w:rFonts w:ascii="Titillium" w:eastAsia="Times New Roman" w:hAnsi="Titillium"/>
                <w:sz w:val="22"/>
                <w:szCs w:val="22"/>
                <w:lang w:val="en-GB" w:eastAsia="en-GB"/>
              </w:rPr>
            </w:pPr>
          </w:p>
        </w:tc>
      </w:tr>
      <w:tr w:rsidR="008252EB" w:rsidRPr="0044589F" w14:paraId="2E9DEC31" w14:textId="77777777" w:rsidTr="008252EB">
        <w:trPr>
          <w:trHeight w:val="340"/>
        </w:trPr>
        <w:tc>
          <w:tcPr>
            <w:tcW w:w="2094" w:type="dxa"/>
            <w:tcBorders>
              <w:left w:val="single" w:sz="4" w:space="0" w:color="auto"/>
            </w:tcBorders>
            <w:shd w:val="clear" w:color="auto" w:fill="auto"/>
            <w:noWrap/>
            <w:vAlign w:val="bottom"/>
            <w:hideMark/>
          </w:tcPr>
          <w:p w14:paraId="19CCD17B"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618D2749"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Viewforth High           </w:t>
            </w:r>
          </w:p>
        </w:tc>
        <w:tc>
          <w:tcPr>
            <w:tcW w:w="1446" w:type="dxa"/>
            <w:vAlign w:val="bottom"/>
          </w:tcPr>
          <w:p w14:paraId="0CCA15AE" w14:textId="1D4A61D1"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192</w:t>
            </w:r>
          </w:p>
        </w:tc>
        <w:tc>
          <w:tcPr>
            <w:tcW w:w="1191" w:type="dxa"/>
            <w:shd w:val="clear" w:color="auto" w:fill="auto"/>
            <w:noWrap/>
            <w:vAlign w:val="bottom"/>
            <w:hideMark/>
          </w:tcPr>
          <w:p w14:paraId="7F28FFEB" w14:textId="3644C45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402</w:t>
            </w:r>
          </w:p>
        </w:tc>
        <w:tc>
          <w:tcPr>
            <w:tcW w:w="1191" w:type="dxa"/>
            <w:shd w:val="clear" w:color="auto" w:fill="auto"/>
            <w:noWrap/>
            <w:vAlign w:val="bottom"/>
            <w:hideMark/>
          </w:tcPr>
          <w:p w14:paraId="62EEE9DB" w14:textId="473FCEBB"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52.5</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79D9ABBA" w14:textId="01E0033B" w:rsidR="008252EB" w:rsidRPr="0044589F" w:rsidRDefault="008252EB" w:rsidP="008252EB">
            <w:pPr>
              <w:jc w:val="right"/>
              <w:rPr>
                <w:rFonts w:ascii="Titillium" w:eastAsia="Times New Roman" w:hAnsi="Titillium"/>
                <w:sz w:val="22"/>
                <w:szCs w:val="22"/>
                <w:lang w:val="en-GB" w:eastAsia="en-GB"/>
              </w:rPr>
            </w:pPr>
          </w:p>
        </w:tc>
      </w:tr>
      <w:tr w:rsidR="008252EB" w:rsidRPr="0044589F" w14:paraId="5D12A3D2" w14:textId="77777777" w:rsidTr="008252EB">
        <w:trPr>
          <w:trHeight w:val="340"/>
        </w:trPr>
        <w:tc>
          <w:tcPr>
            <w:tcW w:w="2094" w:type="dxa"/>
            <w:tcBorders>
              <w:left w:val="single" w:sz="4" w:space="0" w:color="auto"/>
            </w:tcBorders>
            <w:shd w:val="clear" w:color="auto" w:fill="auto"/>
            <w:noWrap/>
            <w:vAlign w:val="bottom"/>
            <w:hideMark/>
          </w:tcPr>
          <w:p w14:paraId="7B7AE3BF"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34800F52"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Lochgelly High           </w:t>
            </w:r>
          </w:p>
        </w:tc>
        <w:tc>
          <w:tcPr>
            <w:tcW w:w="1446" w:type="dxa"/>
            <w:vAlign w:val="bottom"/>
          </w:tcPr>
          <w:p w14:paraId="21E64FF0" w14:textId="499751E9"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335</w:t>
            </w:r>
          </w:p>
        </w:tc>
        <w:tc>
          <w:tcPr>
            <w:tcW w:w="1191" w:type="dxa"/>
            <w:shd w:val="clear" w:color="auto" w:fill="auto"/>
            <w:noWrap/>
            <w:vAlign w:val="bottom"/>
            <w:hideMark/>
          </w:tcPr>
          <w:p w14:paraId="2FD89D39" w14:textId="478FD6AC"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745</w:t>
            </w:r>
          </w:p>
        </w:tc>
        <w:tc>
          <w:tcPr>
            <w:tcW w:w="1191" w:type="dxa"/>
            <w:shd w:val="clear" w:color="auto" w:fill="auto"/>
            <w:noWrap/>
            <w:vAlign w:val="bottom"/>
            <w:hideMark/>
          </w:tcPr>
          <w:p w14:paraId="241464C8" w14:textId="29D2ADD1"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49.5</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58AC179C" w14:textId="09E88E35" w:rsidR="008252EB" w:rsidRPr="0044589F" w:rsidRDefault="008252EB" w:rsidP="008252EB">
            <w:pPr>
              <w:jc w:val="right"/>
              <w:rPr>
                <w:rFonts w:ascii="Titillium" w:eastAsia="Times New Roman" w:hAnsi="Titillium"/>
                <w:sz w:val="22"/>
                <w:szCs w:val="22"/>
                <w:lang w:val="en-GB" w:eastAsia="en-GB"/>
              </w:rPr>
            </w:pPr>
          </w:p>
        </w:tc>
      </w:tr>
      <w:tr w:rsidR="008252EB" w:rsidRPr="0044589F" w14:paraId="11D11079" w14:textId="77777777" w:rsidTr="008252EB">
        <w:trPr>
          <w:trHeight w:val="340"/>
        </w:trPr>
        <w:tc>
          <w:tcPr>
            <w:tcW w:w="2094" w:type="dxa"/>
            <w:tcBorders>
              <w:left w:val="single" w:sz="4" w:space="0" w:color="auto"/>
            </w:tcBorders>
            <w:shd w:val="clear" w:color="auto" w:fill="auto"/>
            <w:noWrap/>
            <w:vAlign w:val="bottom"/>
            <w:hideMark/>
          </w:tcPr>
          <w:p w14:paraId="2F239B90"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0413A8DA"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Buckhaven High           </w:t>
            </w:r>
          </w:p>
        </w:tc>
        <w:tc>
          <w:tcPr>
            <w:tcW w:w="1446" w:type="dxa"/>
            <w:vAlign w:val="bottom"/>
          </w:tcPr>
          <w:p w14:paraId="4EDD75E8" w14:textId="4D2E405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519</w:t>
            </w:r>
          </w:p>
        </w:tc>
        <w:tc>
          <w:tcPr>
            <w:tcW w:w="1191" w:type="dxa"/>
            <w:shd w:val="clear" w:color="auto" w:fill="auto"/>
            <w:noWrap/>
            <w:vAlign w:val="bottom"/>
            <w:hideMark/>
          </w:tcPr>
          <w:p w14:paraId="014155E4" w14:textId="418328A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1258</w:t>
            </w:r>
          </w:p>
        </w:tc>
        <w:tc>
          <w:tcPr>
            <w:tcW w:w="1191" w:type="dxa"/>
            <w:shd w:val="clear" w:color="auto" w:fill="auto"/>
            <w:noWrap/>
            <w:vAlign w:val="bottom"/>
            <w:hideMark/>
          </w:tcPr>
          <w:p w14:paraId="4288C320" w14:textId="736618B9"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45.4</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7783AEAD" w14:textId="39A43B55" w:rsidR="008252EB" w:rsidRPr="0044589F" w:rsidRDefault="008252EB" w:rsidP="008252EB">
            <w:pPr>
              <w:jc w:val="right"/>
              <w:rPr>
                <w:rFonts w:ascii="Titillium" w:eastAsia="Times New Roman" w:hAnsi="Titillium"/>
                <w:sz w:val="22"/>
                <w:szCs w:val="22"/>
                <w:lang w:val="en-GB" w:eastAsia="en-GB"/>
              </w:rPr>
            </w:pPr>
          </w:p>
        </w:tc>
      </w:tr>
      <w:tr w:rsidR="008252EB" w:rsidRPr="0044589F" w14:paraId="0BC0967B" w14:textId="77777777" w:rsidTr="008252EB">
        <w:trPr>
          <w:trHeight w:val="340"/>
        </w:trPr>
        <w:tc>
          <w:tcPr>
            <w:tcW w:w="2094" w:type="dxa"/>
            <w:tcBorders>
              <w:left w:val="single" w:sz="4" w:space="0" w:color="auto"/>
            </w:tcBorders>
            <w:shd w:val="clear" w:color="auto" w:fill="auto"/>
            <w:noWrap/>
            <w:vAlign w:val="bottom"/>
            <w:hideMark/>
          </w:tcPr>
          <w:p w14:paraId="1C719B8B"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4D68F611"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Gracemount High          </w:t>
            </w:r>
          </w:p>
        </w:tc>
        <w:tc>
          <w:tcPr>
            <w:tcW w:w="1446" w:type="dxa"/>
            <w:vAlign w:val="bottom"/>
          </w:tcPr>
          <w:p w14:paraId="46BCCFC6" w14:textId="02665A1E"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251</w:t>
            </w:r>
          </w:p>
        </w:tc>
        <w:tc>
          <w:tcPr>
            <w:tcW w:w="1191" w:type="dxa"/>
            <w:shd w:val="clear" w:color="auto" w:fill="auto"/>
            <w:noWrap/>
            <w:vAlign w:val="bottom"/>
            <w:hideMark/>
          </w:tcPr>
          <w:p w14:paraId="4EB4CA75" w14:textId="39FA4BF6"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630</w:t>
            </w:r>
          </w:p>
        </w:tc>
        <w:tc>
          <w:tcPr>
            <w:tcW w:w="1191" w:type="dxa"/>
            <w:shd w:val="clear" w:color="auto" w:fill="auto"/>
            <w:noWrap/>
            <w:vAlign w:val="bottom"/>
            <w:hideMark/>
          </w:tcPr>
          <w:p w14:paraId="08C7D402" w14:textId="444FE8CC"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43.8</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394E4BD9" w14:textId="6C84FF90" w:rsidR="008252EB" w:rsidRPr="0044589F" w:rsidRDefault="008252EB" w:rsidP="008252EB">
            <w:pPr>
              <w:jc w:val="right"/>
              <w:rPr>
                <w:rFonts w:ascii="Titillium" w:eastAsia="Times New Roman" w:hAnsi="Titillium"/>
                <w:sz w:val="22"/>
                <w:szCs w:val="22"/>
                <w:lang w:val="en-GB" w:eastAsia="en-GB"/>
              </w:rPr>
            </w:pPr>
          </w:p>
        </w:tc>
      </w:tr>
      <w:tr w:rsidR="008252EB" w:rsidRPr="0044589F" w14:paraId="219323EA" w14:textId="77777777" w:rsidTr="008252EB">
        <w:trPr>
          <w:trHeight w:val="340"/>
        </w:trPr>
        <w:tc>
          <w:tcPr>
            <w:tcW w:w="2094" w:type="dxa"/>
            <w:tcBorders>
              <w:left w:val="single" w:sz="4" w:space="0" w:color="auto"/>
            </w:tcBorders>
            <w:shd w:val="clear" w:color="auto" w:fill="auto"/>
            <w:noWrap/>
            <w:vAlign w:val="bottom"/>
            <w:hideMark/>
          </w:tcPr>
          <w:p w14:paraId="7659AD92"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69649F6A"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St Augustine's High      </w:t>
            </w:r>
          </w:p>
        </w:tc>
        <w:tc>
          <w:tcPr>
            <w:tcW w:w="1446" w:type="dxa"/>
            <w:vAlign w:val="bottom"/>
          </w:tcPr>
          <w:p w14:paraId="293E314F" w14:textId="2B9BD996"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248</w:t>
            </w:r>
          </w:p>
        </w:tc>
        <w:tc>
          <w:tcPr>
            <w:tcW w:w="1191" w:type="dxa"/>
            <w:shd w:val="clear" w:color="auto" w:fill="auto"/>
            <w:noWrap/>
            <w:vAlign w:val="bottom"/>
            <w:hideMark/>
          </w:tcPr>
          <w:p w14:paraId="54449C91" w14:textId="1DC28880"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709</w:t>
            </w:r>
          </w:p>
        </w:tc>
        <w:tc>
          <w:tcPr>
            <w:tcW w:w="1191" w:type="dxa"/>
            <w:shd w:val="clear" w:color="auto" w:fill="auto"/>
            <w:noWrap/>
            <w:vAlign w:val="bottom"/>
            <w:hideMark/>
          </w:tcPr>
          <w:p w14:paraId="67375891" w14:textId="4FAD2C4A"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38.5</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04252F45" w14:textId="454D241C" w:rsidR="008252EB" w:rsidRPr="0044589F" w:rsidRDefault="008252EB" w:rsidP="008252EB">
            <w:pPr>
              <w:jc w:val="right"/>
              <w:rPr>
                <w:rFonts w:ascii="Titillium" w:eastAsia="Times New Roman" w:hAnsi="Titillium"/>
                <w:sz w:val="22"/>
                <w:szCs w:val="22"/>
                <w:lang w:val="en-GB" w:eastAsia="en-GB"/>
              </w:rPr>
            </w:pPr>
          </w:p>
        </w:tc>
      </w:tr>
      <w:tr w:rsidR="008252EB" w:rsidRPr="0044589F" w14:paraId="4BEF57B3" w14:textId="77777777" w:rsidTr="008252EB">
        <w:trPr>
          <w:trHeight w:val="340"/>
        </w:trPr>
        <w:tc>
          <w:tcPr>
            <w:tcW w:w="2094" w:type="dxa"/>
            <w:tcBorders>
              <w:left w:val="single" w:sz="4" w:space="0" w:color="auto"/>
            </w:tcBorders>
            <w:shd w:val="clear" w:color="auto" w:fill="auto"/>
            <w:noWrap/>
            <w:vAlign w:val="bottom"/>
            <w:hideMark/>
          </w:tcPr>
          <w:p w14:paraId="24D5842D"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2E3C86B8"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Kirkland High            </w:t>
            </w:r>
          </w:p>
        </w:tc>
        <w:tc>
          <w:tcPr>
            <w:tcW w:w="1446" w:type="dxa"/>
            <w:vAlign w:val="bottom"/>
          </w:tcPr>
          <w:p w14:paraId="768BBC33" w14:textId="14F71B2D"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186</w:t>
            </w:r>
          </w:p>
        </w:tc>
        <w:tc>
          <w:tcPr>
            <w:tcW w:w="1191" w:type="dxa"/>
            <w:shd w:val="clear" w:color="auto" w:fill="auto"/>
            <w:noWrap/>
            <w:vAlign w:val="bottom"/>
            <w:hideMark/>
          </w:tcPr>
          <w:p w14:paraId="6309088C" w14:textId="2A429497"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536</w:t>
            </w:r>
          </w:p>
        </w:tc>
        <w:tc>
          <w:tcPr>
            <w:tcW w:w="1191" w:type="dxa"/>
            <w:shd w:val="clear" w:color="auto" w:fill="auto"/>
            <w:noWrap/>
            <w:vAlign w:val="bottom"/>
            <w:hideMark/>
          </w:tcPr>
          <w:p w14:paraId="6C99DC8A" w14:textId="62E7226D"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38.2</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75D6C924" w14:textId="3B6F161F" w:rsidR="008252EB" w:rsidRPr="0044589F" w:rsidRDefault="008252EB" w:rsidP="008252EB">
            <w:pPr>
              <w:jc w:val="right"/>
              <w:rPr>
                <w:rFonts w:ascii="Titillium" w:eastAsia="Times New Roman" w:hAnsi="Titillium"/>
                <w:sz w:val="22"/>
                <w:szCs w:val="22"/>
                <w:lang w:val="en-GB" w:eastAsia="en-GB"/>
              </w:rPr>
            </w:pPr>
          </w:p>
        </w:tc>
      </w:tr>
      <w:tr w:rsidR="008252EB" w:rsidRPr="0044589F" w14:paraId="0D626AC5" w14:textId="77777777" w:rsidTr="008252EB">
        <w:trPr>
          <w:trHeight w:val="340"/>
        </w:trPr>
        <w:tc>
          <w:tcPr>
            <w:tcW w:w="2094" w:type="dxa"/>
            <w:tcBorders>
              <w:left w:val="single" w:sz="4" w:space="0" w:color="auto"/>
            </w:tcBorders>
            <w:shd w:val="clear" w:color="auto" w:fill="auto"/>
            <w:noWrap/>
            <w:vAlign w:val="bottom"/>
            <w:hideMark/>
          </w:tcPr>
          <w:p w14:paraId="38043DFA"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15CA7265"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Glenwood High            </w:t>
            </w:r>
          </w:p>
        </w:tc>
        <w:tc>
          <w:tcPr>
            <w:tcW w:w="1446" w:type="dxa"/>
            <w:vAlign w:val="bottom"/>
          </w:tcPr>
          <w:p w14:paraId="041880F6" w14:textId="66DA42FF"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285</w:t>
            </w:r>
          </w:p>
        </w:tc>
        <w:tc>
          <w:tcPr>
            <w:tcW w:w="1191" w:type="dxa"/>
            <w:shd w:val="clear" w:color="auto" w:fill="auto"/>
            <w:noWrap/>
            <w:vAlign w:val="bottom"/>
            <w:hideMark/>
          </w:tcPr>
          <w:p w14:paraId="1293469D" w14:textId="7B18D6B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889</w:t>
            </w:r>
          </w:p>
        </w:tc>
        <w:tc>
          <w:tcPr>
            <w:tcW w:w="1191" w:type="dxa"/>
            <w:shd w:val="clear" w:color="auto" w:fill="auto"/>
            <w:noWrap/>
            <w:vAlign w:val="bottom"/>
            <w:hideMark/>
          </w:tcPr>
          <w:p w14:paraId="3708B82C" w14:textId="59A2BCE7"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35.3</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66455889" w14:textId="2FB075D6" w:rsidR="008252EB" w:rsidRPr="0044589F" w:rsidRDefault="008252EB" w:rsidP="008252EB">
            <w:pPr>
              <w:jc w:val="right"/>
              <w:rPr>
                <w:rFonts w:ascii="Titillium" w:eastAsia="Times New Roman" w:hAnsi="Titillium"/>
                <w:sz w:val="22"/>
                <w:szCs w:val="22"/>
                <w:lang w:val="en-GB" w:eastAsia="en-GB"/>
              </w:rPr>
            </w:pPr>
          </w:p>
        </w:tc>
      </w:tr>
      <w:tr w:rsidR="008252EB" w:rsidRPr="0044589F" w14:paraId="6516F66C" w14:textId="77777777" w:rsidTr="008252EB">
        <w:trPr>
          <w:trHeight w:val="340"/>
        </w:trPr>
        <w:tc>
          <w:tcPr>
            <w:tcW w:w="2094" w:type="dxa"/>
            <w:tcBorders>
              <w:left w:val="single" w:sz="4" w:space="0" w:color="auto"/>
            </w:tcBorders>
            <w:shd w:val="clear" w:color="auto" w:fill="auto"/>
            <w:noWrap/>
            <w:vAlign w:val="bottom"/>
            <w:hideMark/>
          </w:tcPr>
          <w:p w14:paraId="13A6C9BB"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0095CD53"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Holy Rood High           </w:t>
            </w:r>
          </w:p>
        </w:tc>
        <w:tc>
          <w:tcPr>
            <w:tcW w:w="1446" w:type="dxa"/>
            <w:vAlign w:val="bottom"/>
          </w:tcPr>
          <w:p w14:paraId="22E6BBB0" w14:textId="5E490C9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327</w:t>
            </w:r>
          </w:p>
        </w:tc>
        <w:tc>
          <w:tcPr>
            <w:tcW w:w="1191" w:type="dxa"/>
            <w:shd w:val="clear" w:color="auto" w:fill="auto"/>
            <w:noWrap/>
            <w:vAlign w:val="bottom"/>
            <w:hideMark/>
          </w:tcPr>
          <w:p w14:paraId="0DF29A15" w14:textId="0402085D"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1021</w:t>
            </w:r>
          </w:p>
        </w:tc>
        <w:tc>
          <w:tcPr>
            <w:tcW w:w="1191" w:type="dxa"/>
            <w:shd w:val="clear" w:color="auto" w:fill="auto"/>
            <w:noWrap/>
            <w:vAlign w:val="bottom"/>
            <w:hideMark/>
          </w:tcPr>
          <w:p w14:paraId="2F0DE28F" w14:textId="1B003FA0"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35.3</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5AE6D8C5" w14:textId="1FA54CAA" w:rsidR="008252EB" w:rsidRPr="0044589F" w:rsidRDefault="008252EB" w:rsidP="008252EB">
            <w:pPr>
              <w:jc w:val="right"/>
              <w:rPr>
                <w:rFonts w:ascii="Titillium" w:eastAsia="Times New Roman" w:hAnsi="Titillium"/>
                <w:sz w:val="22"/>
                <w:szCs w:val="22"/>
                <w:lang w:val="en-GB" w:eastAsia="en-GB"/>
              </w:rPr>
            </w:pPr>
          </w:p>
        </w:tc>
      </w:tr>
      <w:tr w:rsidR="008252EB" w:rsidRPr="0044589F" w14:paraId="288B9D49" w14:textId="77777777" w:rsidTr="008252EB">
        <w:trPr>
          <w:trHeight w:val="340"/>
        </w:trPr>
        <w:tc>
          <w:tcPr>
            <w:tcW w:w="2094" w:type="dxa"/>
            <w:tcBorders>
              <w:left w:val="single" w:sz="4" w:space="0" w:color="auto"/>
            </w:tcBorders>
            <w:shd w:val="clear" w:color="auto" w:fill="auto"/>
            <w:noWrap/>
            <w:vAlign w:val="bottom"/>
            <w:hideMark/>
          </w:tcPr>
          <w:p w14:paraId="3CF88CEA"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2642B444"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St Columba's High        </w:t>
            </w:r>
          </w:p>
        </w:tc>
        <w:tc>
          <w:tcPr>
            <w:tcW w:w="1446" w:type="dxa"/>
            <w:vAlign w:val="bottom"/>
          </w:tcPr>
          <w:p w14:paraId="0E5794A2" w14:textId="3374385F"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276</w:t>
            </w:r>
          </w:p>
        </w:tc>
        <w:tc>
          <w:tcPr>
            <w:tcW w:w="1191" w:type="dxa"/>
            <w:shd w:val="clear" w:color="auto" w:fill="auto"/>
            <w:noWrap/>
            <w:vAlign w:val="bottom"/>
            <w:hideMark/>
          </w:tcPr>
          <w:p w14:paraId="680A6493" w14:textId="04991BF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901</w:t>
            </w:r>
          </w:p>
        </w:tc>
        <w:tc>
          <w:tcPr>
            <w:tcW w:w="1191" w:type="dxa"/>
            <w:shd w:val="clear" w:color="auto" w:fill="auto"/>
            <w:noWrap/>
            <w:vAlign w:val="bottom"/>
            <w:hideMark/>
          </w:tcPr>
          <w:p w14:paraId="71C14D5E" w14:textId="6CBA3849"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33.7</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70A29719" w14:textId="237AD8E5" w:rsidR="008252EB" w:rsidRPr="0044589F" w:rsidRDefault="008252EB" w:rsidP="008252EB">
            <w:pPr>
              <w:jc w:val="right"/>
              <w:rPr>
                <w:rFonts w:ascii="Titillium" w:eastAsia="Times New Roman" w:hAnsi="Titillium"/>
                <w:sz w:val="22"/>
                <w:szCs w:val="22"/>
                <w:lang w:val="en-GB" w:eastAsia="en-GB"/>
              </w:rPr>
            </w:pPr>
          </w:p>
        </w:tc>
      </w:tr>
      <w:tr w:rsidR="008252EB" w:rsidRPr="0044589F" w14:paraId="4494E832" w14:textId="77777777" w:rsidTr="008252EB">
        <w:trPr>
          <w:trHeight w:val="340"/>
        </w:trPr>
        <w:tc>
          <w:tcPr>
            <w:tcW w:w="2094" w:type="dxa"/>
            <w:tcBorders>
              <w:left w:val="single" w:sz="4" w:space="0" w:color="auto"/>
            </w:tcBorders>
            <w:shd w:val="clear" w:color="auto" w:fill="auto"/>
            <w:noWrap/>
            <w:vAlign w:val="bottom"/>
            <w:hideMark/>
          </w:tcPr>
          <w:p w14:paraId="0F1DAF19"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00D300B1"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Broughton High           </w:t>
            </w:r>
          </w:p>
        </w:tc>
        <w:tc>
          <w:tcPr>
            <w:tcW w:w="1446" w:type="dxa"/>
            <w:vAlign w:val="bottom"/>
          </w:tcPr>
          <w:p w14:paraId="4CBC81E7" w14:textId="0CA36D9B"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268</w:t>
            </w:r>
          </w:p>
        </w:tc>
        <w:tc>
          <w:tcPr>
            <w:tcW w:w="1191" w:type="dxa"/>
            <w:shd w:val="clear" w:color="auto" w:fill="auto"/>
            <w:noWrap/>
            <w:vAlign w:val="bottom"/>
            <w:hideMark/>
          </w:tcPr>
          <w:p w14:paraId="39CE3907" w14:textId="2B0B478B"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920</w:t>
            </w:r>
          </w:p>
        </w:tc>
        <w:tc>
          <w:tcPr>
            <w:tcW w:w="1191" w:type="dxa"/>
            <w:shd w:val="clear" w:color="auto" w:fill="auto"/>
            <w:noWrap/>
            <w:vAlign w:val="bottom"/>
            <w:hideMark/>
          </w:tcPr>
          <w:p w14:paraId="376E9A43" w14:textId="2F04149C"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32.1</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351D6ABF" w14:textId="3ADF9971" w:rsidR="008252EB" w:rsidRPr="0044589F" w:rsidRDefault="008252EB" w:rsidP="008252EB">
            <w:pPr>
              <w:jc w:val="right"/>
              <w:rPr>
                <w:rFonts w:ascii="Titillium" w:eastAsia="Times New Roman" w:hAnsi="Titillium"/>
                <w:sz w:val="22"/>
                <w:szCs w:val="22"/>
                <w:lang w:val="en-GB" w:eastAsia="en-GB"/>
              </w:rPr>
            </w:pPr>
          </w:p>
        </w:tc>
      </w:tr>
      <w:tr w:rsidR="008252EB" w:rsidRPr="0044589F" w14:paraId="74B3B340" w14:textId="77777777" w:rsidTr="008252EB">
        <w:trPr>
          <w:trHeight w:val="340"/>
        </w:trPr>
        <w:tc>
          <w:tcPr>
            <w:tcW w:w="2094" w:type="dxa"/>
            <w:tcBorders>
              <w:left w:val="single" w:sz="4" w:space="0" w:color="auto"/>
            </w:tcBorders>
            <w:shd w:val="clear" w:color="auto" w:fill="auto"/>
            <w:noWrap/>
            <w:vAlign w:val="bottom"/>
            <w:hideMark/>
          </w:tcPr>
          <w:p w14:paraId="1F9C9298"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54B08F2F"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Kirkcaldy High           </w:t>
            </w:r>
          </w:p>
        </w:tc>
        <w:tc>
          <w:tcPr>
            <w:tcW w:w="1446" w:type="dxa"/>
            <w:vAlign w:val="bottom"/>
          </w:tcPr>
          <w:p w14:paraId="30115681" w14:textId="74B085A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312</w:t>
            </w:r>
          </w:p>
        </w:tc>
        <w:tc>
          <w:tcPr>
            <w:tcW w:w="1191" w:type="dxa"/>
            <w:shd w:val="clear" w:color="auto" w:fill="auto"/>
            <w:noWrap/>
            <w:vAlign w:val="bottom"/>
            <w:hideMark/>
          </w:tcPr>
          <w:p w14:paraId="1471E03C" w14:textId="0C368F07"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1092</w:t>
            </w:r>
          </w:p>
        </w:tc>
        <w:tc>
          <w:tcPr>
            <w:tcW w:w="1191" w:type="dxa"/>
            <w:shd w:val="clear" w:color="auto" w:fill="auto"/>
            <w:noWrap/>
            <w:vAlign w:val="bottom"/>
            <w:hideMark/>
          </w:tcPr>
          <w:p w14:paraId="6FB40F52" w14:textId="5F96B463"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31.4</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61221CB2" w14:textId="2F0E4C22" w:rsidR="008252EB" w:rsidRPr="0044589F" w:rsidRDefault="008252EB" w:rsidP="008252EB">
            <w:pPr>
              <w:jc w:val="right"/>
              <w:rPr>
                <w:rFonts w:ascii="Titillium" w:eastAsia="Times New Roman" w:hAnsi="Titillium"/>
                <w:sz w:val="22"/>
                <w:szCs w:val="22"/>
                <w:lang w:val="en-GB" w:eastAsia="en-GB"/>
              </w:rPr>
            </w:pPr>
          </w:p>
        </w:tc>
      </w:tr>
      <w:tr w:rsidR="008252EB" w:rsidRPr="0044589F" w14:paraId="1324D989" w14:textId="77777777" w:rsidTr="008252EB">
        <w:trPr>
          <w:trHeight w:val="340"/>
        </w:trPr>
        <w:tc>
          <w:tcPr>
            <w:tcW w:w="2094" w:type="dxa"/>
            <w:tcBorders>
              <w:left w:val="single" w:sz="4" w:space="0" w:color="auto"/>
            </w:tcBorders>
            <w:shd w:val="clear" w:color="auto" w:fill="auto"/>
            <w:noWrap/>
            <w:vAlign w:val="bottom"/>
            <w:hideMark/>
          </w:tcPr>
          <w:p w14:paraId="2CF08F3E"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23B41411"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Beath High               </w:t>
            </w:r>
          </w:p>
        </w:tc>
        <w:tc>
          <w:tcPr>
            <w:tcW w:w="1446" w:type="dxa"/>
            <w:vAlign w:val="bottom"/>
          </w:tcPr>
          <w:p w14:paraId="70488CC0" w14:textId="330480A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278</w:t>
            </w:r>
          </w:p>
        </w:tc>
        <w:tc>
          <w:tcPr>
            <w:tcW w:w="1191" w:type="dxa"/>
            <w:shd w:val="clear" w:color="auto" w:fill="auto"/>
            <w:noWrap/>
            <w:vAlign w:val="bottom"/>
            <w:hideMark/>
          </w:tcPr>
          <w:p w14:paraId="4E72A226" w14:textId="06E4B04A"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1069</w:t>
            </w:r>
          </w:p>
        </w:tc>
        <w:tc>
          <w:tcPr>
            <w:tcW w:w="1191" w:type="dxa"/>
            <w:shd w:val="clear" w:color="auto" w:fill="auto"/>
            <w:noWrap/>
            <w:vAlign w:val="bottom"/>
            <w:hideMark/>
          </w:tcPr>
          <w:p w14:paraId="1EC35AB5" w14:textId="37B5BC5E"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28.6</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38E06238" w14:textId="528B8426" w:rsidR="008252EB" w:rsidRPr="0044589F" w:rsidRDefault="008252EB" w:rsidP="008252EB">
            <w:pPr>
              <w:jc w:val="right"/>
              <w:rPr>
                <w:rFonts w:ascii="Titillium" w:eastAsia="Times New Roman" w:hAnsi="Titillium"/>
                <w:sz w:val="22"/>
                <w:szCs w:val="22"/>
                <w:lang w:val="en-GB" w:eastAsia="en-GB"/>
              </w:rPr>
            </w:pPr>
          </w:p>
        </w:tc>
      </w:tr>
      <w:tr w:rsidR="008252EB" w:rsidRPr="0044589F" w14:paraId="1E7D8A59" w14:textId="77777777" w:rsidTr="008252EB">
        <w:trPr>
          <w:trHeight w:val="340"/>
        </w:trPr>
        <w:tc>
          <w:tcPr>
            <w:tcW w:w="2094" w:type="dxa"/>
            <w:tcBorders>
              <w:left w:val="single" w:sz="4" w:space="0" w:color="auto"/>
            </w:tcBorders>
            <w:shd w:val="clear" w:color="auto" w:fill="auto"/>
            <w:noWrap/>
            <w:vAlign w:val="bottom"/>
            <w:hideMark/>
          </w:tcPr>
          <w:p w14:paraId="07BA126C"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Edinburgh City</w:t>
            </w:r>
          </w:p>
        </w:tc>
        <w:tc>
          <w:tcPr>
            <w:tcW w:w="3118" w:type="dxa"/>
            <w:shd w:val="clear" w:color="auto" w:fill="auto"/>
            <w:noWrap/>
            <w:vAlign w:val="bottom"/>
            <w:hideMark/>
          </w:tcPr>
          <w:p w14:paraId="08616ED0"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Leith Academy            </w:t>
            </w:r>
          </w:p>
        </w:tc>
        <w:tc>
          <w:tcPr>
            <w:tcW w:w="1446" w:type="dxa"/>
            <w:vAlign w:val="bottom"/>
          </w:tcPr>
          <w:p w14:paraId="574A3245" w14:textId="4EC7916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222</w:t>
            </w:r>
          </w:p>
        </w:tc>
        <w:tc>
          <w:tcPr>
            <w:tcW w:w="1191" w:type="dxa"/>
            <w:shd w:val="clear" w:color="auto" w:fill="auto"/>
            <w:noWrap/>
            <w:vAlign w:val="bottom"/>
            <w:hideMark/>
          </w:tcPr>
          <w:p w14:paraId="1CE4D02C" w14:textId="08CEFD64"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900</w:t>
            </w:r>
          </w:p>
        </w:tc>
        <w:tc>
          <w:tcPr>
            <w:tcW w:w="1191" w:type="dxa"/>
            <w:shd w:val="clear" w:color="auto" w:fill="auto"/>
            <w:noWrap/>
            <w:vAlign w:val="bottom"/>
            <w:hideMark/>
          </w:tcPr>
          <w:p w14:paraId="1112DAB7" w14:textId="742F767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27.1</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304692E1" w14:textId="4D5990CD" w:rsidR="008252EB" w:rsidRPr="0044589F" w:rsidRDefault="008252EB" w:rsidP="008252EB">
            <w:pPr>
              <w:jc w:val="right"/>
              <w:rPr>
                <w:rFonts w:ascii="Titillium" w:eastAsia="Times New Roman" w:hAnsi="Titillium"/>
                <w:sz w:val="22"/>
                <w:szCs w:val="22"/>
                <w:lang w:val="en-GB" w:eastAsia="en-GB"/>
              </w:rPr>
            </w:pPr>
          </w:p>
        </w:tc>
      </w:tr>
      <w:tr w:rsidR="008252EB" w:rsidRPr="0044589F" w14:paraId="354C0701" w14:textId="77777777" w:rsidTr="008252EB">
        <w:trPr>
          <w:trHeight w:val="340"/>
        </w:trPr>
        <w:tc>
          <w:tcPr>
            <w:tcW w:w="2094" w:type="dxa"/>
            <w:tcBorders>
              <w:left w:val="single" w:sz="4" w:space="0" w:color="auto"/>
            </w:tcBorders>
            <w:shd w:val="clear" w:color="auto" w:fill="auto"/>
            <w:noWrap/>
            <w:vAlign w:val="bottom"/>
            <w:hideMark/>
          </w:tcPr>
          <w:p w14:paraId="51312C2F"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Fife</w:t>
            </w:r>
          </w:p>
        </w:tc>
        <w:tc>
          <w:tcPr>
            <w:tcW w:w="3118" w:type="dxa"/>
            <w:shd w:val="clear" w:color="auto" w:fill="auto"/>
            <w:noWrap/>
            <w:vAlign w:val="bottom"/>
            <w:hideMark/>
          </w:tcPr>
          <w:p w14:paraId="6678D539"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St Andrew's High         </w:t>
            </w:r>
          </w:p>
        </w:tc>
        <w:tc>
          <w:tcPr>
            <w:tcW w:w="1446" w:type="dxa"/>
            <w:vAlign w:val="bottom"/>
          </w:tcPr>
          <w:p w14:paraId="010FB1A8" w14:textId="5922125B"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187</w:t>
            </w:r>
          </w:p>
        </w:tc>
        <w:tc>
          <w:tcPr>
            <w:tcW w:w="1191" w:type="dxa"/>
            <w:shd w:val="clear" w:color="auto" w:fill="auto"/>
            <w:noWrap/>
            <w:vAlign w:val="bottom"/>
            <w:hideMark/>
          </w:tcPr>
          <w:p w14:paraId="4498D6DB" w14:textId="118445DA"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773</w:t>
            </w:r>
          </w:p>
        </w:tc>
        <w:tc>
          <w:tcPr>
            <w:tcW w:w="1191" w:type="dxa"/>
            <w:shd w:val="clear" w:color="auto" w:fill="auto"/>
            <w:noWrap/>
            <w:vAlign w:val="bottom"/>
            <w:hideMark/>
          </w:tcPr>
          <w:p w14:paraId="36775FA8" w14:textId="1776118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26.6</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2B2B403C" w14:textId="0014F100" w:rsidR="008252EB" w:rsidRPr="0044589F" w:rsidRDefault="008252EB" w:rsidP="008252EB">
            <w:pPr>
              <w:jc w:val="right"/>
              <w:rPr>
                <w:rFonts w:ascii="Titillium" w:eastAsia="Times New Roman" w:hAnsi="Titillium"/>
                <w:sz w:val="22"/>
                <w:szCs w:val="22"/>
                <w:lang w:val="en-GB" w:eastAsia="en-GB"/>
              </w:rPr>
            </w:pPr>
          </w:p>
        </w:tc>
      </w:tr>
      <w:tr w:rsidR="008252EB" w:rsidRPr="0044589F" w14:paraId="7AF2E2D1" w14:textId="77777777" w:rsidTr="008252EB">
        <w:trPr>
          <w:trHeight w:val="340"/>
        </w:trPr>
        <w:tc>
          <w:tcPr>
            <w:tcW w:w="2094" w:type="dxa"/>
            <w:tcBorders>
              <w:left w:val="single" w:sz="4" w:space="0" w:color="auto"/>
            </w:tcBorders>
            <w:shd w:val="clear" w:color="auto" w:fill="auto"/>
            <w:noWrap/>
            <w:vAlign w:val="bottom"/>
            <w:hideMark/>
          </w:tcPr>
          <w:p w14:paraId="40B57699"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West Lothian</w:t>
            </w:r>
          </w:p>
        </w:tc>
        <w:tc>
          <w:tcPr>
            <w:tcW w:w="3118" w:type="dxa"/>
            <w:shd w:val="clear" w:color="auto" w:fill="auto"/>
            <w:noWrap/>
            <w:vAlign w:val="bottom"/>
            <w:hideMark/>
          </w:tcPr>
          <w:p w14:paraId="0C939F21"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Whitburn Academy         </w:t>
            </w:r>
          </w:p>
        </w:tc>
        <w:tc>
          <w:tcPr>
            <w:tcW w:w="1446" w:type="dxa"/>
            <w:vAlign w:val="bottom"/>
          </w:tcPr>
          <w:p w14:paraId="1163C2EE" w14:textId="0B27032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195</w:t>
            </w:r>
          </w:p>
        </w:tc>
        <w:tc>
          <w:tcPr>
            <w:tcW w:w="1191" w:type="dxa"/>
            <w:shd w:val="clear" w:color="auto" w:fill="auto"/>
            <w:noWrap/>
            <w:vAlign w:val="bottom"/>
            <w:hideMark/>
          </w:tcPr>
          <w:p w14:paraId="164C7CC6" w14:textId="1A861DF8"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822</w:t>
            </w:r>
          </w:p>
        </w:tc>
        <w:tc>
          <w:tcPr>
            <w:tcW w:w="1191" w:type="dxa"/>
            <w:shd w:val="clear" w:color="auto" w:fill="auto"/>
            <w:noWrap/>
            <w:vAlign w:val="bottom"/>
            <w:hideMark/>
          </w:tcPr>
          <w:p w14:paraId="0F5B6BDC" w14:textId="289C47EA"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26.0</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096175DA" w14:textId="3E6E4F63" w:rsidR="008252EB" w:rsidRPr="0044589F" w:rsidRDefault="008252EB" w:rsidP="008252EB">
            <w:pPr>
              <w:jc w:val="right"/>
              <w:rPr>
                <w:rFonts w:ascii="Titillium" w:eastAsia="Times New Roman" w:hAnsi="Titillium"/>
                <w:sz w:val="22"/>
                <w:szCs w:val="22"/>
                <w:lang w:val="en-GB" w:eastAsia="en-GB"/>
              </w:rPr>
            </w:pPr>
          </w:p>
        </w:tc>
      </w:tr>
      <w:tr w:rsidR="008252EB" w:rsidRPr="0044589F" w14:paraId="3810716E" w14:textId="77777777" w:rsidTr="008252EB">
        <w:trPr>
          <w:trHeight w:val="340"/>
        </w:trPr>
        <w:tc>
          <w:tcPr>
            <w:tcW w:w="2094" w:type="dxa"/>
            <w:tcBorders>
              <w:left w:val="single" w:sz="4" w:space="0" w:color="auto"/>
            </w:tcBorders>
            <w:shd w:val="clear" w:color="auto" w:fill="auto"/>
            <w:noWrap/>
            <w:vAlign w:val="bottom"/>
            <w:hideMark/>
          </w:tcPr>
          <w:p w14:paraId="52F455B9"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West Lothian</w:t>
            </w:r>
          </w:p>
        </w:tc>
        <w:tc>
          <w:tcPr>
            <w:tcW w:w="3118" w:type="dxa"/>
            <w:shd w:val="clear" w:color="auto" w:fill="auto"/>
            <w:noWrap/>
            <w:vAlign w:val="bottom"/>
            <w:hideMark/>
          </w:tcPr>
          <w:p w14:paraId="02898655"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St Kentigern's Academy   </w:t>
            </w:r>
          </w:p>
        </w:tc>
        <w:tc>
          <w:tcPr>
            <w:tcW w:w="1446" w:type="dxa"/>
            <w:vAlign w:val="bottom"/>
          </w:tcPr>
          <w:p w14:paraId="340FB004" w14:textId="72B0BDB1"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283</w:t>
            </w:r>
          </w:p>
        </w:tc>
        <w:tc>
          <w:tcPr>
            <w:tcW w:w="1191" w:type="dxa"/>
            <w:shd w:val="clear" w:color="auto" w:fill="auto"/>
            <w:noWrap/>
            <w:vAlign w:val="bottom"/>
            <w:hideMark/>
          </w:tcPr>
          <w:p w14:paraId="70F32279" w14:textId="5CF1BEA4"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1218</w:t>
            </w:r>
          </w:p>
        </w:tc>
        <w:tc>
          <w:tcPr>
            <w:tcW w:w="1191" w:type="dxa"/>
            <w:shd w:val="clear" w:color="auto" w:fill="auto"/>
            <w:noWrap/>
            <w:vAlign w:val="bottom"/>
            <w:hideMark/>
          </w:tcPr>
          <w:p w14:paraId="3A7E739F" w14:textId="7025694D"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25.5</w:t>
            </w:r>
            <w:r>
              <w:rPr>
                <w:rFonts w:ascii="Titillium" w:eastAsia="Times New Roman" w:hAnsi="Titillium" w:cs="Arial"/>
                <w:color w:val="000000"/>
                <w:sz w:val="22"/>
                <w:szCs w:val="22"/>
                <w:lang w:val="en-GB" w:eastAsia="en-GB"/>
              </w:rPr>
              <w:t>%</w:t>
            </w:r>
          </w:p>
        </w:tc>
        <w:tc>
          <w:tcPr>
            <w:tcW w:w="283" w:type="dxa"/>
            <w:tcBorders>
              <w:right w:val="single" w:sz="4" w:space="0" w:color="auto"/>
            </w:tcBorders>
            <w:shd w:val="clear" w:color="auto" w:fill="auto"/>
            <w:noWrap/>
            <w:vAlign w:val="bottom"/>
          </w:tcPr>
          <w:p w14:paraId="53E5F5B8" w14:textId="28E86042" w:rsidR="008252EB" w:rsidRPr="0044589F" w:rsidRDefault="008252EB" w:rsidP="008252EB">
            <w:pPr>
              <w:jc w:val="right"/>
              <w:rPr>
                <w:rFonts w:ascii="Titillium" w:eastAsia="Times New Roman" w:hAnsi="Titillium"/>
                <w:sz w:val="22"/>
                <w:szCs w:val="22"/>
                <w:lang w:val="en-GB" w:eastAsia="en-GB"/>
              </w:rPr>
            </w:pPr>
          </w:p>
        </w:tc>
      </w:tr>
      <w:tr w:rsidR="008252EB" w:rsidRPr="0044589F" w14:paraId="21EA2952" w14:textId="77777777" w:rsidTr="008252EB">
        <w:trPr>
          <w:trHeight w:val="340"/>
        </w:trPr>
        <w:tc>
          <w:tcPr>
            <w:tcW w:w="2094" w:type="dxa"/>
            <w:tcBorders>
              <w:left w:val="single" w:sz="4" w:space="0" w:color="auto"/>
              <w:bottom w:val="single" w:sz="4" w:space="0" w:color="auto"/>
            </w:tcBorders>
            <w:shd w:val="clear" w:color="auto" w:fill="auto"/>
            <w:noWrap/>
            <w:vAlign w:val="bottom"/>
            <w:hideMark/>
          </w:tcPr>
          <w:p w14:paraId="69DC5DC7" w14:textId="77777777" w:rsidR="008252EB" w:rsidRPr="0044589F" w:rsidRDefault="008252EB" w:rsidP="008252EB">
            <w:pPr>
              <w:jc w:val="both"/>
              <w:rPr>
                <w:rFonts w:ascii="Titillium" w:eastAsia="Times New Roman" w:hAnsi="Titillium" w:cs="Arial"/>
                <w:sz w:val="22"/>
                <w:szCs w:val="22"/>
                <w:lang w:val="en-GB"/>
              </w:rPr>
            </w:pPr>
            <w:r w:rsidRPr="0044589F">
              <w:rPr>
                <w:rFonts w:ascii="Titillium" w:eastAsia="Times New Roman" w:hAnsi="Titillium" w:cs="Arial"/>
                <w:sz w:val="22"/>
                <w:szCs w:val="22"/>
                <w:lang w:val="en-GB"/>
              </w:rPr>
              <w:t>Scottish Borders</w:t>
            </w:r>
          </w:p>
        </w:tc>
        <w:tc>
          <w:tcPr>
            <w:tcW w:w="3118" w:type="dxa"/>
            <w:tcBorders>
              <w:bottom w:val="single" w:sz="4" w:space="0" w:color="auto"/>
            </w:tcBorders>
            <w:shd w:val="clear" w:color="auto" w:fill="auto"/>
            <w:noWrap/>
            <w:vAlign w:val="bottom"/>
            <w:hideMark/>
          </w:tcPr>
          <w:p w14:paraId="46068CCF" w14:textId="77777777" w:rsidR="008252EB" w:rsidRPr="0044589F" w:rsidRDefault="008252EB" w:rsidP="008252EB">
            <w:pPr>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 xml:space="preserve">Hawick High              </w:t>
            </w:r>
          </w:p>
        </w:tc>
        <w:tc>
          <w:tcPr>
            <w:tcW w:w="1446" w:type="dxa"/>
            <w:tcBorders>
              <w:bottom w:val="single" w:sz="4" w:space="0" w:color="auto"/>
            </w:tcBorders>
            <w:vAlign w:val="bottom"/>
          </w:tcPr>
          <w:p w14:paraId="33CC803B" w14:textId="016A16EE"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sz w:val="22"/>
                <w:szCs w:val="22"/>
                <w:lang w:val="en-GB" w:eastAsia="en-GB"/>
              </w:rPr>
              <w:t>225</w:t>
            </w:r>
          </w:p>
        </w:tc>
        <w:tc>
          <w:tcPr>
            <w:tcW w:w="1191" w:type="dxa"/>
            <w:tcBorders>
              <w:bottom w:val="single" w:sz="4" w:space="0" w:color="auto"/>
            </w:tcBorders>
            <w:shd w:val="clear" w:color="auto" w:fill="auto"/>
            <w:noWrap/>
            <w:vAlign w:val="bottom"/>
            <w:hideMark/>
          </w:tcPr>
          <w:p w14:paraId="0454C229" w14:textId="3C844FB2"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978</w:t>
            </w:r>
          </w:p>
        </w:tc>
        <w:tc>
          <w:tcPr>
            <w:tcW w:w="1191" w:type="dxa"/>
            <w:tcBorders>
              <w:bottom w:val="single" w:sz="4" w:space="0" w:color="auto"/>
            </w:tcBorders>
            <w:shd w:val="clear" w:color="auto" w:fill="auto"/>
            <w:noWrap/>
            <w:vAlign w:val="bottom"/>
            <w:hideMark/>
          </w:tcPr>
          <w:p w14:paraId="42A95405" w14:textId="55813794" w:rsidR="008252EB" w:rsidRPr="0044589F" w:rsidRDefault="008252EB" w:rsidP="008252EB">
            <w:pPr>
              <w:jc w:val="right"/>
              <w:rPr>
                <w:rFonts w:ascii="Titillium" w:eastAsia="Times New Roman" w:hAnsi="Titillium" w:cs="Arial"/>
                <w:color w:val="000000"/>
                <w:sz w:val="22"/>
                <w:szCs w:val="22"/>
                <w:lang w:val="en-GB" w:eastAsia="en-GB"/>
              </w:rPr>
            </w:pPr>
            <w:r w:rsidRPr="0044589F">
              <w:rPr>
                <w:rFonts w:ascii="Titillium" w:eastAsia="Times New Roman" w:hAnsi="Titillium" w:cs="Arial"/>
                <w:color w:val="000000"/>
                <w:sz w:val="22"/>
                <w:szCs w:val="22"/>
                <w:lang w:val="en-GB" w:eastAsia="en-GB"/>
              </w:rPr>
              <w:t>25.3</w:t>
            </w:r>
            <w:r>
              <w:rPr>
                <w:rFonts w:ascii="Titillium" w:eastAsia="Times New Roman" w:hAnsi="Titillium" w:cs="Arial"/>
                <w:color w:val="000000"/>
                <w:sz w:val="22"/>
                <w:szCs w:val="22"/>
                <w:lang w:val="en-GB" w:eastAsia="en-GB"/>
              </w:rPr>
              <w:t>%</w:t>
            </w:r>
          </w:p>
        </w:tc>
        <w:tc>
          <w:tcPr>
            <w:tcW w:w="283" w:type="dxa"/>
            <w:tcBorders>
              <w:bottom w:val="single" w:sz="4" w:space="0" w:color="auto"/>
              <w:right w:val="single" w:sz="4" w:space="0" w:color="auto"/>
            </w:tcBorders>
            <w:shd w:val="clear" w:color="auto" w:fill="auto"/>
            <w:noWrap/>
            <w:vAlign w:val="bottom"/>
          </w:tcPr>
          <w:p w14:paraId="0CB1F3FF" w14:textId="75C19C8A" w:rsidR="008252EB" w:rsidRPr="0044589F" w:rsidRDefault="008252EB" w:rsidP="008252EB">
            <w:pPr>
              <w:jc w:val="right"/>
              <w:rPr>
                <w:rFonts w:ascii="Titillium" w:eastAsia="Times New Roman" w:hAnsi="Titillium"/>
                <w:sz w:val="22"/>
                <w:szCs w:val="22"/>
                <w:lang w:val="en-GB" w:eastAsia="en-GB"/>
              </w:rPr>
            </w:pPr>
          </w:p>
        </w:tc>
      </w:tr>
    </w:tbl>
    <w:p w14:paraId="5BB32303" w14:textId="77777777" w:rsidR="000C6BE7" w:rsidRPr="00867F38" w:rsidRDefault="000C6BE7" w:rsidP="00AB005D">
      <w:pPr>
        <w:rPr>
          <w:rFonts w:ascii="Titillium" w:eastAsia="Times New Roman" w:hAnsi="Titillium" w:cs="Arial"/>
          <w:color w:val="000000"/>
          <w:sz w:val="22"/>
          <w:szCs w:val="22"/>
          <w:lang w:val="en-GB" w:eastAsia="en-GB"/>
        </w:rPr>
      </w:pPr>
    </w:p>
    <w:p w14:paraId="2CD869E5" w14:textId="77777777" w:rsidR="00B44DEC" w:rsidRDefault="00B44DEC" w:rsidP="00AB005D">
      <w:pPr>
        <w:rPr>
          <w:rFonts w:ascii="Titillium" w:eastAsia="Times New Roman" w:hAnsi="Titillium" w:cs="Arial"/>
          <w:b/>
          <w:bCs/>
          <w:color w:val="000080"/>
          <w:sz w:val="32"/>
          <w:szCs w:val="24"/>
          <w:lang w:val="en-GB" w:eastAsia="en-GB"/>
        </w:rPr>
      </w:pPr>
    </w:p>
    <w:p w14:paraId="2CF29149" w14:textId="53F5DBB3" w:rsidR="003C1A96" w:rsidRDefault="003C1A96" w:rsidP="003C1A96">
      <w:pPr>
        <w:spacing w:after="160" w:line="259" w:lineRule="auto"/>
        <w:rPr>
          <w:rFonts w:ascii="Titillium" w:eastAsia="Times New Roman" w:hAnsi="Titillium" w:cs="Arial"/>
          <w:b/>
          <w:bCs/>
          <w:color w:val="003366"/>
          <w:szCs w:val="28"/>
          <w:lang w:val="en-GB"/>
        </w:rPr>
      </w:pPr>
      <w:r w:rsidRPr="0044589F">
        <w:rPr>
          <w:rFonts w:ascii="Titillium" w:eastAsia="Times New Roman" w:hAnsi="Titillium" w:cs="Arial"/>
          <w:b/>
          <w:bCs/>
          <w:color w:val="003366"/>
          <w:szCs w:val="28"/>
          <w:lang w:val="en-GB"/>
        </w:rPr>
        <w:t>Table C</w:t>
      </w:r>
      <w:r>
        <w:rPr>
          <w:rFonts w:ascii="Titillium" w:eastAsia="Times New Roman" w:hAnsi="Titillium" w:cs="Arial"/>
          <w:b/>
          <w:bCs/>
          <w:color w:val="003366"/>
          <w:szCs w:val="28"/>
          <w:lang w:val="en-GB"/>
        </w:rPr>
        <w:t>4</w:t>
      </w:r>
      <w:r w:rsidRPr="0044589F">
        <w:rPr>
          <w:rFonts w:ascii="Titillium" w:eastAsia="Times New Roman" w:hAnsi="Titillium" w:cs="Arial"/>
          <w:b/>
          <w:bCs/>
          <w:color w:val="003366"/>
          <w:szCs w:val="28"/>
          <w:lang w:val="en-GB"/>
        </w:rPr>
        <w:tab/>
      </w:r>
      <w:r w:rsidR="00C264C8">
        <w:rPr>
          <w:rFonts w:ascii="Titillium" w:eastAsia="Times New Roman" w:hAnsi="Titillium" w:cs="Arial"/>
          <w:b/>
          <w:bCs/>
          <w:color w:val="003366"/>
          <w:szCs w:val="28"/>
          <w:lang w:val="en-GB"/>
        </w:rPr>
        <w:t>SI</w:t>
      </w:r>
      <w:r>
        <w:rPr>
          <w:rFonts w:ascii="Titillium" w:eastAsia="Times New Roman" w:hAnsi="Titillium" w:cs="Arial"/>
          <w:b/>
          <w:bCs/>
          <w:color w:val="003366"/>
          <w:szCs w:val="28"/>
          <w:lang w:val="en-GB"/>
        </w:rPr>
        <w:t xml:space="preserve">MD20 </w:t>
      </w:r>
      <w:r w:rsidR="00C264C8">
        <w:rPr>
          <w:rFonts w:ascii="Titillium" w:eastAsia="Times New Roman" w:hAnsi="Titillium" w:cs="Arial"/>
          <w:b/>
          <w:bCs/>
          <w:color w:val="003366"/>
          <w:szCs w:val="28"/>
          <w:lang w:val="en-GB"/>
        </w:rPr>
        <w:t>Population in Scottish Domiciled Undergraduate Entrants: Articulating and Non-articulating 2012/3 to 2015/6</w:t>
      </w:r>
      <w:r w:rsidR="00C264C8">
        <w:rPr>
          <w:rFonts w:ascii="Titillium" w:eastAsia="Times New Roman" w:hAnsi="Titillium" w:cs="Arial"/>
          <w:b/>
          <w:bCs/>
          <w:color w:val="003366"/>
          <w:szCs w:val="28"/>
          <w:lang w:val="en-GB"/>
        </w:rPr>
        <w:br/>
      </w:r>
      <w:r w:rsidR="00C264C8">
        <w:rPr>
          <w:rFonts w:ascii="Titillium" w:eastAsia="Times New Roman" w:hAnsi="Titillium" w:cs="Arial"/>
          <w:b/>
          <w:bCs/>
          <w:color w:val="003366"/>
          <w:szCs w:val="28"/>
          <w:lang w:val="en-GB"/>
        </w:rPr>
        <w:tab/>
      </w:r>
      <w:r w:rsidR="00C264C8">
        <w:rPr>
          <w:rFonts w:ascii="Titillium" w:eastAsia="Times New Roman" w:hAnsi="Titillium" w:cs="Arial"/>
          <w:b/>
          <w:bCs/>
          <w:color w:val="003366"/>
          <w:szCs w:val="28"/>
          <w:lang w:val="en-GB"/>
        </w:rPr>
        <w:tab/>
        <w:t xml:space="preserve">(Using SIMD 2012 classification and total known SIMD population) </w:t>
      </w:r>
    </w:p>
    <w:tbl>
      <w:tblPr>
        <w:tblW w:w="9069" w:type="dxa"/>
        <w:tblLook w:val="04A0" w:firstRow="1" w:lastRow="0" w:firstColumn="1" w:lastColumn="0" w:noHBand="0" w:noVBand="1"/>
      </w:tblPr>
      <w:tblGrid>
        <w:gridCol w:w="3118"/>
        <w:gridCol w:w="1417"/>
        <w:gridCol w:w="1417"/>
        <w:gridCol w:w="1417"/>
        <w:gridCol w:w="1417"/>
        <w:gridCol w:w="283"/>
      </w:tblGrid>
      <w:tr w:rsidR="00C264C8" w:rsidRPr="0044589F" w14:paraId="3B948F04" w14:textId="77777777" w:rsidTr="00C264C8">
        <w:trPr>
          <w:trHeight w:val="300"/>
        </w:trPr>
        <w:tc>
          <w:tcPr>
            <w:tcW w:w="3118" w:type="dxa"/>
            <w:tcBorders>
              <w:top w:val="single" w:sz="4" w:space="0" w:color="auto"/>
              <w:left w:val="single" w:sz="4" w:space="0" w:color="auto"/>
              <w:bottom w:val="single" w:sz="4" w:space="0" w:color="auto"/>
            </w:tcBorders>
            <w:shd w:val="clear" w:color="auto" w:fill="auto"/>
            <w:noWrap/>
            <w:vAlign w:val="bottom"/>
            <w:hideMark/>
          </w:tcPr>
          <w:p w14:paraId="70BC745C" w14:textId="7FFAFA2C" w:rsidR="003C1A96" w:rsidRPr="0044589F" w:rsidRDefault="00C264C8" w:rsidP="00DA6EAD">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Population</w:t>
            </w:r>
          </w:p>
        </w:tc>
        <w:tc>
          <w:tcPr>
            <w:tcW w:w="1417" w:type="dxa"/>
            <w:tcBorders>
              <w:top w:val="single" w:sz="4" w:space="0" w:color="auto"/>
              <w:bottom w:val="single" w:sz="4" w:space="0" w:color="auto"/>
            </w:tcBorders>
            <w:shd w:val="clear" w:color="auto" w:fill="auto"/>
            <w:noWrap/>
            <w:vAlign w:val="bottom"/>
            <w:hideMark/>
          </w:tcPr>
          <w:p w14:paraId="08C8DB45" w14:textId="19A56B41" w:rsidR="003C1A96" w:rsidRPr="0044589F" w:rsidRDefault="00C264C8" w:rsidP="00DA6EAD">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2012/13</w:t>
            </w:r>
          </w:p>
        </w:tc>
        <w:tc>
          <w:tcPr>
            <w:tcW w:w="1417" w:type="dxa"/>
            <w:tcBorders>
              <w:top w:val="single" w:sz="4" w:space="0" w:color="auto"/>
              <w:bottom w:val="single" w:sz="4" w:space="0" w:color="auto"/>
            </w:tcBorders>
            <w:vAlign w:val="bottom"/>
          </w:tcPr>
          <w:p w14:paraId="1C90A4A2" w14:textId="75C6985D" w:rsidR="003C1A96" w:rsidRPr="0044589F" w:rsidRDefault="00C264C8" w:rsidP="00DA6EAD">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2013/14</w:t>
            </w:r>
          </w:p>
        </w:tc>
        <w:tc>
          <w:tcPr>
            <w:tcW w:w="1417" w:type="dxa"/>
            <w:tcBorders>
              <w:top w:val="single" w:sz="4" w:space="0" w:color="auto"/>
              <w:bottom w:val="single" w:sz="4" w:space="0" w:color="auto"/>
            </w:tcBorders>
            <w:shd w:val="clear" w:color="auto" w:fill="auto"/>
            <w:noWrap/>
            <w:vAlign w:val="bottom"/>
            <w:hideMark/>
          </w:tcPr>
          <w:p w14:paraId="7408A806" w14:textId="147F3706" w:rsidR="003C1A96" w:rsidRPr="0044589F" w:rsidRDefault="00C264C8" w:rsidP="00DA6EAD">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2014/15</w:t>
            </w:r>
          </w:p>
        </w:tc>
        <w:tc>
          <w:tcPr>
            <w:tcW w:w="1417" w:type="dxa"/>
            <w:tcBorders>
              <w:top w:val="single" w:sz="4" w:space="0" w:color="auto"/>
              <w:bottom w:val="single" w:sz="4" w:space="0" w:color="auto"/>
            </w:tcBorders>
            <w:shd w:val="clear" w:color="auto" w:fill="auto"/>
            <w:noWrap/>
            <w:vAlign w:val="bottom"/>
            <w:hideMark/>
          </w:tcPr>
          <w:p w14:paraId="0B22F1D5" w14:textId="45240989" w:rsidR="003C1A96" w:rsidRPr="0044589F" w:rsidRDefault="00C264C8" w:rsidP="00DA6EAD">
            <w:pPr>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2015/16</w:t>
            </w:r>
          </w:p>
        </w:tc>
        <w:tc>
          <w:tcPr>
            <w:tcW w:w="283" w:type="dxa"/>
            <w:tcBorders>
              <w:top w:val="single" w:sz="4" w:space="0" w:color="auto"/>
              <w:bottom w:val="single" w:sz="4" w:space="0" w:color="auto"/>
              <w:right w:val="single" w:sz="4" w:space="0" w:color="auto"/>
            </w:tcBorders>
            <w:shd w:val="clear" w:color="auto" w:fill="auto"/>
            <w:noWrap/>
            <w:vAlign w:val="bottom"/>
          </w:tcPr>
          <w:p w14:paraId="56A43166" w14:textId="77777777" w:rsidR="003C1A96" w:rsidRPr="0044589F" w:rsidRDefault="003C1A96" w:rsidP="00DA6EAD">
            <w:pPr>
              <w:spacing w:line="276" w:lineRule="auto"/>
              <w:rPr>
                <w:rFonts w:ascii="Titillium" w:eastAsia="Times New Roman" w:hAnsi="Titillium" w:cs="Arial"/>
                <w:b/>
                <w:color w:val="003366"/>
                <w:sz w:val="22"/>
                <w:szCs w:val="22"/>
                <w:lang w:val="en-GB" w:eastAsia="en-GB"/>
              </w:rPr>
            </w:pPr>
          </w:p>
        </w:tc>
      </w:tr>
      <w:tr w:rsidR="00BA20DA" w:rsidRPr="0044589F" w14:paraId="0E4FA879" w14:textId="77777777" w:rsidTr="00DA6EAD">
        <w:trPr>
          <w:trHeight w:val="340"/>
        </w:trPr>
        <w:tc>
          <w:tcPr>
            <w:tcW w:w="4535" w:type="dxa"/>
            <w:gridSpan w:val="2"/>
            <w:tcBorders>
              <w:top w:val="single" w:sz="4" w:space="0" w:color="auto"/>
              <w:left w:val="single" w:sz="4" w:space="0" w:color="auto"/>
            </w:tcBorders>
            <w:shd w:val="clear" w:color="auto" w:fill="auto"/>
            <w:noWrap/>
            <w:vAlign w:val="bottom"/>
          </w:tcPr>
          <w:p w14:paraId="27355DF5" w14:textId="0492BEF1" w:rsidR="00BA20DA" w:rsidRPr="0044589F" w:rsidRDefault="00BA20DA" w:rsidP="00DA6EAD">
            <w:pPr>
              <w:rPr>
                <w:rFonts w:ascii="Titillium" w:eastAsia="Times New Roman" w:hAnsi="Titillium" w:cs="Arial"/>
                <w:color w:val="000000"/>
                <w:sz w:val="22"/>
                <w:szCs w:val="22"/>
                <w:lang w:val="en-GB" w:eastAsia="en-GB"/>
              </w:rPr>
            </w:pPr>
            <w:r>
              <w:rPr>
                <w:rFonts w:ascii="Titillium" w:eastAsia="Times New Roman" w:hAnsi="Titillium" w:cs="Arial"/>
                <w:sz w:val="22"/>
                <w:szCs w:val="22"/>
                <w:lang w:val="en-GB"/>
              </w:rPr>
              <w:t>All Scottish Domiciled Undergraduate Entrants</w:t>
            </w:r>
          </w:p>
        </w:tc>
        <w:tc>
          <w:tcPr>
            <w:tcW w:w="1417" w:type="dxa"/>
            <w:tcBorders>
              <w:top w:val="single" w:sz="4" w:space="0" w:color="auto"/>
            </w:tcBorders>
            <w:vAlign w:val="bottom"/>
          </w:tcPr>
          <w:p w14:paraId="45625ABE" w14:textId="19B3327A" w:rsidR="00BA20DA" w:rsidRPr="0044589F" w:rsidRDefault="00BA20DA" w:rsidP="00DA6EAD">
            <w:pPr>
              <w:jc w:val="right"/>
              <w:rPr>
                <w:rFonts w:ascii="Titillium" w:eastAsia="Times New Roman" w:hAnsi="Titillium" w:cs="Arial"/>
                <w:color w:val="000000"/>
                <w:sz w:val="22"/>
                <w:szCs w:val="22"/>
                <w:lang w:val="en-GB" w:eastAsia="en-GB"/>
              </w:rPr>
            </w:pPr>
          </w:p>
        </w:tc>
        <w:tc>
          <w:tcPr>
            <w:tcW w:w="1417" w:type="dxa"/>
            <w:tcBorders>
              <w:top w:val="single" w:sz="4" w:space="0" w:color="auto"/>
            </w:tcBorders>
            <w:shd w:val="clear" w:color="auto" w:fill="auto"/>
            <w:noWrap/>
            <w:vAlign w:val="bottom"/>
          </w:tcPr>
          <w:p w14:paraId="69400396" w14:textId="7A048019" w:rsidR="00BA20DA" w:rsidRPr="0044589F" w:rsidRDefault="00BA20DA" w:rsidP="00DA6EAD">
            <w:pPr>
              <w:jc w:val="right"/>
              <w:rPr>
                <w:rFonts w:ascii="Titillium" w:eastAsia="Times New Roman" w:hAnsi="Titillium" w:cs="Arial"/>
                <w:color w:val="000000"/>
                <w:sz w:val="22"/>
                <w:szCs w:val="22"/>
                <w:lang w:val="en-GB" w:eastAsia="en-GB"/>
              </w:rPr>
            </w:pPr>
          </w:p>
        </w:tc>
        <w:tc>
          <w:tcPr>
            <w:tcW w:w="1417" w:type="dxa"/>
            <w:tcBorders>
              <w:top w:val="single" w:sz="4" w:space="0" w:color="auto"/>
            </w:tcBorders>
            <w:shd w:val="clear" w:color="auto" w:fill="auto"/>
            <w:noWrap/>
            <w:vAlign w:val="bottom"/>
          </w:tcPr>
          <w:p w14:paraId="57D68628" w14:textId="03449B3F" w:rsidR="00BA20DA" w:rsidRPr="0044589F" w:rsidRDefault="00BA20DA" w:rsidP="00DA6EAD">
            <w:pPr>
              <w:jc w:val="right"/>
              <w:rPr>
                <w:rFonts w:ascii="Titillium" w:eastAsia="Times New Roman" w:hAnsi="Titillium" w:cs="Arial"/>
                <w:color w:val="000000"/>
                <w:sz w:val="22"/>
                <w:szCs w:val="22"/>
                <w:lang w:val="en-GB" w:eastAsia="en-GB"/>
              </w:rPr>
            </w:pPr>
          </w:p>
        </w:tc>
        <w:tc>
          <w:tcPr>
            <w:tcW w:w="283" w:type="dxa"/>
            <w:tcBorders>
              <w:top w:val="single" w:sz="4" w:space="0" w:color="auto"/>
              <w:right w:val="single" w:sz="4" w:space="0" w:color="auto"/>
            </w:tcBorders>
            <w:shd w:val="clear" w:color="auto" w:fill="auto"/>
            <w:noWrap/>
            <w:vAlign w:val="bottom"/>
          </w:tcPr>
          <w:p w14:paraId="5BE57F40" w14:textId="77777777" w:rsidR="00BA20DA" w:rsidRPr="0044589F" w:rsidRDefault="00BA20DA" w:rsidP="00DA6EAD">
            <w:pPr>
              <w:jc w:val="right"/>
              <w:rPr>
                <w:rFonts w:ascii="Titillium" w:eastAsia="Times New Roman" w:hAnsi="Titillium"/>
                <w:sz w:val="22"/>
                <w:szCs w:val="22"/>
                <w:lang w:val="en-GB" w:eastAsia="en-GB"/>
              </w:rPr>
            </w:pPr>
          </w:p>
        </w:tc>
      </w:tr>
      <w:tr w:rsidR="00C264C8" w:rsidRPr="0044589F" w14:paraId="7E98916A" w14:textId="77777777" w:rsidTr="00C264C8">
        <w:trPr>
          <w:trHeight w:val="340"/>
        </w:trPr>
        <w:tc>
          <w:tcPr>
            <w:tcW w:w="3118" w:type="dxa"/>
            <w:tcBorders>
              <w:left w:val="single" w:sz="4" w:space="0" w:color="auto"/>
            </w:tcBorders>
            <w:shd w:val="clear" w:color="auto" w:fill="auto"/>
            <w:noWrap/>
            <w:vAlign w:val="bottom"/>
          </w:tcPr>
          <w:p w14:paraId="20FEE4DA" w14:textId="68FBA17C"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Headcount</w:t>
            </w:r>
          </w:p>
        </w:tc>
        <w:tc>
          <w:tcPr>
            <w:tcW w:w="1417" w:type="dxa"/>
            <w:shd w:val="clear" w:color="auto" w:fill="auto"/>
            <w:noWrap/>
            <w:vAlign w:val="bottom"/>
          </w:tcPr>
          <w:p w14:paraId="6D9E5031" w14:textId="4B62B615"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2531</w:t>
            </w:r>
          </w:p>
        </w:tc>
        <w:tc>
          <w:tcPr>
            <w:tcW w:w="1417" w:type="dxa"/>
            <w:vAlign w:val="bottom"/>
          </w:tcPr>
          <w:p w14:paraId="6D774F33" w14:textId="521EEB64"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2300</w:t>
            </w:r>
          </w:p>
        </w:tc>
        <w:tc>
          <w:tcPr>
            <w:tcW w:w="1417" w:type="dxa"/>
            <w:shd w:val="clear" w:color="auto" w:fill="auto"/>
            <w:noWrap/>
            <w:vAlign w:val="bottom"/>
          </w:tcPr>
          <w:p w14:paraId="15264AD8" w14:textId="6F0338DD"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2783</w:t>
            </w:r>
          </w:p>
        </w:tc>
        <w:tc>
          <w:tcPr>
            <w:tcW w:w="1417" w:type="dxa"/>
            <w:shd w:val="clear" w:color="auto" w:fill="auto"/>
            <w:noWrap/>
            <w:vAlign w:val="bottom"/>
          </w:tcPr>
          <w:p w14:paraId="791208EC" w14:textId="69A97955"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2544</w:t>
            </w:r>
          </w:p>
        </w:tc>
        <w:tc>
          <w:tcPr>
            <w:tcW w:w="283" w:type="dxa"/>
            <w:tcBorders>
              <w:right w:val="single" w:sz="4" w:space="0" w:color="auto"/>
            </w:tcBorders>
            <w:shd w:val="clear" w:color="auto" w:fill="auto"/>
            <w:noWrap/>
            <w:vAlign w:val="bottom"/>
          </w:tcPr>
          <w:p w14:paraId="43ED3860"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2D8C4705" w14:textId="77777777" w:rsidTr="00C264C8">
        <w:trPr>
          <w:trHeight w:val="340"/>
        </w:trPr>
        <w:tc>
          <w:tcPr>
            <w:tcW w:w="3118" w:type="dxa"/>
            <w:tcBorders>
              <w:left w:val="single" w:sz="4" w:space="0" w:color="auto"/>
            </w:tcBorders>
            <w:shd w:val="clear" w:color="auto" w:fill="auto"/>
            <w:noWrap/>
            <w:vAlign w:val="bottom"/>
          </w:tcPr>
          <w:p w14:paraId="3E0F87D8" w14:textId="69AE6842"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SIMD20 Headcount</w:t>
            </w:r>
          </w:p>
        </w:tc>
        <w:tc>
          <w:tcPr>
            <w:tcW w:w="1417" w:type="dxa"/>
            <w:shd w:val="clear" w:color="auto" w:fill="auto"/>
            <w:noWrap/>
            <w:vAlign w:val="bottom"/>
          </w:tcPr>
          <w:p w14:paraId="74DB3884" w14:textId="215BA16C"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276</w:t>
            </w:r>
          </w:p>
        </w:tc>
        <w:tc>
          <w:tcPr>
            <w:tcW w:w="1417" w:type="dxa"/>
            <w:vAlign w:val="bottom"/>
          </w:tcPr>
          <w:p w14:paraId="191411FF" w14:textId="4F79198D"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268</w:t>
            </w:r>
          </w:p>
        </w:tc>
        <w:tc>
          <w:tcPr>
            <w:tcW w:w="1417" w:type="dxa"/>
            <w:shd w:val="clear" w:color="auto" w:fill="auto"/>
            <w:noWrap/>
            <w:vAlign w:val="bottom"/>
          </w:tcPr>
          <w:p w14:paraId="320328CC" w14:textId="06110E5B"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294</w:t>
            </w:r>
          </w:p>
        </w:tc>
        <w:tc>
          <w:tcPr>
            <w:tcW w:w="1417" w:type="dxa"/>
            <w:shd w:val="clear" w:color="auto" w:fill="auto"/>
            <w:noWrap/>
            <w:vAlign w:val="bottom"/>
          </w:tcPr>
          <w:p w14:paraId="3E40E6B0" w14:textId="5760656A"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284</w:t>
            </w:r>
          </w:p>
        </w:tc>
        <w:tc>
          <w:tcPr>
            <w:tcW w:w="283" w:type="dxa"/>
            <w:tcBorders>
              <w:right w:val="single" w:sz="4" w:space="0" w:color="auto"/>
            </w:tcBorders>
            <w:shd w:val="clear" w:color="auto" w:fill="auto"/>
            <w:noWrap/>
            <w:vAlign w:val="bottom"/>
          </w:tcPr>
          <w:p w14:paraId="5ADEB9D7"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73A808EA" w14:textId="77777777" w:rsidTr="00C264C8">
        <w:trPr>
          <w:trHeight w:val="340"/>
        </w:trPr>
        <w:tc>
          <w:tcPr>
            <w:tcW w:w="3118" w:type="dxa"/>
            <w:tcBorders>
              <w:left w:val="single" w:sz="4" w:space="0" w:color="auto"/>
            </w:tcBorders>
            <w:shd w:val="clear" w:color="auto" w:fill="auto"/>
            <w:noWrap/>
            <w:vAlign w:val="bottom"/>
          </w:tcPr>
          <w:p w14:paraId="798D6374" w14:textId="76FFEBFE"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 SIMD20</w:t>
            </w:r>
          </w:p>
        </w:tc>
        <w:tc>
          <w:tcPr>
            <w:tcW w:w="1417" w:type="dxa"/>
            <w:shd w:val="clear" w:color="auto" w:fill="auto"/>
            <w:noWrap/>
            <w:vAlign w:val="bottom"/>
          </w:tcPr>
          <w:p w14:paraId="402D54C6" w14:textId="646B9297"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10.9%</w:t>
            </w:r>
          </w:p>
        </w:tc>
        <w:tc>
          <w:tcPr>
            <w:tcW w:w="1417" w:type="dxa"/>
            <w:vAlign w:val="bottom"/>
          </w:tcPr>
          <w:p w14:paraId="2619FEAE" w14:textId="4A73C498"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11.7%</w:t>
            </w:r>
          </w:p>
        </w:tc>
        <w:tc>
          <w:tcPr>
            <w:tcW w:w="1417" w:type="dxa"/>
            <w:shd w:val="clear" w:color="auto" w:fill="auto"/>
            <w:noWrap/>
            <w:vAlign w:val="bottom"/>
          </w:tcPr>
          <w:p w14:paraId="4E4C2F61" w14:textId="7C4FC657"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10.6%</w:t>
            </w:r>
          </w:p>
        </w:tc>
        <w:tc>
          <w:tcPr>
            <w:tcW w:w="1417" w:type="dxa"/>
            <w:shd w:val="clear" w:color="auto" w:fill="auto"/>
            <w:noWrap/>
            <w:vAlign w:val="bottom"/>
          </w:tcPr>
          <w:p w14:paraId="5BC271BB" w14:textId="1B79036D"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11.2%</w:t>
            </w:r>
          </w:p>
        </w:tc>
        <w:tc>
          <w:tcPr>
            <w:tcW w:w="283" w:type="dxa"/>
            <w:tcBorders>
              <w:right w:val="single" w:sz="4" w:space="0" w:color="auto"/>
            </w:tcBorders>
            <w:shd w:val="clear" w:color="auto" w:fill="auto"/>
            <w:noWrap/>
            <w:vAlign w:val="bottom"/>
          </w:tcPr>
          <w:p w14:paraId="4D91F670"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7FA2AF15" w14:textId="77777777" w:rsidTr="00C264C8">
        <w:trPr>
          <w:trHeight w:val="340"/>
        </w:trPr>
        <w:tc>
          <w:tcPr>
            <w:tcW w:w="3118" w:type="dxa"/>
            <w:tcBorders>
              <w:left w:val="single" w:sz="4" w:space="0" w:color="auto"/>
            </w:tcBorders>
            <w:shd w:val="clear" w:color="auto" w:fill="auto"/>
            <w:noWrap/>
            <w:vAlign w:val="bottom"/>
          </w:tcPr>
          <w:p w14:paraId="106AFE3C" w14:textId="78E0C4BD" w:rsidR="003C1A96" w:rsidRPr="0044589F" w:rsidRDefault="003C1A96" w:rsidP="00DA6EAD">
            <w:pPr>
              <w:jc w:val="both"/>
              <w:rPr>
                <w:rFonts w:ascii="Titillium" w:eastAsia="Times New Roman" w:hAnsi="Titillium" w:cs="Arial"/>
                <w:sz w:val="22"/>
                <w:szCs w:val="22"/>
                <w:lang w:val="en-GB"/>
              </w:rPr>
            </w:pPr>
          </w:p>
        </w:tc>
        <w:tc>
          <w:tcPr>
            <w:tcW w:w="1417" w:type="dxa"/>
            <w:shd w:val="clear" w:color="auto" w:fill="auto"/>
            <w:noWrap/>
            <w:vAlign w:val="bottom"/>
          </w:tcPr>
          <w:p w14:paraId="73A7F5C5" w14:textId="6B8D6F28" w:rsidR="003C1A96" w:rsidRPr="0044589F" w:rsidRDefault="00B550C9" w:rsidP="00B550C9">
            <w:pPr>
              <w:tabs>
                <w:tab w:val="right" w:pos="922"/>
              </w:tabs>
              <w:rPr>
                <w:rFonts w:ascii="Titillium" w:eastAsia="Times New Roman" w:hAnsi="Titillium" w:cs="Arial"/>
                <w:color w:val="000000"/>
                <w:sz w:val="22"/>
                <w:szCs w:val="22"/>
                <w:lang w:val="en-GB" w:eastAsia="en-GB"/>
              </w:rPr>
            </w:pPr>
            <w:r>
              <w:rPr>
                <w:rFonts w:ascii="Titillium" w:eastAsia="Times New Roman" w:hAnsi="Titillium" w:cs="Arial"/>
                <w:color w:val="000000"/>
                <w:sz w:val="22"/>
                <w:szCs w:val="22"/>
                <w:lang w:val="en-GB" w:eastAsia="en-GB"/>
              </w:rPr>
              <w:tab/>
            </w:r>
          </w:p>
        </w:tc>
        <w:tc>
          <w:tcPr>
            <w:tcW w:w="1417" w:type="dxa"/>
            <w:vAlign w:val="bottom"/>
          </w:tcPr>
          <w:p w14:paraId="0D8C8CB1" w14:textId="4641D383"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63FE1B2B" w14:textId="01737AFC"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26653BA8" w14:textId="7699B2F6"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283" w:type="dxa"/>
            <w:tcBorders>
              <w:right w:val="single" w:sz="4" w:space="0" w:color="auto"/>
            </w:tcBorders>
            <w:shd w:val="clear" w:color="auto" w:fill="auto"/>
            <w:noWrap/>
            <w:vAlign w:val="bottom"/>
          </w:tcPr>
          <w:p w14:paraId="14AE5940" w14:textId="77777777" w:rsidR="003C1A96" w:rsidRPr="0044589F" w:rsidRDefault="003C1A96" w:rsidP="00DA6EAD">
            <w:pPr>
              <w:jc w:val="right"/>
              <w:rPr>
                <w:rFonts w:ascii="Titillium" w:eastAsia="Times New Roman" w:hAnsi="Titillium"/>
                <w:sz w:val="22"/>
                <w:szCs w:val="22"/>
                <w:lang w:val="en-GB" w:eastAsia="en-GB"/>
              </w:rPr>
            </w:pPr>
          </w:p>
        </w:tc>
      </w:tr>
      <w:tr w:rsidR="00C264C8" w:rsidRPr="0044589F" w14:paraId="0C8569CF" w14:textId="77777777" w:rsidTr="00C264C8">
        <w:trPr>
          <w:trHeight w:val="340"/>
        </w:trPr>
        <w:tc>
          <w:tcPr>
            <w:tcW w:w="3118" w:type="dxa"/>
            <w:tcBorders>
              <w:left w:val="single" w:sz="4" w:space="0" w:color="auto"/>
            </w:tcBorders>
            <w:shd w:val="clear" w:color="auto" w:fill="auto"/>
            <w:noWrap/>
            <w:vAlign w:val="bottom"/>
          </w:tcPr>
          <w:p w14:paraId="1F23B9BC" w14:textId="4FB9A59E" w:rsidR="003C1A96" w:rsidRPr="0044589F" w:rsidRDefault="00C264C8" w:rsidP="00DA6EAD">
            <w:pPr>
              <w:jc w:val="both"/>
              <w:rPr>
                <w:rFonts w:ascii="Titillium" w:eastAsia="Times New Roman" w:hAnsi="Titillium" w:cs="Arial"/>
                <w:sz w:val="22"/>
                <w:szCs w:val="22"/>
                <w:lang w:val="en-GB"/>
              </w:rPr>
            </w:pPr>
            <w:r>
              <w:rPr>
                <w:rFonts w:ascii="Titillium" w:eastAsia="Times New Roman" w:hAnsi="Titillium" w:cs="Arial"/>
                <w:sz w:val="22"/>
                <w:szCs w:val="22"/>
                <w:lang w:val="en-GB"/>
              </w:rPr>
              <w:t>Articulating Students</w:t>
            </w:r>
          </w:p>
        </w:tc>
        <w:tc>
          <w:tcPr>
            <w:tcW w:w="1417" w:type="dxa"/>
            <w:shd w:val="clear" w:color="auto" w:fill="auto"/>
            <w:noWrap/>
            <w:vAlign w:val="bottom"/>
          </w:tcPr>
          <w:p w14:paraId="38991393" w14:textId="385B6319" w:rsidR="003C1A96" w:rsidRPr="0044589F" w:rsidRDefault="003C1A96" w:rsidP="00B550C9">
            <w:pPr>
              <w:tabs>
                <w:tab w:val="right" w:pos="922"/>
              </w:tabs>
              <w:rPr>
                <w:rFonts w:ascii="Titillium" w:eastAsia="Times New Roman" w:hAnsi="Titillium" w:cs="Arial"/>
                <w:color w:val="000000"/>
                <w:sz w:val="22"/>
                <w:szCs w:val="22"/>
                <w:lang w:val="en-GB" w:eastAsia="en-GB"/>
              </w:rPr>
            </w:pPr>
          </w:p>
        </w:tc>
        <w:tc>
          <w:tcPr>
            <w:tcW w:w="1417" w:type="dxa"/>
            <w:vAlign w:val="bottom"/>
          </w:tcPr>
          <w:p w14:paraId="6390C3AB" w14:textId="6772C0CD"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43AF6C16" w14:textId="7082DD5A"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3BD25039" w14:textId="2FB5E79A"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283" w:type="dxa"/>
            <w:tcBorders>
              <w:right w:val="single" w:sz="4" w:space="0" w:color="auto"/>
            </w:tcBorders>
            <w:shd w:val="clear" w:color="auto" w:fill="auto"/>
            <w:noWrap/>
            <w:vAlign w:val="bottom"/>
          </w:tcPr>
          <w:p w14:paraId="0E5C7872" w14:textId="77777777" w:rsidR="003C1A96" w:rsidRPr="0044589F" w:rsidRDefault="003C1A96" w:rsidP="00DA6EAD">
            <w:pPr>
              <w:jc w:val="right"/>
              <w:rPr>
                <w:rFonts w:ascii="Titillium" w:eastAsia="Times New Roman" w:hAnsi="Titillium"/>
                <w:sz w:val="22"/>
                <w:szCs w:val="22"/>
                <w:lang w:val="en-GB" w:eastAsia="en-GB"/>
              </w:rPr>
            </w:pPr>
          </w:p>
        </w:tc>
      </w:tr>
      <w:tr w:rsidR="00C264C8" w:rsidRPr="0044589F" w14:paraId="6410DDF5" w14:textId="77777777" w:rsidTr="00C264C8">
        <w:trPr>
          <w:trHeight w:val="340"/>
        </w:trPr>
        <w:tc>
          <w:tcPr>
            <w:tcW w:w="3118" w:type="dxa"/>
            <w:tcBorders>
              <w:left w:val="single" w:sz="4" w:space="0" w:color="auto"/>
            </w:tcBorders>
            <w:shd w:val="clear" w:color="auto" w:fill="auto"/>
            <w:noWrap/>
            <w:vAlign w:val="bottom"/>
          </w:tcPr>
          <w:p w14:paraId="7538ED1B" w14:textId="2FC323C4"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Headcount</w:t>
            </w:r>
          </w:p>
        </w:tc>
        <w:tc>
          <w:tcPr>
            <w:tcW w:w="1417" w:type="dxa"/>
            <w:shd w:val="clear" w:color="auto" w:fill="auto"/>
            <w:noWrap/>
            <w:vAlign w:val="bottom"/>
          </w:tcPr>
          <w:p w14:paraId="23ED2CE1" w14:textId="67689662"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500</w:t>
            </w:r>
          </w:p>
        </w:tc>
        <w:tc>
          <w:tcPr>
            <w:tcW w:w="1417" w:type="dxa"/>
            <w:vAlign w:val="bottom"/>
          </w:tcPr>
          <w:p w14:paraId="5CDF882E" w14:textId="4BE8D1DE"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575</w:t>
            </w:r>
          </w:p>
        </w:tc>
        <w:tc>
          <w:tcPr>
            <w:tcW w:w="1417" w:type="dxa"/>
            <w:shd w:val="clear" w:color="auto" w:fill="auto"/>
            <w:noWrap/>
            <w:vAlign w:val="bottom"/>
          </w:tcPr>
          <w:p w14:paraId="067841C1" w14:textId="3DC8063E"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626</w:t>
            </w:r>
          </w:p>
        </w:tc>
        <w:tc>
          <w:tcPr>
            <w:tcW w:w="1417" w:type="dxa"/>
            <w:shd w:val="clear" w:color="auto" w:fill="auto"/>
            <w:noWrap/>
            <w:vAlign w:val="bottom"/>
          </w:tcPr>
          <w:p w14:paraId="4E7F31F3" w14:textId="3DA45523"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697</w:t>
            </w:r>
          </w:p>
        </w:tc>
        <w:tc>
          <w:tcPr>
            <w:tcW w:w="283" w:type="dxa"/>
            <w:tcBorders>
              <w:right w:val="single" w:sz="4" w:space="0" w:color="auto"/>
            </w:tcBorders>
            <w:shd w:val="clear" w:color="auto" w:fill="auto"/>
            <w:noWrap/>
            <w:vAlign w:val="bottom"/>
          </w:tcPr>
          <w:p w14:paraId="00AC10E5"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2769D253" w14:textId="77777777" w:rsidTr="00C264C8">
        <w:trPr>
          <w:trHeight w:val="340"/>
        </w:trPr>
        <w:tc>
          <w:tcPr>
            <w:tcW w:w="3118" w:type="dxa"/>
            <w:tcBorders>
              <w:left w:val="single" w:sz="4" w:space="0" w:color="auto"/>
            </w:tcBorders>
            <w:shd w:val="clear" w:color="auto" w:fill="auto"/>
            <w:noWrap/>
            <w:vAlign w:val="bottom"/>
          </w:tcPr>
          <w:p w14:paraId="761FE5C1" w14:textId="6C3FF390"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SIMD20 Headcount</w:t>
            </w:r>
          </w:p>
        </w:tc>
        <w:tc>
          <w:tcPr>
            <w:tcW w:w="1417" w:type="dxa"/>
            <w:shd w:val="clear" w:color="auto" w:fill="auto"/>
            <w:noWrap/>
            <w:vAlign w:val="bottom"/>
          </w:tcPr>
          <w:p w14:paraId="40BE1C0B" w14:textId="768F3B68"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67</w:t>
            </w:r>
          </w:p>
        </w:tc>
        <w:tc>
          <w:tcPr>
            <w:tcW w:w="1417" w:type="dxa"/>
            <w:vAlign w:val="bottom"/>
          </w:tcPr>
          <w:p w14:paraId="5846A072" w14:textId="37A9B6E8"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83</w:t>
            </w:r>
          </w:p>
        </w:tc>
        <w:tc>
          <w:tcPr>
            <w:tcW w:w="1417" w:type="dxa"/>
            <w:shd w:val="clear" w:color="auto" w:fill="auto"/>
            <w:noWrap/>
            <w:vAlign w:val="bottom"/>
          </w:tcPr>
          <w:p w14:paraId="28861613" w14:textId="04DAB18F"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85</w:t>
            </w:r>
          </w:p>
        </w:tc>
        <w:tc>
          <w:tcPr>
            <w:tcW w:w="1417" w:type="dxa"/>
            <w:shd w:val="clear" w:color="auto" w:fill="auto"/>
            <w:noWrap/>
            <w:vAlign w:val="bottom"/>
          </w:tcPr>
          <w:p w14:paraId="3B099684" w14:textId="54DA752B"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98</w:t>
            </w:r>
          </w:p>
        </w:tc>
        <w:tc>
          <w:tcPr>
            <w:tcW w:w="283" w:type="dxa"/>
            <w:tcBorders>
              <w:right w:val="single" w:sz="4" w:space="0" w:color="auto"/>
            </w:tcBorders>
            <w:shd w:val="clear" w:color="auto" w:fill="auto"/>
            <w:noWrap/>
            <w:vAlign w:val="bottom"/>
          </w:tcPr>
          <w:p w14:paraId="79E027F5"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1D9A5D4E" w14:textId="77777777" w:rsidTr="00C264C8">
        <w:trPr>
          <w:trHeight w:val="340"/>
        </w:trPr>
        <w:tc>
          <w:tcPr>
            <w:tcW w:w="3118" w:type="dxa"/>
            <w:tcBorders>
              <w:left w:val="single" w:sz="4" w:space="0" w:color="auto"/>
            </w:tcBorders>
            <w:shd w:val="clear" w:color="auto" w:fill="auto"/>
            <w:noWrap/>
            <w:vAlign w:val="bottom"/>
          </w:tcPr>
          <w:p w14:paraId="21B6786C" w14:textId="6C6FC196"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 SIMD20</w:t>
            </w:r>
          </w:p>
        </w:tc>
        <w:tc>
          <w:tcPr>
            <w:tcW w:w="1417" w:type="dxa"/>
            <w:shd w:val="clear" w:color="auto" w:fill="auto"/>
            <w:noWrap/>
            <w:vAlign w:val="bottom"/>
          </w:tcPr>
          <w:p w14:paraId="70367889" w14:textId="5EB63F08"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13.4%</w:t>
            </w:r>
          </w:p>
        </w:tc>
        <w:tc>
          <w:tcPr>
            <w:tcW w:w="1417" w:type="dxa"/>
            <w:vAlign w:val="bottom"/>
          </w:tcPr>
          <w:p w14:paraId="74BB0D89" w14:textId="3CA3AB9B"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14.4%</w:t>
            </w:r>
          </w:p>
        </w:tc>
        <w:tc>
          <w:tcPr>
            <w:tcW w:w="1417" w:type="dxa"/>
            <w:shd w:val="clear" w:color="auto" w:fill="auto"/>
            <w:noWrap/>
            <w:vAlign w:val="bottom"/>
          </w:tcPr>
          <w:p w14:paraId="47034505" w14:textId="6DFB2941"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13.6%</w:t>
            </w:r>
          </w:p>
        </w:tc>
        <w:tc>
          <w:tcPr>
            <w:tcW w:w="1417" w:type="dxa"/>
            <w:shd w:val="clear" w:color="auto" w:fill="auto"/>
            <w:noWrap/>
            <w:vAlign w:val="bottom"/>
          </w:tcPr>
          <w:p w14:paraId="637B9B38" w14:textId="576A9B8C"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14.1%</w:t>
            </w:r>
          </w:p>
        </w:tc>
        <w:tc>
          <w:tcPr>
            <w:tcW w:w="283" w:type="dxa"/>
            <w:tcBorders>
              <w:right w:val="single" w:sz="4" w:space="0" w:color="auto"/>
            </w:tcBorders>
            <w:shd w:val="clear" w:color="auto" w:fill="auto"/>
            <w:noWrap/>
            <w:vAlign w:val="bottom"/>
          </w:tcPr>
          <w:p w14:paraId="17FE9B59"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0F2DDEC7" w14:textId="77777777" w:rsidTr="00C264C8">
        <w:trPr>
          <w:trHeight w:val="340"/>
        </w:trPr>
        <w:tc>
          <w:tcPr>
            <w:tcW w:w="3118" w:type="dxa"/>
            <w:tcBorders>
              <w:left w:val="single" w:sz="4" w:space="0" w:color="auto"/>
            </w:tcBorders>
            <w:shd w:val="clear" w:color="auto" w:fill="auto"/>
            <w:noWrap/>
            <w:vAlign w:val="bottom"/>
          </w:tcPr>
          <w:p w14:paraId="45FA471D" w14:textId="3A3AC5E5" w:rsidR="003C1A96" w:rsidRPr="0044589F" w:rsidRDefault="003C1A96" w:rsidP="00DA6EAD">
            <w:pPr>
              <w:jc w:val="both"/>
              <w:rPr>
                <w:rFonts w:ascii="Titillium" w:eastAsia="Times New Roman" w:hAnsi="Titillium" w:cs="Arial"/>
                <w:sz w:val="22"/>
                <w:szCs w:val="22"/>
                <w:lang w:val="en-GB"/>
              </w:rPr>
            </w:pPr>
          </w:p>
        </w:tc>
        <w:tc>
          <w:tcPr>
            <w:tcW w:w="1417" w:type="dxa"/>
            <w:shd w:val="clear" w:color="auto" w:fill="auto"/>
            <w:noWrap/>
            <w:vAlign w:val="bottom"/>
          </w:tcPr>
          <w:p w14:paraId="2D86EBD8" w14:textId="107A2DC6" w:rsidR="003C1A96" w:rsidRPr="0044589F" w:rsidRDefault="003C1A96" w:rsidP="00B550C9">
            <w:pPr>
              <w:tabs>
                <w:tab w:val="right" w:pos="922"/>
              </w:tabs>
              <w:rPr>
                <w:rFonts w:ascii="Titillium" w:eastAsia="Times New Roman" w:hAnsi="Titillium" w:cs="Arial"/>
                <w:color w:val="000000"/>
                <w:sz w:val="22"/>
                <w:szCs w:val="22"/>
                <w:lang w:val="en-GB" w:eastAsia="en-GB"/>
              </w:rPr>
            </w:pPr>
          </w:p>
        </w:tc>
        <w:tc>
          <w:tcPr>
            <w:tcW w:w="1417" w:type="dxa"/>
            <w:vAlign w:val="bottom"/>
          </w:tcPr>
          <w:p w14:paraId="2C127BD0" w14:textId="639CC68E"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5C2492D5" w14:textId="2D2445F6"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0221DF08" w14:textId="6D172CF3"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283" w:type="dxa"/>
            <w:tcBorders>
              <w:right w:val="single" w:sz="4" w:space="0" w:color="auto"/>
            </w:tcBorders>
            <w:shd w:val="clear" w:color="auto" w:fill="auto"/>
            <w:noWrap/>
            <w:vAlign w:val="bottom"/>
          </w:tcPr>
          <w:p w14:paraId="6875EDBA" w14:textId="77777777" w:rsidR="003C1A96" w:rsidRPr="0044589F" w:rsidRDefault="003C1A96" w:rsidP="00DA6EAD">
            <w:pPr>
              <w:jc w:val="right"/>
              <w:rPr>
                <w:rFonts w:ascii="Titillium" w:eastAsia="Times New Roman" w:hAnsi="Titillium"/>
                <w:sz w:val="22"/>
                <w:szCs w:val="22"/>
                <w:lang w:val="en-GB" w:eastAsia="en-GB"/>
              </w:rPr>
            </w:pPr>
          </w:p>
        </w:tc>
      </w:tr>
      <w:tr w:rsidR="00C264C8" w:rsidRPr="0044589F" w14:paraId="43BE921E" w14:textId="77777777" w:rsidTr="00C264C8">
        <w:trPr>
          <w:trHeight w:val="340"/>
        </w:trPr>
        <w:tc>
          <w:tcPr>
            <w:tcW w:w="3118" w:type="dxa"/>
            <w:tcBorders>
              <w:left w:val="single" w:sz="4" w:space="0" w:color="auto"/>
            </w:tcBorders>
            <w:shd w:val="clear" w:color="auto" w:fill="auto"/>
            <w:noWrap/>
            <w:vAlign w:val="bottom"/>
          </w:tcPr>
          <w:p w14:paraId="6DC8397A" w14:textId="157B3147" w:rsidR="003C1A96" w:rsidRPr="0044589F" w:rsidRDefault="00C264C8" w:rsidP="00DF056F">
            <w:pPr>
              <w:jc w:val="both"/>
              <w:rPr>
                <w:rFonts w:ascii="Titillium" w:eastAsia="Times New Roman" w:hAnsi="Titillium" w:cs="Arial"/>
                <w:sz w:val="22"/>
                <w:szCs w:val="22"/>
                <w:lang w:val="en-GB"/>
              </w:rPr>
            </w:pPr>
            <w:r>
              <w:rPr>
                <w:rFonts w:ascii="Titillium" w:eastAsia="Times New Roman" w:hAnsi="Titillium" w:cs="Arial"/>
                <w:sz w:val="22"/>
                <w:szCs w:val="22"/>
                <w:lang w:val="en-GB"/>
              </w:rPr>
              <w:t>Non-articulating</w:t>
            </w:r>
            <w:r w:rsidR="00DF056F">
              <w:rPr>
                <w:rFonts w:ascii="Titillium" w:eastAsia="Times New Roman" w:hAnsi="Titillium" w:cs="Arial"/>
                <w:sz w:val="22"/>
                <w:szCs w:val="22"/>
                <w:lang w:val="en-GB"/>
              </w:rPr>
              <w:t xml:space="preserve"> S</w:t>
            </w:r>
            <w:r>
              <w:rPr>
                <w:rFonts w:ascii="Titillium" w:eastAsia="Times New Roman" w:hAnsi="Titillium" w:cs="Arial"/>
                <w:sz w:val="22"/>
                <w:szCs w:val="22"/>
                <w:lang w:val="en-GB"/>
              </w:rPr>
              <w:t>tudents</w:t>
            </w:r>
          </w:p>
        </w:tc>
        <w:tc>
          <w:tcPr>
            <w:tcW w:w="1417" w:type="dxa"/>
            <w:shd w:val="clear" w:color="auto" w:fill="auto"/>
            <w:noWrap/>
            <w:vAlign w:val="bottom"/>
          </w:tcPr>
          <w:p w14:paraId="3551FE93" w14:textId="4D4EF67B" w:rsidR="003C1A96" w:rsidRPr="0044589F" w:rsidRDefault="003C1A96" w:rsidP="00B550C9">
            <w:pPr>
              <w:tabs>
                <w:tab w:val="right" w:pos="922"/>
              </w:tabs>
              <w:rPr>
                <w:rFonts w:ascii="Titillium" w:eastAsia="Times New Roman" w:hAnsi="Titillium" w:cs="Arial"/>
                <w:color w:val="000000"/>
                <w:sz w:val="22"/>
                <w:szCs w:val="22"/>
                <w:lang w:val="en-GB" w:eastAsia="en-GB"/>
              </w:rPr>
            </w:pPr>
          </w:p>
        </w:tc>
        <w:tc>
          <w:tcPr>
            <w:tcW w:w="1417" w:type="dxa"/>
            <w:vAlign w:val="bottom"/>
          </w:tcPr>
          <w:p w14:paraId="25A00D9E" w14:textId="7A028255"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0837336E" w14:textId="749101E4"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1417" w:type="dxa"/>
            <w:shd w:val="clear" w:color="auto" w:fill="auto"/>
            <w:noWrap/>
            <w:vAlign w:val="bottom"/>
          </w:tcPr>
          <w:p w14:paraId="48BCABF2" w14:textId="0F2E92DA" w:rsidR="003C1A96" w:rsidRPr="0044589F" w:rsidRDefault="003C1A96" w:rsidP="00B550C9">
            <w:pPr>
              <w:tabs>
                <w:tab w:val="right" w:pos="922"/>
              </w:tabs>
              <w:jc w:val="right"/>
              <w:rPr>
                <w:rFonts w:ascii="Titillium" w:eastAsia="Times New Roman" w:hAnsi="Titillium" w:cs="Arial"/>
                <w:color w:val="000000"/>
                <w:sz w:val="22"/>
                <w:szCs w:val="22"/>
                <w:lang w:val="en-GB" w:eastAsia="en-GB"/>
              </w:rPr>
            </w:pPr>
          </w:p>
        </w:tc>
        <w:tc>
          <w:tcPr>
            <w:tcW w:w="283" w:type="dxa"/>
            <w:tcBorders>
              <w:right w:val="single" w:sz="4" w:space="0" w:color="auto"/>
            </w:tcBorders>
            <w:shd w:val="clear" w:color="auto" w:fill="auto"/>
            <w:noWrap/>
            <w:vAlign w:val="bottom"/>
          </w:tcPr>
          <w:p w14:paraId="091D4A78" w14:textId="77777777" w:rsidR="003C1A96" w:rsidRPr="0044589F" w:rsidRDefault="003C1A96" w:rsidP="00DA6EAD">
            <w:pPr>
              <w:jc w:val="right"/>
              <w:rPr>
                <w:rFonts w:ascii="Titillium" w:eastAsia="Times New Roman" w:hAnsi="Titillium"/>
                <w:sz w:val="22"/>
                <w:szCs w:val="22"/>
                <w:lang w:val="en-GB" w:eastAsia="en-GB"/>
              </w:rPr>
            </w:pPr>
          </w:p>
        </w:tc>
      </w:tr>
      <w:tr w:rsidR="00C264C8" w:rsidRPr="0044589F" w14:paraId="35CE05D4" w14:textId="77777777" w:rsidTr="00C264C8">
        <w:trPr>
          <w:trHeight w:val="340"/>
        </w:trPr>
        <w:tc>
          <w:tcPr>
            <w:tcW w:w="3118" w:type="dxa"/>
            <w:tcBorders>
              <w:left w:val="single" w:sz="4" w:space="0" w:color="auto"/>
            </w:tcBorders>
            <w:shd w:val="clear" w:color="auto" w:fill="auto"/>
            <w:noWrap/>
            <w:vAlign w:val="bottom"/>
          </w:tcPr>
          <w:p w14:paraId="00F86F68" w14:textId="7F14B036"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Headcount</w:t>
            </w:r>
          </w:p>
        </w:tc>
        <w:tc>
          <w:tcPr>
            <w:tcW w:w="1417" w:type="dxa"/>
            <w:shd w:val="clear" w:color="auto" w:fill="auto"/>
            <w:noWrap/>
            <w:vAlign w:val="bottom"/>
          </w:tcPr>
          <w:p w14:paraId="55D6887A" w14:textId="1D2D1D2B"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2031</w:t>
            </w:r>
          </w:p>
        </w:tc>
        <w:tc>
          <w:tcPr>
            <w:tcW w:w="1417" w:type="dxa"/>
            <w:vAlign w:val="bottom"/>
          </w:tcPr>
          <w:p w14:paraId="223E83CB" w14:textId="038F5C21"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1725</w:t>
            </w:r>
          </w:p>
        </w:tc>
        <w:tc>
          <w:tcPr>
            <w:tcW w:w="1417" w:type="dxa"/>
            <w:shd w:val="clear" w:color="auto" w:fill="auto"/>
            <w:noWrap/>
            <w:vAlign w:val="bottom"/>
          </w:tcPr>
          <w:p w14:paraId="5352CF06" w14:textId="2DCE17AF"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2157</w:t>
            </w:r>
          </w:p>
        </w:tc>
        <w:tc>
          <w:tcPr>
            <w:tcW w:w="1417" w:type="dxa"/>
            <w:shd w:val="clear" w:color="auto" w:fill="auto"/>
            <w:noWrap/>
            <w:vAlign w:val="bottom"/>
          </w:tcPr>
          <w:p w14:paraId="2ADCEF93" w14:textId="566F692B"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1847</w:t>
            </w:r>
          </w:p>
        </w:tc>
        <w:tc>
          <w:tcPr>
            <w:tcW w:w="283" w:type="dxa"/>
            <w:tcBorders>
              <w:right w:val="single" w:sz="4" w:space="0" w:color="auto"/>
            </w:tcBorders>
            <w:shd w:val="clear" w:color="auto" w:fill="auto"/>
            <w:noWrap/>
            <w:vAlign w:val="bottom"/>
          </w:tcPr>
          <w:p w14:paraId="78DF9E6F"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27D8F868" w14:textId="77777777" w:rsidTr="00C264C8">
        <w:trPr>
          <w:trHeight w:val="340"/>
        </w:trPr>
        <w:tc>
          <w:tcPr>
            <w:tcW w:w="3118" w:type="dxa"/>
            <w:tcBorders>
              <w:left w:val="single" w:sz="4" w:space="0" w:color="auto"/>
            </w:tcBorders>
            <w:shd w:val="clear" w:color="auto" w:fill="auto"/>
            <w:noWrap/>
            <w:vAlign w:val="bottom"/>
          </w:tcPr>
          <w:p w14:paraId="3BC27972" w14:textId="57B8F71C"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SIMD20 Headcount</w:t>
            </w:r>
          </w:p>
        </w:tc>
        <w:tc>
          <w:tcPr>
            <w:tcW w:w="1417" w:type="dxa"/>
            <w:shd w:val="clear" w:color="auto" w:fill="auto"/>
            <w:noWrap/>
            <w:vAlign w:val="bottom"/>
          </w:tcPr>
          <w:p w14:paraId="2EB9E5AE" w14:textId="6AE1B8A8"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209</w:t>
            </w:r>
          </w:p>
        </w:tc>
        <w:tc>
          <w:tcPr>
            <w:tcW w:w="1417" w:type="dxa"/>
            <w:vAlign w:val="bottom"/>
          </w:tcPr>
          <w:p w14:paraId="2CAD00D4" w14:textId="1899A917"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185</w:t>
            </w:r>
          </w:p>
        </w:tc>
        <w:tc>
          <w:tcPr>
            <w:tcW w:w="1417" w:type="dxa"/>
            <w:shd w:val="clear" w:color="auto" w:fill="auto"/>
            <w:noWrap/>
            <w:vAlign w:val="bottom"/>
          </w:tcPr>
          <w:p w14:paraId="04059CD6" w14:textId="59F88B0E"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209</w:t>
            </w:r>
          </w:p>
        </w:tc>
        <w:tc>
          <w:tcPr>
            <w:tcW w:w="1417" w:type="dxa"/>
            <w:shd w:val="clear" w:color="auto" w:fill="auto"/>
            <w:noWrap/>
            <w:vAlign w:val="bottom"/>
          </w:tcPr>
          <w:p w14:paraId="665E6CB8" w14:textId="2EFB7EAA"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186</w:t>
            </w:r>
          </w:p>
        </w:tc>
        <w:tc>
          <w:tcPr>
            <w:tcW w:w="283" w:type="dxa"/>
            <w:tcBorders>
              <w:right w:val="single" w:sz="4" w:space="0" w:color="auto"/>
            </w:tcBorders>
            <w:shd w:val="clear" w:color="auto" w:fill="auto"/>
            <w:noWrap/>
            <w:vAlign w:val="bottom"/>
          </w:tcPr>
          <w:p w14:paraId="4F7DCAC6"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1558FEE2" w14:textId="77777777" w:rsidTr="00C264C8">
        <w:trPr>
          <w:trHeight w:val="340"/>
        </w:trPr>
        <w:tc>
          <w:tcPr>
            <w:tcW w:w="3118" w:type="dxa"/>
            <w:tcBorders>
              <w:left w:val="single" w:sz="4" w:space="0" w:color="auto"/>
            </w:tcBorders>
            <w:shd w:val="clear" w:color="auto" w:fill="auto"/>
            <w:noWrap/>
            <w:vAlign w:val="bottom"/>
          </w:tcPr>
          <w:p w14:paraId="49BE6587" w14:textId="6DECD1CC" w:rsidR="00C264C8" w:rsidRPr="0044589F" w:rsidRDefault="00C264C8" w:rsidP="00C264C8">
            <w:pPr>
              <w:jc w:val="both"/>
              <w:rPr>
                <w:rFonts w:ascii="Titillium" w:eastAsia="Times New Roman" w:hAnsi="Titillium" w:cs="Arial"/>
                <w:sz w:val="22"/>
                <w:szCs w:val="22"/>
                <w:lang w:val="en-GB"/>
              </w:rPr>
            </w:pPr>
            <w:r>
              <w:rPr>
                <w:rFonts w:ascii="Titillium" w:eastAsia="Times New Roman" w:hAnsi="Titillium" w:cs="Arial"/>
                <w:sz w:val="22"/>
                <w:szCs w:val="22"/>
                <w:lang w:val="en-GB"/>
              </w:rPr>
              <w:t>% SIMD20</w:t>
            </w:r>
          </w:p>
        </w:tc>
        <w:tc>
          <w:tcPr>
            <w:tcW w:w="1417" w:type="dxa"/>
            <w:shd w:val="clear" w:color="auto" w:fill="auto"/>
            <w:noWrap/>
            <w:vAlign w:val="bottom"/>
          </w:tcPr>
          <w:p w14:paraId="2849CB47" w14:textId="592997F7" w:rsidR="00C264C8" w:rsidRPr="0044589F" w:rsidRDefault="00B550C9" w:rsidP="00B550C9">
            <w:pPr>
              <w:tabs>
                <w:tab w:val="right" w:pos="922"/>
              </w:tabs>
              <w:rPr>
                <w:rFonts w:ascii="Titillium" w:eastAsia="Times New Roman" w:hAnsi="Titillium" w:cs="Arial"/>
                <w:color w:val="000000"/>
                <w:sz w:val="22"/>
                <w:szCs w:val="22"/>
                <w:lang w:val="en-GB" w:eastAsia="en-GB"/>
              </w:rPr>
            </w:pPr>
            <w:r>
              <w:rPr>
                <w:rFonts w:ascii="Calibri" w:hAnsi="Calibri"/>
                <w:color w:val="000000"/>
                <w:sz w:val="22"/>
                <w:szCs w:val="22"/>
              </w:rPr>
              <w:tab/>
            </w:r>
            <w:r w:rsidR="00C264C8">
              <w:rPr>
                <w:rFonts w:ascii="Calibri" w:hAnsi="Calibri"/>
                <w:color w:val="000000"/>
                <w:sz w:val="22"/>
                <w:szCs w:val="22"/>
              </w:rPr>
              <w:t>10.3%</w:t>
            </w:r>
          </w:p>
        </w:tc>
        <w:tc>
          <w:tcPr>
            <w:tcW w:w="1417" w:type="dxa"/>
            <w:vAlign w:val="bottom"/>
          </w:tcPr>
          <w:p w14:paraId="32083777" w14:textId="111F0197"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10.7%</w:t>
            </w:r>
          </w:p>
        </w:tc>
        <w:tc>
          <w:tcPr>
            <w:tcW w:w="1417" w:type="dxa"/>
            <w:shd w:val="clear" w:color="auto" w:fill="auto"/>
            <w:noWrap/>
            <w:vAlign w:val="bottom"/>
          </w:tcPr>
          <w:p w14:paraId="00448D73" w14:textId="6D8CAB1C"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9.7%</w:t>
            </w:r>
          </w:p>
        </w:tc>
        <w:tc>
          <w:tcPr>
            <w:tcW w:w="1417" w:type="dxa"/>
            <w:shd w:val="clear" w:color="auto" w:fill="auto"/>
            <w:noWrap/>
            <w:vAlign w:val="bottom"/>
          </w:tcPr>
          <w:p w14:paraId="60F3379D" w14:textId="488D4649" w:rsidR="00C264C8" w:rsidRPr="0044589F" w:rsidRDefault="00C264C8" w:rsidP="00B550C9">
            <w:pPr>
              <w:tabs>
                <w:tab w:val="right" w:pos="922"/>
              </w:tabs>
              <w:jc w:val="right"/>
              <w:rPr>
                <w:rFonts w:ascii="Titillium" w:eastAsia="Times New Roman" w:hAnsi="Titillium" w:cs="Arial"/>
                <w:color w:val="000000"/>
                <w:sz w:val="22"/>
                <w:szCs w:val="22"/>
                <w:lang w:val="en-GB" w:eastAsia="en-GB"/>
              </w:rPr>
            </w:pPr>
            <w:r>
              <w:rPr>
                <w:rFonts w:ascii="Calibri" w:hAnsi="Calibri"/>
                <w:color w:val="000000"/>
                <w:sz w:val="22"/>
                <w:szCs w:val="22"/>
              </w:rPr>
              <w:t>10.1%</w:t>
            </w:r>
          </w:p>
        </w:tc>
        <w:tc>
          <w:tcPr>
            <w:tcW w:w="283" w:type="dxa"/>
            <w:tcBorders>
              <w:right w:val="single" w:sz="4" w:space="0" w:color="auto"/>
            </w:tcBorders>
            <w:shd w:val="clear" w:color="auto" w:fill="auto"/>
            <w:noWrap/>
            <w:vAlign w:val="bottom"/>
          </w:tcPr>
          <w:p w14:paraId="6DA95CC6" w14:textId="77777777" w:rsidR="00C264C8" w:rsidRPr="0044589F" w:rsidRDefault="00C264C8" w:rsidP="00C264C8">
            <w:pPr>
              <w:jc w:val="right"/>
              <w:rPr>
                <w:rFonts w:ascii="Titillium" w:eastAsia="Times New Roman" w:hAnsi="Titillium"/>
                <w:sz w:val="22"/>
                <w:szCs w:val="22"/>
                <w:lang w:val="en-GB" w:eastAsia="en-GB"/>
              </w:rPr>
            </w:pPr>
          </w:p>
        </w:tc>
      </w:tr>
      <w:tr w:rsidR="00C264C8" w:rsidRPr="0044589F" w14:paraId="0B24DBB8" w14:textId="77777777" w:rsidTr="00C264C8">
        <w:trPr>
          <w:trHeight w:val="340"/>
        </w:trPr>
        <w:tc>
          <w:tcPr>
            <w:tcW w:w="3118" w:type="dxa"/>
            <w:tcBorders>
              <w:left w:val="single" w:sz="4" w:space="0" w:color="auto"/>
              <w:bottom w:val="single" w:sz="4" w:space="0" w:color="auto"/>
            </w:tcBorders>
            <w:shd w:val="clear" w:color="auto" w:fill="auto"/>
            <w:noWrap/>
            <w:vAlign w:val="bottom"/>
          </w:tcPr>
          <w:p w14:paraId="03924057" w14:textId="675C90CC" w:rsidR="00C264C8" w:rsidRPr="0044589F" w:rsidRDefault="00C264C8" w:rsidP="00C264C8">
            <w:pPr>
              <w:jc w:val="both"/>
              <w:rPr>
                <w:rFonts w:ascii="Titillium" w:eastAsia="Times New Roman" w:hAnsi="Titillium" w:cs="Arial"/>
                <w:sz w:val="22"/>
                <w:szCs w:val="22"/>
                <w:lang w:val="en-GB"/>
              </w:rPr>
            </w:pPr>
          </w:p>
        </w:tc>
        <w:tc>
          <w:tcPr>
            <w:tcW w:w="1417" w:type="dxa"/>
            <w:tcBorders>
              <w:bottom w:val="single" w:sz="4" w:space="0" w:color="auto"/>
            </w:tcBorders>
            <w:shd w:val="clear" w:color="auto" w:fill="auto"/>
            <w:noWrap/>
            <w:vAlign w:val="bottom"/>
          </w:tcPr>
          <w:p w14:paraId="1CBB04E0" w14:textId="58E86AF8" w:rsidR="00C264C8" w:rsidRPr="0044589F" w:rsidRDefault="00C264C8" w:rsidP="00C264C8">
            <w:pPr>
              <w:rPr>
                <w:rFonts w:ascii="Titillium" w:eastAsia="Times New Roman" w:hAnsi="Titillium" w:cs="Arial"/>
                <w:color w:val="000000"/>
                <w:sz w:val="22"/>
                <w:szCs w:val="22"/>
                <w:lang w:val="en-GB" w:eastAsia="en-GB"/>
              </w:rPr>
            </w:pPr>
          </w:p>
        </w:tc>
        <w:tc>
          <w:tcPr>
            <w:tcW w:w="1417" w:type="dxa"/>
            <w:tcBorders>
              <w:bottom w:val="single" w:sz="4" w:space="0" w:color="auto"/>
            </w:tcBorders>
            <w:vAlign w:val="bottom"/>
          </w:tcPr>
          <w:p w14:paraId="4DB6D2DA" w14:textId="64096EB1" w:rsidR="00C264C8" w:rsidRPr="0044589F" w:rsidRDefault="00C264C8" w:rsidP="00C264C8">
            <w:pPr>
              <w:jc w:val="right"/>
              <w:rPr>
                <w:rFonts w:ascii="Titillium" w:eastAsia="Times New Roman" w:hAnsi="Titillium" w:cs="Arial"/>
                <w:color w:val="000000"/>
                <w:sz w:val="22"/>
                <w:szCs w:val="22"/>
                <w:lang w:val="en-GB" w:eastAsia="en-GB"/>
              </w:rPr>
            </w:pPr>
          </w:p>
        </w:tc>
        <w:tc>
          <w:tcPr>
            <w:tcW w:w="1417" w:type="dxa"/>
            <w:tcBorders>
              <w:bottom w:val="single" w:sz="4" w:space="0" w:color="auto"/>
            </w:tcBorders>
            <w:shd w:val="clear" w:color="auto" w:fill="auto"/>
            <w:noWrap/>
            <w:vAlign w:val="bottom"/>
          </w:tcPr>
          <w:p w14:paraId="79C3C7FD" w14:textId="103BDFE8" w:rsidR="00C264C8" w:rsidRPr="0044589F" w:rsidRDefault="00C264C8" w:rsidP="00C264C8">
            <w:pPr>
              <w:jc w:val="right"/>
              <w:rPr>
                <w:rFonts w:ascii="Titillium" w:eastAsia="Times New Roman" w:hAnsi="Titillium" w:cs="Arial"/>
                <w:color w:val="000000"/>
                <w:sz w:val="22"/>
                <w:szCs w:val="22"/>
                <w:lang w:val="en-GB" w:eastAsia="en-GB"/>
              </w:rPr>
            </w:pPr>
          </w:p>
        </w:tc>
        <w:tc>
          <w:tcPr>
            <w:tcW w:w="1417" w:type="dxa"/>
            <w:tcBorders>
              <w:bottom w:val="single" w:sz="4" w:space="0" w:color="auto"/>
            </w:tcBorders>
            <w:shd w:val="clear" w:color="auto" w:fill="auto"/>
            <w:noWrap/>
            <w:vAlign w:val="bottom"/>
          </w:tcPr>
          <w:p w14:paraId="66DC2A19" w14:textId="1DC7ACC6" w:rsidR="00C264C8" w:rsidRPr="0044589F" w:rsidRDefault="00C264C8" w:rsidP="00C264C8">
            <w:pPr>
              <w:jc w:val="right"/>
              <w:rPr>
                <w:rFonts w:ascii="Titillium" w:eastAsia="Times New Roman" w:hAnsi="Titillium" w:cs="Arial"/>
                <w:color w:val="000000"/>
                <w:sz w:val="22"/>
                <w:szCs w:val="22"/>
                <w:lang w:val="en-GB" w:eastAsia="en-GB"/>
              </w:rPr>
            </w:pPr>
          </w:p>
        </w:tc>
        <w:tc>
          <w:tcPr>
            <w:tcW w:w="283" w:type="dxa"/>
            <w:tcBorders>
              <w:bottom w:val="single" w:sz="4" w:space="0" w:color="auto"/>
              <w:right w:val="single" w:sz="4" w:space="0" w:color="auto"/>
            </w:tcBorders>
            <w:shd w:val="clear" w:color="auto" w:fill="auto"/>
            <w:noWrap/>
            <w:vAlign w:val="bottom"/>
          </w:tcPr>
          <w:p w14:paraId="2747DE38" w14:textId="77777777" w:rsidR="00C264C8" w:rsidRPr="0044589F" w:rsidRDefault="00C264C8" w:rsidP="00C264C8">
            <w:pPr>
              <w:jc w:val="right"/>
              <w:rPr>
                <w:rFonts w:ascii="Titillium" w:eastAsia="Times New Roman" w:hAnsi="Titillium"/>
                <w:sz w:val="22"/>
                <w:szCs w:val="22"/>
                <w:lang w:val="en-GB" w:eastAsia="en-GB"/>
              </w:rPr>
            </w:pPr>
          </w:p>
        </w:tc>
      </w:tr>
    </w:tbl>
    <w:p w14:paraId="73758A19" w14:textId="77777777" w:rsidR="003C1A96" w:rsidRPr="00867F38" w:rsidRDefault="003C1A96" w:rsidP="00AB005D">
      <w:pPr>
        <w:rPr>
          <w:rFonts w:ascii="Titillium" w:eastAsia="Times New Roman" w:hAnsi="Titillium" w:cs="Arial"/>
          <w:b/>
          <w:bCs/>
          <w:color w:val="000080"/>
          <w:sz w:val="32"/>
          <w:szCs w:val="24"/>
          <w:lang w:val="en-GB" w:eastAsia="en-GB"/>
        </w:rPr>
        <w:sectPr w:rsidR="003C1A96" w:rsidRPr="00867F38" w:rsidSect="002A5A43">
          <w:headerReference w:type="even" r:id="rId30"/>
          <w:headerReference w:type="default" r:id="rId31"/>
          <w:headerReference w:type="first" r:id="rId32"/>
          <w:pgSz w:w="16838" w:h="11906" w:orient="landscape"/>
          <w:pgMar w:top="1440" w:right="1080" w:bottom="1440" w:left="1080" w:header="708" w:footer="708" w:gutter="0"/>
          <w:cols w:space="708"/>
          <w:docGrid w:linePitch="360"/>
        </w:sectPr>
      </w:pPr>
    </w:p>
    <w:p w14:paraId="223DFC1C" w14:textId="30413FAA" w:rsidR="00666076" w:rsidRDefault="00666076" w:rsidP="00B44DEC">
      <w:pPr>
        <w:spacing w:after="160" w:line="259" w:lineRule="auto"/>
        <w:rPr>
          <w:rFonts w:ascii="Titillium" w:eastAsia="Times New Roman" w:hAnsi="Titillium" w:cs="Arial"/>
          <w:b/>
          <w:bCs/>
          <w:color w:val="003366"/>
          <w:szCs w:val="28"/>
          <w:lang w:val="en-GB"/>
        </w:rPr>
      </w:pPr>
      <w:r>
        <w:rPr>
          <w:rFonts w:ascii="Titillium" w:eastAsia="Times New Roman" w:hAnsi="Titillium" w:cs="Arial"/>
          <w:b/>
          <w:bCs/>
          <w:color w:val="003366"/>
          <w:szCs w:val="28"/>
          <w:lang w:val="en-GB"/>
        </w:rPr>
        <w:lastRenderedPageBreak/>
        <w:t>M</w:t>
      </w:r>
      <w:r w:rsidRPr="00666076">
        <w:rPr>
          <w:rFonts w:ascii="Titillium" w:hAnsi="Titillium"/>
          <w:b/>
          <w:color w:val="003366"/>
          <w:sz w:val="28"/>
          <w:lang w:val="en-GB"/>
        </w:rPr>
        <w:t>easuring widening participation in Scottish Undergraduate Applicants and Entrants at Edinburgh Napier University</w:t>
      </w:r>
    </w:p>
    <w:p w14:paraId="501B36AE" w14:textId="77777777" w:rsidR="00666076" w:rsidRPr="00666076" w:rsidRDefault="00666076" w:rsidP="00666076">
      <w:pPr>
        <w:rPr>
          <w:rFonts w:ascii="Titillium" w:hAnsi="Titillium"/>
          <w:sz w:val="22"/>
          <w:lang w:val="en-GB"/>
        </w:rPr>
      </w:pPr>
      <w:r w:rsidRPr="00666076">
        <w:rPr>
          <w:rFonts w:ascii="Titillium" w:hAnsi="Titillium"/>
          <w:sz w:val="22"/>
          <w:lang w:val="en-GB"/>
        </w:rPr>
        <w:t>In 2015/16 Edinburgh Napier University introduced a New Contextual Admissions Policy:</w:t>
      </w:r>
    </w:p>
    <w:p w14:paraId="06B8763C" w14:textId="35FB09E1" w:rsidR="00F97B91" w:rsidRPr="00F97B91" w:rsidRDefault="00F97B91" w:rsidP="00F97B91">
      <w:pPr>
        <w:pStyle w:val="ListParagraph"/>
        <w:numPr>
          <w:ilvl w:val="0"/>
          <w:numId w:val="21"/>
        </w:numPr>
        <w:spacing w:after="160" w:line="259" w:lineRule="auto"/>
        <w:rPr>
          <w:rFonts w:ascii="Titillium" w:hAnsi="Titillium"/>
          <w:sz w:val="22"/>
          <w:lang w:val="en-GB"/>
        </w:rPr>
      </w:pPr>
      <w:r w:rsidRPr="00F97B91">
        <w:rPr>
          <w:rFonts w:ascii="Titillium" w:hAnsi="Titillium"/>
          <w:sz w:val="22"/>
          <w:lang w:val="en-GB"/>
        </w:rPr>
        <w:t xml:space="preserve">Students who have been in </w:t>
      </w:r>
      <w:r w:rsidR="002958F6">
        <w:rPr>
          <w:rFonts w:ascii="Titillium" w:hAnsi="Titillium"/>
          <w:sz w:val="22"/>
          <w:lang w:val="en-GB"/>
        </w:rPr>
        <w:t>c</w:t>
      </w:r>
      <w:r w:rsidRPr="00F97B91">
        <w:rPr>
          <w:rFonts w:ascii="Titillium" w:hAnsi="Titillium"/>
          <w:sz w:val="22"/>
          <w:lang w:val="en-GB"/>
        </w:rPr>
        <w:t xml:space="preserve">are </w:t>
      </w:r>
    </w:p>
    <w:p w14:paraId="6D9C94F7" w14:textId="5580CDCF" w:rsidR="00F97B91" w:rsidRPr="00F97B91" w:rsidRDefault="00F97B91" w:rsidP="00F97B91">
      <w:pPr>
        <w:pStyle w:val="ListParagraph"/>
        <w:numPr>
          <w:ilvl w:val="0"/>
          <w:numId w:val="21"/>
        </w:numPr>
        <w:spacing w:after="160" w:line="259" w:lineRule="auto"/>
        <w:rPr>
          <w:rFonts w:ascii="Titillium" w:hAnsi="Titillium"/>
          <w:sz w:val="22"/>
          <w:lang w:val="en-GB"/>
        </w:rPr>
      </w:pPr>
      <w:r w:rsidRPr="00F97B91">
        <w:rPr>
          <w:rFonts w:ascii="Titillium" w:hAnsi="Titillium"/>
          <w:sz w:val="22"/>
          <w:lang w:val="en-GB"/>
        </w:rPr>
        <w:t xml:space="preserve">Students who have been identified </w:t>
      </w:r>
      <w:r w:rsidR="00F74202">
        <w:rPr>
          <w:rFonts w:ascii="Titillium" w:hAnsi="Titillium"/>
          <w:sz w:val="22"/>
          <w:lang w:val="en-GB"/>
        </w:rPr>
        <w:t xml:space="preserve">via a </w:t>
      </w:r>
      <w:r w:rsidRPr="00F97B91">
        <w:rPr>
          <w:rFonts w:ascii="Titillium" w:hAnsi="Titillium"/>
          <w:sz w:val="22"/>
          <w:lang w:val="en-GB"/>
        </w:rPr>
        <w:t xml:space="preserve">LEAPS </w:t>
      </w:r>
      <w:r w:rsidR="00F74202">
        <w:rPr>
          <w:rFonts w:ascii="Titillium" w:hAnsi="Titillium"/>
          <w:sz w:val="22"/>
          <w:lang w:val="en-GB"/>
        </w:rPr>
        <w:t xml:space="preserve">or SWAP route </w:t>
      </w:r>
    </w:p>
    <w:p w14:paraId="7BA928AC" w14:textId="2AD3CBB5" w:rsidR="00F97B91" w:rsidRPr="00F97B91" w:rsidRDefault="00F97B91" w:rsidP="00F97B91">
      <w:pPr>
        <w:pStyle w:val="ListParagraph"/>
        <w:numPr>
          <w:ilvl w:val="0"/>
          <w:numId w:val="21"/>
        </w:numPr>
        <w:spacing w:after="160" w:line="259" w:lineRule="auto"/>
        <w:rPr>
          <w:rFonts w:ascii="Titillium" w:hAnsi="Titillium"/>
          <w:sz w:val="22"/>
          <w:lang w:val="en-GB"/>
        </w:rPr>
      </w:pPr>
      <w:r w:rsidRPr="00F97B91">
        <w:rPr>
          <w:rFonts w:ascii="Titillium" w:hAnsi="Titillium"/>
          <w:sz w:val="22"/>
          <w:lang w:val="en-GB"/>
        </w:rPr>
        <w:t xml:space="preserve">Students who have attended a school which has a low number of students progressing to Higher Education (SHEP Schools) </w:t>
      </w:r>
    </w:p>
    <w:p w14:paraId="238A471F" w14:textId="3CE51002" w:rsidR="00F97B91" w:rsidRPr="00F97B91" w:rsidRDefault="00F97B91" w:rsidP="00F97B91">
      <w:pPr>
        <w:pStyle w:val="ListParagraph"/>
        <w:numPr>
          <w:ilvl w:val="0"/>
          <w:numId w:val="21"/>
        </w:numPr>
        <w:spacing w:after="160" w:line="259" w:lineRule="auto"/>
        <w:rPr>
          <w:rFonts w:ascii="Titillium" w:hAnsi="Titillium"/>
          <w:sz w:val="22"/>
          <w:lang w:val="en-GB"/>
        </w:rPr>
      </w:pPr>
      <w:r w:rsidRPr="00F97B91">
        <w:rPr>
          <w:rFonts w:ascii="Titillium" w:hAnsi="Titillium"/>
          <w:sz w:val="22"/>
          <w:lang w:val="en-GB"/>
        </w:rPr>
        <w:t>Students who live in an area of high deprivation (</w:t>
      </w:r>
      <w:r>
        <w:rPr>
          <w:rFonts w:ascii="Titillium" w:hAnsi="Titillium"/>
          <w:sz w:val="22"/>
          <w:lang w:val="en-GB"/>
        </w:rPr>
        <w:t>SI</w:t>
      </w:r>
      <w:r w:rsidRPr="00F97B91">
        <w:rPr>
          <w:rFonts w:ascii="Titillium" w:hAnsi="Titillium"/>
          <w:sz w:val="22"/>
          <w:lang w:val="en-GB"/>
        </w:rPr>
        <w:t>MD20)</w:t>
      </w:r>
    </w:p>
    <w:p w14:paraId="2A837485" w14:textId="24331495" w:rsidR="00666076" w:rsidRPr="00666076" w:rsidRDefault="00666076" w:rsidP="00666076">
      <w:pPr>
        <w:rPr>
          <w:rFonts w:ascii="Titillium" w:hAnsi="Titillium"/>
          <w:sz w:val="22"/>
          <w:lang w:val="en-GB"/>
        </w:rPr>
      </w:pPr>
      <w:r w:rsidRPr="00666076">
        <w:rPr>
          <w:rFonts w:ascii="Titillium" w:hAnsi="Titillium"/>
          <w:sz w:val="22"/>
          <w:lang w:val="en-GB"/>
        </w:rPr>
        <w:t>Prospective students meeting one or more of the above will have contextual information considered as part of their application</w:t>
      </w:r>
      <w:r w:rsidR="00F74202">
        <w:rPr>
          <w:rFonts w:ascii="Titillium" w:hAnsi="Titillium"/>
          <w:sz w:val="22"/>
          <w:lang w:val="en-GB"/>
        </w:rPr>
        <w:t xml:space="preserve"> from 2015/16</w:t>
      </w:r>
      <w:r w:rsidRPr="00666076">
        <w:rPr>
          <w:rFonts w:ascii="Titillium" w:hAnsi="Titillium"/>
          <w:sz w:val="22"/>
          <w:lang w:val="en-GB"/>
        </w:rPr>
        <w:t>.</w:t>
      </w:r>
    </w:p>
    <w:p w14:paraId="307E4176" w14:textId="77777777" w:rsidR="00666076" w:rsidRDefault="00666076" w:rsidP="00666076">
      <w:pPr>
        <w:rPr>
          <w:b/>
        </w:rPr>
      </w:pPr>
    </w:p>
    <w:p w14:paraId="4C045D88" w14:textId="7FA73B58" w:rsidR="00666076" w:rsidRDefault="00112E2E" w:rsidP="00666076">
      <w:pPr>
        <w:rPr>
          <w:rFonts w:ascii="Titillium" w:hAnsi="Titillium"/>
          <w:b/>
          <w:color w:val="003366"/>
          <w:lang w:val="en-GB"/>
        </w:rPr>
      </w:pPr>
      <w:r>
        <w:rPr>
          <w:rFonts w:ascii="Titillium" w:hAnsi="Titillium"/>
          <w:b/>
          <w:color w:val="003366"/>
          <w:lang w:val="en-GB"/>
        </w:rPr>
        <w:t>Table D1</w:t>
      </w:r>
      <w:r>
        <w:rPr>
          <w:rFonts w:ascii="Titillium" w:hAnsi="Titillium"/>
          <w:b/>
          <w:color w:val="003366"/>
          <w:lang w:val="en-GB"/>
        </w:rPr>
        <w:tab/>
      </w:r>
      <w:r w:rsidR="00666076" w:rsidRPr="00666076">
        <w:rPr>
          <w:rFonts w:ascii="Titillium" w:hAnsi="Titillium"/>
          <w:b/>
          <w:color w:val="003366"/>
          <w:lang w:val="en-GB"/>
        </w:rPr>
        <w:t>Applications</w:t>
      </w:r>
    </w:p>
    <w:tbl>
      <w:tblPr>
        <w:tblW w:w="92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12"/>
        <w:gridCol w:w="1411"/>
        <w:gridCol w:w="1411"/>
        <w:gridCol w:w="1417"/>
        <w:gridCol w:w="1434"/>
        <w:gridCol w:w="1411"/>
      </w:tblGrid>
      <w:tr w:rsidR="001C4B62" w:rsidRPr="0044589F" w14:paraId="47CEEFC7" w14:textId="6A3BC65D" w:rsidTr="001C4B62">
        <w:trPr>
          <w:trHeight w:val="300"/>
        </w:trPr>
        <w:tc>
          <w:tcPr>
            <w:tcW w:w="2212" w:type="dxa"/>
            <w:tcBorders>
              <w:top w:val="single" w:sz="4" w:space="0" w:color="auto"/>
              <w:left w:val="single" w:sz="4" w:space="0" w:color="auto"/>
              <w:bottom w:val="single" w:sz="4" w:space="0" w:color="auto"/>
              <w:right w:val="nil"/>
            </w:tcBorders>
            <w:shd w:val="clear" w:color="auto" w:fill="auto"/>
            <w:noWrap/>
            <w:vAlign w:val="bottom"/>
            <w:hideMark/>
          </w:tcPr>
          <w:p w14:paraId="53DB571F" w14:textId="06690D32" w:rsidR="001C4B62" w:rsidRPr="0044589F" w:rsidRDefault="001C4B62" w:rsidP="001C4B62">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Number of WP flags</w:t>
            </w:r>
          </w:p>
        </w:tc>
        <w:tc>
          <w:tcPr>
            <w:tcW w:w="1411" w:type="dxa"/>
            <w:tcBorders>
              <w:top w:val="single" w:sz="4" w:space="0" w:color="auto"/>
              <w:left w:val="nil"/>
              <w:bottom w:val="single" w:sz="4" w:space="0" w:color="auto"/>
              <w:right w:val="nil"/>
            </w:tcBorders>
          </w:tcPr>
          <w:p w14:paraId="20AA2232" w14:textId="748A9857" w:rsidR="001C4B62" w:rsidRPr="0044589F" w:rsidRDefault="001C4B62" w:rsidP="006563EE">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2012/13</w:t>
            </w:r>
          </w:p>
        </w:tc>
        <w:tc>
          <w:tcPr>
            <w:tcW w:w="1411" w:type="dxa"/>
            <w:tcBorders>
              <w:top w:val="single" w:sz="4" w:space="0" w:color="auto"/>
              <w:left w:val="nil"/>
              <w:bottom w:val="single" w:sz="4" w:space="0" w:color="auto"/>
              <w:right w:val="nil"/>
            </w:tcBorders>
          </w:tcPr>
          <w:p w14:paraId="39EE9B27" w14:textId="21EF5B45" w:rsidR="001C4B62" w:rsidRPr="0044589F" w:rsidRDefault="001C4B62" w:rsidP="006563EE">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2013/14</w:t>
            </w:r>
          </w:p>
        </w:tc>
        <w:tc>
          <w:tcPr>
            <w:tcW w:w="1417" w:type="dxa"/>
            <w:tcBorders>
              <w:top w:val="single" w:sz="4" w:space="0" w:color="auto"/>
              <w:left w:val="nil"/>
              <w:bottom w:val="single" w:sz="4" w:space="0" w:color="auto"/>
              <w:right w:val="nil"/>
            </w:tcBorders>
            <w:shd w:val="clear" w:color="auto" w:fill="auto"/>
            <w:noWrap/>
            <w:vAlign w:val="bottom"/>
            <w:hideMark/>
          </w:tcPr>
          <w:p w14:paraId="11C2E97C" w14:textId="04033AD8" w:rsidR="001C4B62" w:rsidRPr="0044589F" w:rsidRDefault="001C4B62" w:rsidP="006563EE">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2014/15</w:t>
            </w:r>
          </w:p>
        </w:tc>
        <w:tc>
          <w:tcPr>
            <w:tcW w:w="1434" w:type="dxa"/>
            <w:tcBorders>
              <w:top w:val="single" w:sz="4" w:space="0" w:color="auto"/>
              <w:left w:val="nil"/>
              <w:bottom w:val="single" w:sz="4" w:space="0" w:color="auto"/>
              <w:right w:val="nil"/>
            </w:tcBorders>
            <w:shd w:val="clear" w:color="auto" w:fill="auto"/>
            <w:noWrap/>
            <w:vAlign w:val="bottom"/>
            <w:hideMark/>
          </w:tcPr>
          <w:p w14:paraId="7D83E401" w14:textId="32C9317B" w:rsidR="001C4B62" w:rsidRPr="0044589F" w:rsidRDefault="001C4B62" w:rsidP="006563EE">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2015/16</w:t>
            </w:r>
          </w:p>
        </w:tc>
        <w:tc>
          <w:tcPr>
            <w:tcW w:w="1411" w:type="dxa"/>
            <w:tcBorders>
              <w:top w:val="single" w:sz="4" w:space="0" w:color="auto"/>
              <w:left w:val="nil"/>
              <w:bottom w:val="single" w:sz="4" w:space="0" w:color="auto"/>
              <w:right w:val="single" w:sz="4" w:space="0" w:color="auto"/>
            </w:tcBorders>
          </w:tcPr>
          <w:p w14:paraId="1235DBF8" w14:textId="57AE10FF" w:rsidR="001C4B62" w:rsidRDefault="001C4B62" w:rsidP="006563EE">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2016/17</w:t>
            </w:r>
          </w:p>
        </w:tc>
      </w:tr>
      <w:tr w:rsidR="001C4B62" w:rsidRPr="0044589F" w14:paraId="20AE7D13" w14:textId="37446813" w:rsidTr="001C4B62">
        <w:trPr>
          <w:trHeight w:val="340"/>
        </w:trPr>
        <w:tc>
          <w:tcPr>
            <w:tcW w:w="2212" w:type="dxa"/>
            <w:tcBorders>
              <w:top w:val="single" w:sz="4" w:space="0" w:color="auto"/>
              <w:left w:val="single" w:sz="4" w:space="0" w:color="auto"/>
              <w:bottom w:val="nil"/>
              <w:right w:val="nil"/>
            </w:tcBorders>
            <w:shd w:val="clear" w:color="auto" w:fill="auto"/>
            <w:noWrap/>
            <w:vAlign w:val="bottom"/>
          </w:tcPr>
          <w:p w14:paraId="68D1710B" w14:textId="555C0C3B" w:rsidR="001C4B62" w:rsidRPr="0044589F" w:rsidRDefault="001C4B62" w:rsidP="001C4B62">
            <w:pPr>
              <w:jc w:val="both"/>
              <w:rPr>
                <w:rFonts w:ascii="Titillium" w:eastAsia="Times New Roman" w:hAnsi="Titillium" w:cs="Arial"/>
                <w:sz w:val="22"/>
                <w:szCs w:val="22"/>
                <w:lang w:val="en-GB"/>
              </w:rPr>
            </w:pPr>
            <w:r>
              <w:rPr>
                <w:rFonts w:ascii="Titillium" w:eastAsia="Times New Roman" w:hAnsi="Titillium" w:cs="Arial"/>
                <w:sz w:val="22"/>
                <w:szCs w:val="22"/>
                <w:lang w:val="en-GB"/>
              </w:rPr>
              <w:t>0</w:t>
            </w:r>
          </w:p>
        </w:tc>
        <w:tc>
          <w:tcPr>
            <w:tcW w:w="1411" w:type="dxa"/>
            <w:tcBorders>
              <w:top w:val="single" w:sz="4" w:space="0" w:color="auto"/>
              <w:left w:val="nil"/>
              <w:bottom w:val="nil"/>
              <w:right w:val="nil"/>
            </w:tcBorders>
            <w:vAlign w:val="bottom"/>
          </w:tcPr>
          <w:p w14:paraId="45EAA556" w14:textId="2737E6A4" w:rsidR="001C4B62" w:rsidRPr="001C4B62" w:rsidRDefault="001C4B62" w:rsidP="001C4B62">
            <w:pPr>
              <w:tabs>
                <w:tab w:val="right" w:pos="975"/>
              </w:tabs>
              <w:rPr>
                <w:rFonts w:ascii="Titillium" w:eastAsia="Times New Roman" w:hAnsi="Titillium" w:cs="Arial"/>
                <w:sz w:val="22"/>
                <w:szCs w:val="22"/>
                <w:lang w:val="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12,641</w:t>
            </w:r>
          </w:p>
        </w:tc>
        <w:tc>
          <w:tcPr>
            <w:tcW w:w="1411" w:type="dxa"/>
            <w:tcBorders>
              <w:top w:val="single" w:sz="4" w:space="0" w:color="auto"/>
              <w:left w:val="nil"/>
              <w:bottom w:val="nil"/>
              <w:right w:val="nil"/>
            </w:tcBorders>
            <w:vAlign w:val="bottom"/>
          </w:tcPr>
          <w:p w14:paraId="55D5B520" w14:textId="3EFEFE54"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12,073</w:t>
            </w:r>
          </w:p>
        </w:tc>
        <w:tc>
          <w:tcPr>
            <w:tcW w:w="1417" w:type="dxa"/>
            <w:tcBorders>
              <w:top w:val="single" w:sz="4" w:space="0" w:color="auto"/>
              <w:left w:val="nil"/>
              <w:bottom w:val="nil"/>
              <w:right w:val="nil"/>
            </w:tcBorders>
            <w:shd w:val="clear" w:color="auto" w:fill="auto"/>
            <w:noWrap/>
            <w:vAlign w:val="bottom"/>
          </w:tcPr>
          <w:p w14:paraId="02926126" w14:textId="1F518B6C"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12,902</w:t>
            </w:r>
          </w:p>
        </w:tc>
        <w:tc>
          <w:tcPr>
            <w:tcW w:w="1434" w:type="dxa"/>
            <w:tcBorders>
              <w:top w:val="single" w:sz="4" w:space="0" w:color="auto"/>
              <w:left w:val="nil"/>
              <w:bottom w:val="nil"/>
              <w:right w:val="nil"/>
            </w:tcBorders>
            <w:shd w:val="clear" w:color="auto" w:fill="auto"/>
            <w:noWrap/>
            <w:vAlign w:val="bottom"/>
          </w:tcPr>
          <w:p w14:paraId="44A59E16" w14:textId="6C846C76"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13,017</w:t>
            </w:r>
          </w:p>
        </w:tc>
        <w:tc>
          <w:tcPr>
            <w:tcW w:w="1411" w:type="dxa"/>
            <w:tcBorders>
              <w:top w:val="single" w:sz="4" w:space="0" w:color="auto"/>
              <w:left w:val="nil"/>
              <w:bottom w:val="nil"/>
              <w:right w:val="single" w:sz="4" w:space="0" w:color="auto"/>
            </w:tcBorders>
            <w:vAlign w:val="bottom"/>
          </w:tcPr>
          <w:p w14:paraId="56597678" w14:textId="2F41ECA5"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12,622</w:t>
            </w:r>
          </w:p>
        </w:tc>
      </w:tr>
      <w:tr w:rsidR="001C4B62" w:rsidRPr="0044589F" w14:paraId="2DF70511" w14:textId="4122C411" w:rsidTr="001C4B62">
        <w:trPr>
          <w:trHeight w:val="340"/>
        </w:trPr>
        <w:tc>
          <w:tcPr>
            <w:tcW w:w="2212" w:type="dxa"/>
            <w:tcBorders>
              <w:top w:val="nil"/>
              <w:left w:val="single" w:sz="4" w:space="0" w:color="auto"/>
              <w:bottom w:val="nil"/>
              <w:right w:val="nil"/>
            </w:tcBorders>
            <w:shd w:val="clear" w:color="auto" w:fill="auto"/>
            <w:noWrap/>
            <w:vAlign w:val="bottom"/>
          </w:tcPr>
          <w:p w14:paraId="61010C87" w14:textId="474E1391" w:rsidR="001C4B62" w:rsidRPr="0044589F" w:rsidRDefault="001C4B62" w:rsidP="001C4B62">
            <w:pPr>
              <w:jc w:val="both"/>
              <w:rPr>
                <w:rFonts w:ascii="Titillium" w:eastAsia="Times New Roman" w:hAnsi="Titillium" w:cs="Arial"/>
                <w:sz w:val="22"/>
                <w:szCs w:val="22"/>
                <w:lang w:val="en-GB"/>
              </w:rPr>
            </w:pPr>
            <w:r>
              <w:rPr>
                <w:rFonts w:ascii="Titillium" w:eastAsia="Times New Roman" w:hAnsi="Titillium" w:cs="Arial"/>
                <w:sz w:val="22"/>
                <w:szCs w:val="22"/>
                <w:lang w:val="en-GB"/>
              </w:rPr>
              <w:t>1</w:t>
            </w:r>
          </w:p>
        </w:tc>
        <w:tc>
          <w:tcPr>
            <w:tcW w:w="1411" w:type="dxa"/>
            <w:tcBorders>
              <w:top w:val="nil"/>
              <w:left w:val="nil"/>
              <w:bottom w:val="nil"/>
              <w:right w:val="nil"/>
            </w:tcBorders>
            <w:vAlign w:val="bottom"/>
          </w:tcPr>
          <w:p w14:paraId="004A93F4" w14:textId="2697FABF" w:rsidR="001C4B62" w:rsidRPr="001C4B62" w:rsidRDefault="001C4B62" w:rsidP="001C4B62">
            <w:pPr>
              <w:tabs>
                <w:tab w:val="right" w:pos="975"/>
              </w:tabs>
              <w:rPr>
                <w:rFonts w:ascii="Titillium" w:eastAsia="Times New Roman" w:hAnsi="Titillium" w:cs="Arial"/>
                <w:sz w:val="22"/>
                <w:szCs w:val="22"/>
                <w:lang w:val="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2,833</w:t>
            </w:r>
          </w:p>
        </w:tc>
        <w:tc>
          <w:tcPr>
            <w:tcW w:w="1411" w:type="dxa"/>
            <w:tcBorders>
              <w:top w:val="nil"/>
              <w:left w:val="nil"/>
              <w:bottom w:val="nil"/>
              <w:right w:val="nil"/>
            </w:tcBorders>
            <w:vAlign w:val="bottom"/>
          </w:tcPr>
          <w:p w14:paraId="481AA340" w14:textId="576FA951"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2,753</w:t>
            </w:r>
          </w:p>
        </w:tc>
        <w:tc>
          <w:tcPr>
            <w:tcW w:w="1417" w:type="dxa"/>
            <w:tcBorders>
              <w:top w:val="nil"/>
              <w:left w:val="nil"/>
              <w:bottom w:val="nil"/>
              <w:right w:val="nil"/>
            </w:tcBorders>
            <w:shd w:val="clear" w:color="auto" w:fill="auto"/>
            <w:noWrap/>
            <w:vAlign w:val="bottom"/>
          </w:tcPr>
          <w:p w14:paraId="40F59D27" w14:textId="165E7C8A"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3,163</w:t>
            </w:r>
          </w:p>
        </w:tc>
        <w:tc>
          <w:tcPr>
            <w:tcW w:w="1434" w:type="dxa"/>
            <w:tcBorders>
              <w:top w:val="nil"/>
              <w:left w:val="nil"/>
              <w:bottom w:val="nil"/>
              <w:right w:val="nil"/>
            </w:tcBorders>
            <w:shd w:val="clear" w:color="auto" w:fill="auto"/>
            <w:noWrap/>
            <w:vAlign w:val="bottom"/>
          </w:tcPr>
          <w:p w14:paraId="299AAD4C" w14:textId="4AEFCC7B"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3,193</w:t>
            </w:r>
          </w:p>
        </w:tc>
        <w:tc>
          <w:tcPr>
            <w:tcW w:w="1411" w:type="dxa"/>
            <w:tcBorders>
              <w:top w:val="nil"/>
              <w:left w:val="nil"/>
              <w:bottom w:val="nil"/>
              <w:right w:val="single" w:sz="4" w:space="0" w:color="auto"/>
            </w:tcBorders>
            <w:vAlign w:val="bottom"/>
          </w:tcPr>
          <w:p w14:paraId="6DC89E49" w14:textId="0F204080"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3,128</w:t>
            </w:r>
          </w:p>
        </w:tc>
      </w:tr>
      <w:tr w:rsidR="001C4B62" w:rsidRPr="0044589F" w14:paraId="316ED5D9" w14:textId="446D35C1" w:rsidTr="001C4B62">
        <w:trPr>
          <w:trHeight w:val="340"/>
        </w:trPr>
        <w:tc>
          <w:tcPr>
            <w:tcW w:w="2212" w:type="dxa"/>
            <w:tcBorders>
              <w:top w:val="nil"/>
              <w:left w:val="single" w:sz="4" w:space="0" w:color="auto"/>
              <w:bottom w:val="nil"/>
              <w:right w:val="nil"/>
            </w:tcBorders>
            <w:shd w:val="clear" w:color="auto" w:fill="auto"/>
            <w:noWrap/>
            <w:vAlign w:val="bottom"/>
          </w:tcPr>
          <w:p w14:paraId="788A2973" w14:textId="19517D3E" w:rsidR="001C4B62" w:rsidRPr="0044589F" w:rsidRDefault="001C4B62" w:rsidP="001C4B62">
            <w:pPr>
              <w:jc w:val="both"/>
              <w:rPr>
                <w:rFonts w:ascii="Titillium" w:eastAsia="Times New Roman" w:hAnsi="Titillium" w:cs="Arial"/>
                <w:sz w:val="22"/>
                <w:szCs w:val="22"/>
                <w:lang w:val="en-GB"/>
              </w:rPr>
            </w:pPr>
            <w:r>
              <w:rPr>
                <w:rFonts w:ascii="Titillium" w:eastAsia="Times New Roman" w:hAnsi="Titillium" w:cs="Arial"/>
                <w:sz w:val="22"/>
                <w:szCs w:val="22"/>
                <w:lang w:val="en-GB"/>
              </w:rPr>
              <w:t>2</w:t>
            </w:r>
          </w:p>
        </w:tc>
        <w:tc>
          <w:tcPr>
            <w:tcW w:w="1411" w:type="dxa"/>
            <w:tcBorders>
              <w:top w:val="nil"/>
              <w:left w:val="nil"/>
              <w:bottom w:val="nil"/>
              <w:right w:val="nil"/>
            </w:tcBorders>
            <w:vAlign w:val="bottom"/>
          </w:tcPr>
          <w:p w14:paraId="67651D88" w14:textId="2F7B2AB5" w:rsidR="001C4B62" w:rsidRPr="001C4B62" w:rsidRDefault="001C4B62" w:rsidP="001C4B62">
            <w:pPr>
              <w:tabs>
                <w:tab w:val="right" w:pos="975"/>
              </w:tabs>
              <w:rPr>
                <w:rFonts w:ascii="Titillium" w:eastAsia="Times New Roman" w:hAnsi="Titillium" w:cs="Arial"/>
                <w:sz w:val="22"/>
                <w:szCs w:val="22"/>
                <w:lang w:val="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407</w:t>
            </w:r>
          </w:p>
        </w:tc>
        <w:tc>
          <w:tcPr>
            <w:tcW w:w="1411" w:type="dxa"/>
            <w:tcBorders>
              <w:top w:val="nil"/>
              <w:left w:val="nil"/>
              <w:bottom w:val="nil"/>
              <w:right w:val="nil"/>
            </w:tcBorders>
            <w:vAlign w:val="bottom"/>
          </w:tcPr>
          <w:p w14:paraId="2D2AD4E1" w14:textId="71BF693B"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494</w:t>
            </w:r>
          </w:p>
        </w:tc>
        <w:tc>
          <w:tcPr>
            <w:tcW w:w="1417" w:type="dxa"/>
            <w:tcBorders>
              <w:top w:val="nil"/>
              <w:left w:val="nil"/>
              <w:bottom w:val="nil"/>
              <w:right w:val="nil"/>
            </w:tcBorders>
            <w:shd w:val="clear" w:color="auto" w:fill="auto"/>
            <w:noWrap/>
            <w:vAlign w:val="bottom"/>
          </w:tcPr>
          <w:p w14:paraId="5F3599D9" w14:textId="41DC667E"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542</w:t>
            </w:r>
          </w:p>
        </w:tc>
        <w:tc>
          <w:tcPr>
            <w:tcW w:w="1434" w:type="dxa"/>
            <w:tcBorders>
              <w:top w:val="nil"/>
              <w:left w:val="nil"/>
              <w:bottom w:val="nil"/>
              <w:right w:val="nil"/>
            </w:tcBorders>
            <w:shd w:val="clear" w:color="auto" w:fill="auto"/>
            <w:noWrap/>
            <w:vAlign w:val="bottom"/>
          </w:tcPr>
          <w:p w14:paraId="265BF911" w14:textId="360723A9"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589</w:t>
            </w:r>
          </w:p>
        </w:tc>
        <w:tc>
          <w:tcPr>
            <w:tcW w:w="1411" w:type="dxa"/>
            <w:tcBorders>
              <w:top w:val="nil"/>
              <w:left w:val="nil"/>
              <w:bottom w:val="nil"/>
              <w:right w:val="single" w:sz="4" w:space="0" w:color="auto"/>
            </w:tcBorders>
            <w:vAlign w:val="bottom"/>
          </w:tcPr>
          <w:p w14:paraId="2CB401DC" w14:textId="635717B5"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687</w:t>
            </w:r>
          </w:p>
        </w:tc>
      </w:tr>
      <w:tr w:rsidR="001C4B62" w:rsidRPr="0044589F" w14:paraId="5E15E0FA" w14:textId="10B8191C" w:rsidTr="001C4B62">
        <w:trPr>
          <w:trHeight w:val="340"/>
        </w:trPr>
        <w:tc>
          <w:tcPr>
            <w:tcW w:w="2212" w:type="dxa"/>
            <w:tcBorders>
              <w:top w:val="nil"/>
              <w:left w:val="single" w:sz="4" w:space="0" w:color="auto"/>
              <w:bottom w:val="nil"/>
              <w:right w:val="nil"/>
            </w:tcBorders>
            <w:shd w:val="clear" w:color="auto" w:fill="auto"/>
            <w:noWrap/>
            <w:vAlign w:val="bottom"/>
          </w:tcPr>
          <w:p w14:paraId="040EA30D" w14:textId="663E65A6" w:rsidR="001C4B62" w:rsidRPr="0044589F" w:rsidRDefault="001C4B62" w:rsidP="001C4B62">
            <w:pPr>
              <w:jc w:val="both"/>
              <w:rPr>
                <w:rFonts w:ascii="Titillium" w:eastAsia="Times New Roman" w:hAnsi="Titillium" w:cs="Arial"/>
                <w:sz w:val="22"/>
                <w:szCs w:val="22"/>
                <w:lang w:val="en-GB"/>
              </w:rPr>
            </w:pPr>
            <w:r>
              <w:rPr>
                <w:rFonts w:ascii="Titillium" w:eastAsia="Times New Roman" w:hAnsi="Titillium" w:cs="Arial"/>
                <w:sz w:val="22"/>
                <w:szCs w:val="22"/>
                <w:lang w:val="en-GB"/>
              </w:rPr>
              <w:t>3</w:t>
            </w:r>
          </w:p>
        </w:tc>
        <w:tc>
          <w:tcPr>
            <w:tcW w:w="1411" w:type="dxa"/>
            <w:tcBorders>
              <w:top w:val="nil"/>
              <w:left w:val="nil"/>
              <w:bottom w:val="nil"/>
              <w:right w:val="nil"/>
            </w:tcBorders>
            <w:vAlign w:val="bottom"/>
          </w:tcPr>
          <w:p w14:paraId="4091EC8F" w14:textId="232239DF" w:rsidR="001C4B62" w:rsidRPr="001C4B62" w:rsidRDefault="001C4B62" w:rsidP="001C4B62">
            <w:pPr>
              <w:tabs>
                <w:tab w:val="right" w:pos="975"/>
              </w:tabs>
              <w:rPr>
                <w:rFonts w:ascii="Titillium" w:eastAsia="Times New Roman" w:hAnsi="Titillium" w:cs="Arial"/>
                <w:sz w:val="22"/>
                <w:szCs w:val="22"/>
                <w:lang w:val="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30</w:t>
            </w:r>
          </w:p>
        </w:tc>
        <w:tc>
          <w:tcPr>
            <w:tcW w:w="1411" w:type="dxa"/>
            <w:tcBorders>
              <w:top w:val="nil"/>
              <w:left w:val="nil"/>
              <w:bottom w:val="nil"/>
              <w:right w:val="nil"/>
            </w:tcBorders>
            <w:vAlign w:val="bottom"/>
          </w:tcPr>
          <w:p w14:paraId="392D04B0" w14:textId="5734F059"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54</w:t>
            </w:r>
          </w:p>
        </w:tc>
        <w:tc>
          <w:tcPr>
            <w:tcW w:w="1417" w:type="dxa"/>
            <w:tcBorders>
              <w:top w:val="nil"/>
              <w:left w:val="nil"/>
              <w:bottom w:val="nil"/>
              <w:right w:val="nil"/>
            </w:tcBorders>
            <w:shd w:val="clear" w:color="auto" w:fill="auto"/>
            <w:noWrap/>
            <w:vAlign w:val="bottom"/>
          </w:tcPr>
          <w:p w14:paraId="0F19AC82" w14:textId="3F54B7A1"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54</w:t>
            </w:r>
          </w:p>
        </w:tc>
        <w:tc>
          <w:tcPr>
            <w:tcW w:w="1434" w:type="dxa"/>
            <w:tcBorders>
              <w:top w:val="nil"/>
              <w:left w:val="nil"/>
              <w:bottom w:val="nil"/>
              <w:right w:val="nil"/>
            </w:tcBorders>
            <w:shd w:val="clear" w:color="auto" w:fill="auto"/>
            <w:noWrap/>
            <w:vAlign w:val="bottom"/>
          </w:tcPr>
          <w:p w14:paraId="66FB9F29" w14:textId="48C12DCE"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63</w:t>
            </w:r>
          </w:p>
        </w:tc>
        <w:tc>
          <w:tcPr>
            <w:tcW w:w="1411" w:type="dxa"/>
            <w:tcBorders>
              <w:top w:val="nil"/>
              <w:left w:val="nil"/>
              <w:bottom w:val="nil"/>
              <w:right w:val="single" w:sz="4" w:space="0" w:color="auto"/>
            </w:tcBorders>
            <w:vAlign w:val="bottom"/>
          </w:tcPr>
          <w:p w14:paraId="01A805E4" w14:textId="1F357736"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71</w:t>
            </w:r>
          </w:p>
        </w:tc>
      </w:tr>
      <w:tr w:rsidR="001C4B62" w:rsidRPr="0044589F" w14:paraId="7CD4B403" w14:textId="25F6B094" w:rsidTr="001C4B62">
        <w:trPr>
          <w:trHeight w:val="340"/>
        </w:trPr>
        <w:tc>
          <w:tcPr>
            <w:tcW w:w="2212" w:type="dxa"/>
            <w:tcBorders>
              <w:top w:val="nil"/>
              <w:left w:val="single" w:sz="4" w:space="0" w:color="auto"/>
              <w:bottom w:val="nil"/>
              <w:right w:val="nil"/>
            </w:tcBorders>
            <w:shd w:val="clear" w:color="auto" w:fill="auto"/>
            <w:noWrap/>
            <w:vAlign w:val="bottom"/>
          </w:tcPr>
          <w:p w14:paraId="0864C50B" w14:textId="02CE7F01" w:rsidR="001C4B62" w:rsidRPr="0044589F" w:rsidRDefault="001C4B62" w:rsidP="001C4B62">
            <w:pPr>
              <w:jc w:val="both"/>
              <w:rPr>
                <w:rFonts w:ascii="Titillium" w:eastAsia="Times New Roman" w:hAnsi="Titillium" w:cs="Arial"/>
                <w:sz w:val="22"/>
                <w:szCs w:val="22"/>
                <w:lang w:val="en-GB"/>
              </w:rPr>
            </w:pPr>
            <w:r>
              <w:rPr>
                <w:rFonts w:ascii="Titillium" w:eastAsia="Times New Roman" w:hAnsi="Titillium" w:cs="Arial"/>
                <w:sz w:val="22"/>
                <w:szCs w:val="22"/>
                <w:lang w:val="en-GB"/>
              </w:rPr>
              <w:t>4</w:t>
            </w:r>
          </w:p>
        </w:tc>
        <w:tc>
          <w:tcPr>
            <w:tcW w:w="1411" w:type="dxa"/>
            <w:tcBorders>
              <w:top w:val="nil"/>
              <w:left w:val="nil"/>
              <w:bottom w:val="nil"/>
              <w:right w:val="nil"/>
            </w:tcBorders>
            <w:vAlign w:val="bottom"/>
          </w:tcPr>
          <w:p w14:paraId="1CE7F1E4" w14:textId="7312EADD" w:rsidR="001C4B62" w:rsidRPr="001C4B62" w:rsidRDefault="001C4B62" w:rsidP="001C4B62">
            <w:pPr>
              <w:tabs>
                <w:tab w:val="right" w:pos="975"/>
              </w:tabs>
              <w:rPr>
                <w:rFonts w:ascii="Titillium" w:eastAsia="Times New Roman" w:hAnsi="Titillium" w:cs="Arial"/>
                <w:sz w:val="22"/>
                <w:szCs w:val="22"/>
                <w:lang w:val="en-GB"/>
              </w:rPr>
            </w:pPr>
            <w:r>
              <w:rPr>
                <w:rFonts w:ascii="Titillium" w:eastAsia="Times New Roman" w:hAnsi="Titillium" w:cs="Arial"/>
                <w:sz w:val="22"/>
                <w:szCs w:val="22"/>
                <w:lang w:val="en-GB"/>
              </w:rPr>
              <w:tab/>
              <w:t>0</w:t>
            </w:r>
          </w:p>
        </w:tc>
        <w:tc>
          <w:tcPr>
            <w:tcW w:w="1411" w:type="dxa"/>
            <w:tcBorders>
              <w:top w:val="nil"/>
              <w:left w:val="nil"/>
              <w:bottom w:val="nil"/>
              <w:right w:val="nil"/>
            </w:tcBorders>
            <w:vAlign w:val="bottom"/>
          </w:tcPr>
          <w:p w14:paraId="093788D4" w14:textId="24F5602C"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0</w:t>
            </w:r>
          </w:p>
        </w:tc>
        <w:tc>
          <w:tcPr>
            <w:tcW w:w="1417" w:type="dxa"/>
            <w:tcBorders>
              <w:top w:val="nil"/>
              <w:left w:val="nil"/>
              <w:bottom w:val="nil"/>
              <w:right w:val="nil"/>
            </w:tcBorders>
            <w:shd w:val="clear" w:color="auto" w:fill="auto"/>
            <w:noWrap/>
            <w:vAlign w:val="bottom"/>
          </w:tcPr>
          <w:p w14:paraId="3288EE0E" w14:textId="30157CBF" w:rsidR="001C4B62" w:rsidRPr="001C4B62" w:rsidRDefault="001C4B62" w:rsidP="001C4B62">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2</w:t>
            </w:r>
          </w:p>
        </w:tc>
        <w:tc>
          <w:tcPr>
            <w:tcW w:w="1434" w:type="dxa"/>
            <w:tcBorders>
              <w:top w:val="nil"/>
              <w:left w:val="nil"/>
              <w:bottom w:val="nil"/>
              <w:right w:val="nil"/>
            </w:tcBorders>
            <w:shd w:val="clear" w:color="auto" w:fill="auto"/>
            <w:noWrap/>
            <w:vAlign w:val="bottom"/>
          </w:tcPr>
          <w:p w14:paraId="4A215C09" w14:textId="75012A50"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0</w:t>
            </w:r>
          </w:p>
        </w:tc>
        <w:tc>
          <w:tcPr>
            <w:tcW w:w="1411" w:type="dxa"/>
            <w:tcBorders>
              <w:top w:val="nil"/>
              <w:left w:val="nil"/>
              <w:bottom w:val="nil"/>
              <w:right w:val="single" w:sz="4" w:space="0" w:color="auto"/>
            </w:tcBorders>
            <w:vAlign w:val="bottom"/>
          </w:tcPr>
          <w:p w14:paraId="03E0F2D0" w14:textId="612B2124" w:rsidR="001C4B62" w:rsidRPr="001C4B62" w:rsidRDefault="001C4B62" w:rsidP="001C4B62">
            <w:pPr>
              <w:tabs>
                <w:tab w:val="right" w:pos="975"/>
                <w:tab w:val="right" w:pos="1218"/>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1C4B62">
              <w:rPr>
                <w:rFonts w:ascii="Titillium" w:eastAsia="Times New Roman" w:hAnsi="Titillium"/>
                <w:color w:val="000000"/>
                <w:sz w:val="22"/>
                <w:szCs w:val="22"/>
                <w:lang w:val="en-GB" w:eastAsia="en-GB"/>
              </w:rPr>
              <w:t>0</w:t>
            </w:r>
          </w:p>
        </w:tc>
      </w:tr>
      <w:tr w:rsidR="001C4B62" w:rsidRPr="0044589F" w14:paraId="31513E2A" w14:textId="67CFDAC2" w:rsidTr="00916C65">
        <w:trPr>
          <w:trHeight w:val="340"/>
        </w:trPr>
        <w:tc>
          <w:tcPr>
            <w:tcW w:w="2212" w:type="dxa"/>
            <w:tcBorders>
              <w:top w:val="nil"/>
              <w:left w:val="single" w:sz="4" w:space="0" w:color="auto"/>
              <w:bottom w:val="single" w:sz="4" w:space="0" w:color="auto"/>
              <w:right w:val="nil"/>
            </w:tcBorders>
            <w:shd w:val="clear" w:color="auto" w:fill="auto"/>
            <w:noWrap/>
            <w:vAlign w:val="bottom"/>
            <w:hideMark/>
          </w:tcPr>
          <w:p w14:paraId="7A3CB52F" w14:textId="1B59234D" w:rsidR="001C4B62" w:rsidRPr="001C4B62" w:rsidRDefault="001C4B62" w:rsidP="001C4B62">
            <w:pPr>
              <w:jc w:val="both"/>
              <w:rPr>
                <w:rFonts w:ascii="Titillium" w:eastAsia="Times New Roman" w:hAnsi="Titillium" w:cs="Arial"/>
                <w:b/>
                <w:sz w:val="22"/>
                <w:szCs w:val="22"/>
                <w:lang w:val="en-GB"/>
              </w:rPr>
            </w:pPr>
            <w:r w:rsidRPr="001C4B62">
              <w:rPr>
                <w:rFonts w:ascii="Titillium" w:eastAsia="Times New Roman" w:hAnsi="Titillium" w:cs="Arial"/>
                <w:b/>
                <w:sz w:val="22"/>
                <w:szCs w:val="22"/>
                <w:lang w:val="en-GB"/>
              </w:rPr>
              <w:t>%1 or more WP flags</w:t>
            </w:r>
          </w:p>
        </w:tc>
        <w:tc>
          <w:tcPr>
            <w:tcW w:w="1411" w:type="dxa"/>
            <w:tcBorders>
              <w:top w:val="nil"/>
              <w:left w:val="nil"/>
              <w:bottom w:val="single" w:sz="4" w:space="0" w:color="auto"/>
              <w:right w:val="nil"/>
            </w:tcBorders>
            <w:vAlign w:val="bottom"/>
          </w:tcPr>
          <w:p w14:paraId="05FFBC19" w14:textId="37C90BBC" w:rsidR="001C4B62" w:rsidRPr="00570F3F" w:rsidRDefault="001C4B62" w:rsidP="001C4B62">
            <w:pPr>
              <w:tabs>
                <w:tab w:val="right" w:pos="1020"/>
              </w:tabs>
              <w:rPr>
                <w:rFonts w:ascii="Titillium" w:eastAsia="Times New Roman" w:hAnsi="Titillium" w:cs="Arial"/>
                <w:b/>
                <w:i/>
                <w:sz w:val="22"/>
                <w:szCs w:val="22"/>
                <w:lang w:val="en-GB"/>
              </w:rPr>
            </w:pPr>
            <w:r w:rsidRPr="00570F3F">
              <w:rPr>
                <w:rFonts w:ascii="Titillium" w:eastAsia="Times New Roman" w:hAnsi="Titillium"/>
                <w:b/>
                <w:bCs/>
                <w:sz w:val="22"/>
                <w:szCs w:val="22"/>
                <w:lang w:val="en-GB" w:eastAsia="en-GB"/>
              </w:rPr>
              <w:tab/>
            </w:r>
            <w:r w:rsidRPr="001C4B62">
              <w:rPr>
                <w:rFonts w:ascii="Titillium" w:eastAsia="Times New Roman" w:hAnsi="Titillium"/>
                <w:b/>
                <w:bCs/>
                <w:sz w:val="22"/>
                <w:szCs w:val="22"/>
                <w:lang w:val="en-GB" w:eastAsia="en-GB"/>
              </w:rPr>
              <w:t>20.55%</w:t>
            </w:r>
          </w:p>
        </w:tc>
        <w:tc>
          <w:tcPr>
            <w:tcW w:w="1411" w:type="dxa"/>
            <w:tcBorders>
              <w:top w:val="nil"/>
              <w:left w:val="nil"/>
              <w:bottom w:val="single" w:sz="4" w:space="0" w:color="auto"/>
              <w:right w:val="nil"/>
            </w:tcBorders>
            <w:vAlign w:val="bottom"/>
          </w:tcPr>
          <w:p w14:paraId="3EDFAD79" w14:textId="747749A7" w:rsidR="001C4B62" w:rsidRPr="00570F3F" w:rsidRDefault="001C4B62" w:rsidP="001C4B62">
            <w:pPr>
              <w:tabs>
                <w:tab w:val="right" w:pos="1020"/>
              </w:tabs>
              <w:rPr>
                <w:rFonts w:ascii="Titillium" w:eastAsia="Times New Roman" w:hAnsi="Titillium"/>
                <w:b/>
                <w:bCs/>
                <w:sz w:val="22"/>
                <w:szCs w:val="22"/>
                <w:lang w:val="en-GB" w:eastAsia="en-GB"/>
              </w:rPr>
            </w:pPr>
            <w:r w:rsidRPr="00570F3F">
              <w:rPr>
                <w:rFonts w:ascii="Titillium" w:eastAsia="Times New Roman" w:hAnsi="Titillium"/>
                <w:b/>
                <w:bCs/>
                <w:sz w:val="22"/>
                <w:szCs w:val="22"/>
                <w:lang w:val="en-GB" w:eastAsia="en-GB"/>
              </w:rPr>
              <w:tab/>
            </w:r>
            <w:r w:rsidRPr="001C4B62">
              <w:rPr>
                <w:rFonts w:ascii="Titillium" w:eastAsia="Times New Roman" w:hAnsi="Titillium"/>
                <w:b/>
                <w:bCs/>
                <w:sz w:val="22"/>
                <w:szCs w:val="22"/>
                <w:lang w:val="en-GB" w:eastAsia="en-GB"/>
              </w:rPr>
              <w:t>21.47%</w:t>
            </w:r>
          </w:p>
        </w:tc>
        <w:tc>
          <w:tcPr>
            <w:tcW w:w="1417" w:type="dxa"/>
            <w:tcBorders>
              <w:top w:val="nil"/>
              <w:left w:val="nil"/>
              <w:bottom w:val="single" w:sz="4" w:space="0" w:color="auto"/>
              <w:right w:val="nil"/>
            </w:tcBorders>
            <w:shd w:val="clear" w:color="auto" w:fill="auto"/>
            <w:noWrap/>
            <w:vAlign w:val="bottom"/>
            <w:hideMark/>
          </w:tcPr>
          <w:p w14:paraId="260EE31C" w14:textId="435F7C62" w:rsidR="001C4B62" w:rsidRPr="00570F3F" w:rsidRDefault="001C4B62" w:rsidP="001C4B62">
            <w:pPr>
              <w:tabs>
                <w:tab w:val="right" w:pos="1020"/>
              </w:tabs>
              <w:rPr>
                <w:rFonts w:ascii="Titillium" w:eastAsia="Times New Roman" w:hAnsi="Titillium"/>
                <w:b/>
                <w:bCs/>
                <w:sz w:val="22"/>
                <w:szCs w:val="22"/>
                <w:lang w:val="en-GB" w:eastAsia="en-GB"/>
              </w:rPr>
            </w:pPr>
            <w:r w:rsidRPr="00570F3F">
              <w:rPr>
                <w:rFonts w:ascii="Titillium" w:eastAsia="Times New Roman" w:hAnsi="Titillium"/>
                <w:b/>
                <w:bCs/>
                <w:sz w:val="22"/>
                <w:szCs w:val="22"/>
                <w:lang w:val="en-GB" w:eastAsia="en-GB"/>
              </w:rPr>
              <w:tab/>
            </w:r>
            <w:r w:rsidRPr="001C4B62">
              <w:rPr>
                <w:rFonts w:ascii="Titillium" w:eastAsia="Times New Roman" w:hAnsi="Titillium"/>
                <w:b/>
                <w:bCs/>
                <w:sz w:val="22"/>
                <w:szCs w:val="22"/>
                <w:lang w:val="en-GB" w:eastAsia="en-GB"/>
              </w:rPr>
              <w:t>22.56%</w:t>
            </w:r>
          </w:p>
        </w:tc>
        <w:tc>
          <w:tcPr>
            <w:tcW w:w="1434" w:type="dxa"/>
            <w:tcBorders>
              <w:top w:val="nil"/>
              <w:left w:val="nil"/>
              <w:bottom w:val="single" w:sz="4" w:space="0" w:color="auto"/>
              <w:right w:val="nil"/>
            </w:tcBorders>
            <w:shd w:val="clear" w:color="auto" w:fill="auto"/>
            <w:noWrap/>
            <w:vAlign w:val="bottom"/>
            <w:hideMark/>
          </w:tcPr>
          <w:p w14:paraId="242B6F15" w14:textId="4133A301" w:rsidR="001C4B62" w:rsidRPr="00570F3F" w:rsidRDefault="001C4B62" w:rsidP="001C4B62">
            <w:pPr>
              <w:tabs>
                <w:tab w:val="right" w:pos="1020"/>
                <w:tab w:val="right" w:pos="1218"/>
              </w:tabs>
              <w:rPr>
                <w:rFonts w:ascii="Titillium" w:eastAsia="Times New Roman" w:hAnsi="Titillium"/>
                <w:b/>
                <w:bCs/>
                <w:sz w:val="22"/>
                <w:szCs w:val="22"/>
                <w:lang w:val="en-GB" w:eastAsia="en-GB"/>
              </w:rPr>
            </w:pPr>
            <w:r w:rsidRPr="00570F3F">
              <w:rPr>
                <w:rFonts w:ascii="Titillium" w:eastAsia="Times New Roman" w:hAnsi="Titillium"/>
                <w:b/>
                <w:bCs/>
                <w:sz w:val="22"/>
                <w:szCs w:val="22"/>
                <w:lang w:val="en-GB" w:eastAsia="en-GB"/>
              </w:rPr>
              <w:tab/>
            </w:r>
            <w:r w:rsidRPr="001C4B62">
              <w:rPr>
                <w:rFonts w:ascii="Titillium" w:eastAsia="Times New Roman" w:hAnsi="Titillium"/>
                <w:b/>
                <w:bCs/>
                <w:sz w:val="22"/>
                <w:szCs w:val="22"/>
                <w:lang w:val="en-GB" w:eastAsia="en-GB"/>
              </w:rPr>
              <w:t>22.80%</w:t>
            </w:r>
          </w:p>
        </w:tc>
        <w:tc>
          <w:tcPr>
            <w:tcW w:w="1411" w:type="dxa"/>
            <w:tcBorders>
              <w:top w:val="nil"/>
              <w:left w:val="nil"/>
              <w:bottom w:val="single" w:sz="4" w:space="0" w:color="auto"/>
              <w:right w:val="single" w:sz="4" w:space="0" w:color="auto"/>
            </w:tcBorders>
            <w:vAlign w:val="bottom"/>
          </w:tcPr>
          <w:p w14:paraId="2C0827B8" w14:textId="4EA349B4" w:rsidR="001C4B62" w:rsidRPr="00570F3F" w:rsidRDefault="001C4B62" w:rsidP="001C4B62">
            <w:pPr>
              <w:tabs>
                <w:tab w:val="right" w:pos="1020"/>
                <w:tab w:val="right" w:pos="1218"/>
              </w:tabs>
              <w:rPr>
                <w:rFonts w:ascii="Titillium" w:eastAsia="Times New Roman" w:hAnsi="Titillium"/>
                <w:b/>
                <w:bCs/>
                <w:sz w:val="22"/>
                <w:szCs w:val="22"/>
                <w:lang w:val="en-GB" w:eastAsia="en-GB"/>
              </w:rPr>
            </w:pPr>
            <w:r w:rsidRPr="00570F3F">
              <w:rPr>
                <w:rFonts w:ascii="Titillium" w:eastAsia="Times New Roman" w:hAnsi="Titillium"/>
                <w:b/>
                <w:bCs/>
                <w:sz w:val="22"/>
                <w:szCs w:val="22"/>
                <w:lang w:val="en-GB" w:eastAsia="en-GB"/>
              </w:rPr>
              <w:tab/>
            </w:r>
            <w:r w:rsidRPr="001C4B62">
              <w:rPr>
                <w:rFonts w:ascii="Titillium" w:eastAsia="Times New Roman" w:hAnsi="Titillium"/>
                <w:b/>
                <w:bCs/>
                <w:sz w:val="22"/>
                <w:szCs w:val="22"/>
                <w:lang w:val="en-GB" w:eastAsia="en-GB"/>
              </w:rPr>
              <w:t>23.54%</w:t>
            </w:r>
          </w:p>
        </w:tc>
      </w:tr>
    </w:tbl>
    <w:p w14:paraId="73C6BFE3" w14:textId="56A96DC5" w:rsidR="005430BC" w:rsidRDefault="005430BC">
      <w:pPr>
        <w:spacing w:after="160" w:line="259" w:lineRule="auto"/>
        <w:rPr>
          <w:rFonts w:ascii="Titillium" w:hAnsi="Titillium"/>
          <w:b/>
          <w:color w:val="003366"/>
          <w:lang w:val="en-GB"/>
        </w:rPr>
      </w:pPr>
    </w:p>
    <w:p w14:paraId="145177E9" w14:textId="5D35CB57" w:rsidR="00666076" w:rsidRDefault="00112E2E" w:rsidP="00666076">
      <w:pPr>
        <w:rPr>
          <w:rFonts w:ascii="Titillium" w:hAnsi="Titillium"/>
          <w:b/>
          <w:color w:val="003366"/>
          <w:lang w:val="en-GB"/>
        </w:rPr>
      </w:pPr>
      <w:r>
        <w:rPr>
          <w:rFonts w:ascii="Titillium" w:hAnsi="Titillium"/>
          <w:b/>
          <w:color w:val="003366"/>
          <w:lang w:val="en-GB"/>
        </w:rPr>
        <w:t>Table D2</w:t>
      </w:r>
      <w:r>
        <w:rPr>
          <w:rFonts w:ascii="Titillium" w:hAnsi="Titillium"/>
          <w:b/>
          <w:color w:val="003366"/>
          <w:lang w:val="en-GB"/>
        </w:rPr>
        <w:tab/>
      </w:r>
      <w:r w:rsidR="00666076" w:rsidRPr="00666076">
        <w:rPr>
          <w:rFonts w:ascii="Titillium" w:hAnsi="Titillium"/>
          <w:b/>
          <w:color w:val="003366"/>
          <w:lang w:val="en-GB"/>
        </w:rPr>
        <w:t>Offers</w:t>
      </w:r>
    </w:p>
    <w:tbl>
      <w:tblPr>
        <w:tblW w:w="92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12"/>
        <w:gridCol w:w="1411"/>
        <w:gridCol w:w="1411"/>
        <w:gridCol w:w="1417"/>
        <w:gridCol w:w="1434"/>
        <w:gridCol w:w="1411"/>
      </w:tblGrid>
      <w:tr w:rsidR="005430BC" w:rsidRPr="0044589F" w14:paraId="13B7833B" w14:textId="77777777" w:rsidTr="00916C65">
        <w:trPr>
          <w:trHeight w:val="300"/>
        </w:trPr>
        <w:tc>
          <w:tcPr>
            <w:tcW w:w="2212" w:type="dxa"/>
            <w:tcBorders>
              <w:top w:val="single" w:sz="4" w:space="0" w:color="auto"/>
              <w:left w:val="single" w:sz="4" w:space="0" w:color="auto"/>
              <w:bottom w:val="single" w:sz="4" w:space="0" w:color="auto"/>
              <w:right w:val="nil"/>
            </w:tcBorders>
            <w:shd w:val="clear" w:color="auto" w:fill="auto"/>
            <w:noWrap/>
            <w:vAlign w:val="bottom"/>
            <w:hideMark/>
          </w:tcPr>
          <w:p w14:paraId="55633258" w14:textId="77777777" w:rsidR="005430BC" w:rsidRPr="0044589F" w:rsidRDefault="005430BC" w:rsidP="00916C65">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Number of WP flags</w:t>
            </w:r>
          </w:p>
        </w:tc>
        <w:tc>
          <w:tcPr>
            <w:tcW w:w="1411" w:type="dxa"/>
            <w:tcBorders>
              <w:top w:val="single" w:sz="4" w:space="0" w:color="auto"/>
              <w:left w:val="nil"/>
              <w:bottom w:val="single" w:sz="4" w:space="0" w:color="auto"/>
              <w:right w:val="nil"/>
            </w:tcBorders>
          </w:tcPr>
          <w:p w14:paraId="598F49C3" w14:textId="77777777" w:rsidR="005430BC" w:rsidRPr="0044589F" w:rsidRDefault="005430BC" w:rsidP="006563EE">
            <w:pPr>
              <w:spacing w:line="276" w:lineRule="auto"/>
              <w:jc w:val="center"/>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2012/13</w:t>
            </w:r>
          </w:p>
        </w:tc>
        <w:tc>
          <w:tcPr>
            <w:tcW w:w="1411" w:type="dxa"/>
            <w:tcBorders>
              <w:top w:val="single" w:sz="4" w:space="0" w:color="auto"/>
              <w:left w:val="nil"/>
              <w:bottom w:val="single" w:sz="4" w:space="0" w:color="auto"/>
              <w:right w:val="nil"/>
            </w:tcBorders>
          </w:tcPr>
          <w:p w14:paraId="690D97FA" w14:textId="77777777" w:rsidR="005430BC" w:rsidRPr="0044589F" w:rsidRDefault="005430BC" w:rsidP="006563EE">
            <w:pPr>
              <w:spacing w:line="276" w:lineRule="auto"/>
              <w:jc w:val="center"/>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2013/14</w:t>
            </w:r>
          </w:p>
        </w:tc>
        <w:tc>
          <w:tcPr>
            <w:tcW w:w="1417" w:type="dxa"/>
            <w:tcBorders>
              <w:top w:val="single" w:sz="4" w:space="0" w:color="auto"/>
              <w:left w:val="nil"/>
              <w:bottom w:val="single" w:sz="4" w:space="0" w:color="auto"/>
              <w:right w:val="nil"/>
            </w:tcBorders>
            <w:shd w:val="clear" w:color="auto" w:fill="auto"/>
            <w:noWrap/>
            <w:vAlign w:val="bottom"/>
            <w:hideMark/>
          </w:tcPr>
          <w:p w14:paraId="498C3F5D" w14:textId="77777777" w:rsidR="005430BC" w:rsidRPr="0044589F" w:rsidRDefault="005430BC" w:rsidP="006563EE">
            <w:pPr>
              <w:spacing w:line="276" w:lineRule="auto"/>
              <w:jc w:val="center"/>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2014/15</w:t>
            </w:r>
          </w:p>
        </w:tc>
        <w:tc>
          <w:tcPr>
            <w:tcW w:w="1434" w:type="dxa"/>
            <w:tcBorders>
              <w:top w:val="single" w:sz="4" w:space="0" w:color="auto"/>
              <w:left w:val="nil"/>
              <w:bottom w:val="single" w:sz="4" w:space="0" w:color="auto"/>
              <w:right w:val="nil"/>
            </w:tcBorders>
            <w:shd w:val="clear" w:color="auto" w:fill="auto"/>
            <w:noWrap/>
            <w:vAlign w:val="bottom"/>
            <w:hideMark/>
          </w:tcPr>
          <w:p w14:paraId="2467C20E" w14:textId="77777777" w:rsidR="005430BC" w:rsidRPr="0044589F" w:rsidRDefault="005430BC" w:rsidP="006563EE">
            <w:pPr>
              <w:spacing w:line="276" w:lineRule="auto"/>
              <w:jc w:val="center"/>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2015/16</w:t>
            </w:r>
          </w:p>
        </w:tc>
        <w:tc>
          <w:tcPr>
            <w:tcW w:w="1411" w:type="dxa"/>
            <w:tcBorders>
              <w:top w:val="single" w:sz="4" w:space="0" w:color="auto"/>
              <w:left w:val="nil"/>
              <w:bottom w:val="single" w:sz="4" w:space="0" w:color="auto"/>
              <w:right w:val="single" w:sz="4" w:space="0" w:color="auto"/>
            </w:tcBorders>
          </w:tcPr>
          <w:p w14:paraId="3B8C62CF" w14:textId="77777777" w:rsidR="005430BC" w:rsidRDefault="005430BC" w:rsidP="006563EE">
            <w:pPr>
              <w:spacing w:line="276" w:lineRule="auto"/>
              <w:jc w:val="center"/>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2016/17</w:t>
            </w:r>
          </w:p>
        </w:tc>
      </w:tr>
      <w:tr w:rsidR="00C726BF" w:rsidRPr="00C726BF" w14:paraId="0A2F3D05" w14:textId="77777777" w:rsidTr="00916C65">
        <w:trPr>
          <w:trHeight w:val="340"/>
        </w:trPr>
        <w:tc>
          <w:tcPr>
            <w:tcW w:w="2212" w:type="dxa"/>
            <w:tcBorders>
              <w:top w:val="single" w:sz="4" w:space="0" w:color="auto"/>
              <w:left w:val="single" w:sz="4" w:space="0" w:color="auto"/>
              <w:bottom w:val="nil"/>
              <w:right w:val="nil"/>
            </w:tcBorders>
            <w:shd w:val="clear" w:color="auto" w:fill="auto"/>
            <w:noWrap/>
            <w:vAlign w:val="bottom"/>
          </w:tcPr>
          <w:p w14:paraId="023234B8" w14:textId="77777777" w:rsidR="00C726BF" w:rsidRPr="00C726BF" w:rsidRDefault="00C726BF" w:rsidP="00C726BF">
            <w:pPr>
              <w:tabs>
                <w:tab w:val="right" w:pos="975"/>
              </w:tabs>
              <w:rPr>
                <w:rFonts w:ascii="Titillium" w:eastAsia="Times New Roman" w:hAnsi="Titillium"/>
                <w:color w:val="000000"/>
                <w:sz w:val="22"/>
                <w:szCs w:val="22"/>
                <w:lang w:val="en-GB" w:eastAsia="en-GB"/>
              </w:rPr>
            </w:pPr>
            <w:r w:rsidRPr="00C726BF">
              <w:rPr>
                <w:rFonts w:ascii="Titillium" w:eastAsia="Times New Roman" w:hAnsi="Titillium"/>
                <w:color w:val="000000"/>
                <w:sz w:val="22"/>
                <w:szCs w:val="22"/>
                <w:lang w:val="en-GB" w:eastAsia="en-GB"/>
              </w:rPr>
              <w:t>0</w:t>
            </w:r>
          </w:p>
        </w:tc>
        <w:tc>
          <w:tcPr>
            <w:tcW w:w="1411" w:type="dxa"/>
            <w:tcBorders>
              <w:top w:val="single" w:sz="4" w:space="0" w:color="auto"/>
              <w:left w:val="nil"/>
              <w:bottom w:val="nil"/>
              <w:right w:val="nil"/>
            </w:tcBorders>
          </w:tcPr>
          <w:p w14:paraId="5B1D38DB" w14:textId="078F6FCF" w:rsidR="00C726BF" w:rsidRPr="00C726BF" w:rsidRDefault="00C726BF" w:rsidP="006563EE">
            <w:pPr>
              <w:tabs>
                <w:tab w:val="right" w:pos="936"/>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6,714</w:t>
            </w:r>
          </w:p>
        </w:tc>
        <w:tc>
          <w:tcPr>
            <w:tcW w:w="1411" w:type="dxa"/>
            <w:tcBorders>
              <w:top w:val="single" w:sz="4" w:space="0" w:color="auto"/>
              <w:left w:val="nil"/>
              <w:bottom w:val="nil"/>
              <w:right w:val="nil"/>
            </w:tcBorders>
          </w:tcPr>
          <w:p w14:paraId="0B1B0461" w14:textId="0EB7CCFD" w:rsidR="00C726BF" w:rsidRPr="001C4B62" w:rsidRDefault="00C726BF" w:rsidP="006563EE">
            <w:pPr>
              <w:tabs>
                <w:tab w:val="right" w:pos="1047"/>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6,147</w:t>
            </w:r>
          </w:p>
        </w:tc>
        <w:tc>
          <w:tcPr>
            <w:tcW w:w="1417" w:type="dxa"/>
            <w:tcBorders>
              <w:top w:val="single" w:sz="4" w:space="0" w:color="auto"/>
              <w:left w:val="nil"/>
              <w:bottom w:val="nil"/>
              <w:right w:val="nil"/>
            </w:tcBorders>
            <w:shd w:val="clear" w:color="auto" w:fill="auto"/>
            <w:noWrap/>
          </w:tcPr>
          <w:p w14:paraId="2683A70D" w14:textId="2E6881FC"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6,947</w:t>
            </w:r>
          </w:p>
        </w:tc>
        <w:tc>
          <w:tcPr>
            <w:tcW w:w="1434" w:type="dxa"/>
            <w:tcBorders>
              <w:top w:val="single" w:sz="4" w:space="0" w:color="auto"/>
              <w:left w:val="nil"/>
              <w:bottom w:val="nil"/>
              <w:right w:val="nil"/>
            </w:tcBorders>
            <w:shd w:val="clear" w:color="auto" w:fill="auto"/>
            <w:noWrap/>
          </w:tcPr>
          <w:p w14:paraId="23AC5ED6" w14:textId="6FDFF50F"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6,929</w:t>
            </w:r>
          </w:p>
        </w:tc>
        <w:tc>
          <w:tcPr>
            <w:tcW w:w="1411" w:type="dxa"/>
            <w:tcBorders>
              <w:top w:val="single" w:sz="4" w:space="0" w:color="auto"/>
              <w:left w:val="nil"/>
              <w:bottom w:val="nil"/>
              <w:right w:val="single" w:sz="4" w:space="0" w:color="auto"/>
            </w:tcBorders>
          </w:tcPr>
          <w:p w14:paraId="26BF0BAA" w14:textId="548807A5" w:rsidR="00C726BF" w:rsidRPr="001C4B62" w:rsidRDefault="00C726BF" w:rsidP="006563EE">
            <w:pPr>
              <w:tabs>
                <w:tab w:val="right" w:pos="933"/>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6,912</w:t>
            </w:r>
          </w:p>
        </w:tc>
      </w:tr>
      <w:tr w:rsidR="00C726BF" w:rsidRPr="00C726BF" w14:paraId="263260D9"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5144AE80" w14:textId="77777777" w:rsidR="00C726BF" w:rsidRPr="00C726BF" w:rsidRDefault="00C726BF" w:rsidP="00C726BF">
            <w:pPr>
              <w:tabs>
                <w:tab w:val="right" w:pos="975"/>
              </w:tabs>
              <w:rPr>
                <w:rFonts w:ascii="Titillium" w:eastAsia="Times New Roman" w:hAnsi="Titillium"/>
                <w:color w:val="000000"/>
                <w:sz w:val="22"/>
                <w:szCs w:val="22"/>
                <w:lang w:val="en-GB" w:eastAsia="en-GB"/>
              </w:rPr>
            </w:pPr>
            <w:r w:rsidRPr="00C726BF">
              <w:rPr>
                <w:rFonts w:ascii="Titillium" w:eastAsia="Times New Roman" w:hAnsi="Titillium"/>
                <w:color w:val="000000"/>
                <w:sz w:val="22"/>
                <w:szCs w:val="22"/>
                <w:lang w:val="en-GB" w:eastAsia="en-GB"/>
              </w:rPr>
              <w:t>1</w:t>
            </w:r>
          </w:p>
        </w:tc>
        <w:tc>
          <w:tcPr>
            <w:tcW w:w="1411" w:type="dxa"/>
            <w:tcBorders>
              <w:top w:val="nil"/>
              <w:left w:val="nil"/>
              <w:bottom w:val="nil"/>
              <w:right w:val="nil"/>
            </w:tcBorders>
          </w:tcPr>
          <w:p w14:paraId="52E73B7E" w14:textId="24C11139" w:rsidR="00C726BF" w:rsidRPr="00C726BF" w:rsidRDefault="00C726BF" w:rsidP="006563EE">
            <w:pPr>
              <w:tabs>
                <w:tab w:val="right" w:pos="936"/>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1,543</w:t>
            </w:r>
          </w:p>
        </w:tc>
        <w:tc>
          <w:tcPr>
            <w:tcW w:w="1411" w:type="dxa"/>
            <w:tcBorders>
              <w:top w:val="nil"/>
              <w:left w:val="nil"/>
              <w:bottom w:val="nil"/>
              <w:right w:val="nil"/>
            </w:tcBorders>
          </w:tcPr>
          <w:p w14:paraId="0BE22632" w14:textId="3C3FB33E" w:rsidR="00C726BF" w:rsidRPr="001C4B62" w:rsidRDefault="00C726BF" w:rsidP="006563EE">
            <w:pPr>
              <w:tabs>
                <w:tab w:val="right" w:pos="1047"/>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1,471</w:t>
            </w:r>
          </w:p>
        </w:tc>
        <w:tc>
          <w:tcPr>
            <w:tcW w:w="1417" w:type="dxa"/>
            <w:tcBorders>
              <w:top w:val="nil"/>
              <w:left w:val="nil"/>
              <w:bottom w:val="nil"/>
              <w:right w:val="nil"/>
            </w:tcBorders>
            <w:shd w:val="clear" w:color="auto" w:fill="auto"/>
            <w:noWrap/>
          </w:tcPr>
          <w:p w14:paraId="7DE00255" w14:textId="7A4F6122"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1,716</w:t>
            </w:r>
          </w:p>
        </w:tc>
        <w:tc>
          <w:tcPr>
            <w:tcW w:w="1434" w:type="dxa"/>
            <w:tcBorders>
              <w:top w:val="nil"/>
              <w:left w:val="nil"/>
              <w:bottom w:val="nil"/>
              <w:right w:val="nil"/>
            </w:tcBorders>
            <w:shd w:val="clear" w:color="auto" w:fill="auto"/>
            <w:noWrap/>
          </w:tcPr>
          <w:p w14:paraId="15C68399" w14:textId="7DC93376"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1,730</w:t>
            </w:r>
          </w:p>
        </w:tc>
        <w:tc>
          <w:tcPr>
            <w:tcW w:w="1411" w:type="dxa"/>
            <w:tcBorders>
              <w:top w:val="nil"/>
              <w:left w:val="nil"/>
              <w:bottom w:val="nil"/>
              <w:right w:val="single" w:sz="4" w:space="0" w:color="auto"/>
            </w:tcBorders>
          </w:tcPr>
          <w:p w14:paraId="7BB33CDA" w14:textId="38489BA6" w:rsidR="00C726BF" w:rsidRPr="001C4B62" w:rsidRDefault="00C726BF" w:rsidP="006563EE">
            <w:pPr>
              <w:tabs>
                <w:tab w:val="right" w:pos="933"/>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1,855</w:t>
            </w:r>
          </w:p>
        </w:tc>
      </w:tr>
      <w:tr w:rsidR="00C726BF" w:rsidRPr="00C726BF" w14:paraId="5D35A02B"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75BA1CCD" w14:textId="77777777" w:rsidR="00C726BF" w:rsidRPr="00C726BF" w:rsidRDefault="00C726BF" w:rsidP="00C726BF">
            <w:pPr>
              <w:tabs>
                <w:tab w:val="right" w:pos="975"/>
              </w:tabs>
              <w:rPr>
                <w:rFonts w:ascii="Titillium" w:eastAsia="Times New Roman" w:hAnsi="Titillium"/>
                <w:color w:val="000000"/>
                <w:sz w:val="22"/>
                <w:szCs w:val="22"/>
                <w:lang w:val="en-GB" w:eastAsia="en-GB"/>
              </w:rPr>
            </w:pPr>
            <w:r w:rsidRPr="00C726BF">
              <w:rPr>
                <w:rFonts w:ascii="Titillium" w:eastAsia="Times New Roman" w:hAnsi="Titillium"/>
                <w:color w:val="000000"/>
                <w:sz w:val="22"/>
                <w:szCs w:val="22"/>
                <w:lang w:val="en-GB" w:eastAsia="en-GB"/>
              </w:rPr>
              <w:t>2</w:t>
            </w:r>
          </w:p>
        </w:tc>
        <w:tc>
          <w:tcPr>
            <w:tcW w:w="1411" w:type="dxa"/>
            <w:tcBorders>
              <w:top w:val="nil"/>
              <w:left w:val="nil"/>
              <w:bottom w:val="nil"/>
              <w:right w:val="nil"/>
            </w:tcBorders>
          </w:tcPr>
          <w:p w14:paraId="7FEFD89C" w14:textId="1DBE73F4" w:rsidR="00C726BF" w:rsidRPr="00C726BF" w:rsidRDefault="00C726BF" w:rsidP="006563EE">
            <w:pPr>
              <w:tabs>
                <w:tab w:val="right" w:pos="936"/>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287</w:t>
            </w:r>
          </w:p>
        </w:tc>
        <w:tc>
          <w:tcPr>
            <w:tcW w:w="1411" w:type="dxa"/>
            <w:tcBorders>
              <w:top w:val="nil"/>
              <w:left w:val="nil"/>
              <w:bottom w:val="nil"/>
              <w:right w:val="nil"/>
            </w:tcBorders>
          </w:tcPr>
          <w:p w14:paraId="2F55C77E" w14:textId="72CC273D" w:rsidR="00C726BF" w:rsidRPr="001C4B62" w:rsidRDefault="00C726BF" w:rsidP="006563EE">
            <w:pPr>
              <w:tabs>
                <w:tab w:val="right" w:pos="1047"/>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335</w:t>
            </w:r>
          </w:p>
        </w:tc>
        <w:tc>
          <w:tcPr>
            <w:tcW w:w="1417" w:type="dxa"/>
            <w:tcBorders>
              <w:top w:val="nil"/>
              <w:left w:val="nil"/>
              <w:bottom w:val="nil"/>
              <w:right w:val="nil"/>
            </w:tcBorders>
            <w:shd w:val="clear" w:color="auto" w:fill="auto"/>
            <w:noWrap/>
          </w:tcPr>
          <w:p w14:paraId="08D2F921" w14:textId="524E4538"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364</w:t>
            </w:r>
          </w:p>
        </w:tc>
        <w:tc>
          <w:tcPr>
            <w:tcW w:w="1434" w:type="dxa"/>
            <w:tcBorders>
              <w:top w:val="nil"/>
              <w:left w:val="nil"/>
              <w:bottom w:val="nil"/>
              <w:right w:val="nil"/>
            </w:tcBorders>
            <w:shd w:val="clear" w:color="auto" w:fill="auto"/>
            <w:noWrap/>
          </w:tcPr>
          <w:p w14:paraId="20AC1DFD" w14:textId="2AC82F2D"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408</w:t>
            </w:r>
          </w:p>
        </w:tc>
        <w:tc>
          <w:tcPr>
            <w:tcW w:w="1411" w:type="dxa"/>
            <w:tcBorders>
              <w:top w:val="nil"/>
              <w:left w:val="nil"/>
              <w:bottom w:val="nil"/>
              <w:right w:val="single" w:sz="4" w:space="0" w:color="auto"/>
            </w:tcBorders>
          </w:tcPr>
          <w:p w14:paraId="060732D4" w14:textId="3E03F130" w:rsidR="00C726BF" w:rsidRPr="001C4B62" w:rsidRDefault="00C726BF" w:rsidP="006563EE">
            <w:pPr>
              <w:tabs>
                <w:tab w:val="right" w:pos="933"/>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459</w:t>
            </w:r>
          </w:p>
        </w:tc>
      </w:tr>
      <w:tr w:rsidR="00C726BF" w:rsidRPr="00C726BF" w14:paraId="6169DBF5"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6D4E7174" w14:textId="77777777" w:rsidR="00C726BF" w:rsidRPr="00C726BF" w:rsidRDefault="00C726BF" w:rsidP="00C726BF">
            <w:pPr>
              <w:tabs>
                <w:tab w:val="right" w:pos="975"/>
              </w:tabs>
              <w:rPr>
                <w:rFonts w:ascii="Titillium" w:eastAsia="Times New Roman" w:hAnsi="Titillium"/>
                <w:color w:val="000000"/>
                <w:sz w:val="22"/>
                <w:szCs w:val="22"/>
                <w:lang w:val="en-GB" w:eastAsia="en-GB"/>
              </w:rPr>
            </w:pPr>
            <w:r w:rsidRPr="00C726BF">
              <w:rPr>
                <w:rFonts w:ascii="Titillium" w:eastAsia="Times New Roman" w:hAnsi="Titillium"/>
                <w:color w:val="000000"/>
                <w:sz w:val="22"/>
                <w:szCs w:val="22"/>
                <w:lang w:val="en-GB" w:eastAsia="en-GB"/>
              </w:rPr>
              <w:t>3</w:t>
            </w:r>
          </w:p>
        </w:tc>
        <w:tc>
          <w:tcPr>
            <w:tcW w:w="1411" w:type="dxa"/>
            <w:tcBorders>
              <w:top w:val="nil"/>
              <w:left w:val="nil"/>
              <w:bottom w:val="nil"/>
              <w:right w:val="nil"/>
            </w:tcBorders>
          </w:tcPr>
          <w:p w14:paraId="75635531" w14:textId="2E730C9E" w:rsidR="00C726BF" w:rsidRPr="00C726BF" w:rsidRDefault="00C726BF" w:rsidP="006563EE">
            <w:pPr>
              <w:tabs>
                <w:tab w:val="right" w:pos="936"/>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24</w:t>
            </w:r>
          </w:p>
        </w:tc>
        <w:tc>
          <w:tcPr>
            <w:tcW w:w="1411" w:type="dxa"/>
            <w:tcBorders>
              <w:top w:val="nil"/>
              <w:left w:val="nil"/>
              <w:bottom w:val="nil"/>
              <w:right w:val="nil"/>
            </w:tcBorders>
          </w:tcPr>
          <w:p w14:paraId="7EC821EC" w14:textId="1D0A4793" w:rsidR="00C726BF" w:rsidRPr="001C4B62" w:rsidRDefault="00C726BF" w:rsidP="006563EE">
            <w:pPr>
              <w:tabs>
                <w:tab w:val="right" w:pos="1047"/>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38</w:t>
            </w:r>
          </w:p>
        </w:tc>
        <w:tc>
          <w:tcPr>
            <w:tcW w:w="1417" w:type="dxa"/>
            <w:tcBorders>
              <w:top w:val="nil"/>
              <w:left w:val="nil"/>
              <w:bottom w:val="nil"/>
              <w:right w:val="nil"/>
            </w:tcBorders>
            <w:shd w:val="clear" w:color="auto" w:fill="auto"/>
            <w:noWrap/>
          </w:tcPr>
          <w:p w14:paraId="5ECA54F1" w14:textId="1FC25687"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37</w:t>
            </w:r>
          </w:p>
        </w:tc>
        <w:tc>
          <w:tcPr>
            <w:tcW w:w="1434" w:type="dxa"/>
            <w:tcBorders>
              <w:top w:val="nil"/>
              <w:left w:val="nil"/>
              <w:bottom w:val="nil"/>
              <w:right w:val="nil"/>
            </w:tcBorders>
            <w:shd w:val="clear" w:color="auto" w:fill="auto"/>
            <w:noWrap/>
          </w:tcPr>
          <w:p w14:paraId="13298549" w14:textId="5CC6AE2F"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52</w:t>
            </w:r>
          </w:p>
        </w:tc>
        <w:tc>
          <w:tcPr>
            <w:tcW w:w="1411" w:type="dxa"/>
            <w:tcBorders>
              <w:top w:val="nil"/>
              <w:left w:val="nil"/>
              <w:bottom w:val="nil"/>
              <w:right w:val="single" w:sz="4" w:space="0" w:color="auto"/>
            </w:tcBorders>
          </w:tcPr>
          <w:p w14:paraId="3AEAEBEE" w14:textId="4D151CF0" w:rsidR="00C726BF" w:rsidRPr="001C4B62" w:rsidRDefault="00C726BF" w:rsidP="006563EE">
            <w:pPr>
              <w:tabs>
                <w:tab w:val="right" w:pos="933"/>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54</w:t>
            </w:r>
          </w:p>
        </w:tc>
      </w:tr>
      <w:tr w:rsidR="00C726BF" w:rsidRPr="00C726BF" w14:paraId="44446EC2"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35281F52" w14:textId="77777777" w:rsidR="00C726BF" w:rsidRPr="00C726BF" w:rsidRDefault="00C726BF" w:rsidP="00C726BF">
            <w:pPr>
              <w:tabs>
                <w:tab w:val="right" w:pos="975"/>
              </w:tabs>
              <w:rPr>
                <w:rFonts w:ascii="Titillium" w:eastAsia="Times New Roman" w:hAnsi="Titillium"/>
                <w:color w:val="000000"/>
                <w:sz w:val="22"/>
                <w:szCs w:val="22"/>
                <w:lang w:val="en-GB" w:eastAsia="en-GB"/>
              </w:rPr>
            </w:pPr>
            <w:r w:rsidRPr="00C726BF">
              <w:rPr>
                <w:rFonts w:ascii="Titillium" w:eastAsia="Times New Roman" w:hAnsi="Titillium"/>
                <w:color w:val="000000"/>
                <w:sz w:val="22"/>
                <w:szCs w:val="22"/>
                <w:lang w:val="en-GB" w:eastAsia="en-GB"/>
              </w:rPr>
              <w:t>4</w:t>
            </w:r>
          </w:p>
        </w:tc>
        <w:tc>
          <w:tcPr>
            <w:tcW w:w="1411" w:type="dxa"/>
            <w:tcBorders>
              <w:top w:val="nil"/>
              <w:left w:val="nil"/>
              <w:bottom w:val="nil"/>
              <w:right w:val="nil"/>
            </w:tcBorders>
          </w:tcPr>
          <w:p w14:paraId="5F46540B" w14:textId="117EC61D" w:rsidR="00C726BF" w:rsidRPr="00C726BF" w:rsidRDefault="00C726BF" w:rsidP="006563EE">
            <w:pPr>
              <w:tabs>
                <w:tab w:val="right" w:pos="936"/>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11" w:type="dxa"/>
            <w:tcBorders>
              <w:top w:val="nil"/>
              <w:left w:val="nil"/>
              <w:bottom w:val="nil"/>
              <w:right w:val="nil"/>
            </w:tcBorders>
          </w:tcPr>
          <w:p w14:paraId="2813203C" w14:textId="09A0E108" w:rsidR="00C726BF" w:rsidRPr="001C4B62" w:rsidRDefault="00C726BF" w:rsidP="006563EE">
            <w:pPr>
              <w:tabs>
                <w:tab w:val="right" w:pos="1047"/>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17" w:type="dxa"/>
            <w:tcBorders>
              <w:top w:val="nil"/>
              <w:left w:val="nil"/>
              <w:bottom w:val="nil"/>
              <w:right w:val="nil"/>
            </w:tcBorders>
            <w:shd w:val="clear" w:color="auto" w:fill="auto"/>
            <w:noWrap/>
          </w:tcPr>
          <w:p w14:paraId="00C86967" w14:textId="7D7E4312"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C726BF">
              <w:rPr>
                <w:rFonts w:ascii="Titillium" w:eastAsia="Times New Roman" w:hAnsi="Titillium"/>
                <w:color w:val="000000"/>
                <w:sz w:val="22"/>
                <w:szCs w:val="22"/>
                <w:lang w:val="en-GB" w:eastAsia="en-GB"/>
              </w:rPr>
              <w:t>2</w:t>
            </w:r>
          </w:p>
        </w:tc>
        <w:tc>
          <w:tcPr>
            <w:tcW w:w="1434" w:type="dxa"/>
            <w:tcBorders>
              <w:top w:val="nil"/>
              <w:left w:val="nil"/>
              <w:bottom w:val="nil"/>
              <w:right w:val="nil"/>
            </w:tcBorders>
            <w:shd w:val="clear" w:color="auto" w:fill="auto"/>
            <w:noWrap/>
          </w:tcPr>
          <w:p w14:paraId="23805276" w14:textId="325DE7EC" w:rsidR="00C726BF" w:rsidRPr="001C4B62" w:rsidRDefault="00C726BF" w:rsidP="006563EE">
            <w:pPr>
              <w:tabs>
                <w:tab w:val="right" w:pos="975"/>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11" w:type="dxa"/>
            <w:tcBorders>
              <w:top w:val="nil"/>
              <w:left w:val="nil"/>
              <w:bottom w:val="nil"/>
              <w:right w:val="single" w:sz="4" w:space="0" w:color="auto"/>
            </w:tcBorders>
          </w:tcPr>
          <w:p w14:paraId="0CE83BA2" w14:textId="5C04F3D9" w:rsidR="00C726BF" w:rsidRPr="001C4B62" w:rsidRDefault="00C726BF" w:rsidP="006563EE">
            <w:pPr>
              <w:tabs>
                <w:tab w:val="right" w:pos="933"/>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r>
      <w:tr w:rsidR="00570F3F" w:rsidRPr="00C726BF" w14:paraId="543157D3" w14:textId="77777777" w:rsidTr="005430BC">
        <w:trPr>
          <w:trHeight w:val="340"/>
        </w:trPr>
        <w:tc>
          <w:tcPr>
            <w:tcW w:w="2212" w:type="dxa"/>
            <w:tcBorders>
              <w:top w:val="nil"/>
              <w:left w:val="single" w:sz="4" w:space="0" w:color="auto"/>
              <w:bottom w:val="single" w:sz="4" w:space="0" w:color="auto"/>
              <w:right w:val="nil"/>
            </w:tcBorders>
            <w:shd w:val="clear" w:color="auto" w:fill="auto"/>
            <w:noWrap/>
            <w:vAlign w:val="bottom"/>
            <w:hideMark/>
          </w:tcPr>
          <w:p w14:paraId="1059F3D1" w14:textId="77777777" w:rsidR="00570F3F" w:rsidRPr="00570F3F" w:rsidRDefault="00570F3F" w:rsidP="00570F3F">
            <w:pPr>
              <w:jc w:val="both"/>
              <w:rPr>
                <w:rFonts w:ascii="Titillium" w:eastAsia="Times New Roman" w:hAnsi="Titillium" w:cs="Arial"/>
                <w:b/>
                <w:sz w:val="22"/>
                <w:szCs w:val="22"/>
                <w:lang w:val="en-GB"/>
              </w:rPr>
            </w:pPr>
            <w:r w:rsidRPr="00570F3F">
              <w:rPr>
                <w:rFonts w:ascii="Titillium" w:eastAsia="Times New Roman" w:hAnsi="Titillium" w:cs="Arial"/>
                <w:b/>
                <w:sz w:val="22"/>
                <w:szCs w:val="22"/>
                <w:lang w:val="en-GB"/>
              </w:rPr>
              <w:t>%1 or more WP flags</w:t>
            </w:r>
          </w:p>
        </w:tc>
        <w:tc>
          <w:tcPr>
            <w:tcW w:w="1411" w:type="dxa"/>
            <w:tcBorders>
              <w:top w:val="nil"/>
              <w:left w:val="nil"/>
              <w:bottom w:val="single" w:sz="4" w:space="0" w:color="auto"/>
              <w:right w:val="nil"/>
            </w:tcBorders>
            <w:vAlign w:val="bottom"/>
          </w:tcPr>
          <w:p w14:paraId="65EB40EF" w14:textId="4C9A3A79" w:rsidR="00570F3F" w:rsidRPr="00570F3F" w:rsidRDefault="00570F3F" w:rsidP="006563EE">
            <w:pPr>
              <w:tabs>
                <w:tab w:val="right" w:pos="936"/>
              </w:tabs>
              <w:jc w:val="both"/>
              <w:rPr>
                <w:rFonts w:ascii="Titillium" w:eastAsia="Times New Roman" w:hAnsi="Titillium" w:cs="Arial"/>
                <w:b/>
                <w:sz w:val="22"/>
                <w:szCs w:val="22"/>
                <w:lang w:val="en-GB"/>
              </w:rPr>
            </w:pPr>
            <w:r w:rsidRPr="00570F3F">
              <w:rPr>
                <w:rFonts w:ascii="Titillium" w:eastAsia="Times New Roman" w:hAnsi="Titillium" w:cs="Arial"/>
                <w:b/>
                <w:sz w:val="22"/>
                <w:szCs w:val="22"/>
                <w:lang w:val="en-GB"/>
              </w:rPr>
              <w:tab/>
              <w:t>21.64%</w:t>
            </w:r>
          </w:p>
        </w:tc>
        <w:tc>
          <w:tcPr>
            <w:tcW w:w="1411" w:type="dxa"/>
            <w:tcBorders>
              <w:top w:val="nil"/>
              <w:left w:val="nil"/>
              <w:bottom w:val="single" w:sz="4" w:space="0" w:color="auto"/>
              <w:right w:val="nil"/>
            </w:tcBorders>
            <w:vAlign w:val="bottom"/>
          </w:tcPr>
          <w:p w14:paraId="0D2710E1" w14:textId="53C2082D" w:rsidR="00570F3F" w:rsidRPr="00570F3F" w:rsidRDefault="00570F3F" w:rsidP="006563EE">
            <w:pPr>
              <w:tabs>
                <w:tab w:val="right" w:pos="1047"/>
              </w:tabs>
              <w:jc w:val="both"/>
              <w:rPr>
                <w:rFonts w:ascii="Titillium" w:eastAsia="Times New Roman" w:hAnsi="Titillium" w:cs="Arial"/>
                <w:b/>
                <w:sz w:val="22"/>
                <w:szCs w:val="22"/>
                <w:lang w:val="en-GB"/>
              </w:rPr>
            </w:pPr>
            <w:r w:rsidRPr="00570F3F">
              <w:rPr>
                <w:rFonts w:ascii="Titillium" w:eastAsia="Times New Roman" w:hAnsi="Titillium" w:cs="Arial"/>
                <w:b/>
                <w:sz w:val="22"/>
                <w:szCs w:val="22"/>
                <w:lang w:val="en-GB"/>
              </w:rPr>
              <w:tab/>
              <w:t>23.08%</w:t>
            </w:r>
          </w:p>
        </w:tc>
        <w:tc>
          <w:tcPr>
            <w:tcW w:w="1417" w:type="dxa"/>
            <w:tcBorders>
              <w:top w:val="nil"/>
              <w:left w:val="nil"/>
              <w:bottom w:val="single" w:sz="4" w:space="0" w:color="auto"/>
              <w:right w:val="nil"/>
            </w:tcBorders>
            <w:shd w:val="clear" w:color="auto" w:fill="auto"/>
            <w:noWrap/>
            <w:vAlign w:val="bottom"/>
          </w:tcPr>
          <w:p w14:paraId="2EBF4B7A" w14:textId="55C0867B" w:rsidR="00570F3F" w:rsidRPr="00570F3F" w:rsidRDefault="00570F3F" w:rsidP="006563EE">
            <w:pPr>
              <w:tabs>
                <w:tab w:val="right" w:pos="975"/>
              </w:tabs>
              <w:jc w:val="both"/>
              <w:rPr>
                <w:rFonts w:ascii="Titillium" w:eastAsia="Times New Roman" w:hAnsi="Titillium" w:cs="Arial"/>
                <w:b/>
                <w:sz w:val="22"/>
                <w:szCs w:val="22"/>
                <w:lang w:val="en-GB"/>
              </w:rPr>
            </w:pPr>
            <w:r w:rsidRPr="00570F3F">
              <w:rPr>
                <w:rFonts w:ascii="Titillium" w:eastAsia="Times New Roman" w:hAnsi="Titillium" w:cs="Arial"/>
                <w:b/>
                <w:sz w:val="22"/>
                <w:szCs w:val="22"/>
                <w:lang w:val="en-GB"/>
              </w:rPr>
              <w:tab/>
              <w:t>23.37%</w:t>
            </w:r>
          </w:p>
        </w:tc>
        <w:tc>
          <w:tcPr>
            <w:tcW w:w="1434" w:type="dxa"/>
            <w:tcBorders>
              <w:top w:val="nil"/>
              <w:left w:val="nil"/>
              <w:bottom w:val="single" w:sz="4" w:space="0" w:color="auto"/>
              <w:right w:val="nil"/>
            </w:tcBorders>
            <w:shd w:val="clear" w:color="auto" w:fill="auto"/>
            <w:noWrap/>
            <w:vAlign w:val="bottom"/>
          </w:tcPr>
          <w:p w14:paraId="7BBF4296" w14:textId="55F3F83F" w:rsidR="00570F3F" w:rsidRPr="00570F3F" w:rsidRDefault="00570F3F" w:rsidP="006563EE">
            <w:pPr>
              <w:tabs>
                <w:tab w:val="right" w:pos="975"/>
              </w:tabs>
              <w:jc w:val="both"/>
              <w:rPr>
                <w:rFonts w:ascii="Titillium" w:eastAsia="Times New Roman" w:hAnsi="Titillium" w:cs="Arial"/>
                <w:b/>
                <w:sz w:val="22"/>
                <w:szCs w:val="22"/>
                <w:lang w:val="en-GB"/>
              </w:rPr>
            </w:pPr>
            <w:r w:rsidRPr="00570F3F">
              <w:rPr>
                <w:rFonts w:ascii="Titillium" w:eastAsia="Times New Roman" w:hAnsi="Titillium" w:cs="Arial"/>
                <w:b/>
                <w:sz w:val="22"/>
                <w:szCs w:val="22"/>
                <w:lang w:val="en-GB"/>
              </w:rPr>
              <w:tab/>
              <w:t>24.02%</w:t>
            </w:r>
          </w:p>
        </w:tc>
        <w:tc>
          <w:tcPr>
            <w:tcW w:w="1411" w:type="dxa"/>
            <w:tcBorders>
              <w:top w:val="nil"/>
              <w:left w:val="nil"/>
              <w:bottom w:val="single" w:sz="4" w:space="0" w:color="auto"/>
              <w:right w:val="single" w:sz="4" w:space="0" w:color="auto"/>
            </w:tcBorders>
            <w:vAlign w:val="bottom"/>
          </w:tcPr>
          <w:p w14:paraId="736A6854" w14:textId="0B876161" w:rsidR="00570F3F" w:rsidRPr="00570F3F" w:rsidRDefault="00570F3F" w:rsidP="006563EE">
            <w:pPr>
              <w:tabs>
                <w:tab w:val="right" w:pos="933"/>
              </w:tabs>
              <w:jc w:val="both"/>
              <w:rPr>
                <w:rFonts w:ascii="Titillium" w:eastAsia="Times New Roman" w:hAnsi="Titillium" w:cs="Arial"/>
                <w:b/>
                <w:sz w:val="22"/>
                <w:szCs w:val="22"/>
                <w:lang w:val="en-GB"/>
              </w:rPr>
            </w:pPr>
            <w:r w:rsidRPr="00570F3F">
              <w:rPr>
                <w:rFonts w:ascii="Titillium" w:eastAsia="Times New Roman" w:hAnsi="Titillium" w:cs="Arial"/>
                <w:b/>
                <w:sz w:val="22"/>
                <w:szCs w:val="22"/>
                <w:lang w:val="en-GB"/>
              </w:rPr>
              <w:tab/>
              <w:t>25.52%</w:t>
            </w:r>
          </w:p>
        </w:tc>
      </w:tr>
    </w:tbl>
    <w:p w14:paraId="5DBC60FD" w14:textId="09CA4CCF" w:rsidR="00666076" w:rsidRPr="00666076" w:rsidRDefault="00112E2E" w:rsidP="00666076">
      <w:pPr>
        <w:rPr>
          <w:rFonts w:ascii="Titillium" w:hAnsi="Titillium"/>
          <w:b/>
          <w:color w:val="003366"/>
          <w:lang w:val="en-GB"/>
        </w:rPr>
      </w:pPr>
      <w:r>
        <w:rPr>
          <w:rFonts w:ascii="Titillium" w:hAnsi="Titillium"/>
          <w:b/>
          <w:color w:val="003366"/>
          <w:lang w:val="en-GB"/>
        </w:rPr>
        <w:lastRenderedPageBreak/>
        <w:t>Table D3</w:t>
      </w:r>
      <w:r>
        <w:rPr>
          <w:rFonts w:ascii="Titillium" w:hAnsi="Titillium"/>
          <w:b/>
          <w:color w:val="003366"/>
          <w:lang w:val="en-GB"/>
        </w:rPr>
        <w:tab/>
      </w:r>
      <w:r w:rsidR="00666076" w:rsidRPr="00666076">
        <w:rPr>
          <w:rFonts w:ascii="Titillium" w:hAnsi="Titillium"/>
          <w:b/>
          <w:color w:val="003366"/>
          <w:lang w:val="en-GB"/>
        </w:rPr>
        <w:t>Acceptances</w:t>
      </w:r>
    </w:p>
    <w:tbl>
      <w:tblPr>
        <w:tblW w:w="92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12"/>
        <w:gridCol w:w="1411"/>
        <w:gridCol w:w="1411"/>
        <w:gridCol w:w="1417"/>
        <w:gridCol w:w="1434"/>
        <w:gridCol w:w="1411"/>
      </w:tblGrid>
      <w:tr w:rsidR="006563EE" w:rsidRPr="0044589F" w14:paraId="48BFB9D0" w14:textId="77777777" w:rsidTr="00916C65">
        <w:trPr>
          <w:trHeight w:val="300"/>
        </w:trPr>
        <w:tc>
          <w:tcPr>
            <w:tcW w:w="2212" w:type="dxa"/>
            <w:tcBorders>
              <w:top w:val="single" w:sz="4" w:space="0" w:color="auto"/>
              <w:left w:val="single" w:sz="4" w:space="0" w:color="auto"/>
              <w:bottom w:val="single" w:sz="4" w:space="0" w:color="auto"/>
              <w:right w:val="nil"/>
            </w:tcBorders>
            <w:shd w:val="clear" w:color="auto" w:fill="auto"/>
            <w:noWrap/>
            <w:vAlign w:val="bottom"/>
            <w:hideMark/>
          </w:tcPr>
          <w:p w14:paraId="5309E38F" w14:textId="77777777" w:rsidR="006563EE" w:rsidRPr="0044589F" w:rsidRDefault="006563EE" w:rsidP="00916C65">
            <w:pPr>
              <w:spacing w:line="276" w:lineRule="auto"/>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Number of WP flags</w:t>
            </w:r>
          </w:p>
        </w:tc>
        <w:tc>
          <w:tcPr>
            <w:tcW w:w="1411" w:type="dxa"/>
            <w:tcBorders>
              <w:top w:val="single" w:sz="4" w:space="0" w:color="auto"/>
              <w:left w:val="nil"/>
              <w:bottom w:val="single" w:sz="4" w:space="0" w:color="auto"/>
              <w:right w:val="nil"/>
            </w:tcBorders>
          </w:tcPr>
          <w:p w14:paraId="3D6BBA25" w14:textId="77777777" w:rsidR="006563EE" w:rsidRPr="0044589F" w:rsidRDefault="006563EE" w:rsidP="00380ED2">
            <w:pPr>
              <w:tabs>
                <w:tab w:val="right" w:pos="1020"/>
              </w:tabs>
              <w:spacing w:line="276" w:lineRule="auto"/>
              <w:jc w:val="center"/>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2012/13</w:t>
            </w:r>
          </w:p>
        </w:tc>
        <w:tc>
          <w:tcPr>
            <w:tcW w:w="1411" w:type="dxa"/>
            <w:tcBorders>
              <w:top w:val="single" w:sz="4" w:space="0" w:color="auto"/>
              <w:left w:val="nil"/>
              <w:bottom w:val="single" w:sz="4" w:space="0" w:color="auto"/>
              <w:right w:val="nil"/>
            </w:tcBorders>
          </w:tcPr>
          <w:p w14:paraId="68D0E512" w14:textId="77777777" w:rsidR="006563EE" w:rsidRPr="0044589F" w:rsidRDefault="006563EE" w:rsidP="00380ED2">
            <w:pPr>
              <w:tabs>
                <w:tab w:val="right" w:pos="1020"/>
              </w:tabs>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2013/14</w:t>
            </w:r>
          </w:p>
        </w:tc>
        <w:tc>
          <w:tcPr>
            <w:tcW w:w="1417" w:type="dxa"/>
            <w:tcBorders>
              <w:top w:val="single" w:sz="4" w:space="0" w:color="auto"/>
              <w:left w:val="nil"/>
              <w:bottom w:val="single" w:sz="4" w:space="0" w:color="auto"/>
              <w:right w:val="nil"/>
            </w:tcBorders>
            <w:shd w:val="clear" w:color="auto" w:fill="auto"/>
            <w:noWrap/>
            <w:vAlign w:val="bottom"/>
            <w:hideMark/>
          </w:tcPr>
          <w:p w14:paraId="30F0D641" w14:textId="77777777" w:rsidR="006563EE" w:rsidRPr="0044589F" w:rsidRDefault="006563EE" w:rsidP="00380ED2">
            <w:pPr>
              <w:tabs>
                <w:tab w:val="right" w:pos="1020"/>
              </w:tabs>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2014/15</w:t>
            </w:r>
          </w:p>
        </w:tc>
        <w:tc>
          <w:tcPr>
            <w:tcW w:w="1434" w:type="dxa"/>
            <w:tcBorders>
              <w:top w:val="single" w:sz="4" w:space="0" w:color="auto"/>
              <w:left w:val="nil"/>
              <w:bottom w:val="single" w:sz="4" w:space="0" w:color="auto"/>
              <w:right w:val="nil"/>
            </w:tcBorders>
            <w:shd w:val="clear" w:color="auto" w:fill="auto"/>
            <w:noWrap/>
            <w:vAlign w:val="bottom"/>
            <w:hideMark/>
          </w:tcPr>
          <w:p w14:paraId="225858FA" w14:textId="77777777" w:rsidR="006563EE" w:rsidRPr="0044589F" w:rsidRDefault="006563EE" w:rsidP="00380ED2">
            <w:pPr>
              <w:tabs>
                <w:tab w:val="right" w:pos="1020"/>
              </w:tabs>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2015/16</w:t>
            </w:r>
          </w:p>
        </w:tc>
        <w:tc>
          <w:tcPr>
            <w:tcW w:w="1411" w:type="dxa"/>
            <w:tcBorders>
              <w:top w:val="single" w:sz="4" w:space="0" w:color="auto"/>
              <w:left w:val="nil"/>
              <w:bottom w:val="single" w:sz="4" w:space="0" w:color="auto"/>
              <w:right w:val="single" w:sz="4" w:space="0" w:color="auto"/>
            </w:tcBorders>
          </w:tcPr>
          <w:p w14:paraId="325A2EBC" w14:textId="77777777" w:rsidR="006563EE" w:rsidRDefault="006563EE" w:rsidP="00380ED2">
            <w:pPr>
              <w:tabs>
                <w:tab w:val="right" w:pos="1020"/>
              </w:tabs>
              <w:spacing w:line="276" w:lineRule="auto"/>
              <w:jc w:val="right"/>
              <w:rPr>
                <w:rFonts w:ascii="Titillium" w:eastAsia="Times New Roman" w:hAnsi="Titillium" w:cs="Arial"/>
                <w:b/>
                <w:color w:val="003366"/>
                <w:sz w:val="22"/>
                <w:szCs w:val="22"/>
                <w:lang w:val="en-GB" w:eastAsia="en-GB"/>
              </w:rPr>
            </w:pPr>
            <w:r>
              <w:rPr>
                <w:rFonts w:ascii="Titillium" w:eastAsia="Times New Roman" w:hAnsi="Titillium" w:cs="Arial"/>
                <w:b/>
                <w:color w:val="003366"/>
                <w:sz w:val="22"/>
                <w:szCs w:val="22"/>
                <w:lang w:val="en-GB" w:eastAsia="en-GB"/>
              </w:rPr>
              <w:t>2016/17</w:t>
            </w:r>
          </w:p>
        </w:tc>
      </w:tr>
      <w:tr w:rsidR="00380ED2" w:rsidRPr="00C726BF" w14:paraId="1F952767" w14:textId="77777777" w:rsidTr="00916C65">
        <w:trPr>
          <w:trHeight w:val="340"/>
        </w:trPr>
        <w:tc>
          <w:tcPr>
            <w:tcW w:w="2212" w:type="dxa"/>
            <w:tcBorders>
              <w:top w:val="single" w:sz="4" w:space="0" w:color="auto"/>
              <w:left w:val="single" w:sz="4" w:space="0" w:color="auto"/>
              <w:bottom w:val="nil"/>
              <w:right w:val="nil"/>
            </w:tcBorders>
            <w:shd w:val="clear" w:color="auto" w:fill="auto"/>
            <w:noWrap/>
            <w:vAlign w:val="bottom"/>
          </w:tcPr>
          <w:p w14:paraId="7E484064" w14:textId="77777777" w:rsidR="00380ED2" w:rsidRPr="00380ED2" w:rsidRDefault="00380ED2" w:rsidP="00380ED2">
            <w:pPr>
              <w:tabs>
                <w:tab w:val="right" w:pos="975"/>
              </w:tabs>
              <w:rPr>
                <w:rFonts w:ascii="Titillium" w:eastAsia="Times New Roman" w:hAnsi="Titillium"/>
                <w:color w:val="000000"/>
                <w:sz w:val="22"/>
                <w:szCs w:val="22"/>
                <w:lang w:val="en-GB" w:eastAsia="en-GB"/>
              </w:rPr>
            </w:pPr>
            <w:r w:rsidRPr="00380ED2">
              <w:rPr>
                <w:rFonts w:ascii="Titillium" w:eastAsia="Times New Roman" w:hAnsi="Titillium"/>
                <w:color w:val="000000"/>
                <w:sz w:val="22"/>
                <w:szCs w:val="22"/>
                <w:lang w:val="en-GB" w:eastAsia="en-GB"/>
              </w:rPr>
              <w:t>0</w:t>
            </w:r>
          </w:p>
        </w:tc>
        <w:tc>
          <w:tcPr>
            <w:tcW w:w="1411" w:type="dxa"/>
            <w:tcBorders>
              <w:top w:val="single" w:sz="4" w:space="0" w:color="auto"/>
              <w:left w:val="nil"/>
              <w:bottom w:val="nil"/>
              <w:right w:val="nil"/>
            </w:tcBorders>
            <w:vAlign w:val="bottom"/>
          </w:tcPr>
          <w:p w14:paraId="34DB48BF" w14:textId="4B20930A"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2,231</w:t>
            </w:r>
          </w:p>
        </w:tc>
        <w:tc>
          <w:tcPr>
            <w:tcW w:w="1411" w:type="dxa"/>
            <w:tcBorders>
              <w:top w:val="single" w:sz="4" w:space="0" w:color="auto"/>
              <w:left w:val="nil"/>
              <w:bottom w:val="nil"/>
              <w:right w:val="nil"/>
            </w:tcBorders>
            <w:vAlign w:val="bottom"/>
          </w:tcPr>
          <w:p w14:paraId="5B828A25" w14:textId="6D07AE6E"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1,861</w:t>
            </w:r>
          </w:p>
        </w:tc>
        <w:tc>
          <w:tcPr>
            <w:tcW w:w="1417" w:type="dxa"/>
            <w:tcBorders>
              <w:top w:val="single" w:sz="4" w:space="0" w:color="auto"/>
              <w:left w:val="nil"/>
              <w:bottom w:val="nil"/>
              <w:right w:val="nil"/>
            </w:tcBorders>
            <w:shd w:val="clear" w:color="auto" w:fill="auto"/>
            <w:noWrap/>
            <w:vAlign w:val="bottom"/>
          </w:tcPr>
          <w:p w14:paraId="39FAA793" w14:textId="5ABBB289"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2,298</w:t>
            </w:r>
          </w:p>
        </w:tc>
        <w:tc>
          <w:tcPr>
            <w:tcW w:w="1434" w:type="dxa"/>
            <w:tcBorders>
              <w:top w:val="single" w:sz="4" w:space="0" w:color="auto"/>
              <w:left w:val="nil"/>
              <w:bottom w:val="nil"/>
              <w:right w:val="nil"/>
            </w:tcBorders>
            <w:shd w:val="clear" w:color="auto" w:fill="auto"/>
            <w:noWrap/>
            <w:vAlign w:val="bottom"/>
          </w:tcPr>
          <w:p w14:paraId="5FFB8F16" w14:textId="1C6BADF3"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2,234</w:t>
            </w:r>
          </w:p>
        </w:tc>
        <w:tc>
          <w:tcPr>
            <w:tcW w:w="1411" w:type="dxa"/>
            <w:tcBorders>
              <w:top w:val="single" w:sz="4" w:space="0" w:color="auto"/>
              <w:left w:val="nil"/>
              <w:bottom w:val="nil"/>
              <w:right w:val="single" w:sz="4" w:space="0" w:color="auto"/>
            </w:tcBorders>
            <w:vAlign w:val="bottom"/>
          </w:tcPr>
          <w:p w14:paraId="50AD3348" w14:textId="1EFA6DF3"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2,266</w:t>
            </w:r>
          </w:p>
        </w:tc>
      </w:tr>
      <w:tr w:rsidR="00380ED2" w:rsidRPr="00C726BF" w14:paraId="3D06B8C2"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38155084" w14:textId="77777777" w:rsidR="00380ED2" w:rsidRPr="00380ED2" w:rsidRDefault="00380ED2" w:rsidP="00380ED2">
            <w:pPr>
              <w:tabs>
                <w:tab w:val="right" w:pos="975"/>
              </w:tabs>
              <w:rPr>
                <w:rFonts w:ascii="Titillium" w:eastAsia="Times New Roman" w:hAnsi="Titillium"/>
                <w:color w:val="000000"/>
                <w:sz w:val="22"/>
                <w:szCs w:val="22"/>
                <w:lang w:val="en-GB" w:eastAsia="en-GB"/>
              </w:rPr>
            </w:pPr>
            <w:r w:rsidRPr="00380ED2">
              <w:rPr>
                <w:rFonts w:ascii="Titillium" w:eastAsia="Times New Roman" w:hAnsi="Titillium"/>
                <w:color w:val="000000"/>
                <w:sz w:val="22"/>
                <w:szCs w:val="22"/>
                <w:lang w:val="en-GB" w:eastAsia="en-GB"/>
              </w:rPr>
              <w:t>1</w:t>
            </w:r>
          </w:p>
        </w:tc>
        <w:tc>
          <w:tcPr>
            <w:tcW w:w="1411" w:type="dxa"/>
            <w:tcBorders>
              <w:top w:val="nil"/>
              <w:left w:val="nil"/>
              <w:bottom w:val="nil"/>
              <w:right w:val="nil"/>
            </w:tcBorders>
            <w:vAlign w:val="bottom"/>
          </w:tcPr>
          <w:p w14:paraId="24BEB757" w14:textId="3BB5B3E2"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473</w:t>
            </w:r>
          </w:p>
        </w:tc>
        <w:tc>
          <w:tcPr>
            <w:tcW w:w="1411" w:type="dxa"/>
            <w:tcBorders>
              <w:top w:val="nil"/>
              <w:left w:val="nil"/>
              <w:bottom w:val="nil"/>
              <w:right w:val="nil"/>
            </w:tcBorders>
            <w:vAlign w:val="bottom"/>
          </w:tcPr>
          <w:p w14:paraId="438C40D9" w14:textId="48D9F7E3"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391</w:t>
            </w:r>
          </w:p>
        </w:tc>
        <w:tc>
          <w:tcPr>
            <w:tcW w:w="1417" w:type="dxa"/>
            <w:tcBorders>
              <w:top w:val="nil"/>
              <w:left w:val="nil"/>
              <w:bottom w:val="nil"/>
              <w:right w:val="nil"/>
            </w:tcBorders>
            <w:shd w:val="clear" w:color="auto" w:fill="auto"/>
            <w:noWrap/>
            <w:vAlign w:val="bottom"/>
          </w:tcPr>
          <w:p w14:paraId="76A0A02B" w14:textId="6DBD2648"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440</w:t>
            </w:r>
          </w:p>
        </w:tc>
        <w:tc>
          <w:tcPr>
            <w:tcW w:w="1434" w:type="dxa"/>
            <w:tcBorders>
              <w:top w:val="nil"/>
              <w:left w:val="nil"/>
              <w:bottom w:val="nil"/>
              <w:right w:val="nil"/>
            </w:tcBorders>
            <w:shd w:val="clear" w:color="auto" w:fill="auto"/>
            <w:noWrap/>
            <w:vAlign w:val="bottom"/>
          </w:tcPr>
          <w:p w14:paraId="0B2D7B93" w14:textId="69FCFFE4"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455</w:t>
            </w:r>
          </w:p>
        </w:tc>
        <w:tc>
          <w:tcPr>
            <w:tcW w:w="1411" w:type="dxa"/>
            <w:tcBorders>
              <w:top w:val="nil"/>
              <w:left w:val="nil"/>
              <w:bottom w:val="nil"/>
              <w:right w:val="single" w:sz="4" w:space="0" w:color="auto"/>
            </w:tcBorders>
            <w:vAlign w:val="bottom"/>
          </w:tcPr>
          <w:p w14:paraId="6AEA63E2" w14:textId="4A3644CE"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505</w:t>
            </w:r>
          </w:p>
        </w:tc>
      </w:tr>
      <w:tr w:rsidR="00380ED2" w:rsidRPr="00C726BF" w14:paraId="5C2AC35B"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45EAB46E" w14:textId="77777777" w:rsidR="00380ED2" w:rsidRPr="00380ED2" w:rsidRDefault="00380ED2" w:rsidP="00380ED2">
            <w:pPr>
              <w:tabs>
                <w:tab w:val="right" w:pos="975"/>
              </w:tabs>
              <w:rPr>
                <w:rFonts w:ascii="Titillium" w:eastAsia="Times New Roman" w:hAnsi="Titillium"/>
                <w:color w:val="000000"/>
                <w:sz w:val="22"/>
                <w:szCs w:val="22"/>
                <w:lang w:val="en-GB" w:eastAsia="en-GB"/>
              </w:rPr>
            </w:pPr>
            <w:r w:rsidRPr="00380ED2">
              <w:rPr>
                <w:rFonts w:ascii="Titillium" w:eastAsia="Times New Roman" w:hAnsi="Titillium"/>
                <w:color w:val="000000"/>
                <w:sz w:val="22"/>
                <w:szCs w:val="22"/>
                <w:lang w:val="en-GB" w:eastAsia="en-GB"/>
              </w:rPr>
              <w:t>2</w:t>
            </w:r>
          </w:p>
        </w:tc>
        <w:tc>
          <w:tcPr>
            <w:tcW w:w="1411" w:type="dxa"/>
            <w:tcBorders>
              <w:top w:val="nil"/>
              <w:left w:val="nil"/>
              <w:bottom w:val="nil"/>
              <w:right w:val="nil"/>
            </w:tcBorders>
            <w:vAlign w:val="bottom"/>
          </w:tcPr>
          <w:p w14:paraId="5818C483" w14:textId="44C2C95B"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66</w:t>
            </w:r>
          </w:p>
        </w:tc>
        <w:tc>
          <w:tcPr>
            <w:tcW w:w="1411" w:type="dxa"/>
            <w:tcBorders>
              <w:top w:val="nil"/>
              <w:left w:val="nil"/>
              <w:bottom w:val="nil"/>
              <w:right w:val="nil"/>
            </w:tcBorders>
            <w:vAlign w:val="bottom"/>
          </w:tcPr>
          <w:p w14:paraId="4937CCA7" w14:textId="69D91A7C"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76</w:t>
            </w:r>
          </w:p>
        </w:tc>
        <w:tc>
          <w:tcPr>
            <w:tcW w:w="1417" w:type="dxa"/>
            <w:tcBorders>
              <w:top w:val="nil"/>
              <w:left w:val="nil"/>
              <w:bottom w:val="nil"/>
              <w:right w:val="nil"/>
            </w:tcBorders>
            <w:shd w:val="clear" w:color="auto" w:fill="auto"/>
            <w:noWrap/>
            <w:vAlign w:val="bottom"/>
          </w:tcPr>
          <w:p w14:paraId="7CB2EE31" w14:textId="0C72834F"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70</w:t>
            </w:r>
          </w:p>
        </w:tc>
        <w:tc>
          <w:tcPr>
            <w:tcW w:w="1434" w:type="dxa"/>
            <w:tcBorders>
              <w:top w:val="nil"/>
              <w:left w:val="nil"/>
              <w:bottom w:val="nil"/>
              <w:right w:val="nil"/>
            </w:tcBorders>
            <w:shd w:val="clear" w:color="auto" w:fill="auto"/>
            <w:noWrap/>
            <w:vAlign w:val="bottom"/>
          </w:tcPr>
          <w:p w14:paraId="7768D199" w14:textId="29F1CC02"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87</w:t>
            </w:r>
          </w:p>
        </w:tc>
        <w:tc>
          <w:tcPr>
            <w:tcW w:w="1411" w:type="dxa"/>
            <w:tcBorders>
              <w:top w:val="nil"/>
              <w:left w:val="nil"/>
              <w:bottom w:val="nil"/>
              <w:right w:val="single" w:sz="4" w:space="0" w:color="auto"/>
            </w:tcBorders>
            <w:vAlign w:val="bottom"/>
          </w:tcPr>
          <w:p w14:paraId="0B3DC7E8" w14:textId="4AB62F02"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92</w:t>
            </w:r>
          </w:p>
        </w:tc>
      </w:tr>
      <w:tr w:rsidR="00380ED2" w:rsidRPr="00C726BF" w14:paraId="6DAA4439"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6F955D1C" w14:textId="77777777" w:rsidR="00380ED2" w:rsidRPr="00380ED2" w:rsidRDefault="00380ED2" w:rsidP="00380ED2">
            <w:pPr>
              <w:tabs>
                <w:tab w:val="right" w:pos="975"/>
              </w:tabs>
              <w:rPr>
                <w:rFonts w:ascii="Titillium" w:eastAsia="Times New Roman" w:hAnsi="Titillium"/>
                <w:color w:val="000000"/>
                <w:sz w:val="22"/>
                <w:szCs w:val="22"/>
                <w:lang w:val="en-GB" w:eastAsia="en-GB"/>
              </w:rPr>
            </w:pPr>
            <w:r w:rsidRPr="00380ED2">
              <w:rPr>
                <w:rFonts w:ascii="Titillium" w:eastAsia="Times New Roman" w:hAnsi="Titillium"/>
                <w:color w:val="000000"/>
                <w:sz w:val="22"/>
                <w:szCs w:val="22"/>
                <w:lang w:val="en-GB" w:eastAsia="en-GB"/>
              </w:rPr>
              <w:t>3</w:t>
            </w:r>
          </w:p>
        </w:tc>
        <w:tc>
          <w:tcPr>
            <w:tcW w:w="1411" w:type="dxa"/>
            <w:tcBorders>
              <w:top w:val="nil"/>
              <w:left w:val="nil"/>
              <w:bottom w:val="nil"/>
              <w:right w:val="nil"/>
            </w:tcBorders>
            <w:vAlign w:val="bottom"/>
          </w:tcPr>
          <w:p w14:paraId="50220052" w14:textId="7FB3833E"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5</w:t>
            </w:r>
          </w:p>
        </w:tc>
        <w:tc>
          <w:tcPr>
            <w:tcW w:w="1411" w:type="dxa"/>
            <w:tcBorders>
              <w:top w:val="nil"/>
              <w:left w:val="nil"/>
              <w:bottom w:val="nil"/>
              <w:right w:val="nil"/>
            </w:tcBorders>
            <w:vAlign w:val="bottom"/>
          </w:tcPr>
          <w:p w14:paraId="43731B16" w14:textId="3174D340"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4</w:t>
            </w:r>
          </w:p>
        </w:tc>
        <w:tc>
          <w:tcPr>
            <w:tcW w:w="1417" w:type="dxa"/>
            <w:tcBorders>
              <w:top w:val="nil"/>
              <w:left w:val="nil"/>
              <w:bottom w:val="nil"/>
              <w:right w:val="nil"/>
            </w:tcBorders>
            <w:shd w:val="clear" w:color="auto" w:fill="auto"/>
            <w:noWrap/>
            <w:vAlign w:val="bottom"/>
          </w:tcPr>
          <w:p w14:paraId="31E2F7E8" w14:textId="20241796"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9</w:t>
            </w:r>
          </w:p>
        </w:tc>
        <w:tc>
          <w:tcPr>
            <w:tcW w:w="1434" w:type="dxa"/>
            <w:tcBorders>
              <w:top w:val="nil"/>
              <w:left w:val="nil"/>
              <w:bottom w:val="nil"/>
              <w:right w:val="nil"/>
            </w:tcBorders>
            <w:shd w:val="clear" w:color="auto" w:fill="auto"/>
            <w:noWrap/>
            <w:vAlign w:val="bottom"/>
          </w:tcPr>
          <w:p w14:paraId="6B4D3BBF" w14:textId="3C2C3E12"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10</w:t>
            </w:r>
          </w:p>
        </w:tc>
        <w:tc>
          <w:tcPr>
            <w:tcW w:w="1411" w:type="dxa"/>
            <w:tcBorders>
              <w:top w:val="nil"/>
              <w:left w:val="nil"/>
              <w:bottom w:val="nil"/>
              <w:right w:val="single" w:sz="4" w:space="0" w:color="auto"/>
            </w:tcBorders>
            <w:vAlign w:val="bottom"/>
          </w:tcPr>
          <w:p w14:paraId="0CF9FEA2" w14:textId="2ACE62EF"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380ED2">
              <w:rPr>
                <w:rFonts w:ascii="Titillium" w:hAnsi="Titillium"/>
                <w:color w:val="000000"/>
                <w:sz w:val="22"/>
                <w:szCs w:val="22"/>
              </w:rPr>
              <w:t>8</w:t>
            </w:r>
          </w:p>
        </w:tc>
      </w:tr>
      <w:tr w:rsidR="00380ED2" w:rsidRPr="00C726BF" w14:paraId="50BD061C"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38082177" w14:textId="77777777" w:rsidR="00380ED2" w:rsidRPr="00380ED2" w:rsidRDefault="00380ED2" w:rsidP="00380ED2">
            <w:pPr>
              <w:tabs>
                <w:tab w:val="right" w:pos="975"/>
              </w:tabs>
              <w:rPr>
                <w:rFonts w:ascii="Titillium" w:eastAsia="Times New Roman" w:hAnsi="Titillium"/>
                <w:color w:val="000000"/>
                <w:sz w:val="22"/>
                <w:szCs w:val="22"/>
                <w:lang w:val="en-GB" w:eastAsia="en-GB"/>
              </w:rPr>
            </w:pPr>
            <w:r w:rsidRPr="00380ED2">
              <w:rPr>
                <w:rFonts w:ascii="Titillium" w:eastAsia="Times New Roman" w:hAnsi="Titillium"/>
                <w:color w:val="000000"/>
                <w:sz w:val="22"/>
                <w:szCs w:val="22"/>
                <w:lang w:val="en-GB" w:eastAsia="en-GB"/>
              </w:rPr>
              <w:t>4</w:t>
            </w:r>
          </w:p>
        </w:tc>
        <w:tc>
          <w:tcPr>
            <w:tcW w:w="1411" w:type="dxa"/>
            <w:tcBorders>
              <w:top w:val="nil"/>
              <w:left w:val="nil"/>
              <w:bottom w:val="nil"/>
              <w:right w:val="nil"/>
            </w:tcBorders>
            <w:vAlign w:val="bottom"/>
          </w:tcPr>
          <w:p w14:paraId="2AF8954B" w14:textId="24BEE3E7"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380ED2">
              <w:rPr>
                <w:rFonts w:ascii="Titillium" w:eastAsia="Times New Roman" w:hAnsi="Titillium"/>
                <w:color w:val="000000"/>
                <w:sz w:val="22"/>
                <w:szCs w:val="22"/>
                <w:lang w:val="en-GB" w:eastAsia="en-GB"/>
              </w:rPr>
              <w:t>0</w:t>
            </w:r>
          </w:p>
        </w:tc>
        <w:tc>
          <w:tcPr>
            <w:tcW w:w="1411" w:type="dxa"/>
            <w:tcBorders>
              <w:top w:val="nil"/>
              <w:left w:val="nil"/>
              <w:bottom w:val="nil"/>
              <w:right w:val="nil"/>
            </w:tcBorders>
            <w:vAlign w:val="bottom"/>
          </w:tcPr>
          <w:p w14:paraId="1D842787" w14:textId="52340A1D"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380ED2">
              <w:rPr>
                <w:rFonts w:ascii="Titillium" w:eastAsia="Times New Roman" w:hAnsi="Titillium"/>
                <w:color w:val="000000"/>
                <w:sz w:val="22"/>
                <w:szCs w:val="22"/>
                <w:lang w:val="en-GB" w:eastAsia="en-GB"/>
              </w:rPr>
              <w:t>0</w:t>
            </w:r>
          </w:p>
        </w:tc>
        <w:tc>
          <w:tcPr>
            <w:tcW w:w="1417" w:type="dxa"/>
            <w:tcBorders>
              <w:top w:val="nil"/>
              <w:left w:val="nil"/>
              <w:bottom w:val="nil"/>
              <w:right w:val="nil"/>
            </w:tcBorders>
            <w:shd w:val="clear" w:color="auto" w:fill="auto"/>
            <w:noWrap/>
            <w:vAlign w:val="bottom"/>
          </w:tcPr>
          <w:p w14:paraId="71ED323E" w14:textId="23A99D93"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380ED2">
              <w:rPr>
                <w:rFonts w:ascii="Titillium" w:eastAsia="Times New Roman" w:hAnsi="Titillium"/>
                <w:color w:val="000000"/>
                <w:sz w:val="22"/>
                <w:szCs w:val="22"/>
                <w:lang w:val="en-GB" w:eastAsia="en-GB"/>
              </w:rPr>
              <w:t>0</w:t>
            </w:r>
          </w:p>
        </w:tc>
        <w:tc>
          <w:tcPr>
            <w:tcW w:w="1434" w:type="dxa"/>
            <w:tcBorders>
              <w:top w:val="nil"/>
              <w:left w:val="nil"/>
              <w:bottom w:val="nil"/>
              <w:right w:val="nil"/>
            </w:tcBorders>
            <w:shd w:val="clear" w:color="auto" w:fill="auto"/>
            <w:noWrap/>
            <w:vAlign w:val="bottom"/>
          </w:tcPr>
          <w:p w14:paraId="33AD6A50" w14:textId="08560E1C" w:rsidR="00380ED2" w:rsidRPr="00380ED2" w:rsidRDefault="00380ED2" w:rsidP="00380ED2">
            <w:pPr>
              <w:tabs>
                <w:tab w:val="right" w:pos="975"/>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380ED2">
              <w:rPr>
                <w:rFonts w:ascii="Titillium" w:eastAsia="Times New Roman" w:hAnsi="Titillium"/>
                <w:color w:val="000000"/>
                <w:sz w:val="22"/>
                <w:szCs w:val="22"/>
                <w:lang w:val="en-GB" w:eastAsia="en-GB"/>
              </w:rPr>
              <w:t>0</w:t>
            </w:r>
          </w:p>
        </w:tc>
        <w:tc>
          <w:tcPr>
            <w:tcW w:w="1411" w:type="dxa"/>
            <w:tcBorders>
              <w:top w:val="nil"/>
              <w:left w:val="nil"/>
              <w:bottom w:val="nil"/>
              <w:right w:val="single" w:sz="4" w:space="0" w:color="auto"/>
            </w:tcBorders>
            <w:vAlign w:val="bottom"/>
          </w:tcPr>
          <w:p w14:paraId="1ED44739" w14:textId="342C83F0" w:rsidR="00380ED2" w:rsidRPr="00380ED2" w:rsidRDefault="00380ED2" w:rsidP="00380ED2">
            <w:pPr>
              <w:tabs>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r>
            <w:r w:rsidRPr="00380ED2">
              <w:rPr>
                <w:rFonts w:ascii="Titillium" w:eastAsia="Times New Roman" w:hAnsi="Titillium"/>
                <w:color w:val="000000"/>
                <w:sz w:val="22"/>
                <w:szCs w:val="22"/>
                <w:lang w:val="en-GB" w:eastAsia="en-GB"/>
              </w:rPr>
              <w:t>0</w:t>
            </w:r>
          </w:p>
        </w:tc>
      </w:tr>
      <w:tr w:rsidR="00380ED2" w:rsidRPr="00C726BF" w14:paraId="6844BD69" w14:textId="77777777" w:rsidTr="00916C65">
        <w:trPr>
          <w:trHeight w:val="340"/>
        </w:trPr>
        <w:tc>
          <w:tcPr>
            <w:tcW w:w="2212" w:type="dxa"/>
            <w:tcBorders>
              <w:top w:val="nil"/>
              <w:left w:val="single" w:sz="4" w:space="0" w:color="auto"/>
              <w:bottom w:val="single" w:sz="4" w:space="0" w:color="auto"/>
              <w:right w:val="nil"/>
            </w:tcBorders>
            <w:shd w:val="clear" w:color="auto" w:fill="auto"/>
            <w:noWrap/>
            <w:vAlign w:val="bottom"/>
            <w:hideMark/>
          </w:tcPr>
          <w:p w14:paraId="7EA0470B" w14:textId="77777777" w:rsidR="00380ED2" w:rsidRPr="00380ED2" w:rsidRDefault="00380ED2" w:rsidP="00380ED2">
            <w:pPr>
              <w:jc w:val="both"/>
              <w:rPr>
                <w:rFonts w:ascii="Titillium" w:eastAsia="Times New Roman" w:hAnsi="Titillium" w:cs="Arial"/>
                <w:b/>
                <w:sz w:val="22"/>
                <w:szCs w:val="22"/>
                <w:lang w:val="en-GB"/>
              </w:rPr>
            </w:pPr>
            <w:r w:rsidRPr="00380ED2">
              <w:rPr>
                <w:rFonts w:ascii="Titillium" w:eastAsia="Times New Roman" w:hAnsi="Titillium" w:cs="Arial"/>
                <w:b/>
                <w:sz w:val="22"/>
                <w:szCs w:val="22"/>
                <w:lang w:val="en-GB"/>
              </w:rPr>
              <w:t>%1 or more WP flags</w:t>
            </w:r>
          </w:p>
        </w:tc>
        <w:tc>
          <w:tcPr>
            <w:tcW w:w="1411" w:type="dxa"/>
            <w:tcBorders>
              <w:top w:val="nil"/>
              <w:left w:val="nil"/>
              <w:bottom w:val="single" w:sz="4" w:space="0" w:color="auto"/>
              <w:right w:val="nil"/>
            </w:tcBorders>
            <w:vAlign w:val="bottom"/>
          </w:tcPr>
          <w:p w14:paraId="65D28042" w14:textId="4A39CA7E" w:rsidR="00380ED2" w:rsidRPr="00380ED2" w:rsidRDefault="00380ED2" w:rsidP="00380ED2">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380ED2">
              <w:rPr>
                <w:rFonts w:ascii="Titillium" w:hAnsi="Titillium"/>
                <w:b/>
                <w:bCs/>
                <w:sz w:val="22"/>
                <w:szCs w:val="22"/>
              </w:rPr>
              <w:t>19.60%</w:t>
            </w:r>
          </w:p>
        </w:tc>
        <w:tc>
          <w:tcPr>
            <w:tcW w:w="1411" w:type="dxa"/>
            <w:tcBorders>
              <w:top w:val="nil"/>
              <w:left w:val="nil"/>
              <w:bottom w:val="single" w:sz="4" w:space="0" w:color="auto"/>
              <w:right w:val="nil"/>
            </w:tcBorders>
            <w:vAlign w:val="bottom"/>
          </w:tcPr>
          <w:p w14:paraId="578F4934" w14:textId="261A18BE" w:rsidR="00380ED2" w:rsidRPr="00380ED2" w:rsidRDefault="00380ED2" w:rsidP="00380ED2">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380ED2">
              <w:rPr>
                <w:rFonts w:ascii="Titillium" w:hAnsi="Titillium"/>
                <w:b/>
                <w:bCs/>
                <w:sz w:val="22"/>
                <w:szCs w:val="22"/>
              </w:rPr>
              <w:t>20.20%</w:t>
            </w:r>
          </w:p>
        </w:tc>
        <w:tc>
          <w:tcPr>
            <w:tcW w:w="1417" w:type="dxa"/>
            <w:tcBorders>
              <w:top w:val="nil"/>
              <w:left w:val="nil"/>
              <w:bottom w:val="single" w:sz="4" w:space="0" w:color="auto"/>
              <w:right w:val="nil"/>
            </w:tcBorders>
            <w:shd w:val="clear" w:color="auto" w:fill="auto"/>
            <w:noWrap/>
            <w:vAlign w:val="bottom"/>
          </w:tcPr>
          <w:p w14:paraId="2EF838F1" w14:textId="3D0EE034" w:rsidR="00380ED2" w:rsidRPr="00380ED2" w:rsidRDefault="00380ED2" w:rsidP="00380ED2">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380ED2">
              <w:rPr>
                <w:rFonts w:ascii="Titillium" w:hAnsi="Titillium"/>
                <w:b/>
                <w:bCs/>
                <w:sz w:val="22"/>
                <w:szCs w:val="22"/>
              </w:rPr>
              <w:t>18.42%</w:t>
            </w:r>
          </w:p>
        </w:tc>
        <w:tc>
          <w:tcPr>
            <w:tcW w:w="1434" w:type="dxa"/>
            <w:tcBorders>
              <w:top w:val="nil"/>
              <w:left w:val="nil"/>
              <w:bottom w:val="single" w:sz="4" w:space="0" w:color="auto"/>
              <w:right w:val="nil"/>
            </w:tcBorders>
            <w:shd w:val="clear" w:color="auto" w:fill="auto"/>
            <w:noWrap/>
            <w:vAlign w:val="bottom"/>
          </w:tcPr>
          <w:p w14:paraId="03AD425B" w14:textId="68680C48" w:rsidR="00380ED2" w:rsidRPr="00380ED2" w:rsidRDefault="00380ED2" w:rsidP="00380ED2">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380ED2">
              <w:rPr>
                <w:rFonts w:ascii="Titillium" w:hAnsi="Titillium"/>
                <w:b/>
                <w:bCs/>
                <w:sz w:val="22"/>
                <w:szCs w:val="22"/>
              </w:rPr>
              <w:t>19.81%</w:t>
            </w:r>
          </w:p>
        </w:tc>
        <w:tc>
          <w:tcPr>
            <w:tcW w:w="1411" w:type="dxa"/>
            <w:tcBorders>
              <w:top w:val="nil"/>
              <w:left w:val="nil"/>
              <w:bottom w:val="single" w:sz="4" w:space="0" w:color="auto"/>
              <w:right w:val="single" w:sz="4" w:space="0" w:color="auto"/>
            </w:tcBorders>
            <w:vAlign w:val="bottom"/>
          </w:tcPr>
          <w:p w14:paraId="28D75781" w14:textId="7AAC0443" w:rsidR="00380ED2" w:rsidRPr="00380ED2" w:rsidRDefault="00380ED2" w:rsidP="00380ED2">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380ED2">
              <w:rPr>
                <w:rFonts w:ascii="Titillium" w:hAnsi="Titillium"/>
                <w:b/>
                <w:bCs/>
                <w:sz w:val="22"/>
                <w:szCs w:val="22"/>
              </w:rPr>
              <w:t>21.07%</w:t>
            </w:r>
          </w:p>
        </w:tc>
      </w:tr>
    </w:tbl>
    <w:p w14:paraId="30236546" w14:textId="77777777" w:rsidR="006563EE" w:rsidRPr="006563EE" w:rsidRDefault="006563EE" w:rsidP="006563EE">
      <w:pPr>
        <w:rPr>
          <w:rFonts w:ascii="Titillium" w:hAnsi="Titillium"/>
          <w:b/>
          <w:sz w:val="22"/>
          <w:szCs w:val="22"/>
        </w:rPr>
      </w:pPr>
    </w:p>
    <w:p w14:paraId="0333A99F" w14:textId="30F14D68" w:rsidR="00666076" w:rsidRPr="00666076" w:rsidRDefault="00112E2E" w:rsidP="00666076">
      <w:pPr>
        <w:rPr>
          <w:rFonts w:ascii="Titillium" w:hAnsi="Titillium"/>
          <w:b/>
          <w:color w:val="003366"/>
          <w:lang w:val="en-GB"/>
        </w:rPr>
      </w:pPr>
      <w:r>
        <w:rPr>
          <w:rFonts w:ascii="Titillium" w:hAnsi="Titillium"/>
          <w:b/>
          <w:color w:val="003366"/>
          <w:lang w:val="en-GB"/>
        </w:rPr>
        <w:t>Table D4</w:t>
      </w:r>
      <w:r>
        <w:rPr>
          <w:rFonts w:ascii="Titillium" w:hAnsi="Titillium"/>
          <w:b/>
          <w:color w:val="003366"/>
          <w:lang w:val="en-GB"/>
        </w:rPr>
        <w:tab/>
      </w:r>
      <w:r w:rsidR="00666076" w:rsidRPr="00666076">
        <w:rPr>
          <w:rFonts w:ascii="Titillium" w:hAnsi="Titillium"/>
          <w:b/>
          <w:color w:val="003366"/>
          <w:lang w:val="en-GB"/>
        </w:rPr>
        <w:t>New Entrants</w:t>
      </w:r>
    </w:p>
    <w:tbl>
      <w:tblPr>
        <w:tblW w:w="92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12"/>
        <w:gridCol w:w="1411"/>
        <w:gridCol w:w="1411"/>
        <w:gridCol w:w="1417"/>
        <w:gridCol w:w="1434"/>
        <w:gridCol w:w="1411"/>
      </w:tblGrid>
      <w:tr w:rsidR="00F74202" w:rsidRPr="0044589F" w14:paraId="6E5DC5B8" w14:textId="77777777" w:rsidTr="00916C65">
        <w:trPr>
          <w:trHeight w:val="300"/>
        </w:trPr>
        <w:tc>
          <w:tcPr>
            <w:tcW w:w="2212" w:type="dxa"/>
            <w:tcBorders>
              <w:top w:val="single" w:sz="4" w:space="0" w:color="auto"/>
              <w:left w:val="single" w:sz="4" w:space="0" w:color="auto"/>
              <w:bottom w:val="single" w:sz="4" w:space="0" w:color="auto"/>
              <w:right w:val="nil"/>
            </w:tcBorders>
            <w:shd w:val="clear" w:color="auto" w:fill="auto"/>
            <w:noWrap/>
            <w:vAlign w:val="bottom"/>
            <w:hideMark/>
          </w:tcPr>
          <w:p w14:paraId="2A5CBA39" w14:textId="77777777" w:rsidR="00F74202" w:rsidRPr="00F74202" w:rsidRDefault="00F74202" w:rsidP="00916C65">
            <w:pPr>
              <w:spacing w:line="276" w:lineRule="auto"/>
              <w:rPr>
                <w:rFonts w:ascii="Titillium" w:eastAsia="Times New Roman" w:hAnsi="Titillium" w:cs="Arial"/>
                <w:b/>
                <w:color w:val="003366"/>
                <w:sz w:val="22"/>
                <w:szCs w:val="22"/>
                <w:lang w:val="en-GB" w:eastAsia="en-GB"/>
              </w:rPr>
            </w:pPr>
            <w:r w:rsidRPr="00F74202">
              <w:rPr>
                <w:rFonts w:ascii="Titillium" w:eastAsia="Times New Roman" w:hAnsi="Titillium" w:cs="Arial"/>
                <w:b/>
                <w:color w:val="003366"/>
                <w:sz w:val="22"/>
                <w:szCs w:val="22"/>
                <w:lang w:val="en-GB" w:eastAsia="en-GB"/>
              </w:rPr>
              <w:t>Number of WP flags</w:t>
            </w:r>
          </w:p>
        </w:tc>
        <w:tc>
          <w:tcPr>
            <w:tcW w:w="1411" w:type="dxa"/>
            <w:tcBorders>
              <w:top w:val="single" w:sz="4" w:space="0" w:color="auto"/>
              <w:left w:val="nil"/>
              <w:bottom w:val="single" w:sz="4" w:space="0" w:color="auto"/>
              <w:right w:val="nil"/>
            </w:tcBorders>
          </w:tcPr>
          <w:p w14:paraId="4260D73A" w14:textId="77777777" w:rsidR="00F74202" w:rsidRPr="00F74202" w:rsidRDefault="00F74202" w:rsidP="00916C65">
            <w:pPr>
              <w:tabs>
                <w:tab w:val="right" w:pos="1020"/>
              </w:tabs>
              <w:spacing w:line="276" w:lineRule="auto"/>
              <w:jc w:val="center"/>
              <w:rPr>
                <w:rFonts w:ascii="Titillium" w:eastAsia="Times New Roman" w:hAnsi="Titillium" w:cs="Arial"/>
                <w:b/>
                <w:color w:val="003366"/>
                <w:sz w:val="22"/>
                <w:szCs w:val="22"/>
                <w:lang w:val="en-GB" w:eastAsia="en-GB"/>
              </w:rPr>
            </w:pPr>
            <w:r w:rsidRPr="00F74202">
              <w:rPr>
                <w:rFonts w:ascii="Titillium" w:eastAsia="Times New Roman" w:hAnsi="Titillium" w:cs="Arial"/>
                <w:b/>
                <w:color w:val="003366"/>
                <w:sz w:val="22"/>
                <w:szCs w:val="22"/>
                <w:lang w:val="en-GB" w:eastAsia="en-GB"/>
              </w:rPr>
              <w:t>2012/13</w:t>
            </w:r>
          </w:p>
        </w:tc>
        <w:tc>
          <w:tcPr>
            <w:tcW w:w="1411" w:type="dxa"/>
            <w:tcBorders>
              <w:top w:val="single" w:sz="4" w:space="0" w:color="auto"/>
              <w:left w:val="nil"/>
              <w:bottom w:val="single" w:sz="4" w:space="0" w:color="auto"/>
              <w:right w:val="nil"/>
            </w:tcBorders>
          </w:tcPr>
          <w:p w14:paraId="182DA098" w14:textId="77777777" w:rsidR="00F74202" w:rsidRPr="00F74202" w:rsidRDefault="00F74202" w:rsidP="00916C65">
            <w:pPr>
              <w:tabs>
                <w:tab w:val="right" w:pos="1020"/>
              </w:tabs>
              <w:spacing w:line="276" w:lineRule="auto"/>
              <w:jc w:val="right"/>
              <w:rPr>
                <w:rFonts w:ascii="Titillium" w:eastAsia="Times New Roman" w:hAnsi="Titillium" w:cs="Arial"/>
                <w:b/>
                <w:color w:val="003366"/>
                <w:sz w:val="22"/>
                <w:szCs w:val="22"/>
                <w:lang w:val="en-GB" w:eastAsia="en-GB"/>
              </w:rPr>
            </w:pPr>
            <w:r w:rsidRPr="00F74202">
              <w:rPr>
                <w:rFonts w:ascii="Titillium" w:eastAsia="Times New Roman" w:hAnsi="Titillium" w:cs="Arial"/>
                <w:b/>
                <w:color w:val="003366"/>
                <w:sz w:val="22"/>
                <w:szCs w:val="22"/>
                <w:lang w:val="en-GB" w:eastAsia="en-GB"/>
              </w:rPr>
              <w:t>2013/14</w:t>
            </w:r>
          </w:p>
        </w:tc>
        <w:tc>
          <w:tcPr>
            <w:tcW w:w="1417" w:type="dxa"/>
            <w:tcBorders>
              <w:top w:val="single" w:sz="4" w:space="0" w:color="auto"/>
              <w:left w:val="nil"/>
              <w:bottom w:val="single" w:sz="4" w:space="0" w:color="auto"/>
              <w:right w:val="nil"/>
            </w:tcBorders>
            <w:shd w:val="clear" w:color="auto" w:fill="auto"/>
            <w:noWrap/>
            <w:vAlign w:val="bottom"/>
            <w:hideMark/>
          </w:tcPr>
          <w:p w14:paraId="29769680" w14:textId="77777777" w:rsidR="00F74202" w:rsidRPr="00F74202" w:rsidRDefault="00F74202" w:rsidP="00916C65">
            <w:pPr>
              <w:tabs>
                <w:tab w:val="right" w:pos="1020"/>
              </w:tabs>
              <w:spacing w:line="276" w:lineRule="auto"/>
              <w:jc w:val="right"/>
              <w:rPr>
                <w:rFonts w:ascii="Titillium" w:eastAsia="Times New Roman" w:hAnsi="Titillium" w:cs="Arial"/>
                <w:b/>
                <w:color w:val="003366"/>
                <w:sz w:val="22"/>
                <w:szCs w:val="22"/>
                <w:lang w:val="en-GB" w:eastAsia="en-GB"/>
              </w:rPr>
            </w:pPr>
            <w:r w:rsidRPr="00F74202">
              <w:rPr>
                <w:rFonts w:ascii="Titillium" w:eastAsia="Times New Roman" w:hAnsi="Titillium" w:cs="Arial"/>
                <w:b/>
                <w:color w:val="003366"/>
                <w:sz w:val="22"/>
                <w:szCs w:val="22"/>
                <w:lang w:val="en-GB" w:eastAsia="en-GB"/>
              </w:rPr>
              <w:t>2014/15</w:t>
            </w:r>
          </w:p>
        </w:tc>
        <w:tc>
          <w:tcPr>
            <w:tcW w:w="1434" w:type="dxa"/>
            <w:tcBorders>
              <w:top w:val="single" w:sz="4" w:space="0" w:color="auto"/>
              <w:left w:val="nil"/>
              <w:bottom w:val="single" w:sz="4" w:space="0" w:color="auto"/>
              <w:right w:val="nil"/>
            </w:tcBorders>
            <w:shd w:val="clear" w:color="auto" w:fill="auto"/>
            <w:noWrap/>
            <w:vAlign w:val="bottom"/>
            <w:hideMark/>
          </w:tcPr>
          <w:p w14:paraId="45787794" w14:textId="77777777" w:rsidR="00F74202" w:rsidRPr="00F74202" w:rsidRDefault="00F74202" w:rsidP="00916C65">
            <w:pPr>
              <w:tabs>
                <w:tab w:val="right" w:pos="1020"/>
              </w:tabs>
              <w:spacing w:line="276" w:lineRule="auto"/>
              <w:jc w:val="right"/>
              <w:rPr>
                <w:rFonts w:ascii="Titillium" w:eastAsia="Times New Roman" w:hAnsi="Titillium" w:cs="Arial"/>
                <w:b/>
                <w:color w:val="003366"/>
                <w:sz w:val="22"/>
                <w:szCs w:val="22"/>
                <w:lang w:val="en-GB" w:eastAsia="en-GB"/>
              </w:rPr>
            </w:pPr>
            <w:r w:rsidRPr="00F74202">
              <w:rPr>
                <w:rFonts w:ascii="Titillium" w:eastAsia="Times New Roman" w:hAnsi="Titillium" w:cs="Arial"/>
                <w:b/>
                <w:color w:val="003366"/>
                <w:sz w:val="22"/>
                <w:szCs w:val="22"/>
                <w:lang w:val="en-GB" w:eastAsia="en-GB"/>
              </w:rPr>
              <w:t>2015/16</w:t>
            </w:r>
          </w:p>
        </w:tc>
        <w:tc>
          <w:tcPr>
            <w:tcW w:w="1411" w:type="dxa"/>
            <w:tcBorders>
              <w:top w:val="single" w:sz="4" w:space="0" w:color="auto"/>
              <w:left w:val="nil"/>
              <w:bottom w:val="single" w:sz="4" w:space="0" w:color="auto"/>
              <w:right w:val="single" w:sz="4" w:space="0" w:color="auto"/>
            </w:tcBorders>
          </w:tcPr>
          <w:p w14:paraId="399042C1" w14:textId="77777777" w:rsidR="00F74202" w:rsidRPr="00F74202" w:rsidRDefault="00F74202" w:rsidP="00916C65">
            <w:pPr>
              <w:tabs>
                <w:tab w:val="right" w:pos="1020"/>
              </w:tabs>
              <w:spacing w:line="276" w:lineRule="auto"/>
              <w:jc w:val="right"/>
              <w:rPr>
                <w:rFonts w:ascii="Titillium" w:eastAsia="Times New Roman" w:hAnsi="Titillium" w:cs="Arial"/>
                <w:b/>
                <w:color w:val="003366"/>
                <w:sz w:val="22"/>
                <w:szCs w:val="22"/>
                <w:lang w:val="en-GB" w:eastAsia="en-GB"/>
              </w:rPr>
            </w:pPr>
            <w:r w:rsidRPr="00F74202">
              <w:rPr>
                <w:rFonts w:ascii="Titillium" w:eastAsia="Times New Roman" w:hAnsi="Titillium" w:cs="Arial"/>
                <w:b/>
                <w:color w:val="003366"/>
                <w:sz w:val="22"/>
                <w:szCs w:val="22"/>
                <w:lang w:val="en-GB" w:eastAsia="en-GB"/>
              </w:rPr>
              <w:t>2016/17</w:t>
            </w:r>
          </w:p>
        </w:tc>
      </w:tr>
      <w:tr w:rsidR="00E75003" w:rsidRPr="00C726BF" w14:paraId="3FFA7E68" w14:textId="77777777" w:rsidTr="00916C65">
        <w:trPr>
          <w:trHeight w:val="340"/>
        </w:trPr>
        <w:tc>
          <w:tcPr>
            <w:tcW w:w="2212" w:type="dxa"/>
            <w:tcBorders>
              <w:top w:val="single" w:sz="4" w:space="0" w:color="auto"/>
              <w:left w:val="single" w:sz="4" w:space="0" w:color="auto"/>
              <w:bottom w:val="nil"/>
              <w:right w:val="nil"/>
            </w:tcBorders>
            <w:shd w:val="clear" w:color="auto" w:fill="auto"/>
            <w:noWrap/>
            <w:vAlign w:val="bottom"/>
          </w:tcPr>
          <w:p w14:paraId="1E771B5B" w14:textId="77777777" w:rsidR="00E75003" w:rsidRPr="00F74202" w:rsidRDefault="00E75003" w:rsidP="00E75003">
            <w:pPr>
              <w:tabs>
                <w:tab w:val="right" w:pos="975"/>
              </w:tabs>
              <w:rPr>
                <w:rFonts w:ascii="Titillium" w:eastAsia="Times New Roman" w:hAnsi="Titillium"/>
                <w:color w:val="000000"/>
                <w:sz w:val="22"/>
                <w:szCs w:val="22"/>
                <w:lang w:val="en-GB" w:eastAsia="en-GB"/>
              </w:rPr>
            </w:pPr>
            <w:r w:rsidRPr="00F74202">
              <w:rPr>
                <w:rFonts w:ascii="Titillium" w:eastAsia="Times New Roman" w:hAnsi="Titillium"/>
                <w:color w:val="000000"/>
                <w:sz w:val="22"/>
                <w:szCs w:val="22"/>
                <w:lang w:val="en-GB" w:eastAsia="en-GB"/>
              </w:rPr>
              <w:t>0</w:t>
            </w:r>
          </w:p>
        </w:tc>
        <w:tc>
          <w:tcPr>
            <w:tcW w:w="1411" w:type="dxa"/>
            <w:tcBorders>
              <w:top w:val="single" w:sz="4" w:space="0" w:color="auto"/>
              <w:left w:val="nil"/>
              <w:bottom w:val="nil"/>
              <w:right w:val="nil"/>
            </w:tcBorders>
            <w:vAlign w:val="bottom"/>
          </w:tcPr>
          <w:p w14:paraId="5A61411B" w14:textId="349BAECB"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2,137</w:t>
            </w:r>
          </w:p>
        </w:tc>
        <w:tc>
          <w:tcPr>
            <w:tcW w:w="1411" w:type="dxa"/>
            <w:tcBorders>
              <w:top w:val="single" w:sz="4" w:space="0" w:color="auto"/>
              <w:left w:val="nil"/>
              <w:bottom w:val="nil"/>
              <w:right w:val="nil"/>
            </w:tcBorders>
            <w:vAlign w:val="bottom"/>
          </w:tcPr>
          <w:p w14:paraId="600B9AD9" w14:textId="7688B2A0"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1,763</w:t>
            </w:r>
          </w:p>
        </w:tc>
        <w:tc>
          <w:tcPr>
            <w:tcW w:w="1417" w:type="dxa"/>
            <w:tcBorders>
              <w:top w:val="single" w:sz="4" w:space="0" w:color="auto"/>
              <w:left w:val="nil"/>
              <w:bottom w:val="nil"/>
              <w:right w:val="nil"/>
            </w:tcBorders>
            <w:shd w:val="clear" w:color="auto" w:fill="auto"/>
            <w:noWrap/>
            <w:vAlign w:val="bottom"/>
          </w:tcPr>
          <w:p w14:paraId="38406234" w14:textId="3ECC82FD"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2,187</w:t>
            </w:r>
          </w:p>
        </w:tc>
        <w:tc>
          <w:tcPr>
            <w:tcW w:w="1434" w:type="dxa"/>
            <w:tcBorders>
              <w:top w:val="single" w:sz="4" w:space="0" w:color="auto"/>
              <w:left w:val="nil"/>
              <w:bottom w:val="nil"/>
              <w:right w:val="nil"/>
            </w:tcBorders>
            <w:shd w:val="clear" w:color="auto" w:fill="auto"/>
            <w:noWrap/>
            <w:vAlign w:val="bottom"/>
          </w:tcPr>
          <w:p w14:paraId="190449E6" w14:textId="4CB41075"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2,111</w:t>
            </w:r>
          </w:p>
        </w:tc>
        <w:tc>
          <w:tcPr>
            <w:tcW w:w="1411" w:type="dxa"/>
            <w:tcBorders>
              <w:top w:val="single" w:sz="4" w:space="0" w:color="auto"/>
              <w:left w:val="nil"/>
              <w:bottom w:val="nil"/>
              <w:right w:val="single" w:sz="4" w:space="0" w:color="auto"/>
            </w:tcBorders>
            <w:vAlign w:val="bottom"/>
          </w:tcPr>
          <w:p w14:paraId="5493AA56" w14:textId="214529E6"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2,1</w:t>
            </w:r>
            <w:r>
              <w:rPr>
                <w:rFonts w:ascii="Titillium" w:hAnsi="Titillium"/>
                <w:color w:val="000000"/>
                <w:sz w:val="22"/>
                <w:szCs w:val="22"/>
              </w:rPr>
              <w:t>66</w:t>
            </w:r>
          </w:p>
        </w:tc>
      </w:tr>
      <w:tr w:rsidR="00E75003" w:rsidRPr="00C726BF" w14:paraId="2AA700D2"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07D03B78" w14:textId="77777777" w:rsidR="00E75003" w:rsidRPr="00F74202" w:rsidRDefault="00E75003" w:rsidP="00E75003">
            <w:pPr>
              <w:tabs>
                <w:tab w:val="right" w:pos="975"/>
              </w:tabs>
              <w:rPr>
                <w:rFonts w:ascii="Titillium" w:eastAsia="Times New Roman" w:hAnsi="Titillium"/>
                <w:color w:val="000000"/>
                <w:sz w:val="22"/>
                <w:szCs w:val="22"/>
                <w:lang w:val="en-GB" w:eastAsia="en-GB"/>
              </w:rPr>
            </w:pPr>
            <w:r w:rsidRPr="00F74202">
              <w:rPr>
                <w:rFonts w:ascii="Titillium" w:eastAsia="Times New Roman" w:hAnsi="Titillium"/>
                <w:color w:val="000000"/>
                <w:sz w:val="22"/>
                <w:szCs w:val="22"/>
                <w:lang w:val="en-GB" w:eastAsia="en-GB"/>
              </w:rPr>
              <w:t>1</w:t>
            </w:r>
          </w:p>
        </w:tc>
        <w:tc>
          <w:tcPr>
            <w:tcW w:w="1411" w:type="dxa"/>
            <w:tcBorders>
              <w:top w:val="nil"/>
              <w:left w:val="nil"/>
              <w:bottom w:val="nil"/>
              <w:right w:val="nil"/>
            </w:tcBorders>
            <w:vAlign w:val="bottom"/>
          </w:tcPr>
          <w:p w14:paraId="5A861C58" w14:textId="32E83E2F"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422</w:t>
            </w:r>
          </w:p>
        </w:tc>
        <w:tc>
          <w:tcPr>
            <w:tcW w:w="1411" w:type="dxa"/>
            <w:tcBorders>
              <w:top w:val="nil"/>
              <w:left w:val="nil"/>
              <w:bottom w:val="nil"/>
              <w:right w:val="nil"/>
            </w:tcBorders>
            <w:vAlign w:val="bottom"/>
          </w:tcPr>
          <w:p w14:paraId="65FA4D2F" w14:textId="126C66B2"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395</w:t>
            </w:r>
          </w:p>
        </w:tc>
        <w:tc>
          <w:tcPr>
            <w:tcW w:w="1417" w:type="dxa"/>
            <w:tcBorders>
              <w:top w:val="nil"/>
              <w:left w:val="nil"/>
              <w:bottom w:val="nil"/>
              <w:right w:val="nil"/>
            </w:tcBorders>
            <w:shd w:val="clear" w:color="auto" w:fill="auto"/>
            <w:noWrap/>
            <w:vAlign w:val="bottom"/>
          </w:tcPr>
          <w:p w14:paraId="4E6FEF85" w14:textId="6A6BBCD7"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445</w:t>
            </w:r>
          </w:p>
        </w:tc>
        <w:tc>
          <w:tcPr>
            <w:tcW w:w="1434" w:type="dxa"/>
            <w:tcBorders>
              <w:top w:val="nil"/>
              <w:left w:val="nil"/>
              <w:bottom w:val="nil"/>
              <w:right w:val="nil"/>
            </w:tcBorders>
            <w:shd w:val="clear" w:color="auto" w:fill="auto"/>
            <w:noWrap/>
            <w:vAlign w:val="bottom"/>
          </w:tcPr>
          <w:p w14:paraId="3744AD4A" w14:textId="0BEE0B3F"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464</w:t>
            </w:r>
          </w:p>
        </w:tc>
        <w:tc>
          <w:tcPr>
            <w:tcW w:w="1411" w:type="dxa"/>
            <w:tcBorders>
              <w:top w:val="nil"/>
              <w:left w:val="nil"/>
              <w:bottom w:val="nil"/>
              <w:right w:val="single" w:sz="4" w:space="0" w:color="auto"/>
            </w:tcBorders>
            <w:vAlign w:val="bottom"/>
          </w:tcPr>
          <w:p w14:paraId="60B8BFE8" w14:textId="4E5849F1"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4</w:t>
            </w:r>
            <w:r>
              <w:rPr>
                <w:rFonts w:ascii="Titillium" w:hAnsi="Titillium"/>
                <w:color w:val="000000"/>
                <w:sz w:val="22"/>
                <w:szCs w:val="22"/>
              </w:rPr>
              <w:t>75</w:t>
            </w:r>
          </w:p>
        </w:tc>
      </w:tr>
      <w:tr w:rsidR="00E75003" w:rsidRPr="00C726BF" w14:paraId="2B838C4C"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63D75473" w14:textId="77777777" w:rsidR="00E75003" w:rsidRPr="00F74202" w:rsidRDefault="00E75003" w:rsidP="00E75003">
            <w:pPr>
              <w:tabs>
                <w:tab w:val="right" w:pos="975"/>
              </w:tabs>
              <w:rPr>
                <w:rFonts w:ascii="Titillium" w:eastAsia="Times New Roman" w:hAnsi="Titillium"/>
                <w:color w:val="000000"/>
                <w:sz w:val="22"/>
                <w:szCs w:val="22"/>
                <w:lang w:val="en-GB" w:eastAsia="en-GB"/>
              </w:rPr>
            </w:pPr>
            <w:r w:rsidRPr="00F74202">
              <w:rPr>
                <w:rFonts w:ascii="Titillium" w:eastAsia="Times New Roman" w:hAnsi="Titillium"/>
                <w:color w:val="000000"/>
                <w:sz w:val="22"/>
                <w:szCs w:val="22"/>
                <w:lang w:val="en-GB" w:eastAsia="en-GB"/>
              </w:rPr>
              <w:t>2</w:t>
            </w:r>
          </w:p>
        </w:tc>
        <w:tc>
          <w:tcPr>
            <w:tcW w:w="1411" w:type="dxa"/>
            <w:tcBorders>
              <w:top w:val="nil"/>
              <w:left w:val="nil"/>
              <w:bottom w:val="nil"/>
              <w:right w:val="nil"/>
            </w:tcBorders>
            <w:vAlign w:val="bottom"/>
          </w:tcPr>
          <w:p w14:paraId="56CFA9A6" w14:textId="4632307A"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47</w:t>
            </w:r>
          </w:p>
        </w:tc>
        <w:tc>
          <w:tcPr>
            <w:tcW w:w="1411" w:type="dxa"/>
            <w:tcBorders>
              <w:top w:val="nil"/>
              <w:left w:val="nil"/>
              <w:bottom w:val="nil"/>
              <w:right w:val="nil"/>
            </w:tcBorders>
            <w:vAlign w:val="bottom"/>
          </w:tcPr>
          <w:p w14:paraId="77AC3864" w14:textId="0CD35CC3"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72</w:t>
            </w:r>
          </w:p>
        </w:tc>
        <w:tc>
          <w:tcPr>
            <w:tcW w:w="1417" w:type="dxa"/>
            <w:tcBorders>
              <w:top w:val="nil"/>
              <w:left w:val="nil"/>
              <w:bottom w:val="nil"/>
              <w:right w:val="nil"/>
            </w:tcBorders>
            <w:shd w:val="clear" w:color="auto" w:fill="auto"/>
            <w:noWrap/>
            <w:vAlign w:val="bottom"/>
          </w:tcPr>
          <w:p w14:paraId="24FC5488" w14:textId="7590D232"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88</w:t>
            </w:r>
          </w:p>
        </w:tc>
        <w:tc>
          <w:tcPr>
            <w:tcW w:w="1434" w:type="dxa"/>
            <w:tcBorders>
              <w:top w:val="nil"/>
              <w:left w:val="nil"/>
              <w:bottom w:val="nil"/>
              <w:right w:val="nil"/>
            </w:tcBorders>
            <w:shd w:val="clear" w:color="auto" w:fill="auto"/>
            <w:noWrap/>
            <w:vAlign w:val="bottom"/>
          </w:tcPr>
          <w:p w14:paraId="7F43B726" w14:textId="61F4676E"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64</w:t>
            </w:r>
          </w:p>
        </w:tc>
        <w:tc>
          <w:tcPr>
            <w:tcW w:w="1411" w:type="dxa"/>
            <w:tcBorders>
              <w:top w:val="nil"/>
              <w:left w:val="nil"/>
              <w:bottom w:val="nil"/>
              <w:right w:val="single" w:sz="4" w:space="0" w:color="auto"/>
            </w:tcBorders>
            <w:vAlign w:val="bottom"/>
          </w:tcPr>
          <w:p w14:paraId="63D63386" w14:textId="6C2CD2D0"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t>5</w:t>
            </w:r>
            <w:r w:rsidRPr="00F74202">
              <w:rPr>
                <w:rFonts w:ascii="Titillium" w:hAnsi="Titillium"/>
                <w:color w:val="000000"/>
                <w:sz w:val="22"/>
                <w:szCs w:val="22"/>
              </w:rPr>
              <w:t>6</w:t>
            </w:r>
          </w:p>
        </w:tc>
      </w:tr>
      <w:tr w:rsidR="00E75003" w:rsidRPr="00C726BF" w14:paraId="35BB0C4F"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70AA19AC" w14:textId="77777777" w:rsidR="00E75003" w:rsidRPr="00F74202" w:rsidRDefault="00E75003" w:rsidP="00E75003">
            <w:pPr>
              <w:tabs>
                <w:tab w:val="right" w:pos="975"/>
              </w:tabs>
              <w:rPr>
                <w:rFonts w:ascii="Titillium" w:eastAsia="Times New Roman" w:hAnsi="Titillium"/>
                <w:color w:val="000000"/>
                <w:sz w:val="22"/>
                <w:szCs w:val="22"/>
                <w:lang w:val="en-GB" w:eastAsia="en-GB"/>
              </w:rPr>
            </w:pPr>
            <w:r w:rsidRPr="00F74202">
              <w:rPr>
                <w:rFonts w:ascii="Titillium" w:eastAsia="Times New Roman" w:hAnsi="Titillium"/>
                <w:color w:val="000000"/>
                <w:sz w:val="22"/>
                <w:szCs w:val="22"/>
                <w:lang w:val="en-GB" w:eastAsia="en-GB"/>
              </w:rPr>
              <w:t>3</w:t>
            </w:r>
          </w:p>
        </w:tc>
        <w:tc>
          <w:tcPr>
            <w:tcW w:w="1411" w:type="dxa"/>
            <w:tcBorders>
              <w:top w:val="nil"/>
              <w:left w:val="nil"/>
              <w:bottom w:val="nil"/>
              <w:right w:val="nil"/>
            </w:tcBorders>
            <w:vAlign w:val="bottom"/>
          </w:tcPr>
          <w:p w14:paraId="48A7C210" w14:textId="7830DC72"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1</w:t>
            </w:r>
          </w:p>
        </w:tc>
        <w:tc>
          <w:tcPr>
            <w:tcW w:w="1411" w:type="dxa"/>
            <w:tcBorders>
              <w:top w:val="nil"/>
              <w:left w:val="nil"/>
              <w:bottom w:val="nil"/>
              <w:right w:val="nil"/>
            </w:tcBorders>
            <w:vAlign w:val="bottom"/>
          </w:tcPr>
          <w:p w14:paraId="66CCACE9" w14:textId="7FE4E88F"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5</w:t>
            </w:r>
          </w:p>
        </w:tc>
        <w:tc>
          <w:tcPr>
            <w:tcW w:w="1417" w:type="dxa"/>
            <w:tcBorders>
              <w:top w:val="nil"/>
              <w:left w:val="nil"/>
              <w:bottom w:val="nil"/>
              <w:right w:val="nil"/>
            </w:tcBorders>
            <w:shd w:val="clear" w:color="auto" w:fill="auto"/>
            <w:noWrap/>
            <w:vAlign w:val="bottom"/>
          </w:tcPr>
          <w:p w14:paraId="55126353" w14:textId="11F10A44"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1</w:t>
            </w:r>
          </w:p>
        </w:tc>
        <w:tc>
          <w:tcPr>
            <w:tcW w:w="1434" w:type="dxa"/>
            <w:tcBorders>
              <w:top w:val="nil"/>
              <w:left w:val="nil"/>
              <w:bottom w:val="nil"/>
              <w:right w:val="nil"/>
            </w:tcBorders>
            <w:shd w:val="clear" w:color="auto" w:fill="auto"/>
            <w:noWrap/>
            <w:vAlign w:val="bottom"/>
          </w:tcPr>
          <w:p w14:paraId="3D794A95" w14:textId="57D41069"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r>
            <w:r w:rsidRPr="00F74202">
              <w:rPr>
                <w:rFonts w:ascii="Titillium" w:hAnsi="Titillium"/>
                <w:color w:val="000000"/>
                <w:sz w:val="22"/>
                <w:szCs w:val="22"/>
              </w:rPr>
              <w:t>6</w:t>
            </w:r>
          </w:p>
        </w:tc>
        <w:tc>
          <w:tcPr>
            <w:tcW w:w="1411" w:type="dxa"/>
            <w:tcBorders>
              <w:top w:val="nil"/>
              <w:left w:val="nil"/>
              <w:bottom w:val="nil"/>
              <w:right w:val="single" w:sz="4" w:space="0" w:color="auto"/>
            </w:tcBorders>
            <w:vAlign w:val="bottom"/>
          </w:tcPr>
          <w:p w14:paraId="712F1164" w14:textId="3999B6FE"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hAnsi="Titillium"/>
                <w:color w:val="000000"/>
                <w:sz w:val="22"/>
                <w:szCs w:val="22"/>
              </w:rPr>
              <w:tab/>
              <w:t>0</w:t>
            </w:r>
          </w:p>
        </w:tc>
      </w:tr>
      <w:tr w:rsidR="00E75003" w:rsidRPr="00C726BF" w14:paraId="3151BD94" w14:textId="77777777" w:rsidTr="00916C65">
        <w:trPr>
          <w:trHeight w:val="340"/>
        </w:trPr>
        <w:tc>
          <w:tcPr>
            <w:tcW w:w="2212" w:type="dxa"/>
            <w:tcBorders>
              <w:top w:val="nil"/>
              <w:left w:val="single" w:sz="4" w:space="0" w:color="auto"/>
              <w:bottom w:val="nil"/>
              <w:right w:val="nil"/>
            </w:tcBorders>
            <w:shd w:val="clear" w:color="auto" w:fill="auto"/>
            <w:noWrap/>
            <w:vAlign w:val="bottom"/>
          </w:tcPr>
          <w:p w14:paraId="63D40A97" w14:textId="77777777" w:rsidR="00E75003" w:rsidRPr="00F74202" w:rsidRDefault="00E75003" w:rsidP="00E75003">
            <w:pPr>
              <w:tabs>
                <w:tab w:val="right" w:pos="975"/>
              </w:tabs>
              <w:rPr>
                <w:rFonts w:ascii="Titillium" w:eastAsia="Times New Roman" w:hAnsi="Titillium"/>
                <w:color w:val="000000"/>
                <w:sz w:val="22"/>
                <w:szCs w:val="22"/>
                <w:lang w:val="en-GB" w:eastAsia="en-GB"/>
              </w:rPr>
            </w:pPr>
            <w:r w:rsidRPr="00F74202">
              <w:rPr>
                <w:rFonts w:ascii="Titillium" w:eastAsia="Times New Roman" w:hAnsi="Titillium"/>
                <w:color w:val="000000"/>
                <w:sz w:val="22"/>
                <w:szCs w:val="22"/>
                <w:lang w:val="en-GB" w:eastAsia="en-GB"/>
              </w:rPr>
              <w:t>4</w:t>
            </w:r>
          </w:p>
        </w:tc>
        <w:tc>
          <w:tcPr>
            <w:tcW w:w="1411" w:type="dxa"/>
            <w:tcBorders>
              <w:top w:val="nil"/>
              <w:left w:val="nil"/>
              <w:bottom w:val="nil"/>
              <w:right w:val="nil"/>
            </w:tcBorders>
            <w:vAlign w:val="bottom"/>
          </w:tcPr>
          <w:p w14:paraId="58A71F2A" w14:textId="7D866528"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11" w:type="dxa"/>
            <w:tcBorders>
              <w:top w:val="nil"/>
              <w:left w:val="nil"/>
              <w:bottom w:val="nil"/>
              <w:right w:val="nil"/>
            </w:tcBorders>
            <w:vAlign w:val="bottom"/>
          </w:tcPr>
          <w:p w14:paraId="1E638612" w14:textId="63A31F02"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17" w:type="dxa"/>
            <w:tcBorders>
              <w:top w:val="nil"/>
              <w:left w:val="nil"/>
              <w:bottom w:val="nil"/>
              <w:right w:val="nil"/>
            </w:tcBorders>
            <w:shd w:val="clear" w:color="auto" w:fill="auto"/>
            <w:noWrap/>
            <w:vAlign w:val="bottom"/>
          </w:tcPr>
          <w:p w14:paraId="6B1B2505" w14:textId="30F31E44"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34" w:type="dxa"/>
            <w:tcBorders>
              <w:top w:val="nil"/>
              <w:left w:val="nil"/>
              <w:bottom w:val="nil"/>
              <w:right w:val="nil"/>
            </w:tcBorders>
            <w:shd w:val="clear" w:color="auto" w:fill="auto"/>
            <w:noWrap/>
            <w:vAlign w:val="bottom"/>
          </w:tcPr>
          <w:p w14:paraId="0B6831C6" w14:textId="29785387" w:rsidR="00E75003" w:rsidRPr="00F74202" w:rsidRDefault="00E75003" w:rsidP="00E75003">
            <w:pPr>
              <w:tabs>
                <w:tab w:val="right" w:pos="975"/>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c>
          <w:tcPr>
            <w:tcW w:w="1411" w:type="dxa"/>
            <w:tcBorders>
              <w:top w:val="nil"/>
              <w:left w:val="nil"/>
              <w:bottom w:val="nil"/>
              <w:right w:val="single" w:sz="4" w:space="0" w:color="auto"/>
            </w:tcBorders>
            <w:vAlign w:val="bottom"/>
          </w:tcPr>
          <w:p w14:paraId="374A1D45" w14:textId="20E898B3" w:rsidR="00E75003" w:rsidRPr="00F74202" w:rsidRDefault="00E75003" w:rsidP="00E75003">
            <w:pPr>
              <w:tabs>
                <w:tab w:val="right" w:pos="1020"/>
              </w:tabs>
              <w:rPr>
                <w:rFonts w:ascii="Titillium" w:eastAsia="Times New Roman" w:hAnsi="Titillium"/>
                <w:color w:val="000000"/>
                <w:sz w:val="22"/>
                <w:szCs w:val="22"/>
                <w:lang w:val="en-GB" w:eastAsia="en-GB"/>
              </w:rPr>
            </w:pPr>
            <w:r>
              <w:rPr>
                <w:rFonts w:ascii="Titillium" w:eastAsia="Times New Roman" w:hAnsi="Titillium"/>
                <w:color w:val="000000"/>
                <w:sz w:val="22"/>
                <w:szCs w:val="22"/>
                <w:lang w:val="en-GB" w:eastAsia="en-GB"/>
              </w:rPr>
              <w:tab/>
              <w:t>0</w:t>
            </w:r>
          </w:p>
        </w:tc>
      </w:tr>
      <w:tr w:rsidR="00E75003" w:rsidRPr="00C726BF" w14:paraId="1805FE8B" w14:textId="77777777" w:rsidTr="00916C65">
        <w:trPr>
          <w:trHeight w:val="340"/>
        </w:trPr>
        <w:tc>
          <w:tcPr>
            <w:tcW w:w="2212" w:type="dxa"/>
            <w:tcBorders>
              <w:top w:val="nil"/>
              <w:left w:val="single" w:sz="4" w:space="0" w:color="auto"/>
              <w:bottom w:val="single" w:sz="4" w:space="0" w:color="auto"/>
              <w:right w:val="nil"/>
            </w:tcBorders>
            <w:shd w:val="clear" w:color="auto" w:fill="auto"/>
            <w:noWrap/>
            <w:vAlign w:val="bottom"/>
            <w:hideMark/>
          </w:tcPr>
          <w:p w14:paraId="27E2A49E" w14:textId="77777777" w:rsidR="00E75003" w:rsidRPr="00F74202" w:rsidRDefault="00E75003" w:rsidP="00E75003">
            <w:pPr>
              <w:jc w:val="both"/>
              <w:rPr>
                <w:rFonts w:ascii="Titillium" w:eastAsia="Times New Roman" w:hAnsi="Titillium" w:cs="Arial"/>
                <w:b/>
                <w:sz w:val="22"/>
                <w:szCs w:val="22"/>
                <w:lang w:val="en-GB"/>
              </w:rPr>
            </w:pPr>
            <w:r w:rsidRPr="00F74202">
              <w:rPr>
                <w:rFonts w:ascii="Titillium" w:eastAsia="Times New Roman" w:hAnsi="Titillium" w:cs="Arial"/>
                <w:b/>
                <w:sz w:val="22"/>
                <w:szCs w:val="22"/>
                <w:lang w:val="en-GB"/>
              </w:rPr>
              <w:t>%1 or more WP flags</w:t>
            </w:r>
          </w:p>
        </w:tc>
        <w:tc>
          <w:tcPr>
            <w:tcW w:w="1411" w:type="dxa"/>
            <w:tcBorders>
              <w:top w:val="nil"/>
              <w:left w:val="nil"/>
              <w:bottom w:val="single" w:sz="4" w:space="0" w:color="auto"/>
              <w:right w:val="nil"/>
            </w:tcBorders>
            <w:vAlign w:val="bottom"/>
          </w:tcPr>
          <w:p w14:paraId="3CD210AC" w14:textId="082923E9" w:rsidR="00E75003" w:rsidRPr="00F74202" w:rsidRDefault="00E75003" w:rsidP="00E75003">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F74202">
              <w:rPr>
                <w:rFonts w:ascii="Titillium" w:hAnsi="Titillium"/>
                <w:b/>
                <w:bCs/>
                <w:sz w:val="22"/>
                <w:szCs w:val="22"/>
              </w:rPr>
              <w:t>18.03%</w:t>
            </w:r>
          </w:p>
        </w:tc>
        <w:tc>
          <w:tcPr>
            <w:tcW w:w="1411" w:type="dxa"/>
            <w:tcBorders>
              <w:top w:val="nil"/>
              <w:left w:val="nil"/>
              <w:bottom w:val="single" w:sz="4" w:space="0" w:color="auto"/>
              <w:right w:val="nil"/>
            </w:tcBorders>
            <w:vAlign w:val="bottom"/>
          </w:tcPr>
          <w:p w14:paraId="61D67711" w14:textId="6F040E4E" w:rsidR="00E75003" w:rsidRPr="00F74202" w:rsidRDefault="00E75003" w:rsidP="00E75003">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F74202">
              <w:rPr>
                <w:rFonts w:ascii="Titillium" w:hAnsi="Titillium"/>
                <w:b/>
                <w:bCs/>
                <w:sz w:val="22"/>
                <w:szCs w:val="22"/>
              </w:rPr>
              <w:t>21.12%</w:t>
            </w:r>
          </w:p>
        </w:tc>
        <w:tc>
          <w:tcPr>
            <w:tcW w:w="1417" w:type="dxa"/>
            <w:tcBorders>
              <w:top w:val="nil"/>
              <w:left w:val="nil"/>
              <w:bottom w:val="single" w:sz="4" w:space="0" w:color="auto"/>
              <w:right w:val="nil"/>
            </w:tcBorders>
            <w:shd w:val="clear" w:color="auto" w:fill="auto"/>
            <w:noWrap/>
            <w:vAlign w:val="bottom"/>
          </w:tcPr>
          <w:p w14:paraId="7BA2A62E" w14:textId="3548EA21" w:rsidR="00E75003" w:rsidRPr="00F74202" w:rsidRDefault="00E75003" w:rsidP="00E75003">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F74202">
              <w:rPr>
                <w:rFonts w:ascii="Titillium" w:hAnsi="Titillium"/>
                <w:b/>
                <w:bCs/>
                <w:sz w:val="22"/>
                <w:szCs w:val="22"/>
              </w:rPr>
              <w:t>19.63%</w:t>
            </w:r>
          </w:p>
        </w:tc>
        <w:tc>
          <w:tcPr>
            <w:tcW w:w="1434" w:type="dxa"/>
            <w:tcBorders>
              <w:top w:val="nil"/>
              <w:left w:val="nil"/>
              <w:bottom w:val="single" w:sz="4" w:space="0" w:color="auto"/>
              <w:right w:val="nil"/>
            </w:tcBorders>
            <w:shd w:val="clear" w:color="auto" w:fill="auto"/>
            <w:noWrap/>
            <w:vAlign w:val="bottom"/>
          </w:tcPr>
          <w:p w14:paraId="29CE3F34" w14:textId="52FB4FE4" w:rsidR="00E75003" w:rsidRPr="00F74202" w:rsidRDefault="00E75003" w:rsidP="00E75003">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F74202">
              <w:rPr>
                <w:rFonts w:ascii="Titillium" w:hAnsi="Titillium"/>
                <w:b/>
                <w:bCs/>
                <w:sz w:val="22"/>
                <w:szCs w:val="22"/>
              </w:rPr>
              <w:t>20.19%</w:t>
            </w:r>
          </w:p>
        </w:tc>
        <w:tc>
          <w:tcPr>
            <w:tcW w:w="1411" w:type="dxa"/>
            <w:tcBorders>
              <w:top w:val="nil"/>
              <w:left w:val="nil"/>
              <w:bottom w:val="single" w:sz="4" w:space="0" w:color="auto"/>
              <w:right w:val="single" w:sz="4" w:space="0" w:color="auto"/>
            </w:tcBorders>
            <w:vAlign w:val="bottom"/>
          </w:tcPr>
          <w:p w14:paraId="685B778B" w14:textId="62F7E94F" w:rsidR="00E75003" w:rsidRPr="00F74202" w:rsidRDefault="00E75003" w:rsidP="00E75003">
            <w:pPr>
              <w:tabs>
                <w:tab w:val="right" w:pos="1020"/>
              </w:tabs>
              <w:jc w:val="both"/>
              <w:rPr>
                <w:rFonts w:ascii="Titillium" w:eastAsia="Times New Roman" w:hAnsi="Titillium" w:cs="Arial"/>
                <w:b/>
                <w:sz w:val="22"/>
                <w:szCs w:val="22"/>
                <w:lang w:val="en-GB"/>
              </w:rPr>
            </w:pPr>
            <w:r>
              <w:rPr>
                <w:rFonts w:ascii="Titillium" w:hAnsi="Titillium"/>
                <w:b/>
                <w:bCs/>
                <w:sz w:val="22"/>
                <w:szCs w:val="22"/>
              </w:rPr>
              <w:tab/>
            </w:r>
            <w:r w:rsidRPr="00F74202">
              <w:rPr>
                <w:rFonts w:ascii="Titillium" w:hAnsi="Titillium"/>
                <w:b/>
                <w:bCs/>
                <w:sz w:val="22"/>
                <w:szCs w:val="22"/>
              </w:rPr>
              <w:t>19</w:t>
            </w:r>
            <w:r>
              <w:rPr>
                <w:rFonts w:ascii="Titillium" w:hAnsi="Titillium"/>
                <w:b/>
                <w:bCs/>
                <w:sz w:val="22"/>
                <w:szCs w:val="22"/>
              </w:rPr>
              <w:t>.69</w:t>
            </w:r>
            <w:r w:rsidRPr="00F74202">
              <w:rPr>
                <w:rFonts w:ascii="Titillium" w:hAnsi="Titillium"/>
                <w:b/>
                <w:bCs/>
                <w:sz w:val="22"/>
                <w:szCs w:val="22"/>
              </w:rPr>
              <w:t>%</w:t>
            </w:r>
          </w:p>
        </w:tc>
      </w:tr>
    </w:tbl>
    <w:p w14:paraId="3902D551" w14:textId="77777777" w:rsidR="00F74202" w:rsidRPr="006563EE" w:rsidRDefault="00F74202" w:rsidP="00F74202">
      <w:pPr>
        <w:rPr>
          <w:rFonts w:ascii="Titillium" w:hAnsi="Titillium"/>
          <w:b/>
          <w:sz w:val="22"/>
          <w:szCs w:val="22"/>
        </w:rPr>
      </w:pPr>
    </w:p>
    <w:p w14:paraId="3AA3F6B7" w14:textId="77777777" w:rsidR="00F74202" w:rsidRDefault="00F74202" w:rsidP="00666076">
      <w:pPr>
        <w:jc w:val="center"/>
        <w:rPr>
          <w:rFonts w:ascii="Titillium" w:hAnsi="Titillium"/>
          <w:noProof/>
          <w:lang w:val="en-GB" w:eastAsia="en-GB"/>
        </w:rPr>
      </w:pPr>
    </w:p>
    <w:p w14:paraId="6FFEF573" w14:textId="3F3CAA17" w:rsidR="00666076" w:rsidRDefault="00666076" w:rsidP="00666076">
      <w:pPr>
        <w:jc w:val="center"/>
        <w:rPr>
          <w:b/>
        </w:rPr>
      </w:pPr>
    </w:p>
    <w:p w14:paraId="07466B7E" w14:textId="05092432" w:rsidR="00A96698" w:rsidRPr="000E36F7" w:rsidRDefault="00A96698" w:rsidP="000E36F7">
      <w:pPr>
        <w:spacing w:after="160" w:line="259" w:lineRule="auto"/>
        <w:rPr>
          <w:rFonts w:ascii="Titillium" w:eastAsia="Times New Roman" w:hAnsi="Titillium" w:cs="Arial"/>
          <w:b/>
          <w:bCs/>
          <w:color w:val="003366"/>
          <w:szCs w:val="28"/>
          <w:lang w:val="en-GB"/>
        </w:rPr>
        <w:sectPr w:rsidR="00A96698" w:rsidRPr="000E36F7" w:rsidSect="002A5A43">
          <w:headerReference w:type="even" r:id="rId33"/>
          <w:headerReference w:type="default" r:id="rId34"/>
          <w:headerReference w:type="first" r:id="rId35"/>
          <w:pgSz w:w="16838" w:h="11906" w:orient="landscape"/>
          <w:pgMar w:top="1440" w:right="1080" w:bottom="1440" w:left="1080" w:header="708" w:footer="708" w:gutter="0"/>
          <w:cols w:space="708"/>
          <w:docGrid w:linePitch="360"/>
        </w:sectPr>
      </w:pPr>
    </w:p>
    <w:p w14:paraId="2429C197" w14:textId="226BDBF5" w:rsidR="00C0684D" w:rsidRDefault="005B26E4" w:rsidP="00AB005D">
      <w:pPr>
        <w:rPr>
          <w:rFonts w:ascii="Titillium" w:eastAsia="Times New Roman" w:hAnsi="Titillium" w:cs="Arial"/>
          <w:b/>
          <w:bCs/>
          <w:color w:val="003366"/>
          <w:sz w:val="28"/>
          <w:szCs w:val="28"/>
          <w:lang w:val="en-GB"/>
        </w:rPr>
      </w:pPr>
      <w:r w:rsidRPr="00AA3479">
        <w:rPr>
          <w:rFonts w:ascii="Titillium" w:eastAsia="Times New Roman" w:hAnsi="Titillium" w:cs="Arial"/>
          <w:b/>
          <w:bCs/>
          <w:color w:val="003366"/>
          <w:sz w:val="28"/>
          <w:szCs w:val="28"/>
          <w:lang w:val="en-GB"/>
        </w:rPr>
        <w:lastRenderedPageBreak/>
        <w:t>References</w:t>
      </w:r>
    </w:p>
    <w:p w14:paraId="34336F11" w14:textId="77777777" w:rsidR="00112E2E" w:rsidRPr="00AA3479" w:rsidRDefault="00112E2E" w:rsidP="00AB005D">
      <w:pPr>
        <w:rPr>
          <w:rFonts w:ascii="Titillium" w:eastAsia="Times New Roman" w:hAnsi="Titillium" w:cs="Arial"/>
          <w:b/>
          <w:bCs/>
          <w:color w:val="003366"/>
          <w:sz w:val="28"/>
          <w:szCs w:val="28"/>
          <w:lang w:val="en-GB"/>
        </w:rPr>
      </w:pPr>
    </w:p>
    <w:p w14:paraId="383F3BC8" w14:textId="4880AAD2" w:rsidR="005B26E4" w:rsidRPr="00867F38" w:rsidRDefault="005B26E4" w:rsidP="00AB005D">
      <w:pPr>
        <w:rPr>
          <w:rFonts w:ascii="Titillium" w:eastAsia="Times New Roman" w:hAnsi="Titillium" w:cs="Arial"/>
          <w:sz w:val="22"/>
          <w:szCs w:val="22"/>
          <w:lang w:val="en-GB" w:eastAsia="en-GB"/>
        </w:rPr>
      </w:pPr>
      <w:r w:rsidRPr="00AA3479">
        <w:rPr>
          <w:rFonts w:ascii="Titillium" w:hAnsi="Titillium"/>
          <w:sz w:val="22"/>
          <w:lang w:val="en-GB"/>
        </w:rPr>
        <w:t>Commission on Widening Access</w:t>
      </w:r>
      <w:r w:rsidRPr="00867F38">
        <w:rPr>
          <w:rFonts w:ascii="Titillium" w:eastAsia="Times New Roman" w:hAnsi="Titillium" w:cs="Arial"/>
          <w:sz w:val="22"/>
          <w:szCs w:val="22"/>
          <w:lang w:val="en-GB" w:eastAsia="en-GB"/>
        </w:rPr>
        <w:t xml:space="preserve"> (2016</w:t>
      </w:r>
      <w:r w:rsidR="00BD41C7" w:rsidRPr="00867F38">
        <w:rPr>
          <w:rFonts w:ascii="Titillium" w:eastAsia="Times New Roman" w:hAnsi="Titillium" w:cs="Arial"/>
          <w:sz w:val="22"/>
          <w:szCs w:val="22"/>
          <w:lang w:val="en-GB" w:eastAsia="en-GB"/>
        </w:rPr>
        <w:t>a</w:t>
      </w:r>
      <w:r w:rsidRPr="00867F38">
        <w:rPr>
          <w:rFonts w:ascii="Titillium" w:eastAsia="Times New Roman" w:hAnsi="Titillium" w:cs="Arial"/>
          <w:sz w:val="22"/>
          <w:szCs w:val="22"/>
          <w:lang w:val="en-GB" w:eastAsia="en-GB"/>
        </w:rPr>
        <w:t xml:space="preserve">). </w:t>
      </w:r>
      <w:hyperlink r:id="rId36" w:history="1">
        <w:r w:rsidRPr="00867F38">
          <w:rPr>
            <w:rFonts w:ascii="Titillium" w:eastAsia="Times New Roman" w:hAnsi="Titillium" w:cs="Arial"/>
            <w:sz w:val="22"/>
            <w:szCs w:val="22"/>
            <w:lang w:val="en-GB" w:eastAsia="en-GB"/>
          </w:rPr>
          <w:t>A Blueprint for Fairness: The Final Report of the Commission on Widening Access</w:t>
        </w:r>
      </w:hyperlink>
      <w:r w:rsidRPr="00867F38">
        <w:rPr>
          <w:rFonts w:ascii="Titillium" w:eastAsia="Times New Roman" w:hAnsi="Titillium" w:cs="Arial"/>
          <w:sz w:val="22"/>
          <w:szCs w:val="22"/>
          <w:lang w:val="en-GB" w:eastAsia="en-GB"/>
        </w:rPr>
        <w:t xml:space="preserve"> </w:t>
      </w:r>
      <w:hyperlink r:id="rId37" w:anchor="res496535" w:history="1">
        <w:r w:rsidRPr="00867F38">
          <w:rPr>
            <w:rStyle w:val="Hyperlink"/>
            <w:rFonts w:ascii="Titillium" w:eastAsia="Times New Roman" w:hAnsi="Titillium" w:cs="Arial"/>
            <w:sz w:val="22"/>
            <w:szCs w:val="22"/>
            <w:lang w:val="en-GB" w:eastAsia="en-GB"/>
          </w:rPr>
          <w:t>http://www.gov.scot/Publications/2016/03/1439/downloads#res496535</w:t>
        </w:r>
      </w:hyperlink>
    </w:p>
    <w:p w14:paraId="3EE8A04B" w14:textId="77777777" w:rsidR="005B26E4" w:rsidRPr="00867F38" w:rsidRDefault="005B26E4" w:rsidP="00AB005D">
      <w:pPr>
        <w:rPr>
          <w:rFonts w:ascii="Titillium" w:eastAsia="Times New Roman" w:hAnsi="Titillium" w:cs="Arial"/>
          <w:sz w:val="22"/>
          <w:szCs w:val="22"/>
          <w:lang w:val="en-GB" w:eastAsia="en-GB"/>
        </w:rPr>
      </w:pPr>
    </w:p>
    <w:p w14:paraId="6DF26433" w14:textId="7166E0E8" w:rsidR="005B26E4" w:rsidRPr="00867F38" w:rsidRDefault="005B26E4" w:rsidP="00112E2E">
      <w:pPr>
        <w:rPr>
          <w:rFonts w:ascii="Titillium" w:eastAsia="Times New Roman" w:hAnsi="Titillium" w:cs="Arial"/>
          <w:sz w:val="22"/>
          <w:szCs w:val="22"/>
          <w:lang w:val="en-GB" w:eastAsia="en-GB"/>
        </w:rPr>
      </w:pPr>
      <w:r w:rsidRPr="00AA3479">
        <w:rPr>
          <w:rFonts w:ascii="Titillium" w:hAnsi="Titillium"/>
          <w:sz w:val="22"/>
          <w:lang w:val="en-GB"/>
        </w:rPr>
        <w:t>Commission on Widening Access (2016</w:t>
      </w:r>
      <w:r w:rsidR="00BD41C7" w:rsidRPr="00AA3479">
        <w:rPr>
          <w:rFonts w:ascii="Titillium" w:hAnsi="Titillium"/>
          <w:sz w:val="22"/>
          <w:lang w:val="en-GB"/>
        </w:rPr>
        <w:t>b</w:t>
      </w:r>
      <w:r w:rsidRPr="00AA3479">
        <w:rPr>
          <w:rFonts w:ascii="Titillium" w:hAnsi="Titillium"/>
          <w:sz w:val="22"/>
          <w:lang w:val="en-GB"/>
        </w:rPr>
        <w:t>).  CoWA Technical paper on measures and targets</w:t>
      </w:r>
      <w:r w:rsidR="00112E2E">
        <w:rPr>
          <w:rFonts w:ascii="Titillium" w:hAnsi="Titillium"/>
          <w:sz w:val="22"/>
          <w:lang w:val="en-GB"/>
        </w:rPr>
        <w:t xml:space="preserve"> - March</w:t>
      </w:r>
      <w:r w:rsidRPr="00AA3479">
        <w:rPr>
          <w:rFonts w:ascii="Titillium" w:hAnsi="Titillium"/>
          <w:sz w:val="22"/>
          <w:lang w:val="en-GB"/>
        </w:rPr>
        <w:t xml:space="preserve"> 2016</w:t>
      </w:r>
      <w:r w:rsidR="00112E2E" w:rsidRPr="00867F38">
        <w:rPr>
          <w:rStyle w:val="Hyperlink"/>
          <w:rFonts w:ascii="Titillium" w:eastAsia="Times New Roman" w:hAnsi="Titillium" w:cs="Arial"/>
          <w:sz w:val="22"/>
          <w:szCs w:val="22"/>
          <w:lang w:val="en-GB" w:eastAsia="en-GB"/>
        </w:rPr>
        <w:t xml:space="preserve"> </w:t>
      </w:r>
      <w:r w:rsidRPr="00867F38">
        <w:rPr>
          <w:rStyle w:val="Hyperlink"/>
          <w:rFonts w:ascii="Titillium" w:eastAsia="Times New Roman" w:hAnsi="Titillium" w:cs="Arial"/>
          <w:sz w:val="22"/>
          <w:szCs w:val="22"/>
          <w:lang w:val="en-GB" w:eastAsia="en-GB"/>
        </w:rPr>
        <w:t>http://www.gov.scot/Resource/0049/00496620.pdf</w:t>
      </w:r>
    </w:p>
    <w:p w14:paraId="06FAFB48" w14:textId="77777777" w:rsidR="005B26E4" w:rsidRPr="00867F38" w:rsidRDefault="005B26E4" w:rsidP="00AB005D">
      <w:pPr>
        <w:rPr>
          <w:rFonts w:ascii="Titillium" w:eastAsia="Times New Roman" w:hAnsi="Titillium" w:cs="Arial"/>
          <w:sz w:val="22"/>
          <w:szCs w:val="22"/>
          <w:lang w:val="en-GB" w:eastAsia="en-GB"/>
        </w:rPr>
      </w:pPr>
    </w:p>
    <w:p w14:paraId="6F3C1D58" w14:textId="12CF0BC3" w:rsidR="005B26E4" w:rsidRPr="00867F38" w:rsidRDefault="005B26E4" w:rsidP="00AB005D">
      <w:pPr>
        <w:rPr>
          <w:rStyle w:val="Hyperlink"/>
          <w:rFonts w:ascii="Titillium" w:eastAsia="Times New Roman" w:hAnsi="Titillium" w:cs="Arial"/>
          <w:sz w:val="22"/>
          <w:szCs w:val="22"/>
          <w:lang w:val="en-GB" w:eastAsia="en-GB"/>
        </w:rPr>
      </w:pPr>
      <w:r w:rsidRPr="00867F38">
        <w:rPr>
          <w:rFonts w:ascii="Titillium" w:eastAsia="Times New Roman" w:hAnsi="Titillium" w:cs="Arial"/>
          <w:sz w:val="22"/>
          <w:szCs w:val="22"/>
          <w:lang w:val="en-GB" w:eastAsia="en-GB"/>
        </w:rPr>
        <w:t xml:space="preserve">Edinburgh Napier University (2016).  Contextualised Admissions Policy </w:t>
      </w:r>
      <w:hyperlink r:id="rId38" w:history="1">
        <w:r w:rsidRPr="00867F38">
          <w:rPr>
            <w:rStyle w:val="Hyperlink"/>
            <w:rFonts w:ascii="Titillium" w:eastAsia="Times New Roman" w:hAnsi="Titillium" w:cs="Arial"/>
            <w:sz w:val="22"/>
            <w:szCs w:val="22"/>
            <w:lang w:val="en-GB" w:eastAsia="en-GB"/>
          </w:rPr>
          <w:t>www.napier.ac.uk/~/media/documents/policies/admissions/contextual-admissions-policy.pdf</w:t>
        </w:r>
      </w:hyperlink>
    </w:p>
    <w:p w14:paraId="74FB8CA2" w14:textId="77777777" w:rsidR="005B26E4" w:rsidRDefault="005B26E4" w:rsidP="00AB005D">
      <w:pPr>
        <w:rPr>
          <w:rFonts w:ascii="Titillium" w:eastAsia="Arial Unicode MS" w:hAnsi="Titillium" w:cs="Arial"/>
          <w:sz w:val="22"/>
          <w:szCs w:val="22"/>
          <w:lang w:val="en-GB" w:eastAsia="en-GB"/>
        </w:rPr>
      </w:pPr>
    </w:p>
    <w:p w14:paraId="06A8746C" w14:textId="107863B3" w:rsidR="005B26E4" w:rsidRDefault="005B26E4" w:rsidP="00AB005D">
      <w:pPr>
        <w:rPr>
          <w:rStyle w:val="Hyperlink"/>
          <w:rFonts w:ascii="Titillium" w:eastAsia="Times New Roman" w:hAnsi="Titillium" w:cs="Arial"/>
          <w:sz w:val="22"/>
          <w:szCs w:val="22"/>
          <w:lang w:val="en-GB" w:eastAsia="en-GB"/>
        </w:rPr>
      </w:pPr>
      <w:r w:rsidRPr="00867F38">
        <w:rPr>
          <w:rFonts w:ascii="Titillium" w:eastAsia="Arial Unicode MS" w:hAnsi="Titillium" w:cs="Arial"/>
          <w:sz w:val="22"/>
          <w:szCs w:val="22"/>
          <w:lang w:val="en-GB" w:eastAsia="en-GB"/>
        </w:rPr>
        <w:t>S</w:t>
      </w:r>
      <w:r w:rsidR="003414AC">
        <w:rPr>
          <w:rFonts w:ascii="Titillium" w:eastAsia="Arial Unicode MS" w:hAnsi="Titillium" w:cs="Arial"/>
          <w:sz w:val="22"/>
          <w:szCs w:val="22"/>
          <w:lang w:val="en-GB" w:eastAsia="en-GB"/>
        </w:rPr>
        <w:t xml:space="preserve">cottish </w:t>
      </w:r>
      <w:r w:rsidRPr="00867F38">
        <w:rPr>
          <w:rFonts w:ascii="Titillium" w:eastAsia="Arial Unicode MS" w:hAnsi="Titillium" w:cs="Arial"/>
          <w:sz w:val="22"/>
          <w:szCs w:val="22"/>
          <w:lang w:val="en-GB" w:eastAsia="en-GB"/>
        </w:rPr>
        <w:t>F</w:t>
      </w:r>
      <w:r w:rsidR="003414AC">
        <w:rPr>
          <w:rFonts w:ascii="Titillium" w:eastAsia="Arial Unicode MS" w:hAnsi="Titillium" w:cs="Arial"/>
          <w:sz w:val="22"/>
          <w:szCs w:val="22"/>
          <w:lang w:val="en-GB" w:eastAsia="en-GB"/>
        </w:rPr>
        <w:t xml:space="preserve">unding </w:t>
      </w:r>
      <w:r w:rsidRPr="00867F38">
        <w:rPr>
          <w:rFonts w:ascii="Titillium" w:eastAsia="Arial Unicode MS" w:hAnsi="Titillium" w:cs="Arial"/>
          <w:sz w:val="22"/>
          <w:szCs w:val="22"/>
          <w:lang w:val="en-GB" w:eastAsia="en-GB"/>
        </w:rPr>
        <w:t>C</w:t>
      </w:r>
      <w:r w:rsidR="003414AC">
        <w:rPr>
          <w:rFonts w:ascii="Titillium" w:eastAsia="Arial Unicode MS" w:hAnsi="Titillium" w:cs="Arial"/>
          <w:sz w:val="22"/>
          <w:szCs w:val="22"/>
          <w:lang w:val="en-GB" w:eastAsia="en-GB"/>
        </w:rPr>
        <w:t>ouncil</w:t>
      </w:r>
      <w:r w:rsidRPr="00867F38">
        <w:rPr>
          <w:rFonts w:ascii="Titillium" w:eastAsia="Arial Unicode MS" w:hAnsi="Titillium" w:cs="Arial"/>
          <w:sz w:val="22"/>
          <w:szCs w:val="22"/>
          <w:lang w:val="en-GB" w:eastAsia="en-GB"/>
        </w:rPr>
        <w:t xml:space="preserve"> (2016)</w:t>
      </w:r>
      <w:r w:rsidR="00BD41C7" w:rsidRPr="00867F38">
        <w:rPr>
          <w:rFonts w:ascii="Titillium" w:eastAsia="Arial Unicode MS" w:hAnsi="Titillium" w:cs="Arial"/>
          <w:sz w:val="22"/>
          <w:szCs w:val="22"/>
          <w:lang w:val="en-GB" w:eastAsia="en-GB"/>
        </w:rPr>
        <w:t>.</w:t>
      </w:r>
      <w:r w:rsidRPr="00867F38">
        <w:rPr>
          <w:rFonts w:ascii="Titillium" w:eastAsia="Arial Unicode MS" w:hAnsi="Titillium" w:cs="Arial"/>
          <w:sz w:val="22"/>
          <w:szCs w:val="22"/>
          <w:lang w:val="en-GB" w:eastAsia="en-GB"/>
        </w:rPr>
        <w:t xml:space="preserve">  Gender Action Plan </w:t>
      </w:r>
      <w:hyperlink r:id="rId39" w:history="1">
        <w:r w:rsidR="00F61E2D" w:rsidRPr="00F33C61">
          <w:rPr>
            <w:rStyle w:val="Hyperlink"/>
            <w:rFonts w:ascii="Titillium" w:eastAsia="Times New Roman" w:hAnsi="Titillium" w:cs="Arial"/>
            <w:sz w:val="22"/>
            <w:szCs w:val="22"/>
            <w:lang w:val="en-GB" w:eastAsia="en-GB"/>
          </w:rPr>
          <w:t>http://www.sfc.ac.uk/web/FILES/Corporate_publications_SFCCP052016_GenderActionPlan/SFCCP052016_Gender_Action_Plan.pdf</w:t>
        </w:r>
      </w:hyperlink>
    </w:p>
    <w:p w14:paraId="4C51ED53" w14:textId="77777777" w:rsidR="00F61E2D" w:rsidRDefault="00F61E2D" w:rsidP="00AB005D">
      <w:pPr>
        <w:rPr>
          <w:rStyle w:val="Hyperlink"/>
          <w:rFonts w:ascii="Titillium" w:eastAsia="Times New Roman" w:hAnsi="Titillium" w:cs="Arial"/>
          <w:sz w:val="22"/>
          <w:szCs w:val="22"/>
          <w:lang w:val="en-GB" w:eastAsia="en-GB"/>
        </w:rPr>
      </w:pPr>
    </w:p>
    <w:p w14:paraId="1697B778" w14:textId="52A4BF1A" w:rsidR="00F61E2D" w:rsidRDefault="00BC3C39" w:rsidP="00AB005D">
      <w:r>
        <w:rPr>
          <w:rFonts w:ascii="Titillium" w:eastAsia="Arial Unicode MS" w:hAnsi="Titillium" w:cs="Arial"/>
          <w:sz w:val="22"/>
          <w:szCs w:val="22"/>
          <w:lang w:val="en-GB" w:eastAsia="en-GB"/>
        </w:rPr>
        <w:t>Sc</w:t>
      </w:r>
      <w:r w:rsidR="00F61E2D" w:rsidRPr="00F61E2D">
        <w:rPr>
          <w:rFonts w:ascii="Titillium" w:eastAsia="Arial Unicode MS" w:hAnsi="Titillium" w:cs="Arial"/>
          <w:sz w:val="22"/>
          <w:szCs w:val="22"/>
          <w:lang w:val="en-GB" w:eastAsia="en-GB"/>
        </w:rPr>
        <w:t>ottish Government (2015)</w:t>
      </w:r>
      <w:r w:rsidR="002710FC">
        <w:rPr>
          <w:rFonts w:ascii="Titillium" w:eastAsia="Arial Unicode MS" w:hAnsi="Titillium" w:cs="Arial"/>
          <w:sz w:val="22"/>
          <w:szCs w:val="22"/>
          <w:lang w:val="en-GB" w:eastAsia="en-GB"/>
        </w:rPr>
        <w:t>.</w:t>
      </w:r>
      <w:r w:rsidR="00F61E2D" w:rsidRPr="00F61E2D">
        <w:rPr>
          <w:rFonts w:ascii="Titillium" w:eastAsia="Arial Unicode MS" w:hAnsi="Titillium" w:cs="Arial"/>
          <w:sz w:val="22"/>
          <w:szCs w:val="22"/>
          <w:lang w:val="en-GB" w:eastAsia="en-GB"/>
        </w:rPr>
        <w:t xml:space="preserve">  C</w:t>
      </w:r>
      <w:r w:rsidR="00F61E2D">
        <w:rPr>
          <w:rFonts w:ascii="Titillium" w:eastAsia="Arial Unicode MS" w:hAnsi="Titillium" w:cs="Arial"/>
          <w:sz w:val="22"/>
          <w:szCs w:val="22"/>
          <w:lang w:val="en-GB" w:eastAsia="en-GB"/>
        </w:rPr>
        <w:t>hildren and</w:t>
      </w:r>
      <w:r w:rsidR="00F61E2D" w:rsidRPr="00F61E2D">
        <w:rPr>
          <w:rFonts w:ascii="Titillium" w:eastAsia="Arial Unicode MS" w:hAnsi="Titillium" w:cs="Arial"/>
          <w:sz w:val="22"/>
          <w:szCs w:val="22"/>
          <w:lang w:val="en-GB" w:eastAsia="en-GB"/>
        </w:rPr>
        <w:t xml:space="preserve"> </w:t>
      </w:r>
      <w:r w:rsidR="00F61E2D">
        <w:rPr>
          <w:rFonts w:ascii="Titillium" w:eastAsia="Arial Unicode MS" w:hAnsi="Titillium" w:cs="Arial"/>
          <w:sz w:val="22"/>
          <w:szCs w:val="22"/>
          <w:lang w:val="en-GB" w:eastAsia="en-GB"/>
        </w:rPr>
        <w:t xml:space="preserve">Young People </w:t>
      </w:r>
      <w:r w:rsidR="00F61E2D" w:rsidRPr="00F61E2D">
        <w:rPr>
          <w:rFonts w:ascii="Titillium" w:eastAsia="Arial Unicode MS" w:hAnsi="Titillium" w:cs="Arial"/>
          <w:sz w:val="22"/>
          <w:szCs w:val="22"/>
          <w:lang w:val="en-GB" w:eastAsia="en-GB"/>
        </w:rPr>
        <w:t xml:space="preserve"> (S</w:t>
      </w:r>
      <w:r w:rsidR="00F61E2D">
        <w:rPr>
          <w:rFonts w:ascii="Titillium" w:eastAsia="Arial Unicode MS" w:hAnsi="Titillium" w:cs="Arial"/>
          <w:sz w:val="22"/>
          <w:szCs w:val="22"/>
          <w:lang w:val="en-GB" w:eastAsia="en-GB"/>
        </w:rPr>
        <w:t>cotland</w:t>
      </w:r>
      <w:r w:rsidR="00F61E2D" w:rsidRPr="00F61E2D">
        <w:rPr>
          <w:rFonts w:ascii="Titillium" w:eastAsia="Arial Unicode MS" w:hAnsi="Titillium" w:cs="Arial"/>
          <w:sz w:val="22"/>
          <w:szCs w:val="22"/>
          <w:lang w:val="en-GB" w:eastAsia="en-GB"/>
        </w:rPr>
        <w:t xml:space="preserve">) </w:t>
      </w:r>
      <w:r w:rsidR="00F61E2D">
        <w:rPr>
          <w:rFonts w:ascii="Titillium" w:eastAsia="Arial Unicode MS" w:hAnsi="Titillium" w:cs="Arial"/>
          <w:sz w:val="22"/>
          <w:szCs w:val="22"/>
          <w:lang w:val="en-GB" w:eastAsia="en-GB"/>
        </w:rPr>
        <w:t>Act</w:t>
      </w:r>
      <w:r w:rsidR="00F61E2D" w:rsidRPr="00F61E2D">
        <w:rPr>
          <w:rFonts w:ascii="Titillium" w:eastAsia="Arial Unicode MS" w:hAnsi="Titillium" w:cs="Arial"/>
          <w:sz w:val="22"/>
          <w:szCs w:val="22"/>
          <w:lang w:val="en-GB" w:eastAsia="en-GB"/>
        </w:rPr>
        <w:t xml:space="preserve"> 2014: Statutory Guidance on Part 9: Corporate Parenting  </w:t>
      </w:r>
      <w:hyperlink r:id="rId40" w:history="1">
        <w:r w:rsidR="00F61E2D" w:rsidRPr="00F61E2D">
          <w:rPr>
            <w:rStyle w:val="Hyperlink"/>
            <w:rFonts w:ascii="Titillium" w:eastAsia="Times New Roman" w:hAnsi="Titillium" w:cs="Arial"/>
            <w:sz w:val="22"/>
            <w:szCs w:val="22"/>
            <w:lang w:val="en-GB" w:eastAsia="en-GB"/>
          </w:rPr>
          <w:t>http://www.gov.scot/Resource/0048/00483676.pdf</w:t>
        </w:r>
      </w:hyperlink>
    </w:p>
    <w:p w14:paraId="2D485191" w14:textId="77777777" w:rsidR="00F61E2D" w:rsidRDefault="00F61E2D" w:rsidP="00AB005D">
      <w:pPr>
        <w:rPr>
          <w:rStyle w:val="Hyperlink"/>
          <w:rFonts w:ascii="Titillium" w:eastAsia="Times New Roman" w:hAnsi="Titillium" w:cs="Arial"/>
          <w:sz w:val="22"/>
          <w:szCs w:val="22"/>
          <w:lang w:val="en-GB" w:eastAsia="en-GB"/>
        </w:rPr>
      </w:pPr>
    </w:p>
    <w:p w14:paraId="79A5677E" w14:textId="26C02B0E" w:rsidR="00825F88" w:rsidRDefault="00825F88" w:rsidP="00825F88">
      <w:pPr>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 xml:space="preserve">Sturgeon, N., Scottish Government (2016). A Plan for Scotland: The Government’s Programme for Scotland 2016-17 </w:t>
      </w:r>
      <w:hyperlink r:id="rId41" w:history="1">
        <w:r w:rsidRPr="00F33C61">
          <w:rPr>
            <w:rStyle w:val="Hyperlink"/>
            <w:rFonts w:ascii="Titillium" w:eastAsia="Arial Unicode MS" w:hAnsi="Titillium" w:cs="Arial"/>
            <w:sz w:val="22"/>
            <w:szCs w:val="22"/>
            <w:lang w:val="en-GB" w:eastAsia="en-GB"/>
          </w:rPr>
          <w:t>http://www.gov.scot/Resource/0050/00505210.pdf</w:t>
        </w:r>
      </w:hyperlink>
    </w:p>
    <w:p w14:paraId="6024AA48" w14:textId="77777777" w:rsidR="00825F88" w:rsidRDefault="00825F88" w:rsidP="00AB005D">
      <w:pPr>
        <w:rPr>
          <w:rStyle w:val="Hyperlink"/>
          <w:rFonts w:ascii="Titillium" w:eastAsia="Times New Roman" w:hAnsi="Titillium" w:cs="Arial"/>
          <w:sz w:val="22"/>
          <w:szCs w:val="22"/>
          <w:lang w:val="en-GB" w:eastAsia="en-GB"/>
        </w:rPr>
      </w:pPr>
    </w:p>
    <w:p w14:paraId="40224C79" w14:textId="4594B5F1" w:rsidR="0067005C" w:rsidRDefault="003414AC" w:rsidP="00AB005D">
      <w:pPr>
        <w:rPr>
          <w:rFonts w:ascii="Titillium" w:eastAsia="Arial Unicode MS" w:hAnsi="Titillium" w:cs="Arial"/>
          <w:sz w:val="22"/>
          <w:szCs w:val="22"/>
          <w:lang w:val="en-GB" w:eastAsia="en-GB"/>
        </w:rPr>
      </w:pPr>
      <w:r>
        <w:rPr>
          <w:rFonts w:ascii="Titillium" w:eastAsia="Arial Unicode MS" w:hAnsi="Titillium" w:cs="Arial"/>
          <w:sz w:val="22"/>
          <w:szCs w:val="22"/>
          <w:lang w:val="en-GB" w:eastAsia="en-GB"/>
        </w:rPr>
        <w:t xml:space="preserve">Universities Scotland (2016).  Futures not Backgrounds </w:t>
      </w:r>
      <w:hyperlink r:id="rId42" w:history="1">
        <w:r w:rsidRPr="00F33C61">
          <w:rPr>
            <w:rStyle w:val="Hyperlink"/>
            <w:rFonts w:ascii="Titillium" w:eastAsia="Arial Unicode MS" w:hAnsi="Titillium" w:cs="Arial"/>
            <w:sz w:val="22"/>
            <w:szCs w:val="22"/>
            <w:lang w:val="en-GB" w:eastAsia="en-GB"/>
          </w:rPr>
          <w:t>http://www.universities-scotland.ac.uk/wp-content/uploads/2016/09/10537-%E2%80%A2-Futures-Not-Backgrounds-web.pdf</w:t>
        </w:r>
      </w:hyperlink>
    </w:p>
    <w:p w14:paraId="3EDE34B8" w14:textId="77777777" w:rsidR="003414AC" w:rsidRPr="00867F38" w:rsidRDefault="003414AC" w:rsidP="00AB005D">
      <w:pPr>
        <w:rPr>
          <w:rFonts w:ascii="Titillium" w:eastAsia="Arial Unicode MS" w:hAnsi="Titillium" w:cs="Arial"/>
          <w:sz w:val="22"/>
          <w:szCs w:val="22"/>
          <w:lang w:val="en-GB" w:eastAsia="en-GB"/>
        </w:rPr>
      </w:pPr>
    </w:p>
    <w:sectPr w:rsidR="003414AC" w:rsidRPr="00867F38" w:rsidSect="002A5A43">
      <w:headerReference w:type="even" r:id="rId43"/>
      <w:headerReference w:type="default" r:id="rId44"/>
      <w:headerReference w:type="first" r:id="rId4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C91A" w14:textId="77777777" w:rsidR="00960000" w:rsidRDefault="00960000" w:rsidP="00C0684D">
      <w:r>
        <w:separator/>
      </w:r>
    </w:p>
  </w:endnote>
  <w:endnote w:type="continuationSeparator" w:id="0">
    <w:p w14:paraId="4DC6E8BE" w14:textId="77777777" w:rsidR="00960000" w:rsidRDefault="00960000" w:rsidP="00C0684D">
      <w:r>
        <w:continuationSeparator/>
      </w:r>
    </w:p>
  </w:endnote>
  <w:endnote w:type="continuationNotice" w:id="1">
    <w:p w14:paraId="1CC2AE1E" w14:textId="77777777" w:rsidR="00960000" w:rsidRDefault="00960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tillium">
    <w:altName w:val="Titillium"/>
    <w:panose1 w:val="00000500000000000000"/>
    <w:charset w:val="00"/>
    <w:family w:val="moder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544162"/>
      <w:docPartObj>
        <w:docPartGallery w:val="Page Numbers (Bottom of Page)"/>
        <w:docPartUnique/>
      </w:docPartObj>
    </w:sdtPr>
    <w:sdtEndPr>
      <w:rPr>
        <w:rFonts w:ascii="Titillium" w:hAnsi="Titillium"/>
        <w:noProof/>
        <w:sz w:val="22"/>
        <w:szCs w:val="22"/>
      </w:rPr>
    </w:sdtEndPr>
    <w:sdtContent>
      <w:p w14:paraId="4A7EDC6F" w14:textId="30A5785B" w:rsidR="009A5E22" w:rsidRPr="00861251" w:rsidRDefault="009A5E22">
        <w:pPr>
          <w:pStyle w:val="Footer"/>
          <w:jc w:val="right"/>
          <w:rPr>
            <w:rFonts w:ascii="Titillium" w:hAnsi="Titillium"/>
            <w:sz w:val="22"/>
            <w:szCs w:val="22"/>
          </w:rPr>
        </w:pPr>
        <w:r w:rsidRPr="00861251">
          <w:rPr>
            <w:rFonts w:ascii="Titillium" w:hAnsi="Titillium"/>
            <w:sz w:val="22"/>
            <w:szCs w:val="22"/>
          </w:rPr>
          <w:fldChar w:fldCharType="begin"/>
        </w:r>
        <w:r w:rsidRPr="00861251">
          <w:rPr>
            <w:rFonts w:ascii="Titillium" w:hAnsi="Titillium"/>
            <w:sz w:val="22"/>
            <w:szCs w:val="22"/>
          </w:rPr>
          <w:instrText xml:space="preserve"> PAGE   \* MERGEFORMAT </w:instrText>
        </w:r>
        <w:r w:rsidRPr="00861251">
          <w:rPr>
            <w:rFonts w:ascii="Titillium" w:hAnsi="Titillium"/>
            <w:sz w:val="22"/>
            <w:szCs w:val="22"/>
          </w:rPr>
          <w:fldChar w:fldCharType="separate"/>
        </w:r>
        <w:r w:rsidR="004F1417">
          <w:rPr>
            <w:rFonts w:ascii="Titillium" w:hAnsi="Titillium"/>
            <w:noProof/>
            <w:sz w:val="22"/>
            <w:szCs w:val="22"/>
          </w:rPr>
          <w:t>3</w:t>
        </w:r>
        <w:r w:rsidRPr="00861251">
          <w:rPr>
            <w:rFonts w:ascii="Titillium" w:hAnsi="Titillium"/>
            <w:noProof/>
            <w:sz w:val="22"/>
            <w:szCs w:val="22"/>
          </w:rPr>
          <w:fldChar w:fldCharType="end"/>
        </w:r>
      </w:p>
    </w:sdtContent>
  </w:sdt>
  <w:p w14:paraId="621C2E15" w14:textId="77777777" w:rsidR="009A5E22" w:rsidRDefault="009A5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F5937" w14:textId="77777777" w:rsidR="00960000" w:rsidRDefault="00960000" w:rsidP="00C0684D">
      <w:r>
        <w:separator/>
      </w:r>
    </w:p>
  </w:footnote>
  <w:footnote w:type="continuationSeparator" w:id="0">
    <w:p w14:paraId="04E7640C" w14:textId="77777777" w:rsidR="00960000" w:rsidRDefault="00960000" w:rsidP="00C0684D">
      <w:r>
        <w:continuationSeparator/>
      </w:r>
    </w:p>
  </w:footnote>
  <w:footnote w:type="continuationNotice" w:id="1">
    <w:p w14:paraId="607C0E09" w14:textId="77777777" w:rsidR="00960000" w:rsidRDefault="00960000"/>
  </w:footnote>
  <w:footnote w:id="2">
    <w:p w14:paraId="3C12E19C" w14:textId="77777777" w:rsidR="009A5E22" w:rsidRPr="00307598" w:rsidRDefault="009A5E22" w:rsidP="002C02DE">
      <w:pPr>
        <w:pStyle w:val="FootnoteText"/>
        <w:rPr>
          <w:rFonts w:ascii="Titillium" w:hAnsi="Titillium" w:cs="Arial"/>
          <w:sz w:val="18"/>
          <w:szCs w:val="18"/>
        </w:rPr>
      </w:pPr>
      <w:r w:rsidRPr="00307598">
        <w:rPr>
          <w:rStyle w:val="FootnoteReference"/>
          <w:rFonts w:ascii="Titillium" w:hAnsi="Titillium" w:cs="Arial"/>
          <w:sz w:val="18"/>
          <w:szCs w:val="18"/>
        </w:rPr>
        <w:footnoteRef/>
      </w:r>
      <w:r w:rsidRPr="00307598">
        <w:rPr>
          <w:rFonts w:ascii="Titillium" w:hAnsi="Titillium" w:cs="Arial"/>
          <w:sz w:val="18"/>
          <w:szCs w:val="18"/>
        </w:rPr>
        <w:t xml:space="preserve"> </w:t>
      </w:r>
      <w:r w:rsidRPr="00307598">
        <w:rPr>
          <w:rFonts w:ascii="Titillium" w:eastAsia="Times New Roman" w:hAnsi="Titillium" w:cs="Arial"/>
          <w:sz w:val="18"/>
          <w:szCs w:val="18"/>
        </w:rPr>
        <w:t>A Blueprint for Fairness: The Final report of the Commission on Widening Access (CoWA 2016a), pp. 14-19</w:t>
      </w:r>
    </w:p>
  </w:footnote>
  <w:footnote w:id="3">
    <w:p w14:paraId="69B7458B" w14:textId="123696B5" w:rsidR="009A5E22" w:rsidRPr="00307598" w:rsidRDefault="009A5E22">
      <w:pPr>
        <w:pStyle w:val="FootnoteText"/>
        <w:rPr>
          <w:rFonts w:ascii="Titillium" w:hAnsi="Titillium"/>
          <w:i/>
          <w:color w:val="auto"/>
          <w:sz w:val="18"/>
          <w:szCs w:val="18"/>
        </w:rPr>
      </w:pPr>
      <w:r w:rsidRPr="00307598">
        <w:rPr>
          <w:rStyle w:val="FootnoteReference"/>
          <w:rFonts w:ascii="Titillium" w:hAnsi="Titillium"/>
          <w:sz w:val="18"/>
          <w:szCs w:val="18"/>
        </w:rPr>
        <w:footnoteRef/>
      </w:r>
      <w:r w:rsidRPr="00307598">
        <w:rPr>
          <w:rFonts w:ascii="Titillium" w:hAnsi="Titillium"/>
          <w:sz w:val="18"/>
          <w:szCs w:val="18"/>
        </w:rPr>
        <w:t xml:space="preserve"> </w:t>
      </w:r>
      <w:r w:rsidRPr="00307598">
        <w:rPr>
          <w:rFonts w:ascii="Titillium" w:hAnsi="Titillium"/>
          <w:color w:val="auto"/>
          <w:sz w:val="18"/>
          <w:szCs w:val="18"/>
        </w:rPr>
        <w:t>Nicola Sturgeon,</w:t>
      </w:r>
      <w:r w:rsidRPr="00307598">
        <w:rPr>
          <w:rFonts w:ascii="Titillium" w:hAnsi="Titillium"/>
          <w:i/>
          <w:color w:val="auto"/>
          <w:sz w:val="18"/>
          <w:szCs w:val="18"/>
        </w:rPr>
        <w:t xml:space="preserve"> </w:t>
      </w:r>
      <w:r w:rsidRPr="00307598">
        <w:rPr>
          <w:rFonts w:ascii="Titillium" w:hAnsi="Titillium"/>
          <w:color w:val="auto"/>
          <w:sz w:val="18"/>
          <w:szCs w:val="18"/>
        </w:rPr>
        <w:t xml:space="preserve">Scottish Parliament </w:t>
      </w:r>
      <w:r>
        <w:rPr>
          <w:rFonts w:ascii="Titillium" w:hAnsi="Titillium"/>
          <w:color w:val="auto"/>
          <w:sz w:val="18"/>
          <w:szCs w:val="18"/>
        </w:rPr>
        <w:t xml:space="preserve">A Plan for Scotland: </w:t>
      </w:r>
      <w:r w:rsidRPr="00022B95">
        <w:rPr>
          <w:rFonts w:ascii="Titillium" w:hAnsi="Titillium"/>
          <w:color w:val="auto"/>
          <w:sz w:val="18"/>
          <w:szCs w:val="18"/>
        </w:rPr>
        <w:t>The Government’s Programme for Scotland 2016-17</w:t>
      </w:r>
    </w:p>
  </w:footnote>
  <w:footnote w:id="4">
    <w:p w14:paraId="7749EF4D" w14:textId="77777777" w:rsidR="009A5E22" w:rsidRPr="008832E1" w:rsidRDefault="009A5E22" w:rsidP="00097F80">
      <w:pPr>
        <w:pStyle w:val="FootnoteText"/>
        <w:rPr>
          <w:rFonts w:ascii="Titillium" w:hAnsi="Titillium" w:cs="Arial"/>
        </w:rPr>
      </w:pPr>
      <w:r w:rsidRPr="00307598">
        <w:rPr>
          <w:rStyle w:val="FootnoteReference"/>
          <w:rFonts w:ascii="Titillium" w:hAnsi="Titillium" w:cs="Arial"/>
          <w:sz w:val="18"/>
          <w:szCs w:val="18"/>
        </w:rPr>
        <w:footnoteRef/>
      </w:r>
      <w:r w:rsidRPr="00307598">
        <w:rPr>
          <w:rFonts w:ascii="Titillium" w:hAnsi="Titillium" w:cs="Arial"/>
          <w:sz w:val="18"/>
          <w:szCs w:val="18"/>
        </w:rPr>
        <w:t xml:space="preserve"> </w:t>
      </w:r>
      <w:r w:rsidRPr="00307598">
        <w:rPr>
          <w:rFonts w:ascii="Titillium" w:hAnsi="Titillium"/>
          <w:sz w:val="18"/>
          <w:szCs w:val="18"/>
        </w:rPr>
        <w:t>SHEP is a an SFC funded programme that has identified 80 schools as having a low number of students progressing to Higher Education (defined as a less than 22% average progression rate to HE, based on 5-year average)</w:t>
      </w:r>
      <w:r w:rsidRPr="00307598">
        <w:rPr>
          <w:rFonts w:ascii="Titillium" w:eastAsia="Arial Unicode MS" w:hAnsi="Titillium" w:cs="Arial"/>
          <w:sz w:val="18"/>
          <w:szCs w:val="18"/>
        </w:rPr>
        <w:t xml:space="preserve"> - See Appendix C</w:t>
      </w:r>
    </w:p>
  </w:footnote>
  <w:footnote w:id="5">
    <w:p w14:paraId="5FE592A8" w14:textId="10965EF4" w:rsidR="009A5E22" w:rsidRPr="00307598" w:rsidRDefault="009A5E22" w:rsidP="005820A3">
      <w:pPr>
        <w:pStyle w:val="FootnoteText"/>
        <w:rPr>
          <w:rFonts w:ascii="Titillium" w:hAnsi="Titillium" w:cs="Arial"/>
          <w:sz w:val="18"/>
          <w:szCs w:val="18"/>
        </w:rPr>
      </w:pPr>
      <w:r w:rsidRPr="00307598">
        <w:rPr>
          <w:rStyle w:val="FootnoteReference"/>
          <w:rFonts w:ascii="Titillium" w:hAnsi="Titillium" w:cs="Arial"/>
          <w:sz w:val="18"/>
          <w:szCs w:val="18"/>
        </w:rPr>
        <w:footnoteRef/>
      </w:r>
      <w:r w:rsidRPr="00307598">
        <w:rPr>
          <w:rFonts w:ascii="Titillium" w:hAnsi="Titillium" w:cs="Arial"/>
          <w:sz w:val="18"/>
          <w:szCs w:val="18"/>
        </w:rPr>
        <w:t xml:space="preserve"> Applicants who have a home postcode in any of the 20% (SIMD20) most deprived areas of Scotland based on the </w:t>
      </w:r>
      <w:r w:rsidRPr="00307598">
        <w:rPr>
          <w:rFonts w:ascii="Titillium" w:eastAsia="Times New Roman" w:hAnsi="Titillium" w:cs="Arial"/>
          <w:sz w:val="18"/>
          <w:szCs w:val="18"/>
        </w:rPr>
        <w:t>Scottish Index of Multiple Deprivation</w:t>
      </w:r>
    </w:p>
  </w:footnote>
  <w:footnote w:id="6">
    <w:p w14:paraId="03A4F854" w14:textId="3CA28FF8" w:rsidR="009A5E22" w:rsidRPr="00307598" w:rsidRDefault="009A5E22" w:rsidP="005C49D7">
      <w:pPr>
        <w:tabs>
          <w:tab w:val="num" w:pos="720"/>
        </w:tabs>
        <w:spacing w:before="120" w:after="120"/>
        <w:rPr>
          <w:rFonts w:ascii="Titillium" w:hAnsi="Titillium"/>
          <w:sz w:val="18"/>
          <w:szCs w:val="18"/>
        </w:rPr>
      </w:pPr>
      <w:r w:rsidRPr="00307598">
        <w:rPr>
          <w:rStyle w:val="FootnoteReference"/>
          <w:rFonts w:ascii="Titillium" w:hAnsi="Titillium"/>
          <w:sz w:val="18"/>
          <w:szCs w:val="18"/>
        </w:rPr>
        <w:footnoteRef/>
      </w:r>
      <w:r w:rsidRPr="00307598">
        <w:rPr>
          <w:rFonts w:ascii="Titillium" w:hAnsi="Titillium"/>
          <w:sz w:val="18"/>
          <w:szCs w:val="18"/>
        </w:rPr>
        <w:t xml:space="preserve"> Outlined </w:t>
      </w:r>
      <w:r w:rsidRPr="00307598">
        <w:rPr>
          <w:rFonts w:ascii="Titillium" w:eastAsia="Arial Unicode MS" w:hAnsi="Titillium" w:cs="Arial"/>
          <w:sz w:val="18"/>
          <w:szCs w:val="18"/>
          <w:lang w:val="en-GB" w:eastAsia="en-GB"/>
        </w:rPr>
        <w:t>in Part 9: Corporate Parenting of the Children &amp; Young People (Scotland) Act 2014</w:t>
      </w:r>
      <w:r>
        <w:rPr>
          <w:rFonts w:ascii="Titillium" w:eastAsia="Arial Unicode MS" w:hAnsi="Titillium" w:cs="Arial"/>
          <w:sz w:val="18"/>
          <w:szCs w:val="18"/>
          <w:lang w:val="en-GB" w:eastAsia="en-GB"/>
        </w:rPr>
        <w:t xml:space="preserve"> (Scottish Government, 2015)</w:t>
      </w:r>
      <w:r w:rsidRPr="00307598">
        <w:rPr>
          <w:rFonts w:ascii="Titillium" w:eastAsia="Arial Unicode MS" w:hAnsi="Titillium" w:cs="Arial"/>
          <w:sz w:val="18"/>
          <w:szCs w:val="18"/>
          <w:lang w:val="en-GB" w:eastAsia="en-GB"/>
        </w:rPr>
        <w:t>.</w:t>
      </w:r>
    </w:p>
  </w:footnote>
  <w:footnote w:id="7">
    <w:p w14:paraId="3E41BF39" w14:textId="4721C029" w:rsidR="009A5E22" w:rsidRDefault="009A5E22">
      <w:pPr>
        <w:pStyle w:val="FootnoteText"/>
      </w:pPr>
      <w:r>
        <w:rPr>
          <w:rStyle w:val="FootnoteReference"/>
        </w:rPr>
        <w:footnoteRef/>
      </w:r>
      <w:r>
        <w:t xml:space="preserve"> </w:t>
      </w:r>
      <w:r w:rsidRPr="00890B62">
        <w:rPr>
          <w:rFonts w:ascii="Titillium" w:hAnsi="Titillium"/>
          <w:sz w:val="18"/>
          <w:szCs w:val="18"/>
        </w:rPr>
        <w:t>Table Appendix C, Table C3 shows the top 20 priority regional secondary schools by proportion of SIMD20 pupils.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17D1" w14:textId="19117078" w:rsidR="009A5E22" w:rsidRDefault="009A5E2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E6D82" w14:textId="3803D920" w:rsidR="009A5E22" w:rsidRDefault="009A5E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83CC" w14:textId="5013062A" w:rsidR="009A5E22" w:rsidRPr="00151004" w:rsidRDefault="009A5E22">
    <w:pPr>
      <w:pStyle w:val="Header"/>
      <w:rPr>
        <w:rFonts w:ascii="Titillium" w:hAnsi="Titillium"/>
        <w:color w:val="FFFFFF" w:themeColor="background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F5D7" w14:textId="7F8BFA07" w:rsidR="009A5E22" w:rsidRDefault="009A5E2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965A9" w14:textId="2755AD51" w:rsidR="009A5E22" w:rsidRDefault="009A5E2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E32" w14:textId="2C9DFE84" w:rsidR="009A5E22" w:rsidRPr="00077382"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55680" behindDoc="0" locked="0" layoutInCell="1" allowOverlap="1" wp14:anchorId="360B673F" wp14:editId="6E849A73">
              <wp:simplePos x="0" y="0"/>
              <wp:positionH relativeFrom="margin">
                <wp:posOffset>0</wp:posOffset>
              </wp:positionH>
              <wp:positionV relativeFrom="paragraph">
                <wp:posOffset>-635</wp:posOffset>
              </wp:positionV>
              <wp:extent cx="1590675" cy="295275"/>
              <wp:effectExtent l="0" t="0" r="9525" b="9525"/>
              <wp:wrapNone/>
              <wp:docPr id="15" name="Group 15"/>
              <wp:cNvGraphicFramePr/>
              <a:graphic xmlns:a="http://schemas.openxmlformats.org/drawingml/2006/main">
                <a:graphicData uri="http://schemas.microsoft.com/office/word/2010/wordprocessingGroup">
                  <wpg:wgp>
                    <wpg:cNvGrpSpPr/>
                    <wpg:grpSpPr>
                      <a:xfrm flipV="1">
                        <a:off x="0" y="0"/>
                        <a:ext cx="1590674" cy="295275"/>
                        <a:chOff x="-6993881" y="103894"/>
                        <a:chExt cx="7143750" cy="805180"/>
                      </a:xfrm>
                      <a:solidFill>
                        <a:srgbClr val="C00000"/>
                      </a:solidFill>
                    </wpg:grpSpPr>
                    <wps:wsp>
                      <wps:cNvPr id="16" name="Rectangle 6"/>
                      <wps:cNvSpPr/>
                      <wps:spPr>
                        <a:xfrm flipH="1" flipV="1">
                          <a:off x="-6993881" y="103894"/>
                          <a:ext cx="6271893" cy="805180"/>
                        </a:xfrm>
                        <a:prstGeom prst="rect">
                          <a:avLst/>
                        </a:prstGeom>
                        <a:grpFill/>
                        <a:ln w="6350" cap="flat" cmpd="sng" algn="ctr">
                          <a:noFill/>
                          <a:prstDash val="solid"/>
                          <a:miter lim="800000"/>
                        </a:ln>
                        <a:effectLst/>
                      </wps:spPr>
                      <wps:txbx>
                        <w:txbxContent>
                          <w:p w14:paraId="6B6BA445" w14:textId="77777777" w:rsidR="009A5E22" w:rsidRPr="00077382" w:rsidRDefault="009A5E22" w:rsidP="00B90748">
                            <w:pPr>
                              <w:rPr>
                                <w:rFonts w:ascii="Titillium" w:hAnsi="Titillium"/>
                                <w:color w:val="FFFFFF" w:themeColor="background1"/>
                              </w:rPr>
                            </w:pPr>
                            <w:r>
                              <w:rPr>
                                <w:rFonts w:ascii="Titillium" w:hAnsi="Titillium"/>
                                <w:color w:val="FFFFFF" w:themeColor="background1"/>
                              </w:rPr>
                              <w:t>Appendix A</w:t>
                            </w:r>
                          </w:p>
                        </w:txbxContent>
                      </wps:txbx>
                      <wps:bodyPr rtlCol="0" anchor="ctr">
                        <a:noAutofit/>
                      </wps:bodyPr>
                    </wps:wsp>
                    <wps:wsp>
                      <wps:cNvPr id="17" name="Isosceles Triangle 10"/>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360B673F" id="Group 15" o:spid="_x0000_s1037" style="position:absolute;margin-left:0;margin-top:0;width:125.25pt;height:23.25pt;flip:y;z-index:251655680;mso-position-horizontal-relative:margin;mso-width-relative:margin;mso-height-relative:margin" coordorigin="-6993881,103894"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">
              <v:rect id="Rectangle 6" o:spid="_x0000_s1038" style="position:absolute;left:-6993881;top:103894;width:6271893;height:805180;flip:x 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BzsrvgAA&#10;ANsAAAAPAAAAZHJzL2Rvd25yZXYueG1sRE9Ni8IwEL0L+x/CLHjTVA8q1SiysNqrrqjHsRmbYjMp&#10;SdTuv98IC97m8T5nsepsIx7kQ+1YwWiYgSAuna65UnD4+R7MQISIrLFxTAp+KcBq+dFbYK7dk3f0&#10;2MdKpBAOOSowMba5lKE0ZDEMXUucuKvzFmOCvpLa4zOF20aOs2wiLdacGgy29GWovO3vVkG4mNGU&#10;Nj76447O2bbYcjE7KdX/7NZzEJG6+Bb/uwud5k/g9Us6QC7/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Ac7K74AAADbAAAADwAAAAAAAAAAAAAAAACXAgAAZHJzL2Rvd25yZXYu&#10;eG1sUEsFBgAAAAAEAAQA9QAAAIIDAAAAAA==&#10;" filled="f" stroked="f" strokeweight=".5pt">
                <v:textbox>
                  <w:txbxContent>
                    <w:p w14:paraId="6B6BA445" w14:textId="77777777" w:rsidR="009A5E22" w:rsidRPr="00077382" w:rsidRDefault="009A5E22" w:rsidP="00B90748">
                      <w:pPr>
                        <w:rPr>
                          <w:rFonts w:ascii="Titillium" w:hAnsi="Titillium"/>
                          <w:color w:val="FFFFFF" w:themeColor="background1"/>
                        </w:rPr>
                      </w:pPr>
                      <w:r>
                        <w:rPr>
                          <w:rFonts w:ascii="Titillium" w:hAnsi="Titillium"/>
                          <w:color w:val="FFFFFF" w:themeColor="background1"/>
                        </w:rPr>
                        <w:t>Appendix A</w:t>
                      </w: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39" type="#_x0000_t5" style="position:absolute;left:-1593204;top:103894;width:1743073;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qVSTvwAA&#10;ANsAAAAPAAAAZHJzL2Rvd25yZXYueG1sRE/bisIwEH0X/IcwC77ZdGXRpWssRRAX9MXLBwzNbFu2&#10;mYQm2urXG0HwbQ7nOst8MK24Uucbywo+kxQEcWl1w5WC82kz/QbhA7LG1jIpuJGHfDUeLTHTtucD&#10;XY+hEjGEfYYK6hBcJqUvazLoE+uII/dnO4Mhwq6SusM+hptWztJ0Lg02HBtqdLSuqfw/XoyC+2Jr&#10;djO3t+7ut2H+Rb2uLoVSk4+h+AERaAhv8cv9q+P8BTx/iQfI1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CpVJO/AAAA2wAAAA8AAAAAAAAAAAAAAAAAlwIAAGRycy9kb3ducmV2&#10;LnhtbFBLBQYAAAAABAAEAPUAAACDAwAAAAA=&#10;" filled="f" stroked="f" strokeweight=".5pt"/>
              <w10:wrap anchorx="margin"/>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DF5A" w14:textId="3F61D5D9" w:rsidR="009A5E22" w:rsidRDefault="009A5E2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F370" w14:textId="5A9AAFB5" w:rsidR="009A5E22" w:rsidRDefault="009A5E2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5902" w14:textId="4439CE64" w:rsidR="009A5E22" w:rsidRPr="00077382"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54656" behindDoc="0" locked="0" layoutInCell="1" allowOverlap="1" wp14:anchorId="70262150" wp14:editId="01D8FDDE">
              <wp:simplePos x="0" y="0"/>
              <wp:positionH relativeFrom="margin">
                <wp:posOffset>0</wp:posOffset>
              </wp:positionH>
              <wp:positionV relativeFrom="paragraph">
                <wp:posOffset>-635</wp:posOffset>
              </wp:positionV>
              <wp:extent cx="1590675" cy="295275"/>
              <wp:effectExtent l="0" t="0" r="9525" b="9525"/>
              <wp:wrapNone/>
              <wp:docPr id="1" name="Group 1"/>
              <wp:cNvGraphicFramePr/>
              <a:graphic xmlns:a="http://schemas.openxmlformats.org/drawingml/2006/main">
                <a:graphicData uri="http://schemas.microsoft.com/office/word/2010/wordprocessingGroup">
                  <wpg:wgp>
                    <wpg:cNvGrpSpPr/>
                    <wpg:grpSpPr>
                      <a:xfrm flipV="1">
                        <a:off x="0" y="0"/>
                        <a:ext cx="1590675" cy="295275"/>
                        <a:chOff x="-6993881" y="103894"/>
                        <a:chExt cx="7143750" cy="805180"/>
                      </a:xfrm>
                      <a:solidFill>
                        <a:srgbClr val="C00000"/>
                      </a:solidFill>
                    </wpg:grpSpPr>
                    <wps:wsp>
                      <wps:cNvPr id="4" name="Rectangle 6"/>
                      <wps:cNvSpPr/>
                      <wps:spPr>
                        <a:xfrm flipH="1" flipV="1">
                          <a:off x="-6993881" y="103894"/>
                          <a:ext cx="6271893" cy="805180"/>
                        </a:xfrm>
                        <a:prstGeom prst="rect">
                          <a:avLst/>
                        </a:prstGeom>
                        <a:grpFill/>
                        <a:ln w="6350" cap="flat" cmpd="sng" algn="ctr">
                          <a:noFill/>
                          <a:prstDash val="solid"/>
                          <a:miter lim="800000"/>
                        </a:ln>
                        <a:effectLst/>
                      </wps:spPr>
                      <wps:txbx>
                        <w:txbxContent>
                          <w:p w14:paraId="12F72021" w14:textId="046688BC" w:rsidR="009A5E22" w:rsidRPr="00077382" w:rsidRDefault="009A5E22" w:rsidP="00D62AC9">
                            <w:pPr>
                              <w:rPr>
                                <w:rFonts w:ascii="Titillium" w:hAnsi="Titillium"/>
                                <w:color w:val="FFFFFF" w:themeColor="background1"/>
                              </w:rPr>
                            </w:pPr>
                            <w:r>
                              <w:rPr>
                                <w:rFonts w:ascii="Titillium" w:hAnsi="Titillium"/>
                                <w:color w:val="FFFFFF" w:themeColor="background1"/>
                              </w:rPr>
                              <w:t>Appendix B</w:t>
                            </w:r>
                          </w:p>
                        </w:txbxContent>
                      </wps:txbx>
                      <wps:bodyPr rtlCol="0" anchor="ctr">
                        <a:noAutofit/>
                      </wps:bodyPr>
                    </wps:wsp>
                    <wps:wsp>
                      <wps:cNvPr id="10" name="Isosceles Triangle 10"/>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0262150" id="Group 1" o:spid="_x0000_s1040" style="position:absolute;margin-left:0;margin-top:0;width:125.25pt;height:23.25pt;flip:y;z-index:251654656;mso-position-horizontal-relative:margin;mso-width-relative:margin;mso-height-relative:margin" coordorigin="-6993881,103894"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">
              <v:rect id="Rectangle 6" o:spid="_x0000_s1041" style="position:absolute;left:-6993881;top:103894;width:6271893;height:805180;flip:x 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fMwQAA&#10;ANoAAAAPAAAAZHJzL2Rvd25yZXYueG1sRI9PawIxFMTvQr9DeIXeNGspVVazSym07tU/qMfn5rlZ&#10;3LwsSarbb98UBI/DzPyGWZaD7cSVfGgdK5hOMhDEtdMtNwp226/xHESIyBo7x6TglwKUxdNoibl2&#10;N17TdRMbkSAcclRgYuxzKUNtyGKYuJ44eWfnLcYkfSO1x1uC206+Ztm7tNhyWjDY06eh+rL5sQrC&#10;yUxn9O2j36/pmK2qFVfzg1Ivz8PHAkSkIT7C93alFbzB/5V0A2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1EnzMEAAADaAAAADwAAAAAAAAAAAAAAAACXAgAAZHJzL2Rvd25y&#10;ZXYueG1sUEsFBgAAAAAEAAQA9QAAAIUDAAAAAA==&#10;" filled="f" stroked="f" strokeweight=".5pt">
                <v:textbox>
                  <w:txbxContent>
                    <w:p w14:paraId="12F72021" w14:textId="046688BC" w:rsidR="009A5E22" w:rsidRPr="00077382" w:rsidRDefault="009A5E22" w:rsidP="00D62AC9">
                      <w:pPr>
                        <w:rPr>
                          <w:rFonts w:ascii="Titillium" w:hAnsi="Titillium"/>
                          <w:color w:val="FFFFFF" w:themeColor="background1"/>
                        </w:rPr>
                      </w:pPr>
                      <w:r>
                        <w:rPr>
                          <w:rFonts w:ascii="Titillium" w:hAnsi="Titillium"/>
                          <w:color w:val="FFFFFF" w:themeColor="background1"/>
                        </w:rPr>
                        <w:t>Appendix B</w:t>
                      </w: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42" type="#_x0000_t5" style="position:absolute;left:-1593204;top:103894;width:1743073;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MznwwAA&#10;ANsAAAAPAAAAZHJzL2Rvd25yZXYueG1sRI/NasNADITvgb7DokJvybqhJMXN2oRCcaG55OcBhFe1&#10;Tb3axbuJXT99dSjkJjGjmU+7cnK9utEQO88GnlcZKOLa244bA5fzx/IVVEzIFnvPZOCXIpTFw2KH&#10;ufUjH+l2So2SEI45GmhTCrnWsW7JYVz5QCzatx8cJlmHRtsBRwl3vV5n2UY77FgaWgz03lL9c7o6&#10;A/O2cl/rcPBhjlXavNBom+vemKfHaf8GKtGU7ub/608r+EIvv8gAuv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MznwwAAANsAAAAPAAAAAAAAAAAAAAAAAJcCAABkcnMvZG93&#10;bnJldi54bWxQSwUGAAAAAAQABAD1AAAAhwMAAAAA&#10;" filled="f" stroked="f" strokeweight=".5pt"/>
              <w10:wrap anchorx="margin"/>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89561" w14:textId="1CE6BAD8" w:rsidR="009A5E22" w:rsidRDefault="009A5E2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A1B5" w14:textId="5105E0B7" w:rsidR="009A5E22" w:rsidRDefault="009A5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4D9A" w14:textId="30DF36F1" w:rsidR="009A5E22" w:rsidRPr="00473F77" w:rsidRDefault="009A5E22" w:rsidP="00FF2229">
    <w:pPr>
      <w:tabs>
        <w:tab w:val="left" w:pos="1080"/>
        <w:tab w:val="center" w:pos="7699"/>
      </w:tabs>
      <w:rPr>
        <w:rFonts w:ascii="Titillium" w:hAnsi="Titillium"/>
        <w:b/>
        <w:color w:val="C00000"/>
        <w:sz w:val="48"/>
        <w:szCs w:val="48"/>
      </w:rPr>
    </w:pPr>
    <w:r w:rsidRPr="00741159">
      <w:rPr>
        <w:rFonts w:ascii="Titillium" w:hAnsi="Titillium"/>
        <w:b/>
        <w:noProof/>
        <w:sz w:val="48"/>
        <w:szCs w:val="48"/>
        <w:lang w:val="en-GB" w:eastAsia="en-GB"/>
      </w:rPr>
      <w:drawing>
        <wp:anchor distT="0" distB="0" distL="114300" distR="114300" simplePos="0" relativeHeight="251683328" behindDoc="1" locked="0" layoutInCell="1" allowOverlap="1" wp14:anchorId="0DAB4B0D" wp14:editId="263168CA">
          <wp:simplePos x="0" y="0"/>
          <wp:positionH relativeFrom="column">
            <wp:posOffset>7686675</wp:posOffset>
          </wp:positionH>
          <wp:positionV relativeFrom="paragraph">
            <wp:posOffset>103505</wp:posOffset>
          </wp:positionV>
          <wp:extent cx="2133600" cy="524510"/>
          <wp:effectExtent l="0" t="0" r="0" b="8890"/>
          <wp:wrapNone/>
          <wp:docPr id="196" name="Picture 196" descr="ENU_Logo_be0f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tillium" w:hAnsi="Titillium"/>
        <w:color w:val="FFFFFF" w:themeColor="background1"/>
      </w:rPr>
      <w:tab/>
    </w:r>
    <w:r>
      <w:rPr>
        <w:rFonts w:ascii="Titillium" w:hAnsi="Titillium"/>
        <w:color w:val="FFFFFF" w:themeColor="background1"/>
      </w:rPr>
      <w:tab/>
    </w:r>
    <w:r w:rsidRPr="00741159">
      <w:rPr>
        <w:rFonts w:ascii="Titillium" w:hAnsi="Titillium"/>
        <w:b/>
        <w:noProof/>
        <w:sz w:val="48"/>
        <w:szCs w:val="48"/>
        <w:lang w:val="en-GB" w:eastAsia="en-GB"/>
      </w:rPr>
      <w:drawing>
        <wp:anchor distT="0" distB="0" distL="114300" distR="114300" simplePos="0" relativeHeight="251681280" behindDoc="1" locked="0" layoutInCell="1" allowOverlap="1" wp14:anchorId="4EF2C238" wp14:editId="578AF72A">
          <wp:simplePos x="0" y="0"/>
          <wp:positionH relativeFrom="margin">
            <wp:align>left</wp:align>
          </wp:positionH>
          <wp:positionV relativeFrom="paragraph">
            <wp:posOffset>9525</wp:posOffset>
          </wp:positionV>
          <wp:extent cx="880110" cy="880110"/>
          <wp:effectExtent l="0" t="0" r="0" b="0"/>
          <wp:wrapNone/>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880110"/>
                  </a:xfrm>
                  <a:prstGeom prst="rect">
                    <a:avLst/>
                  </a:prstGeom>
                </pic:spPr>
              </pic:pic>
            </a:graphicData>
          </a:graphic>
          <wp14:sizeRelH relativeFrom="margin">
            <wp14:pctWidth>0</wp14:pctWidth>
          </wp14:sizeRelH>
          <wp14:sizeRelV relativeFrom="margin">
            <wp14:pctHeight>0</wp14:pctHeight>
          </wp14:sizeRelV>
        </wp:anchor>
      </w:drawing>
    </w:r>
    <w:r w:rsidR="00FA2C7A">
      <w:rPr>
        <w:rFonts w:ascii="Titillium" w:hAnsi="Titillium"/>
        <w:b/>
        <w:noProof/>
        <w:color w:val="C00000"/>
        <w:sz w:val="48"/>
        <w:szCs w:val="48"/>
        <w:lang w:val="en-GB" w:eastAsia="en-GB"/>
      </w:rPr>
      <w:drawing>
        <wp:inline distT="0" distB="0" distL="0" distR="0" wp14:anchorId="7E4B80EE" wp14:editId="3135A31C">
          <wp:extent cx="1778635" cy="648790"/>
          <wp:effectExtent l="0" t="0" r="0" b="1206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oBeyond.jpg"/>
                  <pic:cNvPicPr/>
                </pic:nvPicPr>
                <pic:blipFill>
                  <a:blip r:embed="rId3">
                    <a:extLst>
                      <a:ext uri="{28A0092B-C50C-407E-A947-70E740481C1C}">
                        <a14:useLocalDpi xmlns:a14="http://schemas.microsoft.com/office/drawing/2010/main" val="0"/>
                      </a:ext>
                    </a:extLst>
                  </a:blip>
                  <a:stretch>
                    <a:fillRect/>
                  </a:stretch>
                </pic:blipFill>
                <pic:spPr>
                  <a:xfrm>
                    <a:off x="0" y="0"/>
                    <a:ext cx="1848131" cy="674140"/>
                  </a:xfrm>
                  <a:prstGeom prst="rect">
                    <a:avLst/>
                  </a:prstGeom>
                </pic:spPr>
              </pic:pic>
            </a:graphicData>
          </a:graphic>
        </wp:inline>
      </w:drawing>
    </w:r>
  </w:p>
  <w:p w14:paraId="646993BC" w14:textId="4EC60AB5" w:rsidR="009A5E22" w:rsidRPr="00077382" w:rsidRDefault="009A5E22">
    <w:pPr>
      <w:pStyle w:val="Header"/>
      <w:rPr>
        <w:rFonts w:ascii="Titillium" w:hAnsi="Titillium"/>
        <w:color w:val="FFFFFF" w:themeColor="background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23E" w14:textId="78AFB442" w:rsidR="009A5E22" w:rsidRPr="00077382"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56704" behindDoc="0" locked="0" layoutInCell="1" allowOverlap="1" wp14:anchorId="481E0165" wp14:editId="42286D9D">
              <wp:simplePos x="0" y="0"/>
              <wp:positionH relativeFrom="margin">
                <wp:posOffset>0</wp:posOffset>
              </wp:positionH>
              <wp:positionV relativeFrom="paragraph">
                <wp:posOffset>-635</wp:posOffset>
              </wp:positionV>
              <wp:extent cx="1590675" cy="295275"/>
              <wp:effectExtent l="0" t="0" r="9525" b="9525"/>
              <wp:wrapNone/>
              <wp:docPr id="2" name="Group 2"/>
              <wp:cNvGraphicFramePr/>
              <a:graphic xmlns:a="http://schemas.openxmlformats.org/drawingml/2006/main">
                <a:graphicData uri="http://schemas.microsoft.com/office/word/2010/wordprocessingGroup">
                  <wpg:wgp>
                    <wpg:cNvGrpSpPr/>
                    <wpg:grpSpPr>
                      <a:xfrm flipV="1">
                        <a:off x="0" y="0"/>
                        <a:ext cx="1590675" cy="295275"/>
                        <a:chOff x="-6993881" y="103894"/>
                        <a:chExt cx="7143750" cy="805180"/>
                      </a:xfrm>
                      <a:solidFill>
                        <a:srgbClr val="C00000"/>
                      </a:solidFill>
                    </wpg:grpSpPr>
                    <wps:wsp>
                      <wps:cNvPr id="6" name="Rectangle 6"/>
                      <wps:cNvSpPr/>
                      <wps:spPr>
                        <a:xfrm flipH="1" flipV="1">
                          <a:off x="-6993881" y="103894"/>
                          <a:ext cx="6271893" cy="805180"/>
                        </a:xfrm>
                        <a:prstGeom prst="rect">
                          <a:avLst/>
                        </a:prstGeom>
                        <a:grpFill/>
                        <a:ln w="6350" cap="flat" cmpd="sng" algn="ctr">
                          <a:noFill/>
                          <a:prstDash val="solid"/>
                          <a:miter lim="800000"/>
                        </a:ln>
                        <a:effectLst/>
                      </wps:spPr>
                      <wps:txbx>
                        <w:txbxContent>
                          <w:p w14:paraId="0D61F355" w14:textId="2AB3EC3B" w:rsidR="009A5E22" w:rsidRPr="00077382" w:rsidRDefault="009A5E22" w:rsidP="00D62AC9">
                            <w:pPr>
                              <w:rPr>
                                <w:rFonts w:ascii="Titillium" w:hAnsi="Titillium"/>
                                <w:color w:val="FFFFFF" w:themeColor="background1"/>
                              </w:rPr>
                            </w:pPr>
                            <w:r>
                              <w:rPr>
                                <w:rFonts w:ascii="Titillium" w:hAnsi="Titillium"/>
                                <w:color w:val="FFFFFF" w:themeColor="background1"/>
                              </w:rPr>
                              <w:t>Appendix C</w:t>
                            </w:r>
                          </w:p>
                        </w:txbxContent>
                      </wps:txbx>
                      <wps:bodyPr rtlCol="0" anchor="ctr">
                        <a:noAutofit/>
                      </wps:bodyPr>
                    </wps:wsp>
                    <wps:wsp>
                      <wps:cNvPr id="8" name="Isosceles Triangle 8"/>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481E0165" id="Group 2" o:spid="_x0000_s1043" style="position:absolute;margin-left:0;margin-top:0;width:125.25pt;height:23.25pt;flip:y;z-index:251656704;mso-position-horizontal-relative:margin;mso-width-relative:margin;mso-height-relative:margin" coordorigin="-6993881,103894"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">
              <v:rect id="Rectangle 6" o:spid="_x0000_s1044" style="position:absolute;left:-6993881;top:103894;width:6271893;height:805180;flip:x 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xwgvwAA&#10;ANoAAAAPAAAAZHJzL2Rvd25yZXYueG1sRI9Bi8IwFITvwv6H8Ba8aaoHlWoUWVjtVVfU47N5NsXm&#10;pSRRu/9+Iyx4HGbmG2ax6mwjHuRD7VjBaJiBIC6drrlScPj5HsxAhIissXFMCn4pwGr50Vtgrt2T&#10;d/TYx0okCIccFZgY21zKUBqyGIauJU7e1XmLMUlfSe3xmeC2keMsm0iLNacFgy19GSpv+7tVEC5m&#10;NKWNj/64o3O2LbZczE5K9T+79RxEpC6+w//tQiuYwOtKugFy+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DPHCC/AAAA2gAAAA8AAAAAAAAAAAAAAAAAlwIAAGRycy9kb3ducmV2&#10;LnhtbFBLBQYAAAAABAAEAPUAAACDAwAAAAA=&#10;" filled="f" stroked="f" strokeweight=".5pt">
                <v:textbox>
                  <w:txbxContent>
                    <w:p w14:paraId="0D61F355" w14:textId="2AB3EC3B" w:rsidR="009A5E22" w:rsidRPr="00077382" w:rsidRDefault="009A5E22" w:rsidP="00D62AC9">
                      <w:pPr>
                        <w:rPr>
                          <w:rFonts w:ascii="Titillium" w:hAnsi="Titillium"/>
                          <w:color w:val="FFFFFF" w:themeColor="background1"/>
                        </w:rPr>
                      </w:pPr>
                      <w:r>
                        <w:rPr>
                          <w:rFonts w:ascii="Titillium" w:hAnsi="Titillium"/>
                          <w:color w:val="FFFFFF" w:themeColor="background1"/>
                        </w:rPr>
                        <w:t>Appendix C</w:t>
                      </w: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45" type="#_x0000_t5" style="position:absolute;left:-1593204;top:103894;width:1743073;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MKjauwAA&#10;ANoAAAAPAAAAZHJzL2Rvd25yZXYueG1sRE9LCsIwEN0L3iGM4E5TRVSqUUQQBd34OcDQjG2xmYQm&#10;2urpzUJw+Xj/5bo1lXhR7UvLCkbDBARxZnXJuYLbdTeYg/ABWWNlmRS8ycN61e0sMdW24TO9LiEX&#10;MYR9igqKEFwqpc8KMuiH1hFH7m5rgyHCOpe6xiaGm0qOk2QqDZYcGwp0tC0oe1yeRsFntjfHsTtZ&#10;9/H7MJ1Qo/PnRql+r90sQARqw1/8cx+0grg1Xok3QK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yTCo2rsAAADaAAAADwAAAAAAAAAAAAAAAACXAgAAZHJzL2Rvd25yZXYueG1s&#10;UEsFBgAAAAAEAAQA9QAAAH8DAAAAAA==&#10;" filled="f" stroked="f" strokeweight=".5pt"/>
              <w10:wrap anchorx="margin"/>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6A90" w14:textId="7B539847" w:rsidR="009A5E22" w:rsidRDefault="009A5E2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89A5" w14:textId="087459F2" w:rsidR="009A5E22" w:rsidRDefault="009A5E2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A1F12" w14:textId="07A33154" w:rsidR="009A5E22" w:rsidRPr="00077382"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57728" behindDoc="0" locked="0" layoutInCell="1" allowOverlap="1" wp14:anchorId="1146CAFB" wp14:editId="63E5AD7D">
              <wp:simplePos x="0" y="0"/>
              <wp:positionH relativeFrom="margin">
                <wp:posOffset>0</wp:posOffset>
              </wp:positionH>
              <wp:positionV relativeFrom="paragraph">
                <wp:posOffset>-635</wp:posOffset>
              </wp:positionV>
              <wp:extent cx="1590675" cy="295275"/>
              <wp:effectExtent l="0" t="0" r="9525" b="9525"/>
              <wp:wrapNone/>
              <wp:docPr id="9" name="Group 9"/>
              <wp:cNvGraphicFramePr/>
              <a:graphic xmlns:a="http://schemas.openxmlformats.org/drawingml/2006/main">
                <a:graphicData uri="http://schemas.microsoft.com/office/word/2010/wordprocessingGroup">
                  <wpg:wgp>
                    <wpg:cNvGrpSpPr/>
                    <wpg:grpSpPr>
                      <a:xfrm flipV="1">
                        <a:off x="0" y="0"/>
                        <a:ext cx="1590675" cy="295275"/>
                        <a:chOff x="-6993881" y="103894"/>
                        <a:chExt cx="7143750" cy="805180"/>
                      </a:xfrm>
                      <a:solidFill>
                        <a:srgbClr val="C00000"/>
                      </a:solidFill>
                    </wpg:grpSpPr>
                    <wps:wsp>
                      <wps:cNvPr id="12" name="Rectangle 12"/>
                      <wps:cNvSpPr/>
                      <wps:spPr>
                        <a:xfrm flipH="1" flipV="1">
                          <a:off x="-6993881" y="103894"/>
                          <a:ext cx="6271893" cy="805180"/>
                        </a:xfrm>
                        <a:prstGeom prst="rect">
                          <a:avLst/>
                        </a:prstGeom>
                        <a:grpFill/>
                        <a:ln w="6350" cap="flat" cmpd="sng" algn="ctr">
                          <a:noFill/>
                          <a:prstDash val="solid"/>
                          <a:miter lim="800000"/>
                        </a:ln>
                        <a:effectLst/>
                      </wps:spPr>
                      <wps:txbx>
                        <w:txbxContent>
                          <w:p w14:paraId="032A98F8" w14:textId="52F4C637" w:rsidR="009A5E22" w:rsidRPr="00077382" w:rsidRDefault="009A5E22" w:rsidP="00D62AC9">
                            <w:pPr>
                              <w:rPr>
                                <w:rFonts w:ascii="Titillium" w:hAnsi="Titillium"/>
                                <w:color w:val="FFFFFF" w:themeColor="background1"/>
                              </w:rPr>
                            </w:pPr>
                            <w:r>
                              <w:rPr>
                                <w:rFonts w:ascii="Titillium" w:hAnsi="Titillium"/>
                                <w:color w:val="FFFFFF" w:themeColor="background1"/>
                              </w:rPr>
                              <w:t>Appendix D</w:t>
                            </w:r>
                          </w:p>
                        </w:txbxContent>
                      </wps:txbx>
                      <wps:bodyPr rtlCol="0" anchor="ctr">
                        <a:noAutofit/>
                      </wps:bodyPr>
                    </wps:wsp>
                    <wps:wsp>
                      <wps:cNvPr id="13" name="Isosceles Triangle 13"/>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1146CAFB" id="Group 9" o:spid="_x0000_s1046" style="position:absolute;margin-left:0;margin-top:0;width:125.25pt;height:23.25pt;flip:y;z-index:251657728;mso-position-horizontal-relative:margin;mso-width-relative:margin;mso-height-relative:margin" coordorigin="-6993881,103894"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">
              <v:rect id="Rectangle 12" o:spid="_x0000_s1047" style="position:absolute;left:-6993881;top:103894;width:6271893;height:805180;flip:x 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PD0ovgAA&#10;ANsAAAAPAAAAZHJzL2Rvd25yZXYueG1sRE9Ni8IwEL0L+x/CLOxNUz2sUo0iC6u96op6HJuxKTaT&#10;kkSt/94IC97m8T5ntuhsI27kQ+1YwXCQgSAuna65UrD7++1PQISIrLFxTAoeFGAx/+jNMNfuzhu6&#10;bWMlUgiHHBWYGNtcylAashgGriVO3Nl5izFBX0nt8Z7CbSNHWfYtLdacGgy29GOovGyvVkE4meGY&#10;Vj76/YaO2bpYczE5KPX12S2nICJ18S3+dxc6zR/B65d0gJw/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zw9KL4AAADbAAAADwAAAAAAAAAAAAAAAACXAgAAZHJzL2Rvd25yZXYu&#10;eG1sUEsFBgAAAAAEAAQA9QAAAIIDAAAAAA==&#10;" filled="f" stroked="f" strokeweight=".5pt">
                <v:textbox>
                  <w:txbxContent>
                    <w:p w14:paraId="032A98F8" w14:textId="52F4C637" w:rsidR="009A5E22" w:rsidRPr="00077382" w:rsidRDefault="009A5E22" w:rsidP="00D62AC9">
                      <w:pPr>
                        <w:rPr>
                          <w:rFonts w:ascii="Titillium" w:hAnsi="Titillium"/>
                          <w:color w:val="FFFFFF" w:themeColor="background1"/>
                        </w:rPr>
                      </w:pPr>
                      <w:r>
                        <w:rPr>
                          <w:rFonts w:ascii="Titillium" w:hAnsi="Titillium"/>
                          <w:color w:val="FFFFFF" w:themeColor="background1"/>
                        </w:rPr>
                        <w:t>Appendix D</w:t>
                      </w: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48" type="#_x0000_t5" style="position:absolute;left:-1593204;top:103894;width:1743073;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lKQvgAA&#10;ANsAAAAPAAAAZHJzL2Rvd25yZXYueG1sRE/LqsIwEN0L/kMYwZ2m6kWlGkUEUfBufHzA0IxtsZmE&#10;Jtrq15sLF9zN4TxnuW5NJZ5U+9KygtEwAUGcWV1yruB62Q3mIHxA1lhZJgUv8rBedTtLTLVt+ETP&#10;c8hFDGGfooIiBJdK6bOCDPqhdcSRu9naYIiwzqWusYnhppLjJJlKgyXHhgIdbQvK7ueHUfCe7c1x&#10;7H6te/t9mP5Qo/PHRql+r90sQARqw1f87z7oOH8Cf7/EA+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j5JSkL4AAADbAAAADwAAAAAAAAAAAAAAAACXAgAAZHJzL2Rvd25yZXYu&#10;eG1sUEsFBgAAAAAEAAQA9QAAAIIDAAAAAA==&#10;" filled="f" stroked="f" strokeweight=".5pt"/>
              <w10:wrap anchorx="margin"/>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63A4" w14:textId="698AAF4F" w:rsidR="009A5E22" w:rsidRDefault="009A5E2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A3711" w14:textId="312E2389" w:rsidR="009A5E22" w:rsidRDefault="009A5E2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6C0A" w14:textId="1AA825FB" w:rsidR="009A5E22" w:rsidRPr="00077382"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59776" behindDoc="0" locked="0" layoutInCell="1" allowOverlap="1" wp14:anchorId="36A6758E" wp14:editId="2AF88BB9">
              <wp:simplePos x="0" y="0"/>
              <wp:positionH relativeFrom="margin">
                <wp:posOffset>0</wp:posOffset>
              </wp:positionH>
              <wp:positionV relativeFrom="paragraph">
                <wp:posOffset>-635</wp:posOffset>
              </wp:positionV>
              <wp:extent cx="1590675" cy="295275"/>
              <wp:effectExtent l="0" t="0" r="9525" b="9525"/>
              <wp:wrapNone/>
              <wp:docPr id="20" name="Group 20"/>
              <wp:cNvGraphicFramePr/>
              <a:graphic xmlns:a="http://schemas.openxmlformats.org/drawingml/2006/main">
                <a:graphicData uri="http://schemas.microsoft.com/office/word/2010/wordprocessingGroup">
                  <wpg:wgp>
                    <wpg:cNvGrpSpPr/>
                    <wpg:grpSpPr>
                      <a:xfrm flipV="1">
                        <a:off x="0" y="0"/>
                        <a:ext cx="1590675" cy="295275"/>
                        <a:chOff x="-6993881" y="103894"/>
                        <a:chExt cx="7143750" cy="805180"/>
                      </a:xfrm>
                      <a:solidFill>
                        <a:srgbClr val="C00000"/>
                      </a:solidFill>
                    </wpg:grpSpPr>
                    <wps:wsp>
                      <wps:cNvPr id="21" name="Rectangle 21"/>
                      <wps:cNvSpPr/>
                      <wps:spPr>
                        <a:xfrm flipH="1" flipV="1">
                          <a:off x="-6993881" y="103894"/>
                          <a:ext cx="6271893" cy="805180"/>
                        </a:xfrm>
                        <a:prstGeom prst="rect">
                          <a:avLst/>
                        </a:prstGeom>
                        <a:grpFill/>
                        <a:ln w="6350" cap="flat" cmpd="sng" algn="ctr">
                          <a:noFill/>
                          <a:prstDash val="solid"/>
                          <a:miter lim="800000"/>
                        </a:ln>
                        <a:effectLst/>
                      </wps:spPr>
                      <wps:txbx>
                        <w:txbxContent>
                          <w:p w14:paraId="4E09E539" w14:textId="02646778" w:rsidR="009A5E22" w:rsidRPr="00077382" w:rsidRDefault="009A5E22" w:rsidP="00D62AC9">
                            <w:pPr>
                              <w:rPr>
                                <w:rFonts w:ascii="Titillium" w:hAnsi="Titillium"/>
                                <w:color w:val="FFFFFF" w:themeColor="background1"/>
                              </w:rPr>
                            </w:pPr>
                            <w:r>
                              <w:rPr>
                                <w:rFonts w:ascii="Titillium" w:hAnsi="Titillium"/>
                                <w:color w:val="FFFFFF" w:themeColor="background1"/>
                              </w:rPr>
                              <w:t>Appendix E</w:t>
                            </w:r>
                          </w:p>
                        </w:txbxContent>
                      </wps:txbx>
                      <wps:bodyPr rtlCol="0" anchor="ctr">
                        <a:noAutofit/>
                      </wps:bodyPr>
                    </wps:wsp>
                    <wps:wsp>
                      <wps:cNvPr id="22" name="Isosceles Triangle 22"/>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36A6758E" id="Group 20" o:spid="_x0000_s1049" style="position:absolute;margin-left:0;margin-top:-.05pt;width:125.25pt;height:23.25pt;flip:y;z-index:251659776;mso-position-horizontal-relative:margin;mso-width-relative:margin;mso-height-relative:margin" coordorigin="-69938,1038" coordsize="71437,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">
              <v:rect id="Rectangle 21" o:spid="_x0000_s1050" style="position:absolute;left:-69938;top:1038;width:62719;height:805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" filled="f" stroked="f" strokeweight=".5pt">
                <v:textbox>
                  <w:txbxContent>
                    <w:p w14:paraId="4E09E539" w14:textId="02646778" w:rsidR="00127D49" w:rsidRPr="00077382" w:rsidRDefault="00127D49" w:rsidP="00D62AC9">
                      <w:pPr>
                        <w:rPr>
                          <w:rFonts w:ascii="Titillium" w:hAnsi="Titillium"/>
                          <w:color w:val="FFFFFF" w:themeColor="background1"/>
                        </w:rPr>
                      </w:pPr>
                      <w:r>
                        <w:rPr>
                          <w:rFonts w:ascii="Titillium" w:hAnsi="Titillium"/>
                          <w:color w:val="FFFFFF" w:themeColor="background1"/>
                        </w:rPr>
                        <w:t>Appendix 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51" type="#_x0000_t5" style="position:absolute;left:-15932;top:1038;width:17430;height:8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" filled="f" stroked="f" strokeweight=".5pt"/>
              <w10:wrap anchorx="margin"/>
            </v:group>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353D" w14:textId="72AB5022" w:rsidR="009A5E22" w:rsidRDefault="009A5E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83BD" w14:textId="4E9DDC18" w:rsidR="009A5E22" w:rsidRDefault="009A5E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6903C" w14:textId="22B53A06" w:rsidR="009A5E22" w:rsidRDefault="009A5E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tillium" w:hAnsi="Titillium"/>
        <w:color w:val="FFFFFF" w:themeColor="background1"/>
      </w:rPr>
      <w:id w:val="2054187685"/>
      <w:docPartObj>
        <w:docPartGallery w:val="Watermarks"/>
        <w:docPartUnique/>
      </w:docPartObj>
    </w:sdtPr>
    <w:sdtEndPr/>
    <w:sdtContent>
      <w:p w14:paraId="6B23FC83" w14:textId="1EE44911" w:rsidR="009A5E22" w:rsidRPr="00077382"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78208" behindDoc="0" locked="0" layoutInCell="1" allowOverlap="1" wp14:anchorId="5E9B0DDF" wp14:editId="7D700D95">
                  <wp:simplePos x="0" y="0"/>
                  <wp:positionH relativeFrom="margin">
                    <wp:posOffset>0</wp:posOffset>
                  </wp:positionH>
                  <wp:positionV relativeFrom="paragraph">
                    <wp:posOffset>-635</wp:posOffset>
                  </wp:positionV>
                  <wp:extent cx="1590675" cy="295275"/>
                  <wp:effectExtent l="0" t="0" r="9525" b="9525"/>
                  <wp:wrapNone/>
                  <wp:docPr id="14" name="Group 14"/>
                  <wp:cNvGraphicFramePr/>
                  <a:graphic xmlns:a="http://schemas.openxmlformats.org/drawingml/2006/main">
                    <a:graphicData uri="http://schemas.microsoft.com/office/word/2010/wordprocessingGroup">
                      <wpg:wgp>
                        <wpg:cNvGrpSpPr/>
                        <wpg:grpSpPr>
                          <a:xfrm flipV="1">
                            <a:off x="0" y="0"/>
                            <a:ext cx="1590674" cy="295275"/>
                            <a:chOff x="-6993881" y="103894"/>
                            <a:chExt cx="7143750" cy="805180"/>
                          </a:xfrm>
                          <a:solidFill>
                            <a:srgbClr val="C00000"/>
                          </a:solidFill>
                        </wpg:grpSpPr>
                        <wps:wsp>
                          <wps:cNvPr id="18" name="Rectangle 6"/>
                          <wps:cNvSpPr/>
                          <wps:spPr>
                            <a:xfrm flipH="1" flipV="1">
                              <a:off x="-6993881" y="103894"/>
                              <a:ext cx="6271893" cy="805180"/>
                            </a:xfrm>
                            <a:prstGeom prst="rect">
                              <a:avLst/>
                            </a:prstGeom>
                            <a:grpFill/>
                            <a:ln w="6350" cap="flat" cmpd="sng" algn="ctr">
                              <a:noFill/>
                              <a:prstDash val="solid"/>
                              <a:miter lim="800000"/>
                            </a:ln>
                            <a:effectLst/>
                          </wps:spPr>
                          <wps:txbx>
                            <w:txbxContent>
                              <w:p w14:paraId="4EBC345A" w14:textId="77777777" w:rsidR="009A5E22" w:rsidRPr="00077382" w:rsidRDefault="009A5E22" w:rsidP="00DD3527">
                                <w:pPr>
                                  <w:rPr>
                                    <w:rFonts w:ascii="Titillium" w:hAnsi="Titillium"/>
                                    <w:color w:val="FFFFFF" w:themeColor="background1"/>
                                  </w:rPr>
                                </w:pPr>
                                <w:r>
                                  <w:rPr>
                                    <w:rFonts w:ascii="Titillium" w:hAnsi="Titillium"/>
                                    <w:color w:val="FFFFFF" w:themeColor="background1"/>
                                  </w:rPr>
                                  <w:t>Introduction</w:t>
                                </w:r>
                              </w:p>
                            </w:txbxContent>
                          </wps:txbx>
                          <wps:bodyPr rtlCol="0" anchor="ctr">
                            <a:noAutofit/>
                          </wps:bodyPr>
                        </wps:wsp>
                        <wps:wsp>
                          <wps:cNvPr id="19" name="Isosceles Triangle 10"/>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5E9B0DDF" id="Group 14" o:spid="_x0000_s1031" style="position:absolute;margin-left:0;margin-top:0;width:125.25pt;height:23.25pt;flip:y;z-index:251678208;mso-position-horizontal-relative:margin;mso-width-relative:margin;mso-height-relative:margin" coordorigin="-6993881,103894"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">
                  <v:rect id="Rectangle 6" o:spid="_x0000_s1032" style="position:absolute;left:-6993881;top:103894;width:6271893;height:805180;flip:x 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1ArCwQAA&#10;ANsAAAAPAAAAZHJzL2Rvd25yZXYueG1sRI9Bb8IwDIXvk/gPkSftNlI4DNQREJoE9Aqbth1NY5qK&#10;xqmSDLp/jw9I3Gy95/c+L1aD79SFYmoDG5iMC1DEdbAtNwa+Pjevc1ApI1vsApOBf0qwWo6eFlja&#10;cOU9XQ65URLCqUQDLue+1DrVjjymceiJRTuF6DHLGhttI14l3Hd6WhRv2mPL0uCwpw9H9fnw5w2k&#10;o5vMaBtz/N7Tb7GrdlzNf4x5eR7W76AyDflhvl9XVvAFVn6RAfTy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QKwsEAAADbAAAADwAAAAAAAAAAAAAAAACXAgAAZHJzL2Rvd25y&#10;ZXYueG1sUEsFBgAAAAAEAAQA9QAAAIUDAAAAAA==&#10;" filled="f" stroked="f" strokeweight=".5pt">
                    <v:textbox>
                      <w:txbxContent>
                        <w:p w14:paraId="4EBC345A" w14:textId="77777777" w:rsidR="009A5E22" w:rsidRPr="00077382" w:rsidRDefault="009A5E22" w:rsidP="00DD3527">
                          <w:pPr>
                            <w:rPr>
                              <w:rFonts w:ascii="Titillium" w:hAnsi="Titillium"/>
                              <w:color w:val="FFFFFF" w:themeColor="background1"/>
                            </w:rPr>
                          </w:pPr>
                          <w:r>
                            <w:rPr>
                              <w:rFonts w:ascii="Titillium" w:hAnsi="Titillium"/>
                              <w:color w:val="FFFFFF" w:themeColor="background1"/>
                            </w:rPr>
                            <w:t>Introduction</w:t>
                          </w: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33" type="#_x0000_t5" style="position:absolute;left:-1593204;top:103894;width:1743073;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mV6vgAA&#10;ANsAAAAPAAAAZHJzL2Rvd25yZXYueG1sRE/NisIwEL4v+A5hBG9rqoiu1SgiiIJedH2AoRnbYjMJ&#10;TbTVpzeC4G0+vt+ZL1tTiTvVvrSsYNBPQBBnVpecKzj/b37/QPiArLGyTAoe5GG56PzMMdW24SPd&#10;TyEXMYR9igqKEFwqpc8KMuj71hFH7mJrgyHCOpe6xiaGm0oOk2QsDZYcGwp0tC4ou55uRsFzsjX7&#10;oTtY9/TbMB5Ro/PbSqlet13NQARqw1f8ce90nD+F9y/xALl4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7npler4AAADbAAAADwAAAAAAAAAAAAAAAACXAgAAZHJzL2Rvd25yZXYu&#10;eG1sUEsFBgAAAAAEAAQA9QAAAIIDAAAAAA==&#10;" filled="f" stroked="f" strokeweight=".5pt"/>
                  <w10:wrap anchorx="margin"/>
                </v:group>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4106" w14:textId="4D1466B6" w:rsidR="009A5E22" w:rsidRDefault="009A5E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5688" w14:textId="46171BA2" w:rsidR="009A5E22" w:rsidRDefault="009A5E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tillium" w:hAnsi="Titillium"/>
        <w:color w:val="FFFFFF" w:themeColor="background1"/>
      </w:rPr>
      <w:id w:val="1875181501"/>
      <w:docPartObj>
        <w:docPartGallery w:val="Watermarks"/>
        <w:docPartUnique/>
      </w:docPartObj>
    </w:sdtPr>
    <w:sdtEndPr/>
    <w:sdtContent>
      <w:p w14:paraId="18D23760" w14:textId="3ED5093E" w:rsidR="009A5E22" w:rsidRPr="0052671F" w:rsidRDefault="009A5E22">
        <w:pPr>
          <w:pStyle w:val="Header"/>
          <w:rPr>
            <w:rFonts w:ascii="Titillium" w:hAnsi="Titillium"/>
            <w:color w:val="FFFFFF" w:themeColor="background1"/>
          </w:rPr>
        </w:pPr>
        <w:r w:rsidRPr="00284BDA">
          <w:rPr>
            <w:rFonts w:ascii="Titillium" w:eastAsia="Times New Roman" w:hAnsi="Titillium" w:cs="Arial"/>
            <w:i/>
            <w:iCs/>
            <w:noProof/>
            <w:color w:val="FFFFFF" w:themeColor="background1"/>
            <w:sz w:val="40"/>
            <w:szCs w:val="22"/>
            <w:lang w:val="en-GB" w:eastAsia="en-GB"/>
          </w:rPr>
          <mc:AlternateContent>
            <mc:Choice Requires="wpg">
              <w:drawing>
                <wp:anchor distT="0" distB="0" distL="114300" distR="114300" simplePos="0" relativeHeight="251666944" behindDoc="0" locked="0" layoutInCell="1" allowOverlap="1" wp14:anchorId="6C324867" wp14:editId="60107C58">
                  <wp:simplePos x="0" y="0"/>
                  <wp:positionH relativeFrom="margin">
                    <wp:posOffset>0</wp:posOffset>
                  </wp:positionH>
                  <wp:positionV relativeFrom="paragraph">
                    <wp:posOffset>-635</wp:posOffset>
                  </wp:positionV>
                  <wp:extent cx="1590675" cy="295275"/>
                  <wp:effectExtent l="0" t="0" r="9525" b="9525"/>
                  <wp:wrapNone/>
                  <wp:docPr id="192" name="Group 192"/>
                  <wp:cNvGraphicFramePr/>
                  <a:graphic xmlns:a="http://schemas.openxmlformats.org/drawingml/2006/main">
                    <a:graphicData uri="http://schemas.microsoft.com/office/word/2010/wordprocessingGroup">
                      <wpg:wgp>
                        <wpg:cNvGrpSpPr/>
                        <wpg:grpSpPr>
                          <a:xfrm flipV="1">
                            <a:off x="0" y="0"/>
                            <a:ext cx="1590674" cy="295275"/>
                            <a:chOff x="-6993881" y="103894"/>
                            <a:chExt cx="7143750" cy="805180"/>
                          </a:xfrm>
                          <a:solidFill>
                            <a:srgbClr val="C00000"/>
                          </a:solidFill>
                        </wpg:grpSpPr>
                        <wps:wsp>
                          <wps:cNvPr id="193" name="Rectangle 6"/>
                          <wps:cNvSpPr/>
                          <wps:spPr>
                            <a:xfrm flipH="1" flipV="1">
                              <a:off x="-6993881" y="103894"/>
                              <a:ext cx="6271893" cy="805180"/>
                            </a:xfrm>
                            <a:prstGeom prst="rect">
                              <a:avLst/>
                            </a:prstGeom>
                            <a:grpFill/>
                            <a:ln w="6350" cap="flat" cmpd="sng" algn="ctr">
                              <a:noFill/>
                              <a:prstDash val="solid"/>
                              <a:miter lim="800000"/>
                            </a:ln>
                            <a:effectLst/>
                          </wps:spPr>
                          <wps:txbx>
                            <w:txbxContent>
                              <w:p w14:paraId="7701166B" w14:textId="77777777" w:rsidR="009A5E22" w:rsidRPr="00077382" w:rsidRDefault="009A5E22" w:rsidP="00DD3527">
                                <w:pPr>
                                  <w:rPr>
                                    <w:rFonts w:ascii="Titillium" w:hAnsi="Titillium"/>
                                    <w:color w:val="FFFFFF" w:themeColor="background1"/>
                                  </w:rPr>
                                </w:pPr>
                                <w:r>
                                  <w:rPr>
                                    <w:rFonts w:ascii="Titillium" w:hAnsi="Titillium"/>
                                    <w:color w:val="FFFFFF" w:themeColor="background1"/>
                                  </w:rPr>
                                  <w:t>Deliverables</w:t>
                                </w:r>
                              </w:p>
                            </w:txbxContent>
                          </wps:txbx>
                          <wps:bodyPr rtlCol="0" anchor="ctr">
                            <a:noAutofit/>
                          </wps:bodyPr>
                        </wps:wsp>
                        <wps:wsp>
                          <wps:cNvPr id="194" name="Isosceles Triangle 10"/>
                          <wps:cNvSpPr/>
                          <wps:spPr>
                            <a:xfrm>
                              <a:off x="-1593204" y="103894"/>
                              <a:ext cx="1743073" cy="805180"/>
                            </a:xfrm>
                            <a:prstGeom prst="triangle">
                              <a:avLst/>
                            </a:prstGeom>
                            <a:grpFill/>
                            <a:ln w="635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6C324867" id="Group 192" o:spid="_x0000_s1034" style="position:absolute;margin-left:0;margin-top:0;width:125.25pt;height:23.25pt;flip:y;z-index:251666944;mso-position-horizontal-relative:margin;mso-width-relative:margin;mso-height-relative:margin" coordorigin="-6993881,103894" coordsize="7143750,805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">
                  <v:rect id="Rectangle 6" o:spid="_x0000_s1035" style="position:absolute;left:-6993881;top:103894;width:6271893;height:805180;flip:x 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6EjbwQAA&#10;ANwAAAAPAAAAZHJzL2Rvd25yZXYueG1sRE9LawIxEL4X/A9hhN5q1hZaXTcrUmjdqw/U47gZN4ub&#10;yZKkuv33TaHQ23x8zymWg+3EjXxoHSuYTjIQxLXTLTcK9ruPpxmIEJE1do5JwTcFWJajhwJz7e68&#10;ods2NiKFcMhRgYmxz6UMtSGLYeJ64sRdnLcYE/SN1B7vKdx28jnLXqXFllODwZ7eDdXX7ZdVEM5m&#10;+kafPvrDhk7ZulpzNTsq9TgeVgsQkYb4L/5zVzrNn7/A7zPpAl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uhI28EAAADcAAAADwAAAAAAAAAAAAAAAACXAgAAZHJzL2Rvd25y&#10;ZXYueG1sUEsFBgAAAAAEAAQA9QAAAIUDAAAAAA==&#10;" filled="f" stroked="f" strokeweight=".5pt">
                    <v:textbox>
                      <w:txbxContent>
                        <w:p w14:paraId="7701166B" w14:textId="77777777" w:rsidR="009A5E22" w:rsidRPr="00077382" w:rsidRDefault="009A5E22" w:rsidP="00DD3527">
                          <w:pPr>
                            <w:rPr>
                              <w:rFonts w:ascii="Titillium" w:hAnsi="Titillium"/>
                              <w:color w:val="FFFFFF" w:themeColor="background1"/>
                            </w:rPr>
                          </w:pPr>
                          <w:r>
                            <w:rPr>
                              <w:rFonts w:ascii="Titillium" w:hAnsi="Titillium"/>
                              <w:color w:val="FFFFFF" w:themeColor="background1"/>
                            </w:rPr>
                            <w:t>Deliverables</w:t>
                          </w: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36" type="#_x0000_t5" style="position:absolute;left:-1593204;top:103894;width:1743073;height:805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CfXGwQAA&#10;ANwAAAAPAAAAZHJzL2Rvd25yZXYueG1sRE/JasMwEL0H+g9iCr3FckPI4lgJoVAcaC9ZPmCwJraJ&#10;NRKWEjv++qpQ6G0eb518N5hWPKjzjWUF70kKgri0uuFKweX8OV2B8AFZY2uZFDzJw277Mskx07bn&#10;Iz1OoRIxhH2GCuoQXCalL2sy6BPriCN3tZ3BEGFXSd1hH8NNK2dpupAGG44NNTr6qKm8ne5Gwbgs&#10;zNfMfVs3+iIs5tTr6r5X6u112G9ABBrCv/jPfdBx/noOv8/EC+T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Qn1xsEAAADcAAAADwAAAAAAAAAAAAAAAACXAgAAZHJzL2Rvd25y&#10;ZXYueG1sUEsFBgAAAAAEAAQA9QAAAIUDAAAAAA==&#10;" filled="f" stroked="f" strokeweight=".5pt"/>
                  <w10:wrap anchorx="margin"/>
                </v:group>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8F12" w14:textId="1D7FACDB" w:rsidR="009A5E22" w:rsidRDefault="009A5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943"/>
    <w:multiLevelType w:val="hybridMultilevel"/>
    <w:tmpl w:val="6756A9C2"/>
    <w:lvl w:ilvl="0" w:tplc="EB246CAC">
      <w:start w:val="1"/>
      <w:numFmt w:val="bullet"/>
      <w:lvlText w:val=""/>
      <w:lvlJc w:val="left"/>
      <w:pPr>
        <w:tabs>
          <w:tab w:val="num" w:pos="720"/>
        </w:tabs>
        <w:ind w:left="720"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A4670"/>
    <w:multiLevelType w:val="hybridMultilevel"/>
    <w:tmpl w:val="B0DA1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844E6"/>
    <w:multiLevelType w:val="hybridMultilevel"/>
    <w:tmpl w:val="C5B4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848D2"/>
    <w:multiLevelType w:val="hybridMultilevel"/>
    <w:tmpl w:val="C0AAE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263E88"/>
    <w:multiLevelType w:val="hybridMultilevel"/>
    <w:tmpl w:val="0612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21C1"/>
    <w:multiLevelType w:val="hybridMultilevel"/>
    <w:tmpl w:val="23DAEBD8"/>
    <w:lvl w:ilvl="0" w:tplc="1556D472">
      <w:start w:val="1"/>
      <w:numFmt w:val="lowerLetter"/>
      <w:lvlText w:val="%1)"/>
      <w:lvlJc w:val="left"/>
      <w:pPr>
        <w:ind w:left="786" w:hanging="360"/>
      </w:pPr>
      <w:rPr>
        <w:rFonts w:hint="default"/>
      </w:rPr>
    </w:lvl>
    <w:lvl w:ilvl="1" w:tplc="08090005">
      <w:start w:val="1"/>
      <w:numFmt w:val="bullet"/>
      <w:lvlText w:val=""/>
      <w:lvlJc w:val="left"/>
      <w:pPr>
        <w:ind w:left="1506" w:hanging="360"/>
      </w:pPr>
      <w:rPr>
        <w:rFonts w:ascii="Wingdings" w:hAnsi="Wingding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E3D2118"/>
    <w:multiLevelType w:val="hybridMultilevel"/>
    <w:tmpl w:val="DF685D08"/>
    <w:lvl w:ilvl="0" w:tplc="7CFE82E6">
      <w:start w:val="1"/>
      <w:numFmt w:val="decimal"/>
      <w:lvlText w:val="%1."/>
      <w:lvlJc w:val="left"/>
      <w:pPr>
        <w:tabs>
          <w:tab w:val="num" w:pos="720"/>
        </w:tabs>
        <w:ind w:left="720" w:hanging="360"/>
      </w:pPr>
      <w:rPr>
        <w:rFonts w:hint="default"/>
        <w:b/>
        <w:i w:val="0"/>
        <w:color w:val="003366"/>
        <w:sz w:val="24"/>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719D5"/>
    <w:multiLevelType w:val="hybridMultilevel"/>
    <w:tmpl w:val="BDBED18C"/>
    <w:lvl w:ilvl="0" w:tplc="1556D47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0BF5D73"/>
    <w:multiLevelType w:val="hybridMultilevel"/>
    <w:tmpl w:val="BD4A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356E9"/>
    <w:multiLevelType w:val="hybridMultilevel"/>
    <w:tmpl w:val="E47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F38AB"/>
    <w:multiLevelType w:val="hybridMultilevel"/>
    <w:tmpl w:val="643A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07047"/>
    <w:multiLevelType w:val="hybridMultilevel"/>
    <w:tmpl w:val="B9C2B9F8"/>
    <w:lvl w:ilvl="0" w:tplc="0DB653B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8199A"/>
    <w:multiLevelType w:val="hybridMultilevel"/>
    <w:tmpl w:val="B4A6D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24B10"/>
    <w:multiLevelType w:val="hybridMultilevel"/>
    <w:tmpl w:val="DF685D08"/>
    <w:lvl w:ilvl="0" w:tplc="7CFE82E6">
      <w:start w:val="1"/>
      <w:numFmt w:val="decimal"/>
      <w:lvlText w:val="%1."/>
      <w:lvlJc w:val="left"/>
      <w:pPr>
        <w:tabs>
          <w:tab w:val="num" w:pos="720"/>
        </w:tabs>
        <w:ind w:left="720" w:hanging="360"/>
      </w:pPr>
      <w:rPr>
        <w:rFonts w:hint="default"/>
        <w:b/>
        <w:i w:val="0"/>
        <w:color w:val="003366"/>
        <w:sz w:val="24"/>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04C51"/>
    <w:multiLevelType w:val="hybridMultilevel"/>
    <w:tmpl w:val="850A6772"/>
    <w:lvl w:ilvl="0" w:tplc="B64C3A14">
      <w:start w:val="1"/>
      <w:numFmt w:val="lowerLetter"/>
      <w:lvlText w:val="%1)"/>
      <w:lvlJc w:val="left"/>
      <w:pPr>
        <w:ind w:left="1212" w:hanging="360"/>
      </w:pPr>
      <w:rPr>
        <w:rFonts w:ascii="Arial" w:eastAsia="Times New Roman" w:hAnsi="Arial" w:cs="Arial"/>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5" w15:restartNumberingAfterBreak="0">
    <w:nsid w:val="46BC5542"/>
    <w:multiLevelType w:val="hybridMultilevel"/>
    <w:tmpl w:val="3C10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810C7"/>
    <w:multiLevelType w:val="hybridMultilevel"/>
    <w:tmpl w:val="5FAA6258"/>
    <w:lvl w:ilvl="0" w:tplc="0778E032">
      <w:start w:val="1"/>
      <w:numFmt w:val="decimal"/>
      <w:lvlText w:val="%1."/>
      <w:lvlJc w:val="left"/>
      <w:pPr>
        <w:ind w:left="1069" w:hanging="1069"/>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4A5D57"/>
    <w:multiLevelType w:val="hybridMultilevel"/>
    <w:tmpl w:val="47A8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14B0A"/>
    <w:multiLevelType w:val="hybridMultilevel"/>
    <w:tmpl w:val="F6B2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10054"/>
    <w:multiLevelType w:val="hybridMultilevel"/>
    <w:tmpl w:val="77DEE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B9168D"/>
    <w:multiLevelType w:val="hybridMultilevel"/>
    <w:tmpl w:val="8778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E0A80"/>
    <w:multiLevelType w:val="hybridMultilevel"/>
    <w:tmpl w:val="E984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30A22"/>
    <w:multiLevelType w:val="hybridMultilevel"/>
    <w:tmpl w:val="C06E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12D6E"/>
    <w:multiLevelType w:val="hybridMultilevel"/>
    <w:tmpl w:val="159203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81A2C"/>
    <w:multiLevelType w:val="hybridMultilevel"/>
    <w:tmpl w:val="8CE6C0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42E79CD"/>
    <w:multiLevelType w:val="hybridMultilevel"/>
    <w:tmpl w:val="116A9100"/>
    <w:lvl w:ilvl="0" w:tplc="EB246CA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A08AB"/>
    <w:multiLevelType w:val="hybridMultilevel"/>
    <w:tmpl w:val="870A15B8"/>
    <w:lvl w:ilvl="0" w:tplc="0809000F">
      <w:start w:val="1"/>
      <w:numFmt w:val="decimal"/>
      <w:lvlText w:val="%1."/>
      <w:lvlJc w:val="left"/>
      <w:pPr>
        <w:ind w:left="720" w:hanging="360"/>
      </w:pPr>
      <w:rPr>
        <w:rFonts w:hint="default"/>
      </w:rPr>
    </w:lvl>
    <w:lvl w:ilvl="1" w:tplc="7E4E180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50042324">
      <w:start w:val="2"/>
      <w:numFmt w:val="lowerLetter"/>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8F0F9C"/>
    <w:multiLevelType w:val="hybridMultilevel"/>
    <w:tmpl w:val="2012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3"/>
  </w:num>
  <w:num w:numId="5">
    <w:abstractNumId w:val="25"/>
  </w:num>
  <w:num w:numId="6">
    <w:abstractNumId w:val="7"/>
  </w:num>
  <w:num w:numId="7">
    <w:abstractNumId w:val="5"/>
  </w:num>
  <w:num w:numId="8">
    <w:abstractNumId w:val="19"/>
  </w:num>
  <w:num w:numId="9">
    <w:abstractNumId w:val="16"/>
  </w:num>
  <w:num w:numId="10">
    <w:abstractNumId w:val="1"/>
  </w:num>
  <w:num w:numId="11">
    <w:abstractNumId w:val="20"/>
  </w:num>
  <w:num w:numId="12">
    <w:abstractNumId w:val="14"/>
  </w:num>
  <w:num w:numId="13">
    <w:abstractNumId w:val="24"/>
  </w:num>
  <w:num w:numId="14">
    <w:abstractNumId w:val="2"/>
  </w:num>
  <w:num w:numId="15">
    <w:abstractNumId w:val="3"/>
  </w:num>
  <w:num w:numId="16">
    <w:abstractNumId w:val="9"/>
  </w:num>
  <w:num w:numId="17">
    <w:abstractNumId w:val="21"/>
  </w:num>
  <w:num w:numId="18">
    <w:abstractNumId w:val="15"/>
  </w:num>
  <w:num w:numId="19">
    <w:abstractNumId w:val="8"/>
  </w:num>
  <w:num w:numId="20">
    <w:abstractNumId w:val="23"/>
  </w:num>
  <w:num w:numId="21">
    <w:abstractNumId w:val="4"/>
  </w:num>
  <w:num w:numId="22">
    <w:abstractNumId w:val="11"/>
  </w:num>
  <w:num w:numId="23">
    <w:abstractNumId w:val="22"/>
  </w:num>
  <w:num w:numId="24">
    <w:abstractNumId w:val="27"/>
  </w:num>
  <w:num w:numId="25">
    <w:abstractNumId w:val="18"/>
  </w:num>
  <w:num w:numId="26">
    <w:abstractNumId w:val="10"/>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4D"/>
    <w:rsid w:val="00002A1E"/>
    <w:rsid w:val="00012F43"/>
    <w:rsid w:val="000208AF"/>
    <w:rsid w:val="00026AE5"/>
    <w:rsid w:val="00030E7D"/>
    <w:rsid w:val="00031001"/>
    <w:rsid w:val="000351B0"/>
    <w:rsid w:val="00044F9A"/>
    <w:rsid w:val="00045ABE"/>
    <w:rsid w:val="00050D22"/>
    <w:rsid w:val="00050DF2"/>
    <w:rsid w:val="00053973"/>
    <w:rsid w:val="0006505D"/>
    <w:rsid w:val="000667B1"/>
    <w:rsid w:val="00070C99"/>
    <w:rsid w:val="00073806"/>
    <w:rsid w:val="00077382"/>
    <w:rsid w:val="00083C06"/>
    <w:rsid w:val="00083DF2"/>
    <w:rsid w:val="00085CF6"/>
    <w:rsid w:val="00097F80"/>
    <w:rsid w:val="000A1479"/>
    <w:rsid w:val="000C1872"/>
    <w:rsid w:val="000C26C0"/>
    <w:rsid w:val="000C579D"/>
    <w:rsid w:val="000C582A"/>
    <w:rsid w:val="000C5B71"/>
    <w:rsid w:val="000C6BE7"/>
    <w:rsid w:val="000C7703"/>
    <w:rsid w:val="000D2D69"/>
    <w:rsid w:val="000D749F"/>
    <w:rsid w:val="000E36F7"/>
    <w:rsid w:val="000E39A7"/>
    <w:rsid w:val="000F56AE"/>
    <w:rsid w:val="000F77AC"/>
    <w:rsid w:val="00101A98"/>
    <w:rsid w:val="00102FDC"/>
    <w:rsid w:val="00111D00"/>
    <w:rsid w:val="00112251"/>
    <w:rsid w:val="00112E2E"/>
    <w:rsid w:val="001144E6"/>
    <w:rsid w:val="001251DF"/>
    <w:rsid w:val="00127D49"/>
    <w:rsid w:val="00136637"/>
    <w:rsid w:val="00136B98"/>
    <w:rsid w:val="00137AC4"/>
    <w:rsid w:val="00142B7F"/>
    <w:rsid w:val="001441F5"/>
    <w:rsid w:val="001446BB"/>
    <w:rsid w:val="00151004"/>
    <w:rsid w:val="001523A9"/>
    <w:rsid w:val="00155A36"/>
    <w:rsid w:val="001612DB"/>
    <w:rsid w:val="001654B0"/>
    <w:rsid w:val="00176A4C"/>
    <w:rsid w:val="00184C55"/>
    <w:rsid w:val="001855CD"/>
    <w:rsid w:val="00195255"/>
    <w:rsid w:val="0019671A"/>
    <w:rsid w:val="001A4085"/>
    <w:rsid w:val="001A4EC3"/>
    <w:rsid w:val="001A6106"/>
    <w:rsid w:val="001B317D"/>
    <w:rsid w:val="001B7D3A"/>
    <w:rsid w:val="001C04EC"/>
    <w:rsid w:val="001C1EBF"/>
    <w:rsid w:val="001C3095"/>
    <w:rsid w:val="001C4B62"/>
    <w:rsid w:val="001C4DD9"/>
    <w:rsid w:val="001D0DCC"/>
    <w:rsid w:val="001D58BA"/>
    <w:rsid w:val="001F16D1"/>
    <w:rsid w:val="001F7457"/>
    <w:rsid w:val="00203959"/>
    <w:rsid w:val="00207B81"/>
    <w:rsid w:val="00222FF6"/>
    <w:rsid w:val="00232A25"/>
    <w:rsid w:val="00235327"/>
    <w:rsid w:val="002436CF"/>
    <w:rsid w:val="0026424C"/>
    <w:rsid w:val="0026478B"/>
    <w:rsid w:val="002710FC"/>
    <w:rsid w:val="00274FEE"/>
    <w:rsid w:val="00277D8B"/>
    <w:rsid w:val="00277DF1"/>
    <w:rsid w:val="00283FC4"/>
    <w:rsid w:val="00284BDA"/>
    <w:rsid w:val="002958F6"/>
    <w:rsid w:val="0029691E"/>
    <w:rsid w:val="002A1D30"/>
    <w:rsid w:val="002A4F73"/>
    <w:rsid w:val="002A5A43"/>
    <w:rsid w:val="002C0000"/>
    <w:rsid w:val="002C02DE"/>
    <w:rsid w:val="002C3981"/>
    <w:rsid w:val="002D561F"/>
    <w:rsid w:val="002D5A87"/>
    <w:rsid w:val="002E19F4"/>
    <w:rsid w:val="002F3EDF"/>
    <w:rsid w:val="003057B9"/>
    <w:rsid w:val="00307598"/>
    <w:rsid w:val="00311353"/>
    <w:rsid w:val="00316EF5"/>
    <w:rsid w:val="00317ABA"/>
    <w:rsid w:val="00323B5F"/>
    <w:rsid w:val="00325155"/>
    <w:rsid w:val="00326D7D"/>
    <w:rsid w:val="00330CA9"/>
    <w:rsid w:val="003402CC"/>
    <w:rsid w:val="003414AC"/>
    <w:rsid w:val="00351892"/>
    <w:rsid w:val="00352E90"/>
    <w:rsid w:val="00354303"/>
    <w:rsid w:val="00360B73"/>
    <w:rsid w:val="00365B29"/>
    <w:rsid w:val="0037191C"/>
    <w:rsid w:val="00372079"/>
    <w:rsid w:val="00375B0D"/>
    <w:rsid w:val="00380ED2"/>
    <w:rsid w:val="00383BE6"/>
    <w:rsid w:val="0038739B"/>
    <w:rsid w:val="003900AE"/>
    <w:rsid w:val="003920FA"/>
    <w:rsid w:val="003A3B4E"/>
    <w:rsid w:val="003B333C"/>
    <w:rsid w:val="003C1A96"/>
    <w:rsid w:val="003C25DF"/>
    <w:rsid w:val="003F2D6C"/>
    <w:rsid w:val="003F550B"/>
    <w:rsid w:val="004008F5"/>
    <w:rsid w:val="0040434C"/>
    <w:rsid w:val="004044D4"/>
    <w:rsid w:val="004135B4"/>
    <w:rsid w:val="00413D32"/>
    <w:rsid w:val="004220DF"/>
    <w:rsid w:val="0044114A"/>
    <w:rsid w:val="0044589F"/>
    <w:rsid w:val="0045752A"/>
    <w:rsid w:val="00457DB5"/>
    <w:rsid w:val="00457F0B"/>
    <w:rsid w:val="00466BCD"/>
    <w:rsid w:val="00473F77"/>
    <w:rsid w:val="004871C7"/>
    <w:rsid w:val="0049463A"/>
    <w:rsid w:val="004A0440"/>
    <w:rsid w:val="004B2406"/>
    <w:rsid w:val="004B30CD"/>
    <w:rsid w:val="004C0997"/>
    <w:rsid w:val="004C42F7"/>
    <w:rsid w:val="004C4936"/>
    <w:rsid w:val="004D0ABE"/>
    <w:rsid w:val="004D20D0"/>
    <w:rsid w:val="004D3798"/>
    <w:rsid w:val="004D43C0"/>
    <w:rsid w:val="004D4F18"/>
    <w:rsid w:val="004E272F"/>
    <w:rsid w:val="004E61C6"/>
    <w:rsid w:val="004F1417"/>
    <w:rsid w:val="005015F0"/>
    <w:rsid w:val="00505869"/>
    <w:rsid w:val="00512FF7"/>
    <w:rsid w:val="00514074"/>
    <w:rsid w:val="00514D53"/>
    <w:rsid w:val="005156AA"/>
    <w:rsid w:val="005247E9"/>
    <w:rsid w:val="005266EB"/>
    <w:rsid w:val="0052671F"/>
    <w:rsid w:val="00526FDF"/>
    <w:rsid w:val="005332E0"/>
    <w:rsid w:val="005430BC"/>
    <w:rsid w:val="00546082"/>
    <w:rsid w:val="005469ED"/>
    <w:rsid w:val="00547AD8"/>
    <w:rsid w:val="0055287E"/>
    <w:rsid w:val="005540ED"/>
    <w:rsid w:val="005547AC"/>
    <w:rsid w:val="005569A1"/>
    <w:rsid w:val="00556A7B"/>
    <w:rsid w:val="00556BCA"/>
    <w:rsid w:val="00561D88"/>
    <w:rsid w:val="0057020E"/>
    <w:rsid w:val="00570F3F"/>
    <w:rsid w:val="00575B48"/>
    <w:rsid w:val="005820A3"/>
    <w:rsid w:val="00583198"/>
    <w:rsid w:val="005831BF"/>
    <w:rsid w:val="00590718"/>
    <w:rsid w:val="00592B70"/>
    <w:rsid w:val="00593DE6"/>
    <w:rsid w:val="00593EA3"/>
    <w:rsid w:val="005A2D67"/>
    <w:rsid w:val="005A4F5F"/>
    <w:rsid w:val="005B1A53"/>
    <w:rsid w:val="005B26E4"/>
    <w:rsid w:val="005B713E"/>
    <w:rsid w:val="005C29E5"/>
    <w:rsid w:val="005C3914"/>
    <w:rsid w:val="005C3CC0"/>
    <w:rsid w:val="005C49D7"/>
    <w:rsid w:val="005D078F"/>
    <w:rsid w:val="005D25A2"/>
    <w:rsid w:val="005D4B3D"/>
    <w:rsid w:val="005D7C8B"/>
    <w:rsid w:val="005E23BA"/>
    <w:rsid w:val="006010D2"/>
    <w:rsid w:val="00611AF1"/>
    <w:rsid w:val="0061330F"/>
    <w:rsid w:val="00613536"/>
    <w:rsid w:val="00622EC5"/>
    <w:rsid w:val="00624937"/>
    <w:rsid w:val="0063081F"/>
    <w:rsid w:val="00630F5E"/>
    <w:rsid w:val="00641FE8"/>
    <w:rsid w:val="00652DD2"/>
    <w:rsid w:val="006563EE"/>
    <w:rsid w:val="00666076"/>
    <w:rsid w:val="0066779C"/>
    <w:rsid w:val="0067005C"/>
    <w:rsid w:val="0067091E"/>
    <w:rsid w:val="006760B7"/>
    <w:rsid w:val="00682A94"/>
    <w:rsid w:val="00684830"/>
    <w:rsid w:val="00686941"/>
    <w:rsid w:val="006879FB"/>
    <w:rsid w:val="006A2AC5"/>
    <w:rsid w:val="006A301B"/>
    <w:rsid w:val="006A50C2"/>
    <w:rsid w:val="006A5603"/>
    <w:rsid w:val="006A5B49"/>
    <w:rsid w:val="006A7596"/>
    <w:rsid w:val="006D53A1"/>
    <w:rsid w:val="006D5B8B"/>
    <w:rsid w:val="006E1133"/>
    <w:rsid w:val="006E4B4F"/>
    <w:rsid w:val="006E6709"/>
    <w:rsid w:val="006E678D"/>
    <w:rsid w:val="006E737C"/>
    <w:rsid w:val="006E7BFC"/>
    <w:rsid w:val="006F2730"/>
    <w:rsid w:val="006F2D9B"/>
    <w:rsid w:val="006F67C6"/>
    <w:rsid w:val="00702F89"/>
    <w:rsid w:val="007134FC"/>
    <w:rsid w:val="00735464"/>
    <w:rsid w:val="007377C5"/>
    <w:rsid w:val="00741159"/>
    <w:rsid w:val="007431C5"/>
    <w:rsid w:val="00743B53"/>
    <w:rsid w:val="00744019"/>
    <w:rsid w:val="007520D0"/>
    <w:rsid w:val="00754D78"/>
    <w:rsid w:val="007575E7"/>
    <w:rsid w:val="00763645"/>
    <w:rsid w:val="00781956"/>
    <w:rsid w:val="00781985"/>
    <w:rsid w:val="00787831"/>
    <w:rsid w:val="00794D3C"/>
    <w:rsid w:val="007A5B53"/>
    <w:rsid w:val="007B18C8"/>
    <w:rsid w:val="007B41CF"/>
    <w:rsid w:val="007C3922"/>
    <w:rsid w:val="007C3F19"/>
    <w:rsid w:val="007C538F"/>
    <w:rsid w:val="007D133F"/>
    <w:rsid w:val="007F293F"/>
    <w:rsid w:val="007F6952"/>
    <w:rsid w:val="008252EB"/>
    <w:rsid w:val="00825F88"/>
    <w:rsid w:val="008323BC"/>
    <w:rsid w:val="00851595"/>
    <w:rsid w:val="00852A41"/>
    <w:rsid w:val="00861251"/>
    <w:rsid w:val="00867F38"/>
    <w:rsid w:val="00877445"/>
    <w:rsid w:val="00881A31"/>
    <w:rsid w:val="008832E1"/>
    <w:rsid w:val="008909C8"/>
    <w:rsid w:val="00890B62"/>
    <w:rsid w:val="008A07A9"/>
    <w:rsid w:val="008A6A61"/>
    <w:rsid w:val="008B06D6"/>
    <w:rsid w:val="008C048C"/>
    <w:rsid w:val="008C34C5"/>
    <w:rsid w:val="008C4CC1"/>
    <w:rsid w:val="008C5B26"/>
    <w:rsid w:val="008C5FF7"/>
    <w:rsid w:val="008C6F57"/>
    <w:rsid w:val="008D1B38"/>
    <w:rsid w:val="008D3A51"/>
    <w:rsid w:val="008D4BDC"/>
    <w:rsid w:val="008F6322"/>
    <w:rsid w:val="00907C9B"/>
    <w:rsid w:val="009114ED"/>
    <w:rsid w:val="00916C65"/>
    <w:rsid w:val="00917393"/>
    <w:rsid w:val="00917DC4"/>
    <w:rsid w:val="009348F0"/>
    <w:rsid w:val="00934E2A"/>
    <w:rsid w:val="009358CA"/>
    <w:rsid w:val="009372B7"/>
    <w:rsid w:val="0095271B"/>
    <w:rsid w:val="00953256"/>
    <w:rsid w:val="00960000"/>
    <w:rsid w:val="0096071C"/>
    <w:rsid w:val="00961034"/>
    <w:rsid w:val="0096408E"/>
    <w:rsid w:val="00966D55"/>
    <w:rsid w:val="009705D2"/>
    <w:rsid w:val="00974942"/>
    <w:rsid w:val="0097519E"/>
    <w:rsid w:val="00977523"/>
    <w:rsid w:val="009815B2"/>
    <w:rsid w:val="0098295D"/>
    <w:rsid w:val="00984471"/>
    <w:rsid w:val="0099013D"/>
    <w:rsid w:val="00994383"/>
    <w:rsid w:val="009A247B"/>
    <w:rsid w:val="009A59B9"/>
    <w:rsid w:val="009A5E22"/>
    <w:rsid w:val="009B06F8"/>
    <w:rsid w:val="009B1950"/>
    <w:rsid w:val="009B4C69"/>
    <w:rsid w:val="009C008B"/>
    <w:rsid w:val="009C3453"/>
    <w:rsid w:val="009D053D"/>
    <w:rsid w:val="009D26FE"/>
    <w:rsid w:val="009E3349"/>
    <w:rsid w:val="009E443E"/>
    <w:rsid w:val="009E5A34"/>
    <w:rsid w:val="009F07FF"/>
    <w:rsid w:val="009F3192"/>
    <w:rsid w:val="00A0147C"/>
    <w:rsid w:val="00A06FDB"/>
    <w:rsid w:val="00A17B13"/>
    <w:rsid w:val="00A22273"/>
    <w:rsid w:val="00A22C50"/>
    <w:rsid w:val="00A24306"/>
    <w:rsid w:val="00A32BD1"/>
    <w:rsid w:val="00A341FE"/>
    <w:rsid w:val="00A36614"/>
    <w:rsid w:val="00A44E59"/>
    <w:rsid w:val="00A45371"/>
    <w:rsid w:val="00A4760E"/>
    <w:rsid w:val="00A50E84"/>
    <w:rsid w:val="00A566A4"/>
    <w:rsid w:val="00A61B33"/>
    <w:rsid w:val="00A659D3"/>
    <w:rsid w:val="00A74CF7"/>
    <w:rsid w:val="00A80279"/>
    <w:rsid w:val="00A8391F"/>
    <w:rsid w:val="00A94731"/>
    <w:rsid w:val="00A96698"/>
    <w:rsid w:val="00AA3479"/>
    <w:rsid w:val="00AA37F1"/>
    <w:rsid w:val="00AA638C"/>
    <w:rsid w:val="00AB005D"/>
    <w:rsid w:val="00AB430E"/>
    <w:rsid w:val="00AB5427"/>
    <w:rsid w:val="00AC343B"/>
    <w:rsid w:val="00AD7315"/>
    <w:rsid w:val="00AE1672"/>
    <w:rsid w:val="00AE186F"/>
    <w:rsid w:val="00AE1C1C"/>
    <w:rsid w:val="00AE3DF5"/>
    <w:rsid w:val="00AE4E0D"/>
    <w:rsid w:val="00AE5FA1"/>
    <w:rsid w:val="00AE73FD"/>
    <w:rsid w:val="00AF06A2"/>
    <w:rsid w:val="00AF3EAF"/>
    <w:rsid w:val="00B03871"/>
    <w:rsid w:val="00B0454A"/>
    <w:rsid w:val="00B13AF2"/>
    <w:rsid w:val="00B160B7"/>
    <w:rsid w:val="00B16C5F"/>
    <w:rsid w:val="00B16C8C"/>
    <w:rsid w:val="00B211AD"/>
    <w:rsid w:val="00B23851"/>
    <w:rsid w:val="00B27508"/>
    <w:rsid w:val="00B27B0E"/>
    <w:rsid w:val="00B31EBA"/>
    <w:rsid w:val="00B32E5A"/>
    <w:rsid w:val="00B445E5"/>
    <w:rsid w:val="00B44DEC"/>
    <w:rsid w:val="00B45713"/>
    <w:rsid w:val="00B47E31"/>
    <w:rsid w:val="00B5341F"/>
    <w:rsid w:val="00B550C9"/>
    <w:rsid w:val="00B563C7"/>
    <w:rsid w:val="00B56AF0"/>
    <w:rsid w:val="00B5775E"/>
    <w:rsid w:val="00B7285D"/>
    <w:rsid w:val="00B747C6"/>
    <w:rsid w:val="00B8315C"/>
    <w:rsid w:val="00B840AC"/>
    <w:rsid w:val="00B85C0F"/>
    <w:rsid w:val="00B8798C"/>
    <w:rsid w:val="00B90748"/>
    <w:rsid w:val="00B931AB"/>
    <w:rsid w:val="00BA20DA"/>
    <w:rsid w:val="00BA2F72"/>
    <w:rsid w:val="00BA3F8A"/>
    <w:rsid w:val="00BA50E8"/>
    <w:rsid w:val="00BA5581"/>
    <w:rsid w:val="00BB4F4D"/>
    <w:rsid w:val="00BC22A6"/>
    <w:rsid w:val="00BC3C39"/>
    <w:rsid w:val="00BD41C7"/>
    <w:rsid w:val="00BD52AE"/>
    <w:rsid w:val="00BD6B2D"/>
    <w:rsid w:val="00BE06C8"/>
    <w:rsid w:val="00C02EE7"/>
    <w:rsid w:val="00C0684D"/>
    <w:rsid w:val="00C07AC5"/>
    <w:rsid w:val="00C1163C"/>
    <w:rsid w:val="00C15002"/>
    <w:rsid w:val="00C162D8"/>
    <w:rsid w:val="00C21D35"/>
    <w:rsid w:val="00C21EE5"/>
    <w:rsid w:val="00C22B27"/>
    <w:rsid w:val="00C264C8"/>
    <w:rsid w:val="00C27C0F"/>
    <w:rsid w:val="00C312E0"/>
    <w:rsid w:val="00C328FE"/>
    <w:rsid w:val="00C3396F"/>
    <w:rsid w:val="00C36D1B"/>
    <w:rsid w:val="00C5197A"/>
    <w:rsid w:val="00C523E9"/>
    <w:rsid w:val="00C52B6F"/>
    <w:rsid w:val="00C61305"/>
    <w:rsid w:val="00C620C4"/>
    <w:rsid w:val="00C63A83"/>
    <w:rsid w:val="00C63BCE"/>
    <w:rsid w:val="00C707D9"/>
    <w:rsid w:val="00C726BF"/>
    <w:rsid w:val="00C80E06"/>
    <w:rsid w:val="00C8102E"/>
    <w:rsid w:val="00C902E9"/>
    <w:rsid w:val="00CB157C"/>
    <w:rsid w:val="00CE517D"/>
    <w:rsid w:val="00CF0A5D"/>
    <w:rsid w:val="00D00DF5"/>
    <w:rsid w:val="00D070BD"/>
    <w:rsid w:val="00D10624"/>
    <w:rsid w:val="00D12C69"/>
    <w:rsid w:val="00D13AB8"/>
    <w:rsid w:val="00D148AA"/>
    <w:rsid w:val="00D22D83"/>
    <w:rsid w:val="00D27AFD"/>
    <w:rsid w:val="00D31F55"/>
    <w:rsid w:val="00D35987"/>
    <w:rsid w:val="00D433CA"/>
    <w:rsid w:val="00D47B61"/>
    <w:rsid w:val="00D512BA"/>
    <w:rsid w:val="00D545B8"/>
    <w:rsid w:val="00D568A2"/>
    <w:rsid w:val="00D57E97"/>
    <w:rsid w:val="00D602E4"/>
    <w:rsid w:val="00D60B90"/>
    <w:rsid w:val="00D62AC9"/>
    <w:rsid w:val="00D63B83"/>
    <w:rsid w:val="00D644CF"/>
    <w:rsid w:val="00D645CF"/>
    <w:rsid w:val="00D65B3D"/>
    <w:rsid w:val="00D71704"/>
    <w:rsid w:val="00D74C12"/>
    <w:rsid w:val="00D74E77"/>
    <w:rsid w:val="00D87C94"/>
    <w:rsid w:val="00D87D7B"/>
    <w:rsid w:val="00D906E7"/>
    <w:rsid w:val="00D9103B"/>
    <w:rsid w:val="00D92392"/>
    <w:rsid w:val="00D936D7"/>
    <w:rsid w:val="00D97320"/>
    <w:rsid w:val="00DA0E8C"/>
    <w:rsid w:val="00DA5DF4"/>
    <w:rsid w:val="00DA6EAD"/>
    <w:rsid w:val="00DC047D"/>
    <w:rsid w:val="00DC5FD4"/>
    <w:rsid w:val="00DD0899"/>
    <w:rsid w:val="00DD16E8"/>
    <w:rsid w:val="00DD3527"/>
    <w:rsid w:val="00DE0649"/>
    <w:rsid w:val="00DE0698"/>
    <w:rsid w:val="00DE15F7"/>
    <w:rsid w:val="00DF056F"/>
    <w:rsid w:val="00DF6095"/>
    <w:rsid w:val="00DF7B2C"/>
    <w:rsid w:val="00E02544"/>
    <w:rsid w:val="00E07ABB"/>
    <w:rsid w:val="00E1076A"/>
    <w:rsid w:val="00E12B77"/>
    <w:rsid w:val="00E14926"/>
    <w:rsid w:val="00E163AE"/>
    <w:rsid w:val="00E16C75"/>
    <w:rsid w:val="00E23DE7"/>
    <w:rsid w:val="00E23F50"/>
    <w:rsid w:val="00E414FE"/>
    <w:rsid w:val="00E43ACD"/>
    <w:rsid w:val="00E46B9E"/>
    <w:rsid w:val="00E53D4A"/>
    <w:rsid w:val="00E600A4"/>
    <w:rsid w:val="00E65D60"/>
    <w:rsid w:val="00E65DFE"/>
    <w:rsid w:val="00E70DC4"/>
    <w:rsid w:val="00E75003"/>
    <w:rsid w:val="00E752F2"/>
    <w:rsid w:val="00E82119"/>
    <w:rsid w:val="00E8286A"/>
    <w:rsid w:val="00E90CD5"/>
    <w:rsid w:val="00E95F27"/>
    <w:rsid w:val="00EA0701"/>
    <w:rsid w:val="00EA6E21"/>
    <w:rsid w:val="00EA6E23"/>
    <w:rsid w:val="00EB0BFA"/>
    <w:rsid w:val="00EB4DC5"/>
    <w:rsid w:val="00EB62B4"/>
    <w:rsid w:val="00EB780A"/>
    <w:rsid w:val="00EB7980"/>
    <w:rsid w:val="00EB7D61"/>
    <w:rsid w:val="00EC110E"/>
    <w:rsid w:val="00EC4C00"/>
    <w:rsid w:val="00ED3B81"/>
    <w:rsid w:val="00EE34BE"/>
    <w:rsid w:val="00EE415E"/>
    <w:rsid w:val="00EE7FB3"/>
    <w:rsid w:val="00F0260E"/>
    <w:rsid w:val="00F02E6A"/>
    <w:rsid w:val="00F02F07"/>
    <w:rsid w:val="00F037BE"/>
    <w:rsid w:val="00F04C00"/>
    <w:rsid w:val="00F11FE6"/>
    <w:rsid w:val="00F12AAB"/>
    <w:rsid w:val="00F1663B"/>
    <w:rsid w:val="00F2071E"/>
    <w:rsid w:val="00F35ACD"/>
    <w:rsid w:val="00F35BFB"/>
    <w:rsid w:val="00F37C53"/>
    <w:rsid w:val="00F40AF8"/>
    <w:rsid w:val="00F4637B"/>
    <w:rsid w:val="00F465D4"/>
    <w:rsid w:val="00F46911"/>
    <w:rsid w:val="00F61ABA"/>
    <w:rsid w:val="00F61E2D"/>
    <w:rsid w:val="00F657DB"/>
    <w:rsid w:val="00F66D53"/>
    <w:rsid w:val="00F73209"/>
    <w:rsid w:val="00F734DB"/>
    <w:rsid w:val="00F74202"/>
    <w:rsid w:val="00F75D06"/>
    <w:rsid w:val="00F814D6"/>
    <w:rsid w:val="00F85D42"/>
    <w:rsid w:val="00F872BC"/>
    <w:rsid w:val="00F87DB2"/>
    <w:rsid w:val="00F9097C"/>
    <w:rsid w:val="00F9143C"/>
    <w:rsid w:val="00F91E9E"/>
    <w:rsid w:val="00F965ED"/>
    <w:rsid w:val="00F97B91"/>
    <w:rsid w:val="00FA0076"/>
    <w:rsid w:val="00FA2C7A"/>
    <w:rsid w:val="00FA2EC7"/>
    <w:rsid w:val="00FA6083"/>
    <w:rsid w:val="00FA6F82"/>
    <w:rsid w:val="00FB0600"/>
    <w:rsid w:val="00FB1C14"/>
    <w:rsid w:val="00FB28E8"/>
    <w:rsid w:val="00FB34AD"/>
    <w:rsid w:val="00FB489B"/>
    <w:rsid w:val="00FB5241"/>
    <w:rsid w:val="00FC35EF"/>
    <w:rsid w:val="00FC406D"/>
    <w:rsid w:val="00FD41F1"/>
    <w:rsid w:val="00FD65EA"/>
    <w:rsid w:val="00FD6852"/>
    <w:rsid w:val="00FD6D47"/>
    <w:rsid w:val="00FE0C8E"/>
    <w:rsid w:val="00FF2229"/>
    <w:rsid w:val="00FF7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DBD93"/>
  <w15:chartTrackingRefBased/>
  <w15:docId w15:val="{271AEDBA-6A6F-41C7-BAEF-CAE71311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4D"/>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uiPriority w:val="9"/>
    <w:qFormat/>
    <w:rsid w:val="004871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4B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684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qFormat/>
    <w:rsid w:val="00C0684D"/>
    <w:pPr>
      <w:keepNext/>
      <w:spacing w:before="240"/>
      <w:outlineLvl w:val="4"/>
    </w:pPr>
    <w:rPr>
      <w:rFonts w:ascii="Arial" w:hAnsi="Arial"/>
      <w:b/>
      <w:color w:val="3E8197"/>
      <w:spacing w:val="-40"/>
      <w:kern w:val="100"/>
      <w:sz w:val="50"/>
    </w:rPr>
  </w:style>
  <w:style w:type="paragraph" w:styleId="Heading6">
    <w:name w:val="heading 6"/>
    <w:basedOn w:val="Normal"/>
    <w:next w:val="Normal"/>
    <w:link w:val="Heading6Char"/>
    <w:uiPriority w:val="9"/>
    <w:semiHidden/>
    <w:unhideWhenUsed/>
    <w:qFormat/>
    <w:rsid w:val="00C0684D"/>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C068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068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684D"/>
    <w:rPr>
      <w:rFonts w:ascii="Arial" w:eastAsia="Times" w:hAnsi="Arial" w:cs="Times New Roman"/>
      <w:b/>
      <w:color w:val="3E8197"/>
      <w:spacing w:val="-40"/>
      <w:kern w:val="100"/>
      <w:sz w:val="50"/>
      <w:szCs w:val="20"/>
      <w:lang w:val="en-US"/>
    </w:rPr>
  </w:style>
  <w:style w:type="paragraph" w:styleId="Header">
    <w:name w:val="header"/>
    <w:basedOn w:val="Normal"/>
    <w:link w:val="HeaderChar"/>
    <w:semiHidden/>
    <w:rsid w:val="00C0684D"/>
    <w:pPr>
      <w:tabs>
        <w:tab w:val="center" w:pos="4320"/>
        <w:tab w:val="right" w:pos="8640"/>
      </w:tabs>
    </w:pPr>
  </w:style>
  <w:style w:type="character" w:customStyle="1" w:styleId="HeaderChar">
    <w:name w:val="Header Char"/>
    <w:basedOn w:val="DefaultParagraphFont"/>
    <w:link w:val="Header"/>
    <w:semiHidden/>
    <w:rsid w:val="00C0684D"/>
    <w:rPr>
      <w:rFonts w:ascii="Times" w:eastAsia="Times" w:hAnsi="Times" w:cs="Times New Roman"/>
      <w:sz w:val="24"/>
      <w:szCs w:val="20"/>
      <w:lang w:val="en-US"/>
    </w:rPr>
  </w:style>
  <w:style w:type="paragraph" w:styleId="Footer">
    <w:name w:val="footer"/>
    <w:basedOn w:val="Normal"/>
    <w:link w:val="FooterChar"/>
    <w:uiPriority w:val="99"/>
    <w:rsid w:val="00C0684D"/>
    <w:pPr>
      <w:tabs>
        <w:tab w:val="center" w:pos="4320"/>
        <w:tab w:val="right" w:pos="8640"/>
      </w:tabs>
    </w:pPr>
  </w:style>
  <w:style w:type="character" w:customStyle="1" w:styleId="FooterChar">
    <w:name w:val="Footer Char"/>
    <w:basedOn w:val="DefaultParagraphFont"/>
    <w:link w:val="Footer"/>
    <w:uiPriority w:val="99"/>
    <w:rsid w:val="00C0684D"/>
    <w:rPr>
      <w:rFonts w:ascii="Times" w:eastAsia="Times" w:hAnsi="Times" w:cs="Times New Roman"/>
      <w:sz w:val="24"/>
      <w:szCs w:val="20"/>
      <w:lang w:val="en-US"/>
    </w:rPr>
  </w:style>
  <w:style w:type="paragraph" w:styleId="BodyText2">
    <w:name w:val="Body Text 2"/>
    <w:basedOn w:val="Normal"/>
    <w:link w:val="BodyText2Char"/>
    <w:semiHidden/>
    <w:rsid w:val="00C0684D"/>
    <w:rPr>
      <w:rFonts w:ascii="Arial" w:hAnsi="Arial"/>
      <w:b/>
      <w:spacing w:val="-40"/>
      <w:kern w:val="100"/>
      <w:sz w:val="100"/>
    </w:rPr>
  </w:style>
  <w:style w:type="character" w:customStyle="1" w:styleId="BodyText2Char">
    <w:name w:val="Body Text 2 Char"/>
    <w:basedOn w:val="DefaultParagraphFont"/>
    <w:link w:val="BodyText2"/>
    <w:semiHidden/>
    <w:rsid w:val="00C0684D"/>
    <w:rPr>
      <w:rFonts w:ascii="Arial" w:eastAsia="Times" w:hAnsi="Arial" w:cs="Times New Roman"/>
      <w:b/>
      <w:spacing w:val="-40"/>
      <w:kern w:val="100"/>
      <w:sz w:val="100"/>
      <w:szCs w:val="20"/>
      <w:lang w:val="en-US"/>
    </w:rPr>
  </w:style>
  <w:style w:type="character" w:styleId="PageNumber">
    <w:name w:val="page number"/>
    <w:basedOn w:val="DefaultParagraphFont"/>
    <w:semiHidden/>
    <w:rsid w:val="00C0684D"/>
  </w:style>
  <w:style w:type="character" w:customStyle="1" w:styleId="Heading3Char">
    <w:name w:val="Heading 3 Char"/>
    <w:basedOn w:val="DefaultParagraphFont"/>
    <w:link w:val="Heading3"/>
    <w:uiPriority w:val="9"/>
    <w:semiHidden/>
    <w:rsid w:val="00C0684D"/>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C0684D"/>
    <w:rPr>
      <w:rFonts w:asciiTheme="majorHAnsi" w:eastAsiaTheme="majorEastAsia" w:hAnsiTheme="majorHAnsi" w:cstheme="majorBidi"/>
      <w:color w:val="1F4D78" w:themeColor="accent1" w:themeShade="7F"/>
      <w:sz w:val="24"/>
      <w:szCs w:val="20"/>
      <w:lang w:val="en-US"/>
    </w:rPr>
  </w:style>
  <w:style w:type="character" w:customStyle="1" w:styleId="Heading8Char">
    <w:name w:val="Heading 8 Char"/>
    <w:basedOn w:val="DefaultParagraphFont"/>
    <w:link w:val="Heading8"/>
    <w:uiPriority w:val="9"/>
    <w:semiHidden/>
    <w:rsid w:val="00C0684D"/>
    <w:rPr>
      <w:rFonts w:asciiTheme="majorHAnsi" w:eastAsiaTheme="majorEastAsia" w:hAnsiTheme="majorHAnsi" w:cstheme="majorBidi"/>
      <w:color w:val="272727" w:themeColor="text1" w:themeTint="D8"/>
      <w:sz w:val="21"/>
      <w:szCs w:val="21"/>
      <w:lang w:val="en-US"/>
    </w:rPr>
  </w:style>
  <w:style w:type="character" w:styleId="Hyperlink">
    <w:name w:val="Hyperlink"/>
    <w:basedOn w:val="DefaultParagraphFont"/>
    <w:uiPriority w:val="99"/>
    <w:unhideWhenUsed/>
    <w:rsid w:val="00C0684D"/>
    <w:rPr>
      <w:color w:val="0563C1" w:themeColor="hyperlink"/>
      <w:u w:val="single"/>
    </w:rPr>
  </w:style>
  <w:style w:type="character" w:styleId="FollowedHyperlink">
    <w:name w:val="FollowedHyperlink"/>
    <w:basedOn w:val="DefaultParagraphFont"/>
    <w:uiPriority w:val="99"/>
    <w:semiHidden/>
    <w:unhideWhenUsed/>
    <w:rsid w:val="00C0684D"/>
    <w:rPr>
      <w:color w:val="954F72" w:themeColor="followedHyperlink"/>
      <w:u w:val="single"/>
    </w:rPr>
  </w:style>
  <w:style w:type="character" w:customStyle="1" w:styleId="Heading9Char">
    <w:name w:val="Heading 9 Char"/>
    <w:basedOn w:val="DefaultParagraphFont"/>
    <w:link w:val="Heading9"/>
    <w:uiPriority w:val="9"/>
    <w:rsid w:val="00C0684D"/>
    <w:rPr>
      <w:rFonts w:asciiTheme="majorHAnsi" w:eastAsiaTheme="majorEastAsia" w:hAnsiTheme="majorHAnsi" w:cstheme="majorBidi"/>
      <w:i/>
      <w:iCs/>
      <w:color w:val="272727" w:themeColor="text1" w:themeTint="D8"/>
      <w:sz w:val="21"/>
      <w:szCs w:val="21"/>
      <w:lang w:val="en-US"/>
    </w:rPr>
  </w:style>
  <w:style w:type="character" w:styleId="PlaceholderText">
    <w:name w:val="Placeholder Text"/>
    <w:basedOn w:val="DefaultParagraphFont"/>
    <w:uiPriority w:val="99"/>
    <w:semiHidden/>
    <w:rsid w:val="00073806"/>
    <w:rPr>
      <w:color w:val="808080"/>
    </w:rPr>
  </w:style>
  <w:style w:type="table" w:styleId="TableGrid">
    <w:name w:val="Table Grid"/>
    <w:basedOn w:val="TableNormal"/>
    <w:uiPriority w:val="39"/>
    <w:rsid w:val="0007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CF0A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1Light-Accent5">
    <w:name w:val="Grid Table 1 Light Accent 5"/>
    <w:basedOn w:val="TableNormal"/>
    <w:uiPriority w:val="46"/>
    <w:rsid w:val="00CF0A5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84BDA"/>
    <w:rPr>
      <w:rFonts w:asciiTheme="majorHAnsi" w:eastAsiaTheme="majorEastAsia" w:hAnsiTheme="majorHAnsi" w:cstheme="majorBidi"/>
      <w:color w:val="2E74B5" w:themeColor="accent1" w:themeShade="BF"/>
      <w:sz w:val="26"/>
      <w:szCs w:val="26"/>
      <w:lang w:val="en-US"/>
    </w:rPr>
  </w:style>
  <w:style w:type="table" w:customStyle="1" w:styleId="TableGrid1">
    <w:name w:val="Table Grid1"/>
    <w:basedOn w:val="TableNormal"/>
    <w:next w:val="TableGrid"/>
    <w:uiPriority w:val="59"/>
    <w:rsid w:val="00284BDA"/>
    <w:pPr>
      <w:spacing w:after="0" w:line="240" w:lineRule="auto"/>
    </w:pPr>
    <w:rPr>
      <w:rFonts w:ascii="Arial" w:eastAsia="Times New Roman" w:hAnsi="Arial" w:cs="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0718"/>
    <w:pPr>
      <w:ind w:left="720"/>
      <w:contextualSpacing/>
    </w:pPr>
  </w:style>
  <w:style w:type="paragraph" w:styleId="BalloonText">
    <w:name w:val="Balloon Text"/>
    <w:basedOn w:val="Normal"/>
    <w:link w:val="BalloonTextChar"/>
    <w:uiPriority w:val="99"/>
    <w:semiHidden/>
    <w:unhideWhenUsed/>
    <w:rsid w:val="002A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A43"/>
    <w:rPr>
      <w:rFonts w:ascii="Segoe UI" w:eastAsia="Times" w:hAnsi="Segoe UI" w:cs="Segoe UI"/>
      <w:sz w:val="18"/>
      <w:szCs w:val="18"/>
      <w:lang w:val="en-US"/>
    </w:rPr>
  </w:style>
  <w:style w:type="character" w:styleId="CommentReference">
    <w:name w:val="annotation reference"/>
    <w:basedOn w:val="DefaultParagraphFont"/>
    <w:uiPriority w:val="99"/>
    <w:semiHidden/>
    <w:unhideWhenUsed/>
    <w:rsid w:val="00F02E6A"/>
    <w:rPr>
      <w:sz w:val="16"/>
      <w:szCs w:val="16"/>
    </w:rPr>
  </w:style>
  <w:style w:type="paragraph" w:styleId="CommentText">
    <w:name w:val="annotation text"/>
    <w:basedOn w:val="Normal"/>
    <w:link w:val="CommentTextChar"/>
    <w:uiPriority w:val="99"/>
    <w:semiHidden/>
    <w:unhideWhenUsed/>
    <w:rsid w:val="00F02E6A"/>
    <w:rPr>
      <w:sz w:val="20"/>
    </w:rPr>
  </w:style>
  <w:style w:type="character" w:customStyle="1" w:styleId="CommentTextChar">
    <w:name w:val="Comment Text Char"/>
    <w:basedOn w:val="DefaultParagraphFont"/>
    <w:link w:val="CommentText"/>
    <w:uiPriority w:val="99"/>
    <w:semiHidden/>
    <w:rsid w:val="00F02E6A"/>
    <w:rPr>
      <w:rFonts w:ascii="Times" w:eastAsia="Times" w:hAns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2E6A"/>
    <w:rPr>
      <w:b/>
      <w:bCs/>
    </w:rPr>
  </w:style>
  <w:style w:type="character" w:customStyle="1" w:styleId="CommentSubjectChar">
    <w:name w:val="Comment Subject Char"/>
    <w:basedOn w:val="CommentTextChar"/>
    <w:link w:val="CommentSubject"/>
    <w:uiPriority w:val="99"/>
    <w:semiHidden/>
    <w:rsid w:val="00F02E6A"/>
    <w:rPr>
      <w:rFonts w:ascii="Times" w:eastAsia="Times" w:hAnsi="Times" w:cs="Times New Roman"/>
      <w:b/>
      <w:bCs/>
      <w:sz w:val="20"/>
      <w:szCs w:val="20"/>
      <w:lang w:val="en-US"/>
    </w:rPr>
  </w:style>
  <w:style w:type="paragraph" w:styleId="FootnoteText">
    <w:name w:val="footnote text"/>
    <w:basedOn w:val="Normal"/>
    <w:link w:val="FootnoteTextChar"/>
    <w:uiPriority w:val="99"/>
    <w:semiHidden/>
    <w:unhideWhenUsed/>
    <w:rsid w:val="00B85C0F"/>
    <w:rPr>
      <w:rFonts w:ascii="Arial" w:eastAsia="Calibri" w:hAnsi="Arial" w:cs="Calibri"/>
      <w:color w:val="000000"/>
      <w:sz w:val="20"/>
      <w:lang w:val="en-GB" w:eastAsia="en-GB"/>
    </w:rPr>
  </w:style>
  <w:style w:type="character" w:customStyle="1" w:styleId="FootnoteTextChar">
    <w:name w:val="Footnote Text Char"/>
    <w:basedOn w:val="DefaultParagraphFont"/>
    <w:link w:val="FootnoteText"/>
    <w:uiPriority w:val="99"/>
    <w:semiHidden/>
    <w:rsid w:val="00B85C0F"/>
    <w:rPr>
      <w:rFonts w:ascii="Arial" w:eastAsia="Calibri" w:hAnsi="Arial" w:cs="Calibri"/>
      <w:color w:val="000000"/>
      <w:sz w:val="20"/>
      <w:szCs w:val="20"/>
      <w:lang w:eastAsia="en-GB"/>
    </w:rPr>
  </w:style>
  <w:style w:type="character" w:styleId="FootnoteReference">
    <w:name w:val="footnote reference"/>
    <w:basedOn w:val="DefaultParagraphFont"/>
    <w:uiPriority w:val="99"/>
    <w:semiHidden/>
    <w:unhideWhenUsed/>
    <w:rsid w:val="00B85C0F"/>
    <w:rPr>
      <w:vertAlign w:val="superscript"/>
    </w:rPr>
  </w:style>
  <w:style w:type="paragraph" w:customStyle="1" w:styleId="Default">
    <w:name w:val="Default"/>
    <w:rsid w:val="00B85C0F"/>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4871C7"/>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semiHidden/>
    <w:rsid w:val="007F6952"/>
    <w:pPr>
      <w:spacing w:after="0" w:line="240" w:lineRule="auto"/>
    </w:pPr>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145">
      <w:bodyDiv w:val="1"/>
      <w:marLeft w:val="0"/>
      <w:marRight w:val="0"/>
      <w:marTop w:val="0"/>
      <w:marBottom w:val="0"/>
      <w:divBdr>
        <w:top w:val="none" w:sz="0" w:space="0" w:color="auto"/>
        <w:left w:val="none" w:sz="0" w:space="0" w:color="auto"/>
        <w:bottom w:val="none" w:sz="0" w:space="0" w:color="auto"/>
        <w:right w:val="none" w:sz="0" w:space="0" w:color="auto"/>
      </w:divBdr>
    </w:div>
    <w:div w:id="79184072">
      <w:bodyDiv w:val="1"/>
      <w:marLeft w:val="0"/>
      <w:marRight w:val="0"/>
      <w:marTop w:val="0"/>
      <w:marBottom w:val="0"/>
      <w:divBdr>
        <w:top w:val="none" w:sz="0" w:space="0" w:color="auto"/>
        <w:left w:val="none" w:sz="0" w:space="0" w:color="auto"/>
        <w:bottom w:val="none" w:sz="0" w:space="0" w:color="auto"/>
        <w:right w:val="none" w:sz="0" w:space="0" w:color="auto"/>
      </w:divBdr>
    </w:div>
    <w:div w:id="121270408">
      <w:bodyDiv w:val="1"/>
      <w:marLeft w:val="0"/>
      <w:marRight w:val="0"/>
      <w:marTop w:val="0"/>
      <w:marBottom w:val="0"/>
      <w:divBdr>
        <w:top w:val="none" w:sz="0" w:space="0" w:color="auto"/>
        <w:left w:val="none" w:sz="0" w:space="0" w:color="auto"/>
        <w:bottom w:val="none" w:sz="0" w:space="0" w:color="auto"/>
        <w:right w:val="none" w:sz="0" w:space="0" w:color="auto"/>
      </w:divBdr>
    </w:div>
    <w:div w:id="381564028">
      <w:bodyDiv w:val="1"/>
      <w:marLeft w:val="0"/>
      <w:marRight w:val="0"/>
      <w:marTop w:val="0"/>
      <w:marBottom w:val="0"/>
      <w:divBdr>
        <w:top w:val="none" w:sz="0" w:space="0" w:color="auto"/>
        <w:left w:val="none" w:sz="0" w:space="0" w:color="auto"/>
        <w:bottom w:val="none" w:sz="0" w:space="0" w:color="auto"/>
        <w:right w:val="none" w:sz="0" w:space="0" w:color="auto"/>
      </w:divBdr>
    </w:div>
    <w:div w:id="432672687">
      <w:bodyDiv w:val="1"/>
      <w:marLeft w:val="0"/>
      <w:marRight w:val="0"/>
      <w:marTop w:val="0"/>
      <w:marBottom w:val="0"/>
      <w:divBdr>
        <w:top w:val="none" w:sz="0" w:space="0" w:color="auto"/>
        <w:left w:val="none" w:sz="0" w:space="0" w:color="auto"/>
        <w:bottom w:val="none" w:sz="0" w:space="0" w:color="auto"/>
        <w:right w:val="none" w:sz="0" w:space="0" w:color="auto"/>
      </w:divBdr>
      <w:divsChild>
        <w:div w:id="1060785658">
          <w:marLeft w:val="0"/>
          <w:marRight w:val="0"/>
          <w:marTop w:val="0"/>
          <w:marBottom w:val="0"/>
          <w:divBdr>
            <w:top w:val="none" w:sz="0" w:space="0" w:color="auto"/>
            <w:left w:val="none" w:sz="0" w:space="0" w:color="auto"/>
            <w:bottom w:val="none" w:sz="0" w:space="0" w:color="auto"/>
            <w:right w:val="none" w:sz="0" w:space="0" w:color="auto"/>
          </w:divBdr>
        </w:div>
        <w:div w:id="64183280">
          <w:marLeft w:val="0"/>
          <w:marRight w:val="0"/>
          <w:marTop w:val="0"/>
          <w:marBottom w:val="0"/>
          <w:divBdr>
            <w:top w:val="none" w:sz="0" w:space="0" w:color="auto"/>
            <w:left w:val="none" w:sz="0" w:space="0" w:color="auto"/>
            <w:bottom w:val="none" w:sz="0" w:space="0" w:color="auto"/>
            <w:right w:val="none" w:sz="0" w:space="0" w:color="auto"/>
          </w:divBdr>
        </w:div>
        <w:div w:id="833030172">
          <w:marLeft w:val="0"/>
          <w:marRight w:val="0"/>
          <w:marTop w:val="0"/>
          <w:marBottom w:val="0"/>
          <w:divBdr>
            <w:top w:val="none" w:sz="0" w:space="0" w:color="auto"/>
            <w:left w:val="none" w:sz="0" w:space="0" w:color="auto"/>
            <w:bottom w:val="none" w:sz="0" w:space="0" w:color="auto"/>
            <w:right w:val="none" w:sz="0" w:space="0" w:color="auto"/>
          </w:divBdr>
        </w:div>
        <w:div w:id="386608965">
          <w:marLeft w:val="0"/>
          <w:marRight w:val="0"/>
          <w:marTop w:val="0"/>
          <w:marBottom w:val="0"/>
          <w:divBdr>
            <w:top w:val="none" w:sz="0" w:space="0" w:color="auto"/>
            <w:left w:val="none" w:sz="0" w:space="0" w:color="auto"/>
            <w:bottom w:val="none" w:sz="0" w:space="0" w:color="auto"/>
            <w:right w:val="none" w:sz="0" w:space="0" w:color="auto"/>
          </w:divBdr>
        </w:div>
        <w:div w:id="29766388">
          <w:marLeft w:val="0"/>
          <w:marRight w:val="0"/>
          <w:marTop w:val="0"/>
          <w:marBottom w:val="0"/>
          <w:divBdr>
            <w:top w:val="none" w:sz="0" w:space="0" w:color="auto"/>
            <w:left w:val="none" w:sz="0" w:space="0" w:color="auto"/>
            <w:bottom w:val="none" w:sz="0" w:space="0" w:color="auto"/>
            <w:right w:val="none" w:sz="0" w:space="0" w:color="auto"/>
          </w:divBdr>
        </w:div>
        <w:div w:id="1608928212">
          <w:marLeft w:val="0"/>
          <w:marRight w:val="0"/>
          <w:marTop w:val="0"/>
          <w:marBottom w:val="0"/>
          <w:divBdr>
            <w:top w:val="none" w:sz="0" w:space="0" w:color="auto"/>
            <w:left w:val="none" w:sz="0" w:space="0" w:color="auto"/>
            <w:bottom w:val="none" w:sz="0" w:space="0" w:color="auto"/>
            <w:right w:val="none" w:sz="0" w:space="0" w:color="auto"/>
          </w:divBdr>
        </w:div>
      </w:divsChild>
    </w:div>
    <w:div w:id="438643510">
      <w:bodyDiv w:val="1"/>
      <w:marLeft w:val="0"/>
      <w:marRight w:val="0"/>
      <w:marTop w:val="0"/>
      <w:marBottom w:val="0"/>
      <w:divBdr>
        <w:top w:val="none" w:sz="0" w:space="0" w:color="auto"/>
        <w:left w:val="none" w:sz="0" w:space="0" w:color="auto"/>
        <w:bottom w:val="none" w:sz="0" w:space="0" w:color="auto"/>
        <w:right w:val="none" w:sz="0" w:space="0" w:color="auto"/>
      </w:divBdr>
    </w:div>
    <w:div w:id="544874906">
      <w:bodyDiv w:val="1"/>
      <w:marLeft w:val="0"/>
      <w:marRight w:val="0"/>
      <w:marTop w:val="0"/>
      <w:marBottom w:val="0"/>
      <w:divBdr>
        <w:top w:val="none" w:sz="0" w:space="0" w:color="auto"/>
        <w:left w:val="none" w:sz="0" w:space="0" w:color="auto"/>
        <w:bottom w:val="none" w:sz="0" w:space="0" w:color="auto"/>
        <w:right w:val="none" w:sz="0" w:space="0" w:color="auto"/>
      </w:divBdr>
    </w:div>
    <w:div w:id="1074665113">
      <w:bodyDiv w:val="1"/>
      <w:marLeft w:val="0"/>
      <w:marRight w:val="0"/>
      <w:marTop w:val="0"/>
      <w:marBottom w:val="0"/>
      <w:divBdr>
        <w:top w:val="none" w:sz="0" w:space="0" w:color="auto"/>
        <w:left w:val="none" w:sz="0" w:space="0" w:color="auto"/>
        <w:bottom w:val="none" w:sz="0" w:space="0" w:color="auto"/>
        <w:right w:val="none" w:sz="0" w:space="0" w:color="auto"/>
      </w:divBdr>
    </w:div>
    <w:div w:id="1571579723">
      <w:bodyDiv w:val="1"/>
      <w:marLeft w:val="0"/>
      <w:marRight w:val="0"/>
      <w:marTop w:val="0"/>
      <w:marBottom w:val="0"/>
      <w:divBdr>
        <w:top w:val="none" w:sz="0" w:space="0" w:color="auto"/>
        <w:left w:val="none" w:sz="0" w:space="0" w:color="auto"/>
        <w:bottom w:val="none" w:sz="0" w:space="0" w:color="auto"/>
        <w:right w:val="none" w:sz="0" w:space="0" w:color="auto"/>
      </w:divBdr>
    </w:div>
    <w:div w:id="2068410710">
      <w:bodyDiv w:val="1"/>
      <w:marLeft w:val="0"/>
      <w:marRight w:val="0"/>
      <w:marTop w:val="0"/>
      <w:marBottom w:val="0"/>
      <w:divBdr>
        <w:top w:val="none" w:sz="0" w:space="0" w:color="auto"/>
        <w:left w:val="none" w:sz="0" w:space="0" w:color="auto"/>
        <w:bottom w:val="none" w:sz="0" w:space="0" w:color="auto"/>
        <w:right w:val="none" w:sz="0" w:space="0" w:color="auto"/>
      </w:divBdr>
      <w:divsChild>
        <w:div w:id="166214844">
          <w:marLeft w:val="0"/>
          <w:marRight w:val="0"/>
          <w:marTop w:val="0"/>
          <w:marBottom w:val="0"/>
          <w:divBdr>
            <w:top w:val="none" w:sz="0" w:space="0" w:color="auto"/>
            <w:left w:val="none" w:sz="0" w:space="0" w:color="auto"/>
            <w:bottom w:val="none" w:sz="0" w:space="0" w:color="auto"/>
            <w:right w:val="none" w:sz="0" w:space="0" w:color="auto"/>
          </w:divBdr>
        </w:div>
        <w:div w:id="412550421">
          <w:marLeft w:val="0"/>
          <w:marRight w:val="0"/>
          <w:marTop w:val="0"/>
          <w:marBottom w:val="0"/>
          <w:divBdr>
            <w:top w:val="none" w:sz="0" w:space="0" w:color="auto"/>
            <w:left w:val="none" w:sz="0" w:space="0" w:color="auto"/>
            <w:bottom w:val="none" w:sz="0" w:space="0" w:color="auto"/>
            <w:right w:val="none" w:sz="0" w:space="0" w:color="auto"/>
          </w:divBdr>
        </w:div>
        <w:div w:id="482697372">
          <w:marLeft w:val="0"/>
          <w:marRight w:val="0"/>
          <w:marTop w:val="0"/>
          <w:marBottom w:val="0"/>
          <w:divBdr>
            <w:top w:val="none" w:sz="0" w:space="0" w:color="auto"/>
            <w:left w:val="none" w:sz="0" w:space="0" w:color="auto"/>
            <w:bottom w:val="none" w:sz="0" w:space="0" w:color="auto"/>
            <w:right w:val="none" w:sz="0" w:space="0" w:color="auto"/>
          </w:divBdr>
        </w:div>
        <w:div w:id="1560089138">
          <w:marLeft w:val="0"/>
          <w:marRight w:val="0"/>
          <w:marTop w:val="0"/>
          <w:marBottom w:val="0"/>
          <w:divBdr>
            <w:top w:val="none" w:sz="0" w:space="0" w:color="auto"/>
            <w:left w:val="none" w:sz="0" w:space="0" w:color="auto"/>
            <w:bottom w:val="none" w:sz="0" w:space="0" w:color="auto"/>
            <w:right w:val="none" w:sz="0" w:space="0" w:color="auto"/>
          </w:divBdr>
        </w:div>
        <w:div w:id="1772167794">
          <w:marLeft w:val="0"/>
          <w:marRight w:val="0"/>
          <w:marTop w:val="0"/>
          <w:marBottom w:val="0"/>
          <w:divBdr>
            <w:top w:val="none" w:sz="0" w:space="0" w:color="auto"/>
            <w:left w:val="none" w:sz="0" w:space="0" w:color="auto"/>
            <w:bottom w:val="none" w:sz="0" w:space="0" w:color="auto"/>
            <w:right w:val="none" w:sz="0" w:space="0" w:color="auto"/>
          </w:divBdr>
        </w:div>
      </w:divsChild>
    </w:div>
    <w:div w:id="20901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cot/Publications/2016/03/1439" TargetMode="Externa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yperlink" Target="http://www.sfc.ac.uk/web/FILES/Corporate_publications_SFCCP052016_GenderActionPlan/SFCCP052016_Gender_Action_Plan.pdf" TargetMode="Externa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yperlink" Target="http://www.universities-scotland.ac.uk/wp-content/uploads/2016/09/10537-%E2%80%A2-Futures-Not-Backgrounds-web.pdf"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apier.ac.uk/~/media/documents/policies/admissions/contextual-admissions-policy.pdf" TargetMode="Externa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yperlink" Target="http://www.napier.ac.uk/~/media/documents/policies/admissions/contextual-admissions-policy.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yperlink" Target="http://www.gov.scot/Resource/0050/005052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yperlink" Target="http://www.gov.scot/Publications/2016/03/1439/downloads" TargetMode="External"/><Relationship Id="rId40" Type="http://schemas.openxmlformats.org/officeDocument/2006/relationships/hyperlink" Target="http://www.gov.scot/Resource/0048/00483676.pdf" TargetMode="Externa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yperlink" Target="http://www.gov.scot/Publications/2016/03/1439"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25.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0988263F-C5B6-4E48-AD25-1F191428D945}"/>
      </w:docPartPr>
      <w:docPartBody>
        <w:p w:rsidR="00BF4952" w:rsidRDefault="00BF4952">
          <w:r w:rsidRPr="00051716">
            <w:rPr>
              <w:rStyle w:val="PlaceholderText"/>
            </w:rPr>
            <w:t>Choose an item.</w:t>
          </w:r>
        </w:p>
      </w:docPartBody>
    </w:docPart>
    <w:docPart>
      <w:docPartPr>
        <w:name w:val="D7E5469CA43E4C67AD431D524F5A09B6"/>
        <w:category>
          <w:name w:val="General"/>
          <w:gallery w:val="placeholder"/>
        </w:category>
        <w:types>
          <w:type w:val="bbPlcHdr"/>
        </w:types>
        <w:behaviors>
          <w:behavior w:val="content"/>
        </w:behaviors>
        <w:guid w:val="{80C31475-4D33-4A66-885F-D6F48BBCB05E}"/>
      </w:docPartPr>
      <w:docPartBody>
        <w:p w:rsidR="00BF4952" w:rsidRDefault="00BF4952" w:rsidP="00BF4952">
          <w:pPr>
            <w:pStyle w:val="D7E5469CA43E4C67AD431D524F5A09B6"/>
          </w:pPr>
          <w:r w:rsidRPr="00051716">
            <w:rPr>
              <w:rStyle w:val="PlaceholderText"/>
            </w:rPr>
            <w:t>Choose an item.</w:t>
          </w:r>
        </w:p>
      </w:docPartBody>
    </w:docPart>
    <w:docPart>
      <w:docPartPr>
        <w:name w:val="F71EE550DFAA46989C1E68AD9BBA1498"/>
        <w:category>
          <w:name w:val="General"/>
          <w:gallery w:val="placeholder"/>
        </w:category>
        <w:types>
          <w:type w:val="bbPlcHdr"/>
        </w:types>
        <w:behaviors>
          <w:behavior w:val="content"/>
        </w:behaviors>
        <w:guid w:val="{E814C31D-245B-4CCE-A198-AE59FC0BCCB8}"/>
      </w:docPartPr>
      <w:docPartBody>
        <w:p w:rsidR="009450C6" w:rsidRDefault="004D1E46" w:rsidP="004D1E46">
          <w:pPr>
            <w:pStyle w:val="F71EE550DFAA46989C1E68AD9BBA1498"/>
          </w:pPr>
          <w:r w:rsidRPr="00051716">
            <w:rPr>
              <w:rStyle w:val="PlaceholderText"/>
            </w:rPr>
            <w:t>Choose an item.</w:t>
          </w:r>
        </w:p>
      </w:docPartBody>
    </w:docPart>
    <w:docPart>
      <w:docPartPr>
        <w:name w:val="C9071D29F7A440A488DF8FF0B236D4EE"/>
        <w:category>
          <w:name w:val="General"/>
          <w:gallery w:val="placeholder"/>
        </w:category>
        <w:types>
          <w:type w:val="bbPlcHdr"/>
        </w:types>
        <w:behaviors>
          <w:behavior w:val="content"/>
        </w:behaviors>
        <w:guid w:val="{63C3C2BC-DA0C-4F6D-8EB9-B463E1DD9CB0}"/>
      </w:docPartPr>
      <w:docPartBody>
        <w:p w:rsidR="009450C6" w:rsidRDefault="004D1E46" w:rsidP="004D1E46">
          <w:pPr>
            <w:pStyle w:val="C9071D29F7A440A488DF8FF0B236D4EE"/>
          </w:pPr>
          <w:r w:rsidRPr="00051716">
            <w:rPr>
              <w:rStyle w:val="PlaceholderText"/>
            </w:rPr>
            <w:t>Choose an item.</w:t>
          </w:r>
        </w:p>
      </w:docPartBody>
    </w:docPart>
    <w:docPart>
      <w:docPartPr>
        <w:name w:val="06B24CCEEC84474EB1C6B93B60A8921F"/>
        <w:category>
          <w:name w:val="General"/>
          <w:gallery w:val="placeholder"/>
        </w:category>
        <w:types>
          <w:type w:val="bbPlcHdr"/>
        </w:types>
        <w:behaviors>
          <w:behavior w:val="content"/>
        </w:behaviors>
        <w:guid w:val="{44E7A171-E0C0-4371-B3AD-8D80477B94AA}"/>
      </w:docPartPr>
      <w:docPartBody>
        <w:p w:rsidR="009450C6" w:rsidRDefault="004D1E46" w:rsidP="004D1E46">
          <w:pPr>
            <w:pStyle w:val="06B24CCEEC84474EB1C6B93B60A8921F"/>
          </w:pPr>
          <w:r w:rsidRPr="00051716">
            <w:rPr>
              <w:rStyle w:val="PlaceholderText"/>
            </w:rPr>
            <w:t>Choose an item.</w:t>
          </w:r>
        </w:p>
      </w:docPartBody>
    </w:docPart>
    <w:docPart>
      <w:docPartPr>
        <w:name w:val="13CEDC7235404DC999C5A09FF8D837B2"/>
        <w:category>
          <w:name w:val="General"/>
          <w:gallery w:val="placeholder"/>
        </w:category>
        <w:types>
          <w:type w:val="bbPlcHdr"/>
        </w:types>
        <w:behaviors>
          <w:behavior w:val="content"/>
        </w:behaviors>
        <w:guid w:val="{2F5875FD-0ACA-4D01-B547-AE635F9DD7CB}"/>
      </w:docPartPr>
      <w:docPartBody>
        <w:p w:rsidR="009450C6" w:rsidRDefault="004D1E46" w:rsidP="004D1E46">
          <w:pPr>
            <w:pStyle w:val="13CEDC7235404DC999C5A09FF8D837B2"/>
          </w:pPr>
          <w:r w:rsidRPr="00051716">
            <w:rPr>
              <w:rStyle w:val="PlaceholderText"/>
            </w:rPr>
            <w:t>Choose an item.</w:t>
          </w:r>
        </w:p>
      </w:docPartBody>
    </w:docPart>
    <w:docPart>
      <w:docPartPr>
        <w:name w:val="099365080CFB4469B4CB388A1254B2C4"/>
        <w:category>
          <w:name w:val="General"/>
          <w:gallery w:val="placeholder"/>
        </w:category>
        <w:types>
          <w:type w:val="bbPlcHdr"/>
        </w:types>
        <w:behaviors>
          <w:behavior w:val="content"/>
        </w:behaviors>
        <w:guid w:val="{2BB977DE-BBE4-4F80-A332-512A809AF7BD}"/>
      </w:docPartPr>
      <w:docPartBody>
        <w:p w:rsidR="009450C6" w:rsidRDefault="004D1E46" w:rsidP="004D1E46">
          <w:pPr>
            <w:pStyle w:val="099365080CFB4469B4CB388A1254B2C4"/>
          </w:pPr>
          <w:r w:rsidRPr="00051716">
            <w:rPr>
              <w:rStyle w:val="PlaceholderText"/>
            </w:rPr>
            <w:t>Choose an item.</w:t>
          </w:r>
        </w:p>
      </w:docPartBody>
    </w:docPart>
    <w:docPart>
      <w:docPartPr>
        <w:name w:val="6EAE630D278C4D7886896F9E55813703"/>
        <w:category>
          <w:name w:val="General"/>
          <w:gallery w:val="placeholder"/>
        </w:category>
        <w:types>
          <w:type w:val="bbPlcHdr"/>
        </w:types>
        <w:behaviors>
          <w:behavior w:val="content"/>
        </w:behaviors>
        <w:guid w:val="{274D0C54-2713-4B37-B84D-EA917F838817}"/>
      </w:docPartPr>
      <w:docPartBody>
        <w:p w:rsidR="009450C6" w:rsidRDefault="004D1E46" w:rsidP="004D1E46">
          <w:pPr>
            <w:pStyle w:val="6EAE630D278C4D7886896F9E55813703"/>
          </w:pPr>
          <w:r w:rsidRPr="00051716">
            <w:rPr>
              <w:rStyle w:val="PlaceholderText"/>
            </w:rPr>
            <w:t>Choose an item.</w:t>
          </w:r>
        </w:p>
      </w:docPartBody>
    </w:docPart>
    <w:docPart>
      <w:docPartPr>
        <w:name w:val="E885923B046A46F3B738469ED84A9786"/>
        <w:category>
          <w:name w:val="General"/>
          <w:gallery w:val="placeholder"/>
        </w:category>
        <w:types>
          <w:type w:val="bbPlcHdr"/>
        </w:types>
        <w:behaviors>
          <w:behavior w:val="content"/>
        </w:behaviors>
        <w:guid w:val="{BF67A341-BE9B-4BC3-B78F-1EC2C120EF97}"/>
      </w:docPartPr>
      <w:docPartBody>
        <w:p w:rsidR="009450C6" w:rsidRDefault="004D1E46" w:rsidP="004D1E46">
          <w:pPr>
            <w:pStyle w:val="E885923B046A46F3B738469ED84A9786"/>
          </w:pPr>
          <w:r w:rsidRPr="000517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tillium">
    <w:altName w:val="Titillium"/>
    <w:panose1 w:val="00000500000000000000"/>
    <w:charset w:val="00"/>
    <w:family w:val="moder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52"/>
    <w:rsid w:val="00127CD7"/>
    <w:rsid w:val="001A10D5"/>
    <w:rsid w:val="0025609B"/>
    <w:rsid w:val="00393687"/>
    <w:rsid w:val="00470DCC"/>
    <w:rsid w:val="004D0558"/>
    <w:rsid w:val="004D1E46"/>
    <w:rsid w:val="0059421E"/>
    <w:rsid w:val="00633D20"/>
    <w:rsid w:val="00727A18"/>
    <w:rsid w:val="007D0E37"/>
    <w:rsid w:val="007E15D2"/>
    <w:rsid w:val="0087673E"/>
    <w:rsid w:val="008C043E"/>
    <w:rsid w:val="009450C6"/>
    <w:rsid w:val="009E2801"/>
    <w:rsid w:val="00A620D8"/>
    <w:rsid w:val="00BF4952"/>
    <w:rsid w:val="00C826B3"/>
    <w:rsid w:val="00CA0BCA"/>
    <w:rsid w:val="00CE0FA7"/>
    <w:rsid w:val="00D75BD0"/>
    <w:rsid w:val="00D768A9"/>
    <w:rsid w:val="00DF19C6"/>
    <w:rsid w:val="00F10301"/>
    <w:rsid w:val="00FD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E46"/>
    <w:rPr>
      <w:color w:val="808080"/>
    </w:rPr>
  </w:style>
  <w:style w:type="paragraph" w:customStyle="1" w:styleId="8916975694084255BA6CDEE579BB0EB0">
    <w:name w:val="8916975694084255BA6CDEE579BB0EB0"/>
    <w:rsid w:val="00BF4952"/>
  </w:style>
  <w:style w:type="paragraph" w:customStyle="1" w:styleId="94B3BFE28F2340D6B7483D732E432548">
    <w:name w:val="94B3BFE28F2340D6B7483D732E432548"/>
    <w:rsid w:val="00BF4952"/>
  </w:style>
  <w:style w:type="paragraph" w:customStyle="1" w:styleId="EBD78A22CB184AEFB9C656E874156EF0">
    <w:name w:val="EBD78A22CB184AEFB9C656E874156EF0"/>
    <w:rsid w:val="00BF4952"/>
  </w:style>
  <w:style w:type="paragraph" w:customStyle="1" w:styleId="7A7FE88C0C3C442D935DB5ECD68AC6F7">
    <w:name w:val="7A7FE88C0C3C442D935DB5ECD68AC6F7"/>
    <w:rsid w:val="00BF4952"/>
  </w:style>
  <w:style w:type="paragraph" w:customStyle="1" w:styleId="99A027D9D7724DA881500589326AD396">
    <w:name w:val="99A027D9D7724DA881500589326AD396"/>
    <w:rsid w:val="00BF4952"/>
  </w:style>
  <w:style w:type="paragraph" w:customStyle="1" w:styleId="CEEB77C1AA814ED3B88AF1E5DBAEF8C3">
    <w:name w:val="CEEB77C1AA814ED3B88AF1E5DBAEF8C3"/>
    <w:rsid w:val="00BF4952"/>
  </w:style>
  <w:style w:type="paragraph" w:customStyle="1" w:styleId="CC277DC26253463AA4A4F14385EC41B9">
    <w:name w:val="CC277DC26253463AA4A4F14385EC41B9"/>
    <w:rsid w:val="00BF4952"/>
  </w:style>
  <w:style w:type="paragraph" w:customStyle="1" w:styleId="AA5D105249434F47A92EDAA30B6D1295">
    <w:name w:val="AA5D105249434F47A92EDAA30B6D1295"/>
    <w:rsid w:val="00BF4952"/>
    <w:pPr>
      <w:spacing w:after="0" w:line="240" w:lineRule="auto"/>
    </w:pPr>
    <w:rPr>
      <w:rFonts w:ascii="Times" w:eastAsia="Times" w:hAnsi="Times" w:cs="Times New Roman"/>
      <w:sz w:val="24"/>
      <w:szCs w:val="20"/>
      <w:lang w:val="en-US" w:eastAsia="en-US"/>
    </w:rPr>
  </w:style>
  <w:style w:type="paragraph" w:customStyle="1" w:styleId="7A7FE88C0C3C442D935DB5ECD68AC6F71">
    <w:name w:val="7A7FE88C0C3C442D935DB5ECD68AC6F71"/>
    <w:rsid w:val="00BF4952"/>
    <w:pPr>
      <w:spacing w:after="0" w:line="240" w:lineRule="auto"/>
    </w:pPr>
    <w:rPr>
      <w:rFonts w:ascii="Times" w:eastAsia="Times" w:hAnsi="Times" w:cs="Times New Roman"/>
      <w:sz w:val="24"/>
      <w:szCs w:val="20"/>
      <w:lang w:val="en-US" w:eastAsia="en-US"/>
    </w:rPr>
  </w:style>
  <w:style w:type="paragraph" w:customStyle="1" w:styleId="99A027D9D7724DA881500589326AD3961">
    <w:name w:val="99A027D9D7724DA881500589326AD3961"/>
    <w:rsid w:val="00BF4952"/>
    <w:pPr>
      <w:spacing w:after="0" w:line="240" w:lineRule="auto"/>
    </w:pPr>
    <w:rPr>
      <w:rFonts w:ascii="Times" w:eastAsia="Times" w:hAnsi="Times" w:cs="Times New Roman"/>
      <w:sz w:val="24"/>
      <w:szCs w:val="20"/>
      <w:lang w:val="en-US" w:eastAsia="en-US"/>
    </w:rPr>
  </w:style>
  <w:style w:type="paragraph" w:customStyle="1" w:styleId="98C37C1DDC6D4A1E822225F1BFA31D47">
    <w:name w:val="98C37C1DDC6D4A1E822225F1BFA31D47"/>
    <w:rsid w:val="00BF4952"/>
    <w:pPr>
      <w:spacing w:after="0" w:line="240" w:lineRule="auto"/>
    </w:pPr>
    <w:rPr>
      <w:rFonts w:ascii="Times" w:eastAsia="Times" w:hAnsi="Times" w:cs="Times New Roman"/>
      <w:sz w:val="24"/>
      <w:szCs w:val="20"/>
      <w:lang w:val="en-US" w:eastAsia="en-US"/>
    </w:rPr>
  </w:style>
  <w:style w:type="paragraph" w:customStyle="1" w:styleId="CEEB77C1AA814ED3B88AF1E5DBAEF8C31">
    <w:name w:val="CEEB77C1AA814ED3B88AF1E5DBAEF8C31"/>
    <w:rsid w:val="00BF4952"/>
    <w:pPr>
      <w:spacing w:after="0" w:line="240" w:lineRule="auto"/>
    </w:pPr>
    <w:rPr>
      <w:rFonts w:ascii="Times" w:eastAsia="Times" w:hAnsi="Times" w:cs="Times New Roman"/>
      <w:sz w:val="24"/>
      <w:szCs w:val="20"/>
      <w:lang w:val="en-US" w:eastAsia="en-US"/>
    </w:rPr>
  </w:style>
  <w:style w:type="paragraph" w:customStyle="1" w:styleId="CC277DC26253463AA4A4F14385EC41B91">
    <w:name w:val="CC277DC26253463AA4A4F14385EC41B91"/>
    <w:rsid w:val="00BF4952"/>
    <w:pPr>
      <w:spacing w:after="0" w:line="240" w:lineRule="auto"/>
    </w:pPr>
    <w:rPr>
      <w:rFonts w:ascii="Times" w:eastAsia="Times" w:hAnsi="Times" w:cs="Times New Roman"/>
      <w:sz w:val="24"/>
      <w:szCs w:val="20"/>
      <w:lang w:val="en-US" w:eastAsia="en-US"/>
    </w:rPr>
  </w:style>
  <w:style w:type="paragraph" w:customStyle="1" w:styleId="1485008F33A542C3A70E288A1AF3148F">
    <w:name w:val="1485008F33A542C3A70E288A1AF3148F"/>
    <w:rsid w:val="00BF4952"/>
    <w:pPr>
      <w:spacing w:after="0" w:line="240" w:lineRule="auto"/>
    </w:pPr>
    <w:rPr>
      <w:rFonts w:ascii="Times" w:eastAsia="Times" w:hAnsi="Times" w:cs="Times New Roman"/>
      <w:sz w:val="24"/>
      <w:szCs w:val="20"/>
      <w:lang w:val="en-US" w:eastAsia="en-US"/>
    </w:rPr>
  </w:style>
  <w:style w:type="paragraph" w:customStyle="1" w:styleId="7D9FE9CACDF94D70B54532F655F2D7C1">
    <w:name w:val="7D9FE9CACDF94D70B54532F655F2D7C1"/>
    <w:rsid w:val="00BF4952"/>
    <w:pPr>
      <w:spacing w:after="0" w:line="240" w:lineRule="auto"/>
    </w:pPr>
    <w:rPr>
      <w:rFonts w:ascii="Times" w:eastAsia="Times" w:hAnsi="Times" w:cs="Times New Roman"/>
      <w:sz w:val="24"/>
      <w:szCs w:val="20"/>
      <w:lang w:val="en-US" w:eastAsia="en-US"/>
    </w:rPr>
  </w:style>
  <w:style w:type="paragraph" w:customStyle="1" w:styleId="220538C9B3614B94BD70952E50768147">
    <w:name w:val="220538C9B3614B94BD70952E50768147"/>
    <w:rsid w:val="00BF4952"/>
  </w:style>
  <w:style w:type="paragraph" w:customStyle="1" w:styleId="2100F937B1F94F279488702A54B4E900">
    <w:name w:val="2100F937B1F94F279488702A54B4E900"/>
    <w:rsid w:val="00BF4952"/>
  </w:style>
  <w:style w:type="paragraph" w:customStyle="1" w:styleId="4208A090809D4530B597CC51E60F5914">
    <w:name w:val="4208A090809D4530B597CC51E60F5914"/>
    <w:rsid w:val="00BF4952"/>
  </w:style>
  <w:style w:type="paragraph" w:customStyle="1" w:styleId="0528E8ABDEFA42F4AA463D7B8EA65ABD">
    <w:name w:val="0528E8ABDEFA42F4AA463D7B8EA65ABD"/>
    <w:rsid w:val="00BF4952"/>
  </w:style>
  <w:style w:type="paragraph" w:customStyle="1" w:styleId="8DC0242813AC45A588CCF684611585D7">
    <w:name w:val="8DC0242813AC45A588CCF684611585D7"/>
    <w:rsid w:val="00BF4952"/>
  </w:style>
  <w:style w:type="paragraph" w:customStyle="1" w:styleId="92D1C2EC28924B2D8B2EE190A2827CEF">
    <w:name w:val="92D1C2EC28924B2D8B2EE190A2827CEF"/>
    <w:rsid w:val="00BF4952"/>
  </w:style>
  <w:style w:type="paragraph" w:customStyle="1" w:styleId="7ABD745256924520AF577FF5EFC58F1A">
    <w:name w:val="7ABD745256924520AF577FF5EFC58F1A"/>
    <w:rsid w:val="00BF4952"/>
  </w:style>
  <w:style w:type="paragraph" w:customStyle="1" w:styleId="84127D42E60544F6860EC859FAE6C662">
    <w:name w:val="84127D42E60544F6860EC859FAE6C662"/>
    <w:rsid w:val="00BF4952"/>
  </w:style>
  <w:style w:type="paragraph" w:customStyle="1" w:styleId="854D9A4500974B61B7F6C4144117ACF3">
    <w:name w:val="854D9A4500974B61B7F6C4144117ACF3"/>
    <w:rsid w:val="00BF4952"/>
  </w:style>
  <w:style w:type="paragraph" w:customStyle="1" w:styleId="ED1848061D264DE497C398A9DEC251AF">
    <w:name w:val="ED1848061D264DE497C398A9DEC251AF"/>
    <w:rsid w:val="00BF4952"/>
  </w:style>
  <w:style w:type="paragraph" w:customStyle="1" w:styleId="6B9199F141FB48AD92FE7F11C9DFCFED">
    <w:name w:val="6B9199F141FB48AD92FE7F11C9DFCFED"/>
    <w:rsid w:val="00BF4952"/>
  </w:style>
  <w:style w:type="paragraph" w:customStyle="1" w:styleId="9464A7F1CD9B4503918390AFB3193DEB">
    <w:name w:val="9464A7F1CD9B4503918390AFB3193DEB"/>
    <w:rsid w:val="00BF4952"/>
  </w:style>
  <w:style w:type="paragraph" w:customStyle="1" w:styleId="6D4C7D7869254241B463E541DD58A811">
    <w:name w:val="6D4C7D7869254241B463E541DD58A811"/>
    <w:rsid w:val="00BF4952"/>
  </w:style>
  <w:style w:type="paragraph" w:customStyle="1" w:styleId="E1753BA696214C6195D94B742D3239A0">
    <w:name w:val="E1753BA696214C6195D94B742D3239A0"/>
    <w:rsid w:val="00BF4952"/>
  </w:style>
  <w:style w:type="paragraph" w:customStyle="1" w:styleId="9D7710F4CA7D461D909A52FC6678D8A0">
    <w:name w:val="9D7710F4CA7D461D909A52FC6678D8A0"/>
    <w:rsid w:val="00BF4952"/>
  </w:style>
  <w:style w:type="paragraph" w:customStyle="1" w:styleId="1D8DE6DE4C56454AB87988E34A9D1FE3">
    <w:name w:val="1D8DE6DE4C56454AB87988E34A9D1FE3"/>
    <w:rsid w:val="00BF4952"/>
  </w:style>
  <w:style w:type="paragraph" w:customStyle="1" w:styleId="5193D38A4A3540EA9F24CB94AC1C9842">
    <w:name w:val="5193D38A4A3540EA9F24CB94AC1C9842"/>
    <w:rsid w:val="00BF4952"/>
  </w:style>
  <w:style w:type="paragraph" w:customStyle="1" w:styleId="76C7B7EAA4E64B1BB9BF8B561F0437D9">
    <w:name w:val="76C7B7EAA4E64B1BB9BF8B561F0437D9"/>
    <w:rsid w:val="00BF4952"/>
  </w:style>
  <w:style w:type="paragraph" w:customStyle="1" w:styleId="8AA78216F1C14BCEA1237CB72D8C2786">
    <w:name w:val="8AA78216F1C14BCEA1237CB72D8C2786"/>
    <w:rsid w:val="00BF4952"/>
  </w:style>
  <w:style w:type="paragraph" w:customStyle="1" w:styleId="D72CAE03E8CD47E48CB446264A7B98AE">
    <w:name w:val="D72CAE03E8CD47E48CB446264A7B98AE"/>
    <w:rsid w:val="00BF4952"/>
  </w:style>
  <w:style w:type="paragraph" w:customStyle="1" w:styleId="E5BEBFF07E8D41F8906FADE057EDD3B6">
    <w:name w:val="E5BEBFF07E8D41F8906FADE057EDD3B6"/>
    <w:rsid w:val="00BF4952"/>
  </w:style>
  <w:style w:type="paragraph" w:customStyle="1" w:styleId="91114B7B46BD44BE88CA9494DA5410AB">
    <w:name w:val="91114B7B46BD44BE88CA9494DA5410AB"/>
    <w:rsid w:val="00BF4952"/>
  </w:style>
  <w:style w:type="paragraph" w:customStyle="1" w:styleId="E310D4426CD74F7ABFF58D0D465C2A99">
    <w:name w:val="E310D4426CD74F7ABFF58D0D465C2A99"/>
    <w:rsid w:val="00BF4952"/>
  </w:style>
  <w:style w:type="paragraph" w:customStyle="1" w:styleId="3804BA64B39243D894D2CBF0EF18C845">
    <w:name w:val="3804BA64B39243D894D2CBF0EF18C845"/>
    <w:rsid w:val="00BF4952"/>
  </w:style>
  <w:style w:type="paragraph" w:customStyle="1" w:styleId="763574161DD8466E8D4703AAC9DD9B6F">
    <w:name w:val="763574161DD8466E8D4703AAC9DD9B6F"/>
    <w:rsid w:val="00BF4952"/>
  </w:style>
  <w:style w:type="paragraph" w:customStyle="1" w:styleId="A4686F18804A4C24ABFF8C57206EA085">
    <w:name w:val="A4686F18804A4C24ABFF8C57206EA085"/>
    <w:rsid w:val="00BF4952"/>
  </w:style>
  <w:style w:type="paragraph" w:customStyle="1" w:styleId="497977BB8A704A508E1C7E0FD08B5600">
    <w:name w:val="497977BB8A704A508E1C7E0FD08B5600"/>
    <w:rsid w:val="00BF4952"/>
  </w:style>
  <w:style w:type="paragraph" w:customStyle="1" w:styleId="A5C16E1511F74C7ABD36F3912C5A3DF2">
    <w:name w:val="A5C16E1511F74C7ABD36F3912C5A3DF2"/>
    <w:rsid w:val="00BF4952"/>
  </w:style>
  <w:style w:type="paragraph" w:customStyle="1" w:styleId="F663902B38BF4302ABB792B1E0043A61">
    <w:name w:val="F663902B38BF4302ABB792B1E0043A61"/>
    <w:rsid w:val="00BF4952"/>
  </w:style>
  <w:style w:type="paragraph" w:customStyle="1" w:styleId="80D3B560F537448786D56D3119549EDD">
    <w:name w:val="80D3B560F537448786D56D3119549EDD"/>
    <w:rsid w:val="00BF4952"/>
  </w:style>
  <w:style w:type="paragraph" w:customStyle="1" w:styleId="8D3F60D10D4A4E5D8553AD75E55B9224">
    <w:name w:val="8D3F60D10D4A4E5D8553AD75E55B9224"/>
    <w:rsid w:val="00BF4952"/>
  </w:style>
  <w:style w:type="paragraph" w:customStyle="1" w:styleId="13503029E70947F3BA79BA229774C251">
    <w:name w:val="13503029E70947F3BA79BA229774C251"/>
    <w:rsid w:val="00BF4952"/>
  </w:style>
  <w:style w:type="paragraph" w:customStyle="1" w:styleId="567C1ADCE9FF4B14A89C605DFF2A940C">
    <w:name w:val="567C1ADCE9FF4B14A89C605DFF2A940C"/>
    <w:rsid w:val="00BF4952"/>
  </w:style>
  <w:style w:type="paragraph" w:customStyle="1" w:styleId="BE2FAE0E78B144FC893DA00DEC23138B">
    <w:name w:val="BE2FAE0E78B144FC893DA00DEC23138B"/>
    <w:rsid w:val="00BF4952"/>
  </w:style>
  <w:style w:type="paragraph" w:customStyle="1" w:styleId="A2BB5357F14F4EB7AB60C39157B97578">
    <w:name w:val="A2BB5357F14F4EB7AB60C39157B97578"/>
    <w:rsid w:val="00BF4952"/>
  </w:style>
  <w:style w:type="paragraph" w:customStyle="1" w:styleId="0BF7538FFF1240FAAC52824DDEB49765">
    <w:name w:val="0BF7538FFF1240FAAC52824DDEB49765"/>
    <w:rsid w:val="00BF4952"/>
  </w:style>
  <w:style w:type="paragraph" w:customStyle="1" w:styleId="CD80A6A967524E398B73B4B04E2795C9">
    <w:name w:val="CD80A6A967524E398B73B4B04E2795C9"/>
    <w:rsid w:val="00BF4952"/>
  </w:style>
  <w:style w:type="paragraph" w:customStyle="1" w:styleId="54C5BBF759BE43928FB7BF25ABEB6165">
    <w:name w:val="54C5BBF759BE43928FB7BF25ABEB6165"/>
    <w:rsid w:val="00BF4952"/>
  </w:style>
  <w:style w:type="paragraph" w:customStyle="1" w:styleId="FC024C100A8F400DA52FF57B3E7077CB">
    <w:name w:val="FC024C100A8F400DA52FF57B3E7077CB"/>
    <w:rsid w:val="00BF4952"/>
  </w:style>
  <w:style w:type="paragraph" w:customStyle="1" w:styleId="967AB76D91C04C2D9ED24B8D8F0BC27A">
    <w:name w:val="967AB76D91C04C2D9ED24B8D8F0BC27A"/>
    <w:rsid w:val="00BF4952"/>
  </w:style>
  <w:style w:type="paragraph" w:customStyle="1" w:styleId="73F08A5884614436A7C6CA3CE4843657">
    <w:name w:val="73F08A5884614436A7C6CA3CE4843657"/>
    <w:rsid w:val="00BF4952"/>
  </w:style>
  <w:style w:type="paragraph" w:customStyle="1" w:styleId="4B3008BD5B39461997037FED27C8404C">
    <w:name w:val="4B3008BD5B39461997037FED27C8404C"/>
    <w:rsid w:val="00BF4952"/>
  </w:style>
  <w:style w:type="paragraph" w:customStyle="1" w:styleId="AFADB06D07AB45128DCB0E3F5E26370F">
    <w:name w:val="AFADB06D07AB45128DCB0E3F5E26370F"/>
    <w:rsid w:val="00BF4952"/>
  </w:style>
  <w:style w:type="paragraph" w:customStyle="1" w:styleId="0BB49176ADFE4CF8AD291E63F2ED2082">
    <w:name w:val="0BB49176ADFE4CF8AD291E63F2ED2082"/>
    <w:rsid w:val="00BF4952"/>
  </w:style>
  <w:style w:type="paragraph" w:customStyle="1" w:styleId="0D328CFAF38C474EBBAF2E1CFA57613C">
    <w:name w:val="0D328CFAF38C474EBBAF2E1CFA57613C"/>
    <w:rsid w:val="00BF4952"/>
  </w:style>
  <w:style w:type="paragraph" w:customStyle="1" w:styleId="C1C10B40EB1F4EA78E8BDCEDF7D639CE">
    <w:name w:val="C1C10B40EB1F4EA78E8BDCEDF7D639CE"/>
    <w:rsid w:val="00BF4952"/>
  </w:style>
  <w:style w:type="paragraph" w:customStyle="1" w:styleId="CCDDA466AD4647A6A1A04C2F8B886D8C">
    <w:name w:val="CCDDA466AD4647A6A1A04C2F8B886D8C"/>
    <w:rsid w:val="00BF4952"/>
  </w:style>
  <w:style w:type="paragraph" w:customStyle="1" w:styleId="570D796DEDFC46FD96428B9011697FCB">
    <w:name w:val="570D796DEDFC46FD96428B9011697FCB"/>
    <w:rsid w:val="00BF4952"/>
  </w:style>
  <w:style w:type="paragraph" w:customStyle="1" w:styleId="BCD85C62D2F446CDA003A626C0710EC0">
    <w:name w:val="BCD85C62D2F446CDA003A626C0710EC0"/>
    <w:rsid w:val="00BF4952"/>
  </w:style>
  <w:style w:type="paragraph" w:customStyle="1" w:styleId="D6957778180F481F8E9A7EB29A91583F">
    <w:name w:val="D6957778180F481F8E9A7EB29A91583F"/>
    <w:rsid w:val="00BF4952"/>
  </w:style>
  <w:style w:type="paragraph" w:customStyle="1" w:styleId="98BC17BFFCB140ECBD9E9C0906B3F147">
    <w:name w:val="98BC17BFFCB140ECBD9E9C0906B3F147"/>
    <w:rsid w:val="00BF4952"/>
  </w:style>
  <w:style w:type="paragraph" w:customStyle="1" w:styleId="D4F244CFF11141DCAF4DFE01E0B95832">
    <w:name w:val="D4F244CFF11141DCAF4DFE01E0B95832"/>
    <w:rsid w:val="00BF4952"/>
  </w:style>
  <w:style w:type="paragraph" w:customStyle="1" w:styleId="FD565B7923C54073BEA2E8F5C5AB9170">
    <w:name w:val="FD565B7923C54073BEA2E8F5C5AB9170"/>
    <w:rsid w:val="00BF4952"/>
  </w:style>
  <w:style w:type="paragraph" w:customStyle="1" w:styleId="50BA4E6A878A48B795A5C982560AF3CE">
    <w:name w:val="50BA4E6A878A48B795A5C982560AF3CE"/>
    <w:rsid w:val="00BF4952"/>
  </w:style>
  <w:style w:type="paragraph" w:customStyle="1" w:styleId="7E570EF4FCC14B10AE2F19E44E99CA58">
    <w:name w:val="7E570EF4FCC14B10AE2F19E44E99CA58"/>
    <w:rsid w:val="00BF4952"/>
  </w:style>
  <w:style w:type="paragraph" w:customStyle="1" w:styleId="C8C25F375F3448168DBE56B9ABFDFB09">
    <w:name w:val="C8C25F375F3448168DBE56B9ABFDFB09"/>
    <w:rsid w:val="00BF4952"/>
  </w:style>
  <w:style w:type="paragraph" w:customStyle="1" w:styleId="303A0313DF04462F9EC54EDF8DDFD1AE">
    <w:name w:val="303A0313DF04462F9EC54EDF8DDFD1AE"/>
    <w:rsid w:val="00BF4952"/>
  </w:style>
  <w:style w:type="paragraph" w:customStyle="1" w:styleId="318E2DAD4FA94790A796EEABD0C89D7C">
    <w:name w:val="318E2DAD4FA94790A796EEABD0C89D7C"/>
    <w:rsid w:val="00BF4952"/>
  </w:style>
  <w:style w:type="paragraph" w:customStyle="1" w:styleId="5ED1E59B475042EEA7EBECEC77E46B9A">
    <w:name w:val="5ED1E59B475042EEA7EBECEC77E46B9A"/>
    <w:rsid w:val="00BF4952"/>
  </w:style>
  <w:style w:type="paragraph" w:customStyle="1" w:styleId="13F83636162D4847879209FB72D13B59">
    <w:name w:val="13F83636162D4847879209FB72D13B59"/>
    <w:rsid w:val="00BF4952"/>
  </w:style>
  <w:style w:type="paragraph" w:customStyle="1" w:styleId="7A4CCF66D67948D9A0E5C65A696A6239">
    <w:name w:val="7A4CCF66D67948D9A0E5C65A696A6239"/>
    <w:rsid w:val="00BF4952"/>
  </w:style>
  <w:style w:type="paragraph" w:customStyle="1" w:styleId="2FB58F3B31A3438A9AE2C148CD71D2B8">
    <w:name w:val="2FB58F3B31A3438A9AE2C148CD71D2B8"/>
    <w:rsid w:val="00BF4952"/>
  </w:style>
  <w:style w:type="paragraph" w:customStyle="1" w:styleId="A05AD04419B248A49C6A0F46CE6CF1E1">
    <w:name w:val="A05AD04419B248A49C6A0F46CE6CF1E1"/>
    <w:rsid w:val="00BF4952"/>
  </w:style>
  <w:style w:type="paragraph" w:customStyle="1" w:styleId="C52C3057A0B248C193ED02DB30243CA7">
    <w:name w:val="C52C3057A0B248C193ED02DB30243CA7"/>
    <w:rsid w:val="00BF4952"/>
  </w:style>
  <w:style w:type="paragraph" w:customStyle="1" w:styleId="78267F725FC3422BA5DF5422758BD13A">
    <w:name w:val="78267F725FC3422BA5DF5422758BD13A"/>
    <w:rsid w:val="00BF4952"/>
  </w:style>
  <w:style w:type="paragraph" w:customStyle="1" w:styleId="91042601A4D94294B69E87CAB6ED6C2A">
    <w:name w:val="91042601A4D94294B69E87CAB6ED6C2A"/>
    <w:rsid w:val="00BF4952"/>
  </w:style>
  <w:style w:type="paragraph" w:customStyle="1" w:styleId="BD34089BE46340D49767201328D3D99A">
    <w:name w:val="BD34089BE46340D49767201328D3D99A"/>
    <w:rsid w:val="00BF4952"/>
  </w:style>
  <w:style w:type="paragraph" w:customStyle="1" w:styleId="9A2FFDF65EAC41D7975D52342AAA1573">
    <w:name w:val="9A2FFDF65EAC41D7975D52342AAA1573"/>
    <w:rsid w:val="00BF4952"/>
  </w:style>
  <w:style w:type="paragraph" w:customStyle="1" w:styleId="F2161084832E46A9A1246CE232ED6D3F">
    <w:name w:val="F2161084832E46A9A1246CE232ED6D3F"/>
    <w:rsid w:val="00BF4952"/>
  </w:style>
  <w:style w:type="paragraph" w:customStyle="1" w:styleId="75C7D92F20924634AE3A2A3CB7A8A343">
    <w:name w:val="75C7D92F20924634AE3A2A3CB7A8A343"/>
    <w:rsid w:val="00BF4952"/>
  </w:style>
  <w:style w:type="paragraph" w:customStyle="1" w:styleId="B16E6D75D28F4E579B860C77688E05AA">
    <w:name w:val="B16E6D75D28F4E579B860C77688E05AA"/>
    <w:rsid w:val="00BF4952"/>
  </w:style>
  <w:style w:type="paragraph" w:customStyle="1" w:styleId="98815626A71840C19D62822FDCE5767C">
    <w:name w:val="98815626A71840C19D62822FDCE5767C"/>
    <w:rsid w:val="00BF4952"/>
  </w:style>
  <w:style w:type="paragraph" w:customStyle="1" w:styleId="835B8494C00849B7B15567CEEB3A4764">
    <w:name w:val="835B8494C00849B7B15567CEEB3A4764"/>
    <w:rsid w:val="00BF4952"/>
  </w:style>
  <w:style w:type="paragraph" w:customStyle="1" w:styleId="1B073324A5414FFF8EFCAE5D71934835">
    <w:name w:val="1B073324A5414FFF8EFCAE5D71934835"/>
    <w:rsid w:val="00BF4952"/>
  </w:style>
  <w:style w:type="paragraph" w:customStyle="1" w:styleId="A6BB0E6DF7B44829BCD46FA97AA50A22">
    <w:name w:val="A6BB0E6DF7B44829BCD46FA97AA50A22"/>
    <w:rsid w:val="00BF4952"/>
  </w:style>
  <w:style w:type="paragraph" w:customStyle="1" w:styleId="C3D87EE29C8C4DBE856B6B0B25D29060">
    <w:name w:val="C3D87EE29C8C4DBE856B6B0B25D29060"/>
    <w:rsid w:val="00BF4952"/>
  </w:style>
  <w:style w:type="paragraph" w:customStyle="1" w:styleId="BEC5ADDBD65F45B48C0378AE14B895AD">
    <w:name w:val="BEC5ADDBD65F45B48C0378AE14B895AD"/>
    <w:rsid w:val="00BF4952"/>
  </w:style>
  <w:style w:type="paragraph" w:customStyle="1" w:styleId="266913C76204408AB7639A7CBBD3790E">
    <w:name w:val="266913C76204408AB7639A7CBBD3790E"/>
    <w:rsid w:val="00BF4952"/>
  </w:style>
  <w:style w:type="paragraph" w:customStyle="1" w:styleId="77AF6AE2EEB349D9AC59832FE9503908">
    <w:name w:val="77AF6AE2EEB349D9AC59832FE9503908"/>
    <w:rsid w:val="00BF4952"/>
  </w:style>
  <w:style w:type="paragraph" w:customStyle="1" w:styleId="F2CE78C0CD034C77B66E195321783BB5">
    <w:name w:val="F2CE78C0CD034C77B66E195321783BB5"/>
    <w:rsid w:val="00BF4952"/>
  </w:style>
  <w:style w:type="paragraph" w:customStyle="1" w:styleId="44A0AF071A2141059A4364D70A49C72D">
    <w:name w:val="44A0AF071A2141059A4364D70A49C72D"/>
    <w:rsid w:val="00BF4952"/>
  </w:style>
  <w:style w:type="paragraph" w:customStyle="1" w:styleId="A4AF0B9BDAA746ADBBF272DC7779C22E">
    <w:name w:val="A4AF0B9BDAA746ADBBF272DC7779C22E"/>
    <w:rsid w:val="00BF4952"/>
  </w:style>
  <w:style w:type="paragraph" w:customStyle="1" w:styleId="5226BF7F286046958C0BEF6DA9FF9C33">
    <w:name w:val="5226BF7F286046958C0BEF6DA9FF9C33"/>
    <w:rsid w:val="00BF4952"/>
  </w:style>
  <w:style w:type="paragraph" w:customStyle="1" w:styleId="A4C0464402BB4A1FBEA8C27A5C553C48">
    <w:name w:val="A4C0464402BB4A1FBEA8C27A5C553C48"/>
    <w:rsid w:val="00BF4952"/>
  </w:style>
  <w:style w:type="paragraph" w:customStyle="1" w:styleId="3FAF598FA7D74F579A2575A1B679B17E">
    <w:name w:val="3FAF598FA7D74F579A2575A1B679B17E"/>
    <w:rsid w:val="00BF4952"/>
  </w:style>
  <w:style w:type="paragraph" w:customStyle="1" w:styleId="6AE9BEA05CAE46908BB3A69E203CDC2A">
    <w:name w:val="6AE9BEA05CAE46908BB3A69E203CDC2A"/>
    <w:rsid w:val="00BF4952"/>
  </w:style>
  <w:style w:type="paragraph" w:customStyle="1" w:styleId="F5643F0AD79B49318DAF7F121BC875F8">
    <w:name w:val="F5643F0AD79B49318DAF7F121BC875F8"/>
    <w:rsid w:val="00BF4952"/>
  </w:style>
  <w:style w:type="paragraph" w:customStyle="1" w:styleId="70F6A1E94214459D88296F8EE8A621A4">
    <w:name w:val="70F6A1E94214459D88296F8EE8A621A4"/>
    <w:rsid w:val="00BF4952"/>
  </w:style>
  <w:style w:type="paragraph" w:customStyle="1" w:styleId="FFD0A41DD0B848DF8A6CC74FFA12B3E0">
    <w:name w:val="FFD0A41DD0B848DF8A6CC74FFA12B3E0"/>
    <w:rsid w:val="00BF4952"/>
  </w:style>
  <w:style w:type="paragraph" w:customStyle="1" w:styleId="D4BD1326E7C141B4B1194E87DEA8C50E">
    <w:name w:val="D4BD1326E7C141B4B1194E87DEA8C50E"/>
    <w:rsid w:val="00BF4952"/>
  </w:style>
  <w:style w:type="paragraph" w:customStyle="1" w:styleId="FD35BD5B95B04893866289779CD3D321">
    <w:name w:val="FD35BD5B95B04893866289779CD3D321"/>
    <w:rsid w:val="00BF4952"/>
  </w:style>
  <w:style w:type="paragraph" w:customStyle="1" w:styleId="84BAD2951A3C4AA2B3D0542EFC48D120">
    <w:name w:val="84BAD2951A3C4AA2B3D0542EFC48D120"/>
    <w:rsid w:val="00BF4952"/>
  </w:style>
  <w:style w:type="paragraph" w:customStyle="1" w:styleId="0642C13D59DA493F90357EE8015D5479">
    <w:name w:val="0642C13D59DA493F90357EE8015D5479"/>
    <w:rsid w:val="00BF4952"/>
  </w:style>
  <w:style w:type="paragraph" w:customStyle="1" w:styleId="76B3712AD57E44CC9BFAB3E2386255CB">
    <w:name w:val="76B3712AD57E44CC9BFAB3E2386255CB"/>
    <w:rsid w:val="00BF4952"/>
  </w:style>
  <w:style w:type="paragraph" w:customStyle="1" w:styleId="5CB6D28AA80C4FA5B3E92D1986C049D1">
    <w:name w:val="5CB6D28AA80C4FA5B3E92D1986C049D1"/>
    <w:rsid w:val="00BF4952"/>
  </w:style>
  <w:style w:type="paragraph" w:customStyle="1" w:styleId="45B5F472765942A09221E2AB271FCBE3">
    <w:name w:val="45B5F472765942A09221E2AB271FCBE3"/>
    <w:rsid w:val="00BF4952"/>
  </w:style>
  <w:style w:type="paragraph" w:customStyle="1" w:styleId="A9B2771B5E094E85B129E41EC823EBBA">
    <w:name w:val="A9B2771B5E094E85B129E41EC823EBBA"/>
    <w:rsid w:val="00BF4952"/>
  </w:style>
  <w:style w:type="paragraph" w:customStyle="1" w:styleId="F52C3A05B7D045FAAD4A0EFB37516D36">
    <w:name w:val="F52C3A05B7D045FAAD4A0EFB37516D36"/>
    <w:rsid w:val="00BF4952"/>
  </w:style>
  <w:style w:type="paragraph" w:customStyle="1" w:styleId="62B2890E237E44A0B8757369E831E4A8">
    <w:name w:val="62B2890E237E44A0B8757369E831E4A8"/>
    <w:rsid w:val="00BF4952"/>
  </w:style>
  <w:style w:type="paragraph" w:customStyle="1" w:styleId="B1A5140329DD4310BADE64E872B813DC">
    <w:name w:val="B1A5140329DD4310BADE64E872B813DC"/>
    <w:rsid w:val="00BF4952"/>
  </w:style>
  <w:style w:type="paragraph" w:customStyle="1" w:styleId="67916DD2F32C4D5887FD194083BCCCDF">
    <w:name w:val="67916DD2F32C4D5887FD194083BCCCDF"/>
    <w:rsid w:val="00BF4952"/>
  </w:style>
  <w:style w:type="paragraph" w:customStyle="1" w:styleId="DF1ED3AEF72A44F893598811E8757BD3">
    <w:name w:val="DF1ED3AEF72A44F893598811E8757BD3"/>
    <w:rsid w:val="00BF4952"/>
  </w:style>
  <w:style w:type="paragraph" w:customStyle="1" w:styleId="711D8A9DB89D4DD6B013F6F786CCF7C7">
    <w:name w:val="711D8A9DB89D4DD6B013F6F786CCF7C7"/>
    <w:rsid w:val="00BF4952"/>
  </w:style>
  <w:style w:type="paragraph" w:customStyle="1" w:styleId="6C13C2EF31F04C9C82289F77560F0D73">
    <w:name w:val="6C13C2EF31F04C9C82289F77560F0D73"/>
    <w:rsid w:val="00BF4952"/>
  </w:style>
  <w:style w:type="paragraph" w:customStyle="1" w:styleId="16C866878AFB4B04BF7C0C0E47A29EC0">
    <w:name w:val="16C866878AFB4B04BF7C0C0E47A29EC0"/>
    <w:rsid w:val="00BF4952"/>
  </w:style>
  <w:style w:type="paragraph" w:customStyle="1" w:styleId="DB4DA06348DD4FBDB9D7680E0E8C0C16">
    <w:name w:val="DB4DA06348DD4FBDB9D7680E0E8C0C16"/>
    <w:rsid w:val="00BF4952"/>
  </w:style>
  <w:style w:type="paragraph" w:customStyle="1" w:styleId="452DBBC0047645D0AB12205740B340C0">
    <w:name w:val="452DBBC0047645D0AB12205740B340C0"/>
    <w:rsid w:val="00BF4952"/>
  </w:style>
  <w:style w:type="paragraph" w:customStyle="1" w:styleId="ED2938CE60D6441CB03974CFE11CA600">
    <w:name w:val="ED2938CE60D6441CB03974CFE11CA600"/>
    <w:rsid w:val="00BF4952"/>
  </w:style>
  <w:style w:type="paragraph" w:customStyle="1" w:styleId="97DB0E7A1E654481AA288BC9AC4D8044">
    <w:name w:val="97DB0E7A1E654481AA288BC9AC4D8044"/>
    <w:rsid w:val="00BF4952"/>
  </w:style>
  <w:style w:type="paragraph" w:customStyle="1" w:styleId="A97BBA1EF41B41B99FF52380B32640CE">
    <w:name w:val="A97BBA1EF41B41B99FF52380B32640CE"/>
    <w:rsid w:val="00BF4952"/>
  </w:style>
  <w:style w:type="paragraph" w:customStyle="1" w:styleId="F55B193588574DBB984704318F6384A6">
    <w:name w:val="F55B193588574DBB984704318F6384A6"/>
    <w:rsid w:val="00BF4952"/>
  </w:style>
  <w:style w:type="paragraph" w:customStyle="1" w:styleId="F26208215A014C61A5E87927C0FAEF35">
    <w:name w:val="F26208215A014C61A5E87927C0FAEF35"/>
    <w:rsid w:val="00BF4952"/>
  </w:style>
  <w:style w:type="paragraph" w:customStyle="1" w:styleId="8A1133FC9E304618B2E00D69E7E8C159">
    <w:name w:val="8A1133FC9E304618B2E00D69E7E8C159"/>
    <w:rsid w:val="00BF4952"/>
  </w:style>
  <w:style w:type="paragraph" w:customStyle="1" w:styleId="FFBE2F259A50453094659CF2509C0354">
    <w:name w:val="FFBE2F259A50453094659CF2509C0354"/>
    <w:rsid w:val="00BF4952"/>
  </w:style>
  <w:style w:type="paragraph" w:customStyle="1" w:styleId="CBD6AB7E5A8F424A8F150CCADA335094">
    <w:name w:val="CBD6AB7E5A8F424A8F150CCADA335094"/>
    <w:rsid w:val="00BF4952"/>
  </w:style>
  <w:style w:type="paragraph" w:customStyle="1" w:styleId="4D1F90AD6E3440AD963E8567E5E983E6">
    <w:name w:val="4D1F90AD6E3440AD963E8567E5E983E6"/>
    <w:rsid w:val="00BF4952"/>
  </w:style>
  <w:style w:type="paragraph" w:customStyle="1" w:styleId="AD6C97929D4345789EC34857E97CB23C">
    <w:name w:val="AD6C97929D4345789EC34857E97CB23C"/>
    <w:rsid w:val="00BF4952"/>
  </w:style>
  <w:style w:type="paragraph" w:customStyle="1" w:styleId="4E859E6B63E24320AF68064F2ED72E70">
    <w:name w:val="4E859E6B63E24320AF68064F2ED72E70"/>
    <w:rsid w:val="00BF4952"/>
  </w:style>
  <w:style w:type="paragraph" w:customStyle="1" w:styleId="5AEA2763FCEC42BCBF62B8E06B705150">
    <w:name w:val="5AEA2763FCEC42BCBF62B8E06B705150"/>
    <w:rsid w:val="00BF4952"/>
  </w:style>
  <w:style w:type="paragraph" w:customStyle="1" w:styleId="6FF51406725B4C7082A345ED5076C160">
    <w:name w:val="6FF51406725B4C7082A345ED5076C160"/>
    <w:rsid w:val="00BF4952"/>
  </w:style>
  <w:style w:type="paragraph" w:customStyle="1" w:styleId="F2EFFA3A9A194D78B08915FB98B22208">
    <w:name w:val="F2EFFA3A9A194D78B08915FB98B22208"/>
    <w:rsid w:val="00BF4952"/>
  </w:style>
  <w:style w:type="paragraph" w:customStyle="1" w:styleId="641AC8659CDF4B85A2B52E7B3C56C171">
    <w:name w:val="641AC8659CDF4B85A2B52E7B3C56C171"/>
    <w:rsid w:val="00BF4952"/>
  </w:style>
  <w:style w:type="paragraph" w:customStyle="1" w:styleId="BAA405DC43144FAA84836ECFD2DA69B9">
    <w:name w:val="BAA405DC43144FAA84836ECFD2DA69B9"/>
    <w:rsid w:val="00BF4952"/>
  </w:style>
  <w:style w:type="paragraph" w:customStyle="1" w:styleId="34E2307E4F7048CD9EF67004CB6FFCBD">
    <w:name w:val="34E2307E4F7048CD9EF67004CB6FFCBD"/>
    <w:rsid w:val="00BF4952"/>
  </w:style>
  <w:style w:type="paragraph" w:customStyle="1" w:styleId="46DC2D3F2393467B82F4C91DB1021A18">
    <w:name w:val="46DC2D3F2393467B82F4C91DB1021A18"/>
    <w:rsid w:val="00BF4952"/>
  </w:style>
  <w:style w:type="paragraph" w:customStyle="1" w:styleId="1EBAB00645B5420AB57248B06CD33C44">
    <w:name w:val="1EBAB00645B5420AB57248B06CD33C44"/>
    <w:rsid w:val="00BF4952"/>
  </w:style>
  <w:style w:type="paragraph" w:customStyle="1" w:styleId="5F0E5ED6078F47BF9D11277EAB1886E0">
    <w:name w:val="5F0E5ED6078F47BF9D11277EAB1886E0"/>
    <w:rsid w:val="00BF4952"/>
  </w:style>
  <w:style w:type="paragraph" w:customStyle="1" w:styleId="C475A2D500084D80BD2464BC41F5216F">
    <w:name w:val="C475A2D500084D80BD2464BC41F5216F"/>
    <w:rsid w:val="00BF4952"/>
  </w:style>
  <w:style w:type="paragraph" w:customStyle="1" w:styleId="FE2771183739476B92F65D5F71F39ED5">
    <w:name w:val="FE2771183739476B92F65D5F71F39ED5"/>
    <w:rsid w:val="00BF4952"/>
  </w:style>
  <w:style w:type="paragraph" w:customStyle="1" w:styleId="86D386DFFDEB476FA0B577BB44178AC9">
    <w:name w:val="86D386DFFDEB476FA0B577BB44178AC9"/>
    <w:rsid w:val="00BF4952"/>
  </w:style>
  <w:style w:type="paragraph" w:customStyle="1" w:styleId="E4D0E896421C42CF9878EABBF927705B">
    <w:name w:val="E4D0E896421C42CF9878EABBF927705B"/>
    <w:rsid w:val="00BF4952"/>
  </w:style>
  <w:style w:type="paragraph" w:customStyle="1" w:styleId="27CB0BC496844FFB85ABBC81A1BA6E99">
    <w:name w:val="27CB0BC496844FFB85ABBC81A1BA6E99"/>
    <w:rsid w:val="00BF4952"/>
  </w:style>
  <w:style w:type="paragraph" w:customStyle="1" w:styleId="02B6A50A169644D4BC2D1A2C8789E219">
    <w:name w:val="02B6A50A169644D4BC2D1A2C8789E219"/>
    <w:rsid w:val="00BF4952"/>
  </w:style>
  <w:style w:type="paragraph" w:customStyle="1" w:styleId="8EFFAEE1F4BC4F7AA39C953CDC759157">
    <w:name w:val="8EFFAEE1F4BC4F7AA39C953CDC759157"/>
    <w:rsid w:val="00BF4952"/>
  </w:style>
  <w:style w:type="paragraph" w:customStyle="1" w:styleId="2E817E7F9BE94FCAB7D39E09308FB85E">
    <w:name w:val="2E817E7F9BE94FCAB7D39E09308FB85E"/>
    <w:rsid w:val="00BF4952"/>
  </w:style>
  <w:style w:type="paragraph" w:customStyle="1" w:styleId="D4343B3F2E0F447890479B1EAEFFCE12">
    <w:name w:val="D4343B3F2E0F447890479B1EAEFFCE12"/>
    <w:rsid w:val="00BF4952"/>
  </w:style>
  <w:style w:type="paragraph" w:customStyle="1" w:styleId="131CD593E0CA4122AB5C251B464BC322">
    <w:name w:val="131CD593E0CA4122AB5C251B464BC322"/>
    <w:rsid w:val="00BF4952"/>
  </w:style>
  <w:style w:type="paragraph" w:customStyle="1" w:styleId="84AFFCE2304746C7AF81B2F6A349B602">
    <w:name w:val="84AFFCE2304746C7AF81B2F6A349B602"/>
    <w:rsid w:val="00BF4952"/>
  </w:style>
  <w:style w:type="paragraph" w:customStyle="1" w:styleId="8B64D462AE784BE3B771A30BAB9252D2">
    <w:name w:val="8B64D462AE784BE3B771A30BAB9252D2"/>
    <w:rsid w:val="00BF4952"/>
  </w:style>
  <w:style w:type="paragraph" w:customStyle="1" w:styleId="07ED157D9CE047BEA021DD9BDF1DFFC8">
    <w:name w:val="07ED157D9CE047BEA021DD9BDF1DFFC8"/>
    <w:rsid w:val="00BF4952"/>
  </w:style>
  <w:style w:type="paragraph" w:customStyle="1" w:styleId="2DC5122F4962468CA6B2603B694DCCB5">
    <w:name w:val="2DC5122F4962468CA6B2603B694DCCB5"/>
    <w:rsid w:val="00BF4952"/>
  </w:style>
  <w:style w:type="paragraph" w:customStyle="1" w:styleId="7217CE2FF71B468EAD5BAEA10E58952B">
    <w:name w:val="7217CE2FF71B468EAD5BAEA10E58952B"/>
    <w:rsid w:val="00BF4952"/>
  </w:style>
  <w:style w:type="paragraph" w:customStyle="1" w:styleId="78F0B192EDF14CF4A1202C7C9F635845">
    <w:name w:val="78F0B192EDF14CF4A1202C7C9F635845"/>
    <w:rsid w:val="00BF4952"/>
  </w:style>
  <w:style w:type="paragraph" w:customStyle="1" w:styleId="F077EA6FDD15429288775E77A3FE3B19">
    <w:name w:val="F077EA6FDD15429288775E77A3FE3B19"/>
    <w:rsid w:val="00BF4952"/>
  </w:style>
  <w:style w:type="paragraph" w:customStyle="1" w:styleId="A11F19D4443A404D9B91C13583EB66A0">
    <w:name w:val="A11F19D4443A404D9B91C13583EB66A0"/>
    <w:rsid w:val="00BF4952"/>
  </w:style>
  <w:style w:type="paragraph" w:customStyle="1" w:styleId="A516F6F4365E4E93B61E5EFD03B0DF5D">
    <w:name w:val="A516F6F4365E4E93B61E5EFD03B0DF5D"/>
    <w:rsid w:val="00BF4952"/>
  </w:style>
  <w:style w:type="paragraph" w:customStyle="1" w:styleId="D7E5469CA43E4C67AD431D524F5A09B6">
    <w:name w:val="D7E5469CA43E4C67AD431D524F5A09B6"/>
    <w:rsid w:val="00BF4952"/>
  </w:style>
  <w:style w:type="paragraph" w:customStyle="1" w:styleId="1F868E22997A43A89176818C3DE09A46">
    <w:name w:val="1F868E22997A43A89176818C3DE09A46"/>
  </w:style>
  <w:style w:type="paragraph" w:customStyle="1" w:styleId="E1B2D7CA454147FE8D06226741CE64A2">
    <w:name w:val="E1B2D7CA454147FE8D06226741CE64A2"/>
  </w:style>
  <w:style w:type="paragraph" w:customStyle="1" w:styleId="E1F3B8CA1AF74790AFBA3236504D642A">
    <w:name w:val="E1F3B8CA1AF74790AFBA3236504D642A"/>
  </w:style>
  <w:style w:type="paragraph" w:customStyle="1" w:styleId="71D509DBBCAB4061802E5D81ADA35DD1">
    <w:name w:val="71D509DBBCAB4061802E5D81ADA35DD1"/>
  </w:style>
  <w:style w:type="paragraph" w:customStyle="1" w:styleId="2D2BAB45AAB14FE587DA16375768DB94">
    <w:name w:val="2D2BAB45AAB14FE587DA16375768DB94"/>
  </w:style>
  <w:style w:type="paragraph" w:customStyle="1" w:styleId="5EAB68FA545D4D04961FFCC6BC039D44">
    <w:name w:val="5EAB68FA545D4D04961FFCC6BC039D44"/>
  </w:style>
  <w:style w:type="paragraph" w:customStyle="1" w:styleId="E10E2699582745019320225459489B33">
    <w:name w:val="E10E2699582745019320225459489B33"/>
  </w:style>
  <w:style w:type="paragraph" w:customStyle="1" w:styleId="777FA5131EB0459CBB4FAB1CF72AE7B7">
    <w:name w:val="777FA5131EB0459CBB4FAB1CF72AE7B7"/>
  </w:style>
  <w:style w:type="paragraph" w:customStyle="1" w:styleId="F4E7A216333A4691A23E539B076B3457">
    <w:name w:val="F4E7A216333A4691A23E539B076B3457"/>
  </w:style>
  <w:style w:type="paragraph" w:customStyle="1" w:styleId="C69BF49A166447EE939F988A37486562">
    <w:name w:val="C69BF49A166447EE939F988A37486562"/>
  </w:style>
  <w:style w:type="paragraph" w:customStyle="1" w:styleId="6FE60870E5154BC4AE117EA833A54721">
    <w:name w:val="6FE60870E5154BC4AE117EA833A54721"/>
  </w:style>
  <w:style w:type="paragraph" w:customStyle="1" w:styleId="1F56016E2AE842B7AD6B2C68BDD74F90">
    <w:name w:val="1F56016E2AE842B7AD6B2C68BDD74F90"/>
  </w:style>
  <w:style w:type="paragraph" w:customStyle="1" w:styleId="C1867E3E970148F58617E7862FCA2685">
    <w:name w:val="C1867E3E970148F58617E7862FCA2685"/>
  </w:style>
  <w:style w:type="paragraph" w:customStyle="1" w:styleId="191A755E04E84EBEAF5DEA988E88E9F7">
    <w:name w:val="191A755E04E84EBEAF5DEA988E88E9F7"/>
  </w:style>
  <w:style w:type="paragraph" w:customStyle="1" w:styleId="5816E357B3C14A739DD808FD026DB3BE">
    <w:name w:val="5816E357B3C14A739DD808FD026DB3BE"/>
  </w:style>
  <w:style w:type="paragraph" w:customStyle="1" w:styleId="AAE6A317C8994546A4CD85D2A985142B">
    <w:name w:val="AAE6A317C8994546A4CD85D2A985142B"/>
  </w:style>
  <w:style w:type="paragraph" w:customStyle="1" w:styleId="655F6268FEB44726BE5D3E1D2A31E5AF">
    <w:name w:val="655F6268FEB44726BE5D3E1D2A31E5AF"/>
  </w:style>
  <w:style w:type="paragraph" w:customStyle="1" w:styleId="B125395921C44F00949166E58CE26DD4">
    <w:name w:val="B125395921C44F00949166E58CE26DD4"/>
  </w:style>
  <w:style w:type="paragraph" w:customStyle="1" w:styleId="4ED013813A124259B40DC8654B19A2FA">
    <w:name w:val="4ED013813A124259B40DC8654B19A2FA"/>
  </w:style>
  <w:style w:type="paragraph" w:customStyle="1" w:styleId="BDD8D2C5072F4A55BDFEE3754E33BB03">
    <w:name w:val="BDD8D2C5072F4A55BDFEE3754E33BB03"/>
  </w:style>
  <w:style w:type="paragraph" w:customStyle="1" w:styleId="15AA95026C264B5D98E7DB38FC00E242">
    <w:name w:val="15AA95026C264B5D98E7DB38FC00E242"/>
  </w:style>
  <w:style w:type="paragraph" w:customStyle="1" w:styleId="B0706340175440D7BFE6CBA8352F1B3B">
    <w:name w:val="B0706340175440D7BFE6CBA8352F1B3B"/>
  </w:style>
  <w:style w:type="paragraph" w:customStyle="1" w:styleId="82FDED8AEAD845E0B962E499F0CD74BB">
    <w:name w:val="82FDED8AEAD845E0B962E499F0CD74BB"/>
  </w:style>
  <w:style w:type="paragraph" w:customStyle="1" w:styleId="6CE79912D14D46C996D7F0444CD3FF54">
    <w:name w:val="6CE79912D14D46C996D7F0444CD3FF54"/>
    <w:rsid w:val="004D1E46"/>
  </w:style>
  <w:style w:type="paragraph" w:customStyle="1" w:styleId="0C4B5DB0A2DE4FB0B3321FD10EC4FFFB">
    <w:name w:val="0C4B5DB0A2DE4FB0B3321FD10EC4FFFB"/>
    <w:rsid w:val="004D1E46"/>
  </w:style>
  <w:style w:type="paragraph" w:customStyle="1" w:styleId="373A6D9E12254E45A59EDBF6262FACCF">
    <w:name w:val="373A6D9E12254E45A59EDBF6262FACCF"/>
    <w:rsid w:val="004D1E46"/>
  </w:style>
  <w:style w:type="paragraph" w:customStyle="1" w:styleId="8031F0E95B8A4749A92A2FA034D1F99B">
    <w:name w:val="8031F0E95B8A4749A92A2FA034D1F99B"/>
    <w:rsid w:val="004D1E46"/>
  </w:style>
  <w:style w:type="paragraph" w:customStyle="1" w:styleId="18348941D47F4A31ACCCE594D415CC17">
    <w:name w:val="18348941D47F4A31ACCCE594D415CC17"/>
    <w:rsid w:val="004D1E46"/>
  </w:style>
  <w:style w:type="paragraph" w:customStyle="1" w:styleId="0355B709D89F4454A03859DF5CE959CF">
    <w:name w:val="0355B709D89F4454A03859DF5CE959CF"/>
    <w:rsid w:val="004D1E46"/>
  </w:style>
  <w:style w:type="paragraph" w:customStyle="1" w:styleId="2E1C78947AD74F8F9CDBF3C968854D25">
    <w:name w:val="2E1C78947AD74F8F9CDBF3C968854D25"/>
    <w:rsid w:val="004D1E46"/>
  </w:style>
  <w:style w:type="paragraph" w:customStyle="1" w:styleId="30E5607D082C4DB792BA33859FBA3FF1">
    <w:name w:val="30E5607D082C4DB792BA33859FBA3FF1"/>
    <w:rsid w:val="004D1E46"/>
  </w:style>
  <w:style w:type="paragraph" w:customStyle="1" w:styleId="CEA68144E5334DD68B147187C2DE55B3">
    <w:name w:val="CEA68144E5334DD68B147187C2DE55B3"/>
    <w:rsid w:val="004D1E46"/>
  </w:style>
  <w:style w:type="paragraph" w:customStyle="1" w:styleId="B76E03BF5E554FC5B2A5451C9563A144">
    <w:name w:val="B76E03BF5E554FC5B2A5451C9563A144"/>
    <w:rsid w:val="004D1E46"/>
  </w:style>
  <w:style w:type="paragraph" w:customStyle="1" w:styleId="F71EE550DFAA46989C1E68AD9BBA1498">
    <w:name w:val="F71EE550DFAA46989C1E68AD9BBA1498"/>
    <w:rsid w:val="004D1E46"/>
  </w:style>
  <w:style w:type="paragraph" w:customStyle="1" w:styleId="C9071D29F7A440A488DF8FF0B236D4EE">
    <w:name w:val="C9071D29F7A440A488DF8FF0B236D4EE"/>
    <w:rsid w:val="004D1E46"/>
  </w:style>
  <w:style w:type="paragraph" w:customStyle="1" w:styleId="06B24CCEEC84474EB1C6B93B60A8921F">
    <w:name w:val="06B24CCEEC84474EB1C6B93B60A8921F"/>
    <w:rsid w:val="004D1E46"/>
  </w:style>
  <w:style w:type="paragraph" w:customStyle="1" w:styleId="13CEDC7235404DC999C5A09FF8D837B2">
    <w:name w:val="13CEDC7235404DC999C5A09FF8D837B2"/>
    <w:rsid w:val="004D1E46"/>
  </w:style>
  <w:style w:type="paragraph" w:customStyle="1" w:styleId="B066B0998F4B41EAADF00E36176C8459">
    <w:name w:val="B066B0998F4B41EAADF00E36176C8459"/>
    <w:rsid w:val="004D1E46"/>
  </w:style>
  <w:style w:type="paragraph" w:customStyle="1" w:styleId="02ACE9E7B6C2451BB24E645E576637AA">
    <w:name w:val="02ACE9E7B6C2451BB24E645E576637AA"/>
    <w:rsid w:val="004D1E46"/>
  </w:style>
  <w:style w:type="paragraph" w:customStyle="1" w:styleId="A016F468A23749629CF9A8A4DAD0FD34">
    <w:name w:val="A016F468A23749629CF9A8A4DAD0FD34"/>
    <w:rsid w:val="004D1E46"/>
  </w:style>
  <w:style w:type="paragraph" w:customStyle="1" w:styleId="AC142C2518184980AA5D4CC7F7AA18C4">
    <w:name w:val="AC142C2518184980AA5D4CC7F7AA18C4"/>
    <w:rsid w:val="004D1E46"/>
  </w:style>
  <w:style w:type="paragraph" w:customStyle="1" w:styleId="E03BDF3A6C854DD3992B8E6A63718B47">
    <w:name w:val="E03BDF3A6C854DD3992B8E6A63718B47"/>
    <w:rsid w:val="004D1E46"/>
  </w:style>
  <w:style w:type="paragraph" w:customStyle="1" w:styleId="5B2D21A5FDC24CB19CCFE93E58735398">
    <w:name w:val="5B2D21A5FDC24CB19CCFE93E58735398"/>
    <w:rsid w:val="004D1E46"/>
  </w:style>
  <w:style w:type="paragraph" w:customStyle="1" w:styleId="099365080CFB4469B4CB388A1254B2C4">
    <w:name w:val="099365080CFB4469B4CB388A1254B2C4"/>
    <w:rsid w:val="004D1E46"/>
  </w:style>
  <w:style w:type="paragraph" w:customStyle="1" w:styleId="6EAE630D278C4D7886896F9E55813703">
    <w:name w:val="6EAE630D278C4D7886896F9E55813703"/>
    <w:rsid w:val="004D1E46"/>
  </w:style>
  <w:style w:type="paragraph" w:customStyle="1" w:styleId="E885923B046A46F3B738469ED84A9786">
    <w:name w:val="E885923B046A46F3B738469ED84A9786"/>
    <w:rsid w:val="004D1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ADE9-52F2-4B52-8BEA-91D5E13B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7830</Words>
  <Characters>44634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Anita</dc:creator>
  <cp:keywords/>
  <dc:description/>
  <cp:lastModifiedBy>McNeil, Scott</cp:lastModifiedBy>
  <cp:revision>2</cp:revision>
  <cp:lastPrinted>2016-11-25T15:34:00Z</cp:lastPrinted>
  <dcterms:created xsi:type="dcterms:W3CDTF">2017-12-07T09:29:00Z</dcterms:created>
  <dcterms:modified xsi:type="dcterms:W3CDTF">2017-12-07T09:29:00Z</dcterms:modified>
</cp:coreProperties>
</file>