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62" w:rsidRPr="004C1402" w:rsidRDefault="00C82D62" w:rsidP="00C82D62">
      <w:pPr>
        <w:spacing w:line="480" w:lineRule="auto"/>
        <w:jc w:val="center"/>
      </w:pPr>
      <w:r w:rsidRPr="004C1402">
        <w:rPr>
          <w:noProof/>
          <w:lang w:eastAsia="zh-CN"/>
        </w:rPr>
        <mc:AlternateContent>
          <mc:Choice Requires="wps">
            <w:drawing>
              <wp:anchor distT="0" distB="0" distL="114300" distR="114300" simplePos="0" relativeHeight="251659264" behindDoc="0" locked="0" layoutInCell="1" allowOverlap="1" wp14:anchorId="1B172A07" wp14:editId="62B42130">
                <wp:simplePos x="0" y="0"/>
                <wp:positionH relativeFrom="column">
                  <wp:posOffset>1073150</wp:posOffset>
                </wp:positionH>
                <wp:positionV relativeFrom="paragraph">
                  <wp:posOffset>93980</wp:posOffset>
                </wp:positionV>
                <wp:extent cx="4495800" cy="342900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4495800" cy="3429000"/>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D7AC9" id="Rounded Rectangle 3" o:spid="_x0000_s1026" style="position:absolute;margin-left:84.5pt;margin-top:7.4pt;width:354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" filled="f" strokecolor="#a5a5a5 [2092]" strokeweight="2.25pt">
                <v:stroke joinstyle="miter"/>
              </v:roundrect>
            </w:pict>
          </mc:Fallback>
        </mc:AlternateContent>
      </w:r>
      <w:r w:rsidRPr="004C1402">
        <w:rPr>
          <w:noProof/>
          <w:lang w:eastAsia="zh-CN"/>
        </w:rPr>
        <w:drawing>
          <wp:inline distT="0" distB="0" distL="0" distR="0" wp14:anchorId="336A15B1" wp14:editId="07CEE652">
            <wp:extent cx="5615796" cy="3806912"/>
            <wp:effectExtent l="0" t="0" r="4445"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biLevel thresh="75000"/>
                    </a:blip>
                    <a:stretch>
                      <a:fillRect/>
                    </a:stretch>
                  </pic:blipFill>
                  <pic:spPr>
                    <a:xfrm>
                      <a:off x="0" y="0"/>
                      <a:ext cx="5615796" cy="3806912"/>
                    </a:xfrm>
                    <a:prstGeom prst="rect">
                      <a:avLst/>
                    </a:prstGeom>
                  </pic:spPr>
                </pic:pic>
              </a:graphicData>
            </a:graphic>
          </wp:inline>
        </w:drawing>
      </w:r>
    </w:p>
    <w:p w:rsidR="00C82D62" w:rsidRPr="004C1402" w:rsidRDefault="00E302C4" w:rsidP="00C82D62">
      <w:pPr>
        <w:spacing w:line="480" w:lineRule="auto"/>
        <w:jc w:val="center"/>
      </w:pPr>
      <w:r w:rsidRPr="00E302C4">
        <w:t xml:space="preserve">Supplement </w:t>
      </w:r>
      <w:r w:rsidR="00C82D62" w:rsidRPr="00E302C4">
        <w:t>Figure 1: Typical</w:t>
      </w:r>
      <w:r w:rsidR="00C82D62" w:rsidRPr="004C1402">
        <w:t xml:space="preserve"> TSC for a Destination</w:t>
      </w:r>
    </w:p>
    <w:p w:rsidR="00C82D62" w:rsidRPr="004C1402" w:rsidRDefault="00C82D62" w:rsidP="00C82D62">
      <w:pPr>
        <w:spacing w:line="480" w:lineRule="auto"/>
        <w:jc w:val="center"/>
        <w:rPr>
          <w:lang w:val="fr-FR"/>
        </w:rPr>
      </w:pPr>
      <w:r w:rsidRPr="004C1402">
        <w:rPr>
          <w:lang w:val="fr-FR"/>
        </w:rPr>
        <w:t xml:space="preserve">Source: </w:t>
      </w:r>
      <w:r w:rsidRPr="004C1402">
        <w:fldChar w:fldCharType="begin" w:fldLock="1"/>
      </w:r>
      <w:r w:rsidRPr="004C1402">
        <w:rPr>
          <w:lang w:val="fr-FR"/>
        </w:rPr>
        <w:instrText>ADDIN CSL_CITATION {"citationItems":[{"id":"ITEM-1","itemData":{"DOI":"10.1016/j.tourman.2008.12.010","ISSN":"02615177","abstract":"This paper reviews current research on supply chain management (SCM) within the context of tourism. SCM in the manufacturing industry has attracted widespread research interest over the past two decades, whereas studies of SCM in the tourism industry are very limited. Stakeholders in the tourism industry interact with each other to resolve their divergent business objectives across different operating systems. The potential benefit of considering not only individual enterprises but also the tourism value chain becomes evident. The paper examines the characteristics of tourism products, and identifies and explores core issues and concepts in tourism supply chains (TSCs) and tourism supply chain management (TSCM). Although there is an emerging literature on TSCM or its equivalents, progress is uneven, as most research focuses on distribution and marketing activities without fully considering the whole range of different suppliers involved in the provision and consumption of tourism products. This paper provides a systematic review of current tourism studies from the TSCM perspective and develops a framework for TSCM research that should be of great value not only to those who wish to extend their research into this new and exciting area, but also to tourism and hospitality decision makers. The paper also identifies key research questions in TSCM worthy of future theoretical and empirical exploration. © 2008 Elsevier Ltd. All rights reserved.","author":[{"dropping-particle":"","family":"Zhang","given":"Xinyan","non-dropping-particle":"","parse-names":false,"suffix":""},{"dropping-particle":"","family":"Song","given":"Haiyan","non-dropping-particle":"","parse-names":false,"suffix":""},{"dropping-particle":"","family":"Huang","given":"George Q.","non-dropping-particle":"","parse-names":false,"suffix":""}],"container-title":"Tourism Management","id":"ITEM-1","issued":{"date-parts":[["2009"]]},"title":"Tourism supply chain management: A new research agenda","type":"article-journal"},"locator":"353","uris":["http://www.mendeley.com/documents/?uuid=b932636d-d9bf-4ecb-a6e5-e8764ac35256"]}],"mendeley":{"formattedCitation":"(Zhang et al., 2009, p. 353)","manualFormatting":"Zhang et al. (2009, p. 353)","plainTextFormattedCitation":"(Zhang et al., 2009, p. 353)","previouslyFormattedCitation":"(Zhang et al., 2009, p. 353)"},"properties":{"noteIndex":0},"schema":"https://github.com/citation-style-language/schema/raw/master/csl-citation.json"}</w:instrText>
      </w:r>
      <w:r w:rsidRPr="004C1402">
        <w:fldChar w:fldCharType="separate"/>
      </w:r>
      <w:r w:rsidRPr="004C1402">
        <w:rPr>
          <w:noProof/>
          <w:lang w:val="fr-FR"/>
        </w:rPr>
        <w:t>Zhang et al. (2009, p. 353)</w:t>
      </w:r>
      <w:r w:rsidRPr="004C1402">
        <w:fldChar w:fldCharType="end"/>
      </w:r>
    </w:p>
    <w:p w:rsidR="00C82D62" w:rsidRDefault="00C82D62">
      <w:pPr>
        <w:spacing w:after="160" w:line="259" w:lineRule="auto"/>
        <w:rPr>
          <w:lang w:val="fr-FR"/>
        </w:rPr>
      </w:pPr>
      <w:r>
        <w:rPr>
          <w:lang w:val="fr-FR"/>
        </w:rPr>
        <w:br w:type="page"/>
      </w:r>
    </w:p>
    <w:p w:rsidR="00C82D62" w:rsidRDefault="00C82D62">
      <w:pPr>
        <w:rPr>
          <w:lang w:val="fr-FR"/>
        </w:rPr>
        <w:sectPr w:rsidR="00C82D62" w:rsidSect="008256A0">
          <w:pgSz w:w="12240" w:h="15840"/>
          <w:pgMar w:top="1440" w:right="1440" w:bottom="1440" w:left="1440" w:header="720" w:footer="720" w:gutter="0"/>
          <w:cols w:space="720"/>
          <w:docGrid w:linePitch="360"/>
        </w:sectPr>
      </w:pPr>
    </w:p>
    <w:p w:rsidR="00C82D62" w:rsidRPr="004C1402" w:rsidRDefault="00E302C4" w:rsidP="00C82D62">
      <w:pPr>
        <w:ind w:firstLine="720"/>
      </w:pPr>
      <w:bookmarkStart w:id="0" w:name="Table1_ParticipantProfiles"/>
      <w:r>
        <w:lastRenderedPageBreak/>
        <w:t xml:space="preserve">Supplement </w:t>
      </w:r>
      <w:r w:rsidR="00C82D62" w:rsidRPr="004C1402">
        <w:t>Table 1. Participants’ Profiles</w:t>
      </w:r>
    </w:p>
    <w:tbl>
      <w:tblPr>
        <w:tblStyle w:val="ListTable3"/>
        <w:tblW w:w="12866" w:type="dxa"/>
        <w:tblLook w:val="04A0" w:firstRow="1" w:lastRow="0" w:firstColumn="1" w:lastColumn="0" w:noHBand="0" w:noVBand="1"/>
      </w:tblPr>
      <w:tblGrid>
        <w:gridCol w:w="2028"/>
        <w:gridCol w:w="2501"/>
        <w:gridCol w:w="2186"/>
        <w:gridCol w:w="2318"/>
        <w:gridCol w:w="1517"/>
        <w:gridCol w:w="2316"/>
      </w:tblGrid>
      <w:tr w:rsidR="00C82D62" w:rsidRPr="004C1402" w:rsidTr="000D331D">
        <w:trPr>
          <w:cnfStyle w:val="100000000000" w:firstRow="1" w:lastRow="0" w:firstColumn="0" w:lastColumn="0" w:oddVBand="0" w:evenVBand="0" w:oddHBand="0" w:evenHBand="0" w:firstRowFirstColumn="0" w:firstRowLastColumn="0" w:lastRowFirstColumn="0" w:lastRowLastColumn="0"/>
          <w:trHeight w:val="689"/>
        </w:trPr>
        <w:tc>
          <w:tcPr>
            <w:cnfStyle w:val="001000000100" w:firstRow="0" w:lastRow="0" w:firstColumn="1" w:lastColumn="0" w:oddVBand="0" w:evenVBand="0" w:oddHBand="0" w:evenHBand="0" w:firstRowFirstColumn="1" w:firstRowLastColumn="0" w:lastRowFirstColumn="0" w:lastRowLastColumn="0"/>
            <w:tcW w:w="2028" w:type="dxa"/>
            <w:hideMark/>
          </w:tcPr>
          <w:bookmarkEnd w:id="0"/>
          <w:p w:rsidR="00C82D62" w:rsidRPr="004C1402" w:rsidRDefault="00C82D62" w:rsidP="000D331D">
            <w:pPr>
              <w:spacing w:line="240" w:lineRule="auto"/>
              <w:jc w:val="center"/>
              <w:rPr>
                <w:rFonts w:ascii="Calibri" w:eastAsia="Times New Roman" w:hAnsi="Calibri" w:cs="Calibri"/>
                <w:b w:val="0"/>
                <w:bCs w:val="0"/>
                <w:color w:val="auto"/>
                <w:sz w:val="20"/>
                <w:szCs w:val="20"/>
              </w:rPr>
            </w:pPr>
            <w:r w:rsidRPr="004C1402">
              <w:rPr>
                <w:rFonts w:ascii="Calibri" w:eastAsia="Times New Roman" w:hAnsi="Calibri" w:cs="Calibri"/>
                <w:color w:val="auto"/>
                <w:sz w:val="20"/>
                <w:szCs w:val="20"/>
              </w:rPr>
              <w:t>Participants</w:t>
            </w:r>
          </w:p>
        </w:tc>
        <w:tc>
          <w:tcPr>
            <w:tcW w:w="2501" w:type="dxa"/>
            <w:hideMark/>
          </w:tcPr>
          <w:p w:rsidR="00C82D62" w:rsidRPr="004C1402" w:rsidRDefault="00C82D62" w:rsidP="000D331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20"/>
                <w:szCs w:val="20"/>
              </w:rPr>
            </w:pPr>
            <w:r w:rsidRPr="004C1402">
              <w:rPr>
                <w:rFonts w:ascii="Calibri" w:eastAsia="Times New Roman" w:hAnsi="Calibri" w:cs="Calibri"/>
                <w:color w:val="auto"/>
                <w:sz w:val="20"/>
                <w:szCs w:val="20"/>
              </w:rPr>
              <w:t>Current Company (TA or Cruise)</w:t>
            </w:r>
          </w:p>
        </w:tc>
        <w:tc>
          <w:tcPr>
            <w:tcW w:w="2186" w:type="dxa"/>
            <w:hideMark/>
          </w:tcPr>
          <w:p w:rsidR="00C82D62" w:rsidRPr="004C1402" w:rsidRDefault="00C82D62" w:rsidP="000D331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20"/>
                <w:szCs w:val="20"/>
              </w:rPr>
            </w:pPr>
            <w:r w:rsidRPr="004C1402">
              <w:rPr>
                <w:rFonts w:ascii="Calibri" w:eastAsia="Times New Roman" w:hAnsi="Calibri" w:cs="Calibri"/>
                <w:color w:val="auto"/>
                <w:sz w:val="20"/>
                <w:szCs w:val="20"/>
              </w:rPr>
              <w:t>Department</w:t>
            </w:r>
          </w:p>
        </w:tc>
        <w:tc>
          <w:tcPr>
            <w:tcW w:w="2318" w:type="dxa"/>
            <w:hideMark/>
          </w:tcPr>
          <w:p w:rsidR="00C82D62" w:rsidRPr="004C1402" w:rsidRDefault="00C82D62" w:rsidP="000D331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20"/>
                <w:szCs w:val="20"/>
              </w:rPr>
            </w:pPr>
            <w:r w:rsidRPr="004C1402">
              <w:rPr>
                <w:rFonts w:ascii="Calibri" w:eastAsia="Times New Roman" w:hAnsi="Calibri" w:cs="Calibri"/>
                <w:color w:val="auto"/>
                <w:sz w:val="20"/>
                <w:szCs w:val="20"/>
              </w:rPr>
              <w:t>Title/Grading</w:t>
            </w:r>
          </w:p>
        </w:tc>
        <w:tc>
          <w:tcPr>
            <w:tcW w:w="1517" w:type="dxa"/>
            <w:hideMark/>
          </w:tcPr>
          <w:p w:rsidR="00C82D62" w:rsidRPr="004C1402" w:rsidRDefault="00C82D62" w:rsidP="000D331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20"/>
                <w:szCs w:val="20"/>
              </w:rPr>
            </w:pPr>
            <w:r w:rsidRPr="004C1402">
              <w:rPr>
                <w:rFonts w:ascii="Calibri" w:eastAsia="Times New Roman" w:hAnsi="Calibri" w:cs="Calibri"/>
                <w:color w:val="auto"/>
                <w:sz w:val="20"/>
                <w:szCs w:val="20"/>
              </w:rPr>
              <w:t>Total Years of Cruise Product</w:t>
            </w:r>
          </w:p>
        </w:tc>
        <w:tc>
          <w:tcPr>
            <w:tcW w:w="2316" w:type="dxa"/>
            <w:hideMark/>
          </w:tcPr>
          <w:p w:rsidR="00C82D62" w:rsidRPr="004C1402" w:rsidRDefault="00C82D62" w:rsidP="000D331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20"/>
                <w:szCs w:val="20"/>
              </w:rPr>
            </w:pPr>
            <w:r w:rsidRPr="004C1402">
              <w:rPr>
                <w:rFonts w:ascii="Calibri" w:eastAsia="Times New Roman" w:hAnsi="Calibri" w:cs="Calibri"/>
                <w:color w:val="auto"/>
                <w:sz w:val="20"/>
                <w:szCs w:val="20"/>
              </w:rPr>
              <w:t>Interviewee Location</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 Product</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2</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China</w:t>
            </w:r>
          </w:p>
        </w:tc>
      </w:tr>
      <w:tr w:rsidR="00C82D62" w:rsidRPr="004C1402" w:rsidTr="000D331D">
        <w:trPr>
          <w:trHeight w:val="273"/>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2</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Owner</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Co-founder and CEO</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2</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China</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3</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Revenue</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Analyst</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1</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trHeight w:val="462"/>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4</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 Shipbuilding Company</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GM</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GM</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4</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Travel between HK and China</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5</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Sales</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4</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trHeight w:val="273"/>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6</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GM</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GM</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19</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7</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 Product</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Supervisor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6</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trHeight w:val="282"/>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8</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Revenue</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Analyst</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3</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9</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Finance</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VP/Director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8</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trHeight w:val="273"/>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10</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 Product</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10</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11</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Sales</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18</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trHeight w:val="264"/>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12</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MICE Sales</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Assistant Manager</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9</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13</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Sales</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18</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trHeight w:val="282"/>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14</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 Consultancy</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Consultant/Sales</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Owner</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20</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China</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15</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Revenue</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Director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7</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China</w:t>
            </w:r>
          </w:p>
        </w:tc>
      </w:tr>
      <w:tr w:rsidR="00C82D62" w:rsidRPr="004C1402" w:rsidTr="000D331D">
        <w:trPr>
          <w:trHeight w:val="273"/>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16</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 Product</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8</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17</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Sales (Direct channel)</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3</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China</w:t>
            </w:r>
          </w:p>
        </w:tc>
      </w:tr>
      <w:tr w:rsidR="00C82D62" w:rsidRPr="004C1402" w:rsidTr="000D331D">
        <w:trPr>
          <w:trHeight w:val="292"/>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18</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Sales</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8</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19</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Marketing</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VP/Director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6</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trHeight w:val="273"/>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20</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Revenue</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5</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China</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21</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Owner</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Co-founder and CEO</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25</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China</w:t>
            </w:r>
          </w:p>
        </w:tc>
      </w:tr>
      <w:tr w:rsidR="00C82D62" w:rsidRPr="004C1402" w:rsidTr="000D331D">
        <w:trPr>
          <w:trHeight w:val="292"/>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22</w:t>
            </w:r>
          </w:p>
        </w:tc>
        <w:tc>
          <w:tcPr>
            <w:tcW w:w="2501"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TA</w:t>
            </w:r>
          </w:p>
        </w:tc>
        <w:tc>
          <w:tcPr>
            <w:tcW w:w="218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 Product</w:t>
            </w:r>
          </w:p>
        </w:tc>
        <w:tc>
          <w:tcPr>
            <w:tcW w:w="2318"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General Manager (Finance)</w:t>
            </w:r>
          </w:p>
        </w:tc>
        <w:tc>
          <w:tcPr>
            <w:tcW w:w="1517"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20</w:t>
            </w:r>
          </w:p>
        </w:tc>
        <w:tc>
          <w:tcPr>
            <w:tcW w:w="2316" w:type="dxa"/>
            <w:hideMark/>
          </w:tcPr>
          <w:p w:rsidR="00C82D62" w:rsidRPr="004C1402" w:rsidRDefault="00C82D62" w:rsidP="000D331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HK</w:t>
            </w:r>
          </w:p>
        </w:tc>
      </w:tr>
      <w:tr w:rsidR="00C82D62" w:rsidRPr="004C1402" w:rsidTr="000D33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028" w:type="dxa"/>
            <w:noWrap/>
            <w:hideMark/>
          </w:tcPr>
          <w:p w:rsidR="00C82D62" w:rsidRPr="004C1402" w:rsidRDefault="00C82D62" w:rsidP="000D331D">
            <w:pPr>
              <w:spacing w:line="240" w:lineRule="auto"/>
              <w:jc w:val="center"/>
              <w:rPr>
                <w:rFonts w:ascii="Calibri" w:eastAsia="Times New Roman" w:hAnsi="Calibri" w:cs="Calibri"/>
                <w:sz w:val="20"/>
                <w:szCs w:val="20"/>
              </w:rPr>
            </w:pPr>
            <w:r w:rsidRPr="004C1402">
              <w:rPr>
                <w:rFonts w:ascii="Calibri" w:eastAsia="Times New Roman" w:hAnsi="Calibri" w:cs="Calibri"/>
                <w:sz w:val="20"/>
                <w:szCs w:val="20"/>
              </w:rPr>
              <w:t>Interviewee 23</w:t>
            </w:r>
          </w:p>
        </w:tc>
        <w:tc>
          <w:tcPr>
            <w:tcW w:w="2501"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Cruise</w:t>
            </w:r>
          </w:p>
        </w:tc>
        <w:tc>
          <w:tcPr>
            <w:tcW w:w="218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Onboard Revenue</w:t>
            </w:r>
          </w:p>
        </w:tc>
        <w:tc>
          <w:tcPr>
            <w:tcW w:w="2318"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Manager</w:t>
            </w:r>
          </w:p>
        </w:tc>
        <w:tc>
          <w:tcPr>
            <w:tcW w:w="1517"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5</w:t>
            </w:r>
          </w:p>
        </w:tc>
        <w:tc>
          <w:tcPr>
            <w:tcW w:w="2316" w:type="dxa"/>
            <w:hideMark/>
          </w:tcPr>
          <w:p w:rsidR="00C82D62" w:rsidRPr="004C1402" w:rsidRDefault="00C82D62" w:rsidP="000D331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C1402">
              <w:rPr>
                <w:rFonts w:ascii="Calibri" w:eastAsia="Times New Roman" w:hAnsi="Calibri" w:cs="Calibri"/>
                <w:sz w:val="20"/>
                <w:szCs w:val="20"/>
              </w:rPr>
              <w:t>China</w:t>
            </w:r>
          </w:p>
        </w:tc>
      </w:tr>
    </w:tbl>
    <w:p w:rsidR="00C82D62" w:rsidRDefault="00C82D62" w:rsidP="00C82D62">
      <w:pPr>
        <w:spacing w:after="160" w:line="259" w:lineRule="auto"/>
        <w:rPr>
          <w:rFonts w:eastAsiaTheme="majorEastAsia" w:cstheme="majorBidi"/>
          <w:b/>
          <w:szCs w:val="32"/>
        </w:rPr>
        <w:sectPr w:rsidR="00C82D62" w:rsidSect="00C82D62">
          <w:pgSz w:w="15840" w:h="12240" w:orient="landscape"/>
          <w:pgMar w:top="1440" w:right="1440" w:bottom="1440" w:left="1440" w:header="720" w:footer="720" w:gutter="0"/>
          <w:cols w:space="720"/>
          <w:docGrid w:linePitch="360"/>
        </w:sectPr>
      </w:pPr>
    </w:p>
    <w:p w:rsidR="00D62324" w:rsidRPr="004C1402" w:rsidRDefault="00D62324" w:rsidP="00D62324">
      <w:pPr>
        <w:spacing w:line="480" w:lineRule="auto"/>
        <w:jc w:val="center"/>
      </w:pPr>
      <w:r w:rsidRPr="004C1402">
        <w:rPr>
          <w:noProof/>
          <w:lang w:eastAsia="zh-CN"/>
        </w:rPr>
        <w:lastRenderedPageBreak/>
        <w:drawing>
          <wp:inline distT="0" distB="0" distL="0" distR="0" wp14:anchorId="4EAE06B8" wp14:editId="0544A15B">
            <wp:extent cx="5486400" cy="1796415"/>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5">
                      <a:grayscl/>
                    </a:blip>
                    <a:stretch>
                      <a:fillRect/>
                    </a:stretch>
                  </pic:blipFill>
                  <pic:spPr>
                    <a:xfrm>
                      <a:off x="0" y="0"/>
                      <a:ext cx="5486400" cy="1796415"/>
                    </a:xfrm>
                    <a:prstGeom prst="rect">
                      <a:avLst/>
                    </a:prstGeom>
                  </pic:spPr>
                </pic:pic>
              </a:graphicData>
            </a:graphic>
          </wp:inline>
        </w:drawing>
      </w:r>
    </w:p>
    <w:p w:rsidR="00D62324" w:rsidRPr="004C1402" w:rsidRDefault="00684D82" w:rsidP="00D62324">
      <w:pPr>
        <w:spacing w:line="480" w:lineRule="auto"/>
        <w:jc w:val="center"/>
      </w:pPr>
      <w:bookmarkStart w:id="1" w:name="Figure7_Imbalance"/>
      <w:r>
        <w:t xml:space="preserve">Supplement </w:t>
      </w:r>
      <w:r w:rsidR="00D62324" w:rsidRPr="004C1402">
        <w:t xml:space="preserve">Figure </w:t>
      </w:r>
      <w:r>
        <w:t>2</w:t>
      </w:r>
      <w:bookmarkStart w:id="2" w:name="_GoBack"/>
      <w:bookmarkEnd w:id="2"/>
      <w:r w:rsidR="00D62324" w:rsidRPr="004C1402">
        <w:t>: Imbalance of Power between Principals and Agents in China</w:t>
      </w:r>
    </w:p>
    <w:bookmarkEnd w:id="1"/>
    <w:p w:rsidR="00C82D62" w:rsidRPr="004C1402" w:rsidRDefault="00C82D62" w:rsidP="00C82D62">
      <w:pPr>
        <w:spacing w:after="160" w:line="259" w:lineRule="auto"/>
        <w:rPr>
          <w:rFonts w:eastAsiaTheme="majorEastAsia" w:cstheme="majorBidi"/>
          <w:b/>
          <w:szCs w:val="32"/>
        </w:rPr>
      </w:pPr>
    </w:p>
    <w:p w:rsidR="00D70374" w:rsidRPr="00C82D62" w:rsidRDefault="00D70374">
      <w:pPr>
        <w:rPr>
          <w:lang w:val="fr-FR"/>
        </w:rPr>
      </w:pPr>
    </w:p>
    <w:sectPr w:rsidR="00D70374" w:rsidRPr="00C82D62" w:rsidSect="00C82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B2"/>
    <w:rsid w:val="00272CCE"/>
    <w:rsid w:val="00684D82"/>
    <w:rsid w:val="008256A0"/>
    <w:rsid w:val="00C82D62"/>
    <w:rsid w:val="00D62324"/>
    <w:rsid w:val="00D70374"/>
    <w:rsid w:val="00E302C4"/>
    <w:rsid w:val="00FD6AB2"/>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9E99"/>
  <w15:chartTrackingRefBased/>
  <w15:docId w15:val="{C4E4B66A-731F-4227-9941-F01382AC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62"/>
    <w:pPr>
      <w:spacing w:after="0" w:line="360" w:lineRule="auto"/>
    </w:pPr>
    <w:rPr>
      <w:rFonts w:ascii="Times New Roman"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
    <w:name w:val="List Table 3"/>
    <w:basedOn w:val="TableNormal"/>
    <w:uiPriority w:val="48"/>
    <w:rsid w:val="00C82D62"/>
    <w:pPr>
      <w:spacing w:after="0" w:line="240" w:lineRule="auto"/>
    </w:pPr>
    <w:rPr>
      <w:lang w:eastAsia="zh-TW"/>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SHTM</dc:creator>
  <cp:keywords/>
  <dc:description/>
  <cp:lastModifiedBy>SHTM</cp:lastModifiedBy>
  <cp:revision>6</cp:revision>
  <dcterms:created xsi:type="dcterms:W3CDTF">2020-12-08T01:52:00Z</dcterms:created>
  <dcterms:modified xsi:type="dcterms:W3CDTF">2020-12-08T02:20:00Z</dcterms:modified>
</cp:coreProperties>
</file>