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7C" w:rsidRPr="007B7359" w:rsidRDefault="003B097C" w:rsidP="00FC34D9">
      <w:pPr>
        <w:spacing w:after="0" w:line="480" w:lineRule="auto"/>
        <w:jc w:val="both"/>
        <w:rPr>
          <w:rFonts w:ascii="Times New Roman" w:hAnsi="Times New Roman" w:cs="Times New Roman"/>
          <w:b/>
          <w:sz w:val="24"/>
          <w:szCs w:val="24"/>
        </w:rPr>
      </w:pPr>
      <w:r w:rsidRPr="007B7359">
        <w:rPr>
          <w:rFonts w:ascii="Times New Roman" w:hAnsi="Times New Roman" w:cs="Times New Roman"/>
          <w:b/>
          <w:sz w:val="24"/>
          <w:szCs w:val="24"/>
        </w:rPr>
        <w:t xml:space="preserve">A perspective on the Rome Statute’s defence of duress: The role of imminence </w:t>
      </w:r>
    </w:p>
    <w:p w:rsidR="00DE4881" w:rsidRPr="007B7359" w:rsidRDefault="00DE4881" w:rsidP="00FC34D9">
      <w:pPr>
        <w:spacing w:after="0" w:line="480" w:lineRule="auto"/>
        <w:jc w:val="both"/>
        <w:rPr>
          <w:rFonts w:ascii="Times New Roman" w:hAnsi="Times New Roman" w:cs="Times New Roman"/>
          <w:sz w:val="24"/>
          <w:szCs w:val="24"/>
        </w:rPr>
      </w:pPr>
    </w:p>
    <w:p w:rsidR="00315CEC" w:rsidRPr="007B7359" w:rsidRDefault="00315CEC"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Abstract: </w:t>
      </w:r>
    </w:p>
    <w:p w:rsidR="00315CEC" w:rsidRPr="007B7359" w:rsidRDefault="00315CEC"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concept of duress encapsulated in Article 31(1)(d) of the Rome Statute of the International Criminal C</w:t>
      </w:r>
      <w:r w:rsidR="005A126E" w:rsidRPr="007B7359">
        <w:rPr>
          <w:rFonts w:ascii="Times New Roman" w:hAnsi="Times New Roman" w:cs="Times New Roman"/>
          <w:sz w:val="24"/>
          <w:szCs w:val="24"/>
        </w:rPr>
        <w:t>ourt is a novel i</w:t>
      </w:r>
      <w:r w:rsidRPr="007B7359">
        <w:rPr>
          <w:rFonts w:ascii="Times New Roman" w:hAnsi="Times New Roman" w:cs="Times New Roman"/>
          <w:sz w:val="24"/>
          <w:szCs w:val="24"/>
        </w:rPr>
        <w:t xml:space="preserve">nclusion in a statute created to allow prosecution of serious crimes against the person in international criminal law. </w:t>
      </w:r>
      <w:r w:rsidR="003B097C" w:rsidRPr="007B7359">
        <w:rPr>
          <w:rFonts w:ascii="Times New Roman" w:hAnsi="Times New Roman" w:cs="Times New Roman"/>
          <w:sz w:val="24"/>
          <w:szCs w:val="24"/>
        </w:rPr>
        <w:t xml:space="preserve">Despite being the topic of much debate, </w:t>
      </w:r>
      <w:r w:rsidR="000A4F65" w:rsidRPr="007B7359">
        <w:rPr>
          <w:rFonts w:ascii="Times New Roman" w:hAnsi="Times New Roman" w:cs="Times New Roman"/>
          <w:sz w:val="24"/>
          <w:szCs w:val="24"/>
        </w:rPr>
        <w:t>the present state of the discourse remains at a fairly</w:t>
      </w:r>
      <w:r w:rsidRPr="007B7359">
        <w:rPr>
          <w:rFonts w:ascii="Times New Roman" w:hAnsi="Times New Roman" w:cs="Times New Roman"/>
          <w:sz w:val="24"/>
          <w:szCs w:val="24"/>
        </w:rPr>
        <w:t xml:space="preserve"> superficial level: existing studies focus on a general analysis of the defence</w:t>
      </w:r>
      <w:r w:rsidR="003B097C" w:rsidRPr="007B7359">
        <w:rPr>
          <w:rFonts w:ascii="Times New Roman" w:hAnsi="Times New Roman" w:cs="Times New Roman"/>
          <w:sz w:val="24"/>
          <w:szCs w:val="24"/>
        </w:rPr>
        <w:t xml:space="preserve"> and its conditions</w:t>
      </w:r>
      <w:r w:rsidRPr="007B7359">
        <w:rPr>
          <w:rFonts w:ascii="Times New Roman" w:hAnsi="Times New Roman" w:cs="Times New Roman"/>
          <w:sz w:val="24"/>
          <w:szCs w:val="24"/>
        </w:rPr>
        <w:t>. This has included the way in</w:t>
      </w:r>
      <w:bookmarkStart w:id="0" w:name="_GoBack"/>
      <w:bookmarkEnd w:id="0"/>
      <w:r w:rsidRPr="007B7359">
        <w:rPr>
          <w:rFonts w:ascii="Times New Roman" w:hAnsi="Times New Roman" w:cs="Times New Roman"/>
          <w:sz w:val="24"/>
          <w:szCs w:val="24"/>
        </w:rPr>
        <w:t xml:space="preserve"> which the defences </w:t>
      </w:r>
      <w:r w:rsidR="002F428B" w:rsidRPr="007B7359">
        <w:rPr>
          <w:rFonts w:ascii="Times New Roman" w:hAnsi="Times New Roman" w:cs="Times New Roman"/>
          <w:sz w:val="24"/>
          <w:szCs w:val="24"/>
        </w:rPr>
        <w:t>merges necessity and duress, with</w:t>
      </w:r>
      <w:r w:rsidRPr="007B7359">
        <w:rPr>
          <w:rFonts w:ascii="Times New Roman" w:hAnsi="Times New Roman" w:cs="Times New Roman"/>
          <w:sz w:val="24"/>
          <w:szCs w:val="24"/>
        </w:rPr>
        <w:t xml:space="preserve"> only a few authors examin</w:t>
      </w:r>
      <w:r w:rsidR="002F428B" w:rsidRPr="007B7359">
        <w:rPr>
          <w:rFonts w:ascii="Times New Roman" w:hAnsi="Times New Roman" w:cs="Times New Roman"/>
          <w:sz w:val="24"/>
          <w:szCs w:val="24"/>
        </w:rPr>
        <w:t>ing</w:t>
      </w:r>
      <w:r w:rsidRPr="007B7359">
        <w:rPr>
          <w:rFonts w:ascii="Times New Roman" w:hAnsi="Times New Roman" w:cs="Times New Roman"/>
          <w:sz w:val="24"/>
          <w:szCs w:val="24"/>
        </w:rPr>
        <w:t xml:space="preserve"> the </w:t>
      </w:r>
      <w:r w:rsidR="003B097C" w:rsidRPr="007B7359">
        <w:rPr>
          <w:rFonts w:ascii="Times New Roman" w:hAnsi="Times New Roman" w:cs="Times New Roman"/>
          <w:sz w:val="24"/>
          <w:szCs w:val="24"/>
        </w:rPr>
        <w:t>conditions</w:t>
      </w:r>
      <w:r w:rsidRPr="007B7359">
        <w:rPr>
          <w:rFonts w:ascii="Times New Roman" w:hAnsi="Times New Roman" w:cs="Times New Roman"/>
          <w:sz w:val="24"/>
          <w:szCs w:val="24"/>
        </w:rPr>
        <w:t xml:space="preserve"> of ‘</w:t>
      </w:r>
      <w:r w:rsidR="003B097C" w:rsidRPr="007B7359">
        <w:rPr>
          <w:rFonts w:ascii="Times New Roman" w:hAnsi="Times New Roman" w:cs="Times New Roman"/>
          <w:sz w:val="24"/>
          <w:szCs w:val="24"/>
        </w:rPr>
        <w:t>proportionality’ and ‘necessity</w:t>
      </w:r>
      <w:r w:rsidRPr="007B7359">
        <w:rPr>
          <w:rFonts w:ascii="Times New Roman" w:hAnsi="Times New Roman" w:cs="Times New Roman"/>
          <w:sz w:val="24"/>
          <w:szCs w:val="24"/>
        </w:rPr>
        <w:t>.</w:t>
      </w:r>
      <w:r w:rsidR="003B097C" w:rsidRPr="007B7359">
        <w:rPr>
          <w:rFonts w:ascii="Times New Roman" w:hAnsi="Times New Roman" w:cs="Times New Roman"/>
          <w:sz w:val="24"/>
          <w:szCs w:val="24"/>
        </w:rPr>
        <w:t>’</w:t>
      </w:r>
      <w:r w:rsidRPr="007B7359">
        <w:rPr>
          <w:rFonts w:ascii="Times New Roman" w:hAnsi="Times New Roman" w:cs="Times New Roman"/>
          <w:sz w:val="24"/>
          <w:szCs w:val="24"/>
        </w:rPr>
        <w:t xml:space="preserve"> This study </w:t>
      </w:r>
      <w:r w:rsidR="000C1548" w:rsidRPr="007B7359">
        <w:rPr>
          <w:rFonts w:ascii="Times New Roman" w:hAnsi="Times New Roman" w:cs="Times New Roman"/>
          <w:sz w:val="24"/>
          <w:szCs w:val="24"/>
        </w:rPr>
        <w:t>looks</w:t>
      </w:r>
      <w:r w:rsidRPr="007B7359">
        <w:rPr>
          <w:rFonts w:ascii="Times New Roman" w:hAnsi="Times New Roman" w:cs="Times New Roman"/>
          <w:sz w:val="24"/>
          <w:szCs w:val="24"/>
        </w:rPr>
        <w:t xml:space="preserve"> at a</w:t>
      </w:r>
      <w:r w:rsidR="003B097C" w:rsidRPr="007B7359">
        <w:rPr>
          <w:rFonts w:ascii="Times New Roman" w:hAnsi="Times New Roman" w:cs="Times New Roman"/>
          <w:sz w:val="24"/>
          <w:szCs w:val="24"/>
        </w:rPr>
        <w:t>n underexplored part of</w:t>
      </w:r>
      <w:r w:rsidRPr="007B7359">
        <w:rPr>
          <w:rFonts w:ascii="Times New Roman" w:hAnsi="Times New Roman" w:cs="Times New Roman"/>
          <w:sz w:val="24"/>
          <w:szCs w:val="24"/>
        </w:rPr>
        <w:t xml:space="preserve"> the defence</w:t>
      </w:r>
      <w:r w:rsidR="008E65A0" w:rsidRPr="007B7359">
        <w:rPr>
          <w:rFonts w:ascii="Times New Roman" w:hAnsi="Times New Roman" w:cs="Times New Roman"/>
          <w:sz w:val="24"/>
          <w:szCs w:val="24"/>
        </w:rPr>
        <w:t>:</w:t>
      </w:r>
      <w:r w:rsidRPr="007B7359">
        <w:rPr>
          <w:rFonts w:ascii="Times New Roman" w:hAnsi="Times New Roman" w:cs="Times New Roman"/>
          <w:sz w:val="24"/>
          <w:szCs w:val="24"/>
        </w:rPr>
        <w:t xml:space="preserve"> the condition of imminence. The purpose of this work is to explore the idea </w:t>
      </w:r>
      <w:r w:rsidR="00C83019" w:rsidRPr="007B7359">
        <w:rPr>
          <w:rFonts w:ascii="Times New Roman" w:hAnsi="Times New Roman" w:cs="Times New Roman"/>
          <w:sz w:val="24"/>
          <w:szCs w:val="24"/>
        </w:rPr>
        <w:t xml:space="preserve">of imminence and to review whether a clearer definition of duress could have been used, replacing the idea of imminence with the concept of </w:t>
      </w:r>
      <w:r w:rsidR="00B2405E" w:rsidRPr="007B7359">
        <w:rPr>
          <w:rFonts w:ascii="Times New Roman" w:hAnsi="Times New Roman" w:cs="Times New Roman"/>
          <w:sz w:val="24"/>
          <w:szCs w:val="24"/>
        </w:rPr>
        <w:t>the individual selecting the lesser evil.</w:t>
      </w:r>
    </w:p>
    <w:p w:rsidR="009E78D6" w:rsidRPr="007B7359" w:rsidRDefault="00AB7B85"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ab/>
      </w:r>
    </w:p>
    <w:p w:rsidR="00315CEC" w:rsidRPr="007B7359" w:rsidRDefault="009E78D6"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K</w:t>
      </w:r>
      <w:r w:rsidR="00315CEC" w:rsidRPr="007B7359">
        <w:rPr>
          <w:rFonts w:ascii="Times New Roman" w:hAnsi="Times New Roman" w:cs="Times New Roman"/>
          <w:sz w:val="24"/>
          <w:szCs w:val="24"/>
        </w:rPr>
        <w:t>eyword</w:t>
      </w:r>
      <w:r w:rsidR="003B5370" w:rsidRPr="007B7359">
        <w:rPr>
          <w:rFonts w:ascii="Times New Roman" w:hAnsi="Times New Roman" w:cs="Times New Roman"/>
          <w:sz w:val="24"/>
          <w:szCs w:val="24"/>
        </w:rPr>
        <w:t>s: International criminal law; I</w:t>
      </w:r>
      <w:r w:rsidR="00315CEC" w:rsidRPr="007B7359">
        <w:rPr>
          <w:rFonts w:ascii="Times New Roman" w:hAnsi="Times New Roman" w:cs="Times New Roman"/>
          <w:sz w:val="24"/>
          <w:szCs w:val="24"/>
        </w:rPr>
        <w:t>nternational Criminal Court; duress; imminence</w:t>
      </w:r>
    </w:p>
    <w:p w:rsidR="004B1A50" w:rsidRPr="007B7359" w:rsidRDefault="004B1A50" w:rsidP="00FC34D9">
      <w:pPr>
        <w:spacing w:after="0" w:line="480" w:lineRule="auto"/>
        <w:jc w:val="both"/>
        <w:rPr>
          <w:rFonts w:ascii="Times New Roman" w:hAnsi="Times New Roman" w:cs="Times New Roman"/>
          <w:sz w:val="24"/>
          <w:szCs w:val="24"/>
        </w:rPr>
      </w:pPr>
    </w:p>
    <w:p w:rsidR="001C2DE3" w:rsidRPr="007B7359" w:rsidRDefault="001C2DE3" w:rsidP="00FC34D9">
      <w:pPr>
        <w:tabs>
          <w:tab w:val="left" w:pos="7088"/>
        </w:tabs>
        <w:spacing w:line="480" w:lineRule="auto"/>
        <w:jc w:val="both"/>
        <w:rPr>
          <w:rFonts w:ascii="Times New Roman" w:hAnsi="Times New Roman" w:cs="Times New Roman"/>
          <w:sz w:val="24"/>
          <w:szCs w:val="24"/>
        </w:rPr>
      </w:pPr>
      <w:bookmarkStart w:id="1" w:name="_Toc429564481"/>
    </w:p>
    <w:p w:rsidR="00922E8A" w:rsidRPr="007B7359" w:rsidRDefault="00922E8A" w:rsidP="00FC34D9">
      <w:pPr>
        <w:tabs>
          <w:tab w:val="left" w:pos="7088"/>
        </w:tabs>
        <w:spacing w:line="480" w:lineRule="auto"/>
        <w:jc w:val="both"/>
        <w:rPr>
          <w:rFonts w:ascii="Times New Roman" w:hAnsi="Times New Roman" w:cs="Times New Roman"/>
          <w:b/>
          <w:sz w:val="24"/>
          <w:szCs w:val="24"/>
        </w:rPr>
      </w:pPr>
    </w:p>
    <w:p w:rsidR="00D76B21" w:rsidRPr="007B7359" w:rsidRDefault="007B7359" w:rsidP="007B7359">
      <w:pPr>
        <w:tabs>
          <w:tab w:val="left" w:pos="7088"/>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76B21" w:rsidRPr="007B7359">
        <w:rPr>
          <w:rFonts w:ascii="Times New Roman" w:hAnsi="Times New Roman" w:cs="Times New Roman"/>
          <w:b/>
          <w:sz w:val="24"/>
          <w:szCs w:val="24"/>
        </w:rPr>
        <w:t>Introduction</w:t>
      </w:r>
    </w:p>
    <w:p w:rsidR="002954BB" w:rsidRPr="007B7359" w:rsidRDefault="005A126E" w:rsidP="00FC34D9">
      <w:pPr>
        <w:tabs>
          <w:tab w:val="left" w:pos="7088"/>
        </w:tabs>
        <w:spacing w:line="480" w:lineRule="auto"/>
        <w:jc w:val="both"/>
        <w:rPr>
          <w:rFonts w:ascii="Times New Roman" w:hAnsi="Times New Roman" w:cs="Times New Roman"/>
          <w:sz w:val="24"/>
          <w:szCs w:val="24"/>
        </w:rPr>
      </w:pPr>
      <w:r w:rsidRPr="007B7359">
        <w:rPr>
          <w:rFonts w:ascii="Times New Roman" w:hAnsi="Times New Roman" w:cs="Times New Roman"/>
          <w:sz w:val="24"/>
          <w:szCs w:val="24"/>
        </w:rPr>
        <w:t>The defence of duress</w:t>
      </w:r>
      <w:r w:rsidRPr="007B7359">
        <w:rPr>
          <w:rStyle w:val="FootnoteReference"/>
          <w:rFonts w:ascii="Times New Roman" w:hAnsi="Times New Roman"/>
          <w:sz w:val="24"/>
          <w:szCs w:val="24"/>
        </w:rPr>
        <w:footnoteReference w:id="1"/>
      </w:r>
      <w:r w:rsidRPr="007B7359">
        <w:rPr>
          <w:rFonts w:ascii="Times New Roman" w:hAnsi="Times New Roman" w:cs="Times New Roman"/>
          <w:sz w:val="24"/>
          <w:szCs w:val="24"/>
        </w:rPr>
        <w:t xml:space="preserve"> in the Rome Statute of the International Criminal Court</w:t>
      </w:r>
      <w:r w:rsidRPr="007B7359">
        <w:rPr>
          <w:rStyle w:val="FootnoteReference"/>
          <w:rFonts w:ascii="Times New Roman" w:hAnsi="Times New Roman"/>
          <w:sz w:val="24"/>
          <w:szCs w:val="24"/>
        </w:rPr>
        <w:footnoteReference w:id="2"/>
      </w:r>
      <w:r w:rsidRPr="007B7359">
        <w:rPr>
          <w:rFonts w:ascii="Times New Roman" w:hAnsi="Times New Roman" w:cs="Times New Roman"/>
          <w:sz w:val="24"/>
          <w:szCs w:val="24"/>
        </w:rPr>
        <w:t xml:space="preserve"> is one of six defences which have been codified in the Statute, making the Statute the first international criminal law document to openly acknowledge the availability of defences for serious violations of international criminal law.</w:t>
      </w:r>
      <w:r w:rsidRPr="007B7359">
        <w:rPr>
          <w:rStyle w:val="FootnoteReference"/>
          <w:rFonts w:ascii="Times New Roman" w:hAnsi="Times New Roman"/>
          <w:sz w:val="24"/>
          <w:szCs w:val="24"/>
        </w:rPr>
        <w:footnoteReference w:id="3"/>
      </w:r>
      <w:r w:rsidRPr="007B7359">
        <w:rPr>
          <w:rFonts w:ascii="Times New Roman" w:hAnsi="Times New Roman" w:cs="Times New Roman"/>
          <w:sz w:val="24"/>
          <w:szCs w:val="24"/>
        </w:rPr>
        <w:t xml:space="preserve"> However, the way in which the defences have been drafted can often be seen as the result of compromise among States, rather than the manifestation of legal principle.</w:t>
      </w:r>
      <w:r w:rsidRPr="007B7359">
        <w:rPr>
          <w:rStyle w:val="FootnoteReference"/>
          <w:rFonts w:ascii="Times New Roman" w:hAnsi="Times New Roman"/>
          <w:sz w:val="24"/>
          <w:szCs w:val="24"/>
        </w:rPr>
        <w:footnoteReference w:id="4"/>
      </w:r>
      <w:r w:rsidRPr="007B7359">
        <w:rPr>
          <w:rFonts w:ascii="Times New Roman" w:hAnsi="Times New Roman" w:cs="Times New Roman"/>
          <w:sz w:val="24"/>
          <w:szCs w:val="24"/>
        </w:rPr>
        <w:t xml:space="preserve"> Duress is a particularly good example of the focus on compromise, rather than principle, because of the way in which it has been drafted. Firstly, the concept of duress has arguably ‘melded’ the separate ideas of duress and necessity into one defence.</w:t>
      </w:r>
      <w:r w:rsidRPr="007B7359">
        <w:rPr>
          <w:rStyle w:val="FootnoteReference"/>
          <w:rFonts w:ascii="Times New Roman" w:hAnsi="Times New Roman"/>
          <w:sz w:val="24"/>
          <w:szCs w:val="24"/>
        </w:rPr>
        <w:footnoteReference w:id="5"/>
      </w:r>
      <w:r w:rsidRPr="007B7359">
        <w:rPr>
          <w:rFonts w:ascii="Times New Roman" w:hAnsi="Times New Roman" w:cs="Times New Roman"/>
          <w:sz w:val="24"/>
          <w:szCs w:val="24"/>
        </w:rPr>
        <w:t xml:space="preserve"> </w:t>
      </w:r>
      <w:r w:rsidR="008E65A0" w:rsidRPr="007B7359">
        <w:rPr>
          <w:rFonts w:ascii="Times New Roman" w:hAnsi="Times New Roman" w:cs="Times New Roman"/>
          <w:sz w:val="24"/>
          <w:szCs w:val="24"/>
        </w:rPr>
        <w:t>This reflects a merging, or submerging,</w:t>
      </w:r>
      <w:r w:rsidRPr="007B7359">
        <w:rPr>
          <w:rFonts w:ascii="Times New Roman" w:hAnsi="Times New Roman" w:cs="Times New Roman"/>
          <w:sz w:val="24"/>
          <w:szCs w:val="24"/>
        </w:rPr>
        <w:t xml:space="preserve"> of the common law separation of duress and necessity, and the civil law tendency to approach necessity and duress as two versions of the same idea. The wording of the defence also reflects a greater focus on compromise than clarity. </w:t>
      </w:r>
      <w:r w:rsidRPr="007B7359">
        <w:rPr>
          <w:rFonts w:ascii="Times New Roman" w:hAnsi="Times New Roman" w:cs="Times New Roman"/>
          <w:sz w:val="24"/>
          <w:szCs w:val="24"/>
        </w:rPr>
        <w:lastRenderedPageBreak/>
        <w:t>To plead duress before the International Criminal Court (ICC), one must prove that he or she committed the crime while under pressure ‘resulting from a threat of imminent death or of continuing or imminent serious bodily harm.’ The act itself must then be ‘</w:t>
      </w:r>
      <w:proofErr w:type="spellStart"/>
      <w:r w:rsidRPr="007B7359">
        <w:rPr>
          <w:rFonts w:ascii="Times New Roman" w:hAnsi="Times New Roman" w:cs="Times New Roman"/>
          <w:sz w:val="24"/>
          <w:szCs w:val="24"/>
        </w:rPr>
        <w:t>necessar</w:t>
      </w:r>
      <w:proofErr w:type="spellEnd"/>
      <w:r w:rsidRPr="007B7359">
        <w:rPr>
          <w:rFonts w:ascii="Times New Roman" w:hAnsi="Times New Roman" w:cs="Times New Roman"/>
          <w:sz w:val="24"/>
          <w:szCs w:val="24"/>
        </w:rPr>
        <w:t xml:space="preserve">(y) and </w:t>
      </w:r>
      <w:proofErr w:type="spellStart"/>
      <w:r w:rsidRPr="007B7359">
        <w:rPr>
          <w:rFonts w:ascii="Times New Roman" w:hAnsi="Times New Roman" w:cs="Times New Roman"/>
          <w:sz w:val="24"/>
          <w:szCs w:val="24"/>
        </w:rPr>
        <w:t>reasonabl</w:t>
      </w:r>
      <w:proofErr w:type="spellEnd"/>
      <w:r w:rsidRPr="007B7359">
        <w:rPr>
          <w:rFonts w:ascii="Times New Roman" w:hAnsi="Times New Roman" w:cs="Times New Roman"/>
          <w:sz w:val="24"/>
          <w:szCs w:val="24"/>
        </w:rPr>
        <w:t>(e) to avoid (the) threat</w:t>
      </w:r>
      <w:r w:rsidR="00510D31" w:rsidRPr="007B7359">
        <w:rPr>
          <w:rFonts w:ascii="Times New Roman" w:hAnsi="Times New Roman" w:cs="Times New Roman"/>
          <w:sz w:val="24"/>
          <w:szCs w:val="24"/>
        </w:rPr>
        <w:t>,</w:t>
      </w:r>
      <w:r w:rsidRPr="007B7359">
        <w:rPr>
          <w:rFonts w:ascii="Times New Roman" w:hAnsi="Times New Roman" w:cs="Times New Roman"/>
          <w:sz w:val="24"/>
          <w:szCs w:val="24"/>
        </w:rPr>
        <w:t>’ and should also be proportional in that the individual must not cause a greater harm than that which is to be avoided.</w:t>
      </w:r>
      <w:r w:rsidRPr="007B7359">
        <w:rPr>
          <w:rStyle w:val="FootnoteReference"/>
          <w:rFonts w:ascii="Times New Roman" w:hAnsi="Times New Roman"/>
          <w:sz w:val="24"/>
          <w:szCs w:val="24"/>
        </w:rPr>
        <w:footnoteReference w:id="6"/>
      </w:r>
      <w:r w:rsidR="002954BB" w:rsidRPr="007B7359">
        <w:rPr>
          <w:rFonts w:ascii="Times New Roman" w:hAnsi="Times New Roman" w:cs="Times New Roman"/>
          <w:sz w:val="24"/>
          <w:szCs w:val="24"/>
        </w:rPr>
        <w:t xml:space="preserve"> There are thus four</w:t>
      </w:r>
      <w:r w:rsidRPr="007B7359">
        <w:rPr>
          <w:rFonts w:ascii="Times New Roman" w:hAnsi="Times New Roman" w:cs="Times New Roman"/>
          <w:sz w:val="24"/>
          <w:szCs w:val="24"/>
        </w:rPr>
        <w:t xml:space="preserve"> strands to this version of duress: the seriousness</w:t>
      </w:r>
      <w:r w:rsidR="002954BB" w:rsidRPr="007B7359">
        <w:rPr>
          <w:rFonts w:ascii="Times New Roman" w:hAnsi="Times New Roman" w:cs="Times New Roman"/>
          <w:sz w:val="24"/>
          <w:szCs w:val="24"/>
        </w:rPr>
        <w:t xml:space="preserve"> of the threat, the imminence of </w:t>
      </w:r>
      <w:r w:rsidR="00F558AD" w:rsidRPr="007B7359">
        <w:rPr>
          <w:rFonts w:ascii="Times New Roman" w:hAnsi="Times New Roman" w:cs="Times New Roman"/>
          <w:sz w:val="24"/>
          <w:szCs w:val="24"/>
        </w:rPr>
        <w:t>the threatened harm</w:t>
      </w:r>
      <w:r w:rsidR="002954BB" w:rsidRPr="007B7359">
        <w:rPr>
          <w:rFonts w:ascii="Times New Roman" w:hAnsi="Times New Roman" w:cs="Times New Roman"/>
          <w:sz w:val="24"/>
          <w:szCs w:val="24"/>
        </w:rPr>
        <w:t>, the necessity and reasonableness of the act committed</w:t>
      </w:r>
      <w:r w:rsidR="00F558AD" w:rsidRPr="007B7359">
        <w:rPr>
          <w:rFonts w:ascii="Times New Roman" w:hAnsi="Times New Roman" w:cs="Times New Roman"/>
          <w:sz w:val="24"/>
          <w:szCs w:val="24"/>
        </w:rPr>
        <w:t xml:space="preserve"> to avoid the harm</w:t>
      </w:r>
      <w:r w:rsidR="002954BB" w:rsidRPr="007B7359">
        <w:rPr>
          <w:rFonts w:ascii="Times New Roman" w:hAnsi="Times New Roman" w:cs="Times New Roman"/>
          <w:sz w:val="24"/>
          <w:szCs w:val="24"/>
        </w:rPr>
        <w:t>, and a further test that the act was proportionate, in that it did not cause greater harm than it intended to avoid. The tests of</w:t>
      </w:r>
      <w:r w:rsidR="001073C9" w:rsidRPr="007B7359">
        <w:rPr>
          <w:rFonts w:ascii="Times New Roman" w:hAnsi="Times New Roman" w:cs="Times New Roman"/>
          <w:sz w:val="24"/>
          <w:szCs w:val="24"/>
        </w:rPr>
        <w:t xml:space="preserve"> p</w:t>
      </w:r>
      <w:r w:rsidR="002954BB" w:rsidRPr="007B7359">
        <w:rPr>
          <w:rFonts w:ascii="Times New Roman" w:hAnsi="Times New Roman" w:cs="Times New Roman"/>
          <w:sz w:val="24"/>
          <w:szCs w:val="24"/>
        </w:rPr>
        <w:t>roportionality</w:t>
      </w:r>
      <w:r w:rsidR="002954BB" w:rsidRPr="007B7359">
        <w:rPr>
          <w:rStyle w:val="FootnoteReference"/>
          <w:rFonts w:ascii="Times New Roman" w:hAnsi="Times New Roman"/>
          <w:sz w:val="24"/>
          <w:szCs w:val="24"/>
        </w:rPr>
        <w:footnoteReference w:id="7"/>
      </w:r>
      <w:r w:rsidR="002954BB" w:rsidRPr="007B7359">
        <w:rPr>
          <w:rFonts w:ascii="Times New Roman" w:hAnsi="Times New Roman" w:cs="Times New Roman"/>
          <w:sz w:val="24"/>
          <w:szCs w:val="24"/>
        </w:rPr>
        <w:t xml:space="preserve"> and a ‘necessary and reasonable act’</w:t>
      </w:r>
      <w:r w:rsidR="00D25AB5" w:rsidRPr="007B7359">
        <w:rPr>
          <w:rStyle w:val="FootnoteReference"/>
          <w:rFonts w:ascii="Times New Roman" w:hAnsi="Times New Roman"/>
          <w:sz w:val="24"/>
          <w:szCs w:val="24"/>
        </w:rPr>
        <w:footnoteReference w:id="8"/>
      </w:r>
      <w:r w:rsidR="002954BB" w:rsidRPr="007B7359">
        <w:rPr>
          <w:rFonts w:ascii="Times New Roman" w:hAnsi="Times New Roman" w:cs="Times New Roman"/>
          <w:sz w:val="24"/>
          <w:szCs w:val="24"/>
        </w:rPr>
        <w:t xml:space="preserve"> have been discussed by other authors, but there has been little focus on the requirement of imminence.</w:t>
      </w:r>
    </w:p>
    <w:p w:rsidR="001073C9" w:rsidRPr="007B7359" w:rsidRDefault="001073C9" w:rsidP="00FC34D9">
      <w:pPr>
        <w:spacing w:line="480" w:lineRule="auto"/>
        <w:jc w:val="both"/>
        <w:rPr>
          <w:rFonts w:ascii="Times New Roman" w:hAnsi="Times New Roman" w:cs="Times New Roman"/>
          <w:sz w:val="24"/>
          <w:szCs w:val="24"/>
        </w:rPr>
      </w:pPr>
    </w:p>
    <w:p w:rsidR="00EC3E90" w:rsidRPr="007B7359" w:rsidRDefault="00D25AB5" w:rsidP="00FC34D9">
      <w:pPr>
        <w:spacing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The test of imminence is of particular interest because it augments the requirement of a serious threat. The role of </w:t>
      </w:r>
      <w:r w:rsidRPr="007B7359">
        <w:rPr>
          <w:rFonts w:ascii="Times New Roman" w:hAnsi="Times New Roman" w:cs="Times New Roman"/>
          <w:sz w:val="24"/>
          <w:szCs w:val="24"/>
        </w:rPr>
        <w:lastRenderedPageBreak/>
        <w:t xml:space="preserve">imminence </w:t>
      </w:r>
      <w:bookmarkEnd w:id="1"/>
      <w:r w:rsidR="003804A5" w:rsidRPr="007B7359">
        <w:rPr>
          <w:rFonts w:ascii="Times New Roman" w:hAnsi="Times New Roman" w:cs="Times New Roman"/>
          <w:sz w:val="24"/>
          <w:szCs w:val="24"/>
        </w:rPr>
        <w:t>in self-defence has been widely documented</w:t>
      </w:r>
      <w:r w:rsidR="005A126E" w:rsidRPr="007B7359">
        <w:rPr>
          <w:rStyle w:val="FootnoteReference"/>
          <w:rFonts w:ascii="Times New Roman" w:hAnsi="Times New Roman"/>
          <w:sz w:val="24"/>
          <w:szCs w:val="24"/>
        </w:rPr>
        <w:footnoteReference w:id="9"/>
      </w:r>
      <w:r w:rsidR="003804A5" w:rsidRPr="007B7359">
        <w:rPr>
          <w:rFonts w:ascii="Times New Roman" w:hAnsi="Times New Roman" w:cs="Times New Roman"/>
          <w:sz w:val="24"/>
          <w:szCs w:val="24"/>
        </w:rPr>
        <w:t xml:space="preserve"> and is considered a key part of </w:t>
      </w:r>
      <w:r w:rsidR="0030335A" w:rsidRPr="007B7359">
        <w:rPr>
          <w:rFonts w:ascii="Times New Roman" w:hAnsi="Times New Roman" w:cs="Times New Roman"/>
          <w:sz w:val="24"/>
          <w:szCs w:val="24"/>
        </w:rPr>
        <w:t>justifying the use of</w:t>
      </w:r>
      <w:r w:rsidR="003804A5" w:rsidRPr="007B7359">
        <w:rPr>
          <w:rFonts w:ascii="Times New Roman" w:hAnsi="Times New Roman" w:cs="Times New Roman"/>
          <w:sz w:val="24"/>
          <w:szCs w:val="24"/>
        </w:rPr>
        <w:t xml:space="preserve"> force against another to defend oneself. However, </w:t>
      </w:r>
      <w:r w:rsidR="00B2405E" w:rsidRPr="007B7359">
        <w:rPr>
          <w:rFonts w:ascii="Times New Roman" w:hAnsi="Times New Roman" w:cs="Times New Roman"/>
          <w:sz w:val="24"/>
          <w:szCs w:val="24"/>
        </w:rPr>
        <w:t>the addition of imminence is questionable, particularly in respect of crimes that may be committed during times of war, civil unrest, or other emergencies. T</w:t>
      </w:r>
      <w:r w:rsidR="0037783C" w:rsidRPr="007B7359">
        <w:rPr>
          <w:rFonts w:ascii="Times New Roman" w:hAnsi="Times New Roman" w:cs="Times New Roman"/>
          <w:sz w:val="24"/>
          <w:szCs w:val="24"/>
        </w:rPr>
        <w:t>here has been no consistent use of the idea of imminence in duress when it has been plead before international courts. The previous focus has been on the</w:t>
      </w:r>
      <w:r w:rsidR="006B2505" w:rsidRPr="007B7359">
        <w:rPr>
          <w:rFonts w:ascii="Times New Roman" w:hAnsi="Times New Roman" w:cs="Times New Roman"/>
          <w:sz w:val="24"/>
          <w:szCs w:val="24"/>
        </w:rPr>
        <w:t xml:space="preserve"> proportionality of the actions committed under duress, which has generally undermined its application</w:t>
      </w:r>
      <w:r w:rsidR="0037783C" w:rsidRPr="007B7359">
        <w:rPr>
          <w:rFonts w:ascii="Times New Roman" w:hAnsi="Times New Roman" w:cs="Times New Roman"/>
          <w:sz w:val="24"/>
          <w:szCs w:val="24"/>
        </w:rPr>
        <w:t xml:space="preserve">. </w:t>
      </w:r>
    </w:p>
    <w:p w:rsidR="00EC3E90" w:rsidRPr="007B7359" w:rsidRDefault="00EC3E90" w:rsidP="00FC34D9">
      <w:pPr>
        <w:spacing w:line="480" w:lineRule="auto"/>
        <w:jc w:val="both"/>
        <w:rPr>
          <w:rFonts w:ascii="Times New Roman" w:hAnsi="Times New Roman" w:cs="Times New Roman"/>
          <w:sz w:val="24"/>
          <w:szCs w:val="24"/>
        </w:rPr>
      </w:pPr>
    </w:p>
    <w:p w:rsidR="007D085A" w:rsidRPr="007B7359" w:rsidRDefault="00EC3E90" w:rsidP="00FC34D9">
      <w:pPr>
        <w:spacing w:line="480" w:lineRule="auto"/>
        <w:jc w:val="both"/>
        <w:rPr>
          <w:rFonts w:ascii="Times New Roman" w:hAnsi="Times New Roman" w:cs="Times New Roman"/>
          <w:sz w:val="24"/>
          <w:szCs w:val="24"/>
        </w:rPr>
      </w:pPr>
      <w:r w:rsidRPr="007B7359">
        <w:rPr>
          <w:rFonts w:ascii="Times New Roman" w:hAnsi="Times New Roman" w:cs="Times New Roman"/>
          <w:sz w:val="24"/>
          <w:szCs w:val="24"/>
        </w:rPr>
        <w:t>It is argued here that a better approach to the defence in the Rome Statute, learning from the previous international criminal tribunals, would be to focus on the removal of freedom of choice. Rather than to indicate that the defence ought to be used in situations of imminent harm, it would demonstrate greater pragmatism to focus on the alternatives that the individual had.</w:t>
      </w:r>
      <w:r w:rsidR="009B2A09" w:rsidRPr="007B7359">
        <w:rPr>
          <w:rStyle w:val="FootnoteReference"/>
          <w:rFonts w:ascii="Times New Roman" w:hAnsi="Times New Roman"/>
          <w:sz w:val="24"/>
          <w:szCs w:val="24"/>
        </w:rPr>
        <w:footnoteReference w:id="10"/>
      </w:r>
      <w:r w:rsidRPr="007B7359">
        <w:rPr>
          <w:rFonts w:ascii="Times New Roman" w:hAnsi="Times New Roman" w:cs="Times New Roman"/>
          <w:sz w:val="24"/>
          <w:szCs w:val="24"/>
        </w:rPr>
        <w:t xml:space="preserve"> In its current form, the inclusion of the defence demonstrates a </w:t>
      </w:r>
      <w:r w:rsidRPr="007B7359">
        <w:rPr>
          <w:rFonts w:ascii="Times New Roman" w:hAnsi="Times New Roman" w:cs="Times New Roman"/>
          <w:sz w:val="24"/>
          <w:szCs w:val="24"/>
        </w:rPr>
        <w:lastRenderedPageBreak/>
        <w:t xml:space="preserve">clear progression from the previous international criminal tribunals, but one </w:t>
      </w:r>
      <w:r w:rsidR="00DF6C69" w:rsidRPr="007B7359">
        <w:rPr>
          <w:rFonts w:ascii="Times New Roman" w:hAnsi="Times New Roman" w:cs="Times New Roman"/>
          <w:sz w:val="24"/>
          <w:szCs w:val="24"/>
        </w:rPr>
        <w:t>which does not properly engage with the problems highlighted by the discussion of defences in previous international criminal tribunals</w:t>
      </w:r>
      <w:r w:rsidRPr="007B7359">
        <w:rPr>
          <w:rFonts w:ascii="Times New Roman" w:hAnsi="Times New Roman" w:cs="Times New Roman"/>
          <w:sz w:val="24"/>
          <w:szCs w:val="24"/>
        </w:rPr>
        <w:t xml:space="preserve">. </w:t>
      </w:r>
    </w:p>
    <w:p w:rsidR="007D085A" w:rsidRPr="007B7359" w:rsidRDefault="007D085A" w:rsidP="00FC34D9">
      <w:pPr>
        <w:spacing w:line="480" w:lineRule="auto"/>
        <w:jc w:val="both"/>
        <w:rPr>
          <w:rFonts w:ascii="Times New Roman" w:hAnsi="Times New Roman" w:cs="Times New Roman"/>
          <w:sz w:val="24"/>
          <w:szCs w:val="24"/>
        </w:rPr>
      </w:pPr>
    </w:p>
    <w:p w:rsidR="007D085A" w:rsidRPr="007B7359" w:rsidRDefault="001073C9" w:rsidP="00FC34D9">
      <w:pPr>
        <w:spacing w:line="480" w:lineRule="auto"/>
        <w:jc w:val="both"/>
        <w:rPr>
          <w:rFonts w:ascii="Times New Roman" w:hAnsi="Times New Roman" w:cs="Times New Roman"/>
          <w:sz w:val="24"/>
          <w:szCs w:val="24"/>
        </w:rPr>
      </w:pPr>
      <w:r w:rsidRPr="007B7359">
        <w:rPr>
          <w:rFonts w:ascii="Times New Roman" w:hAnsi="Times New Roman" w:cs="Times New Roman"/>
          <w:sz w:val="24"/>
          <w:szCs w:val="24"/>
        </w:rPr>
        <w:t>This analysi</w:t>
      </w:r>
      <w:r w:rsidR="00DF6C69" w:rsidRPr="007B7359">
        <w:rPr>
          <w:rFonts w:ascii="Times New Roman" w:hAnsi="Times New Roman" w:cs="Times New Roman"/>
          <w:sz w:val="24"/>
          <w:szCs w:val="24"/>
        </w:rPr>
        <w:t>s seeks to demonstrate that the drafters oug</w:t>
      </w:r>
      <w:r w:rsidR="007D085A" w:rsidRPr="007B7359">
        <w:rPr>
          <w:rFonts w:ascii="Times New Roman" w:hAnsi="Times New Roman" w:cs="Times New Roman"/>
          <w:sz w:val="24"/>
          <w:szCs w:val="24"/>
        </w:rPr>
        <w:t>ht to have used the test of whether the individual had the freedom to choose another path when acting under duress</w:t>
      </w:r>
      <w:r w:rsidRPr="007B7359">
        <w:rPr>
          <w:rFonts w:ascii="Times New Roman" w:hAnsi="Times New Roman" w:cs="Times New Roman"/>
          <w:sz w:val="24"/>
          <w:szCs w:val="24"/>
        </w:rPr>
        <w:t xml:space="preserve">, rather than when under the threat of imminent harm. The relevance of this is significant for the defence of duress because of </w:t>
      </w:r>
      <w:r w:rsidR="007D085A" w:rsidRPr="007B7359">
        <w:rPr>
          <w:rFonts w:ascii="Times New Roman" w:hAnsi="Times New Roman" w:cs="Times New Roman"/>
          <w:sz w:val="24"/>
          <w:szCs w:val="24"/>
        </w:rPr>
        <w:t xml:space="preserve">it would properly link the </w:t>
      </w:r>
      <w:r w:rsidRPr="007B7359">
        <w:rPr>
          <w:rFonts w:ascii="Times New Roman" w:hAnsi="Times New Roman" w:cs="Times New Roman"/>
          <w:sz w:val="24"/>
          <w:szCs w:val="24"/>
        </w:rPr>
        <w:t>importance of the freedom to choose</w:t>
      </w:r>
      <w:r w:rsidR="007D085A" w:rsidRPr="007B7359">
        <w:rPr>
          <w:rFonts w:ascii="Times New Roman" w:hAnsi="Times New Roman" w:cs="Times New Roman"/>
          <w:sz w:val="24"/>
          <w:szCs w:val="24"/>
        </w:rPr>
        <w:t xml:space="preserve"> to the defence, which is a key element of criminal liability. Equally, it is consistent with the idea of individual criminal responsibility at the international level that the individuals with the greatest responsibility for the crimes are prosecuted: freedom of choice is a key indicator of those who bear the greatest responsibility in the most serious crimes which are likely to be prosecuted before the International Criminal Court.</w:t>
      </w:r>
    </w:p>
    <w:p w:rsidR="008E65A0" w:rsidRPr="007B7359" w:rsidRDefault="008E65A0" w:rsidP="00FC34D9">
      <w:pPr>
        <w:spacing w:line="480" w:lineRule="auto"/>
        <w:jc w:val="both"/>
        <w:rPr>
          <w:rFonts w:ascii="Times New Roman" w:hAnsi="Times New Roman" w:cs="Times New Roman"/>
          <w:b/>
          <w:sz w:val="24"/>
          <w:szCs w:val="24"/>
          <w:u w:val="single"/>
        </w:rPr>
      </w:pPr>
    </w:p>
    <w:p w:rsidR="007D085A" w:rsidRDefault="007D085A" w:rsidP="00FC34D9">
      <w:pPr>
        <w:spacing w:line="480" w:lineRule="auto"/>
        <w:jc w:val="both"/>
        <w:rPr>
          <w:rFonts w:ascii="Times New Roman" w:hAnsi="Times New Roman" w:cs="Times New Roman"/>
          <w:b/>
          <w:sz w:val="24"/>
          <w:szCs w:val="24"/>
          <w:u w:val="single"/>
        </w:rPr>
      </w:pPr>
    </w:p>
    <w:p w:rsidR="004323AC" w:rsidRDefault="004323AC" w:rsidP="00FC34D9">
      <w:pPr>
        <w:spacing w:line="480" w:lineRule="auto"/>
        <w:jc w:val="both"/>
        <w:rPr>
          <w:rFonts w:ascii="Times New Roman" w:hAnsi="Times New Roman" w:cs="Times New Roman"/>
          <w:b/>
          <w:sz w:val="24"/>
          <w:szCs w:val="24"/>
          <w:u w:val="single"/>
        </w:rPr>
      </w:pPr>
    </w:p>
    <w:p w:rsidR="004323AC" w:rsidRDefault="004323AC" w:rsidP="00FC34D9">
      <w:pPr>
        <w:spacing w:line="480" w:lineRule="auto"/>
        <w:jc w:val="both"/>
        <w:rPr>
          <w:rFonts w:ascii="Times New Roman" w:hAnsi="Times New Roman" w:cs="Times New Roman"/>
          <w:b/>
          <w:sz w:val="24"/>
          <w:szCs w:val="24"/>
          <w:u w:val="single"/>
        </w:rPr>
      </w:pPr>
    </w:p>
    <w:p w:rsidR="004323AC" w:rsidRPr="007B7359" w:rsidRDefault="004323AC" w:rsidP="00FC34D9">
      <w:pPr>
        <w:spacing w:line="480" w:lineRule="auto"/>
        <w:jc w:val="both"/>
        <w:rPr>
          <w:rFonts w:ascii="Times New Roman" w:hAnsi="Times New Roman" w:cs="Times New Roman"/>
          <w:b/>
          <w:sz w:val="24"/>
          <w:szCs w:val="24"/>
          <w:u w:val="single"/>
        </w:rPr>
      </w:pPr>
    </w:p>
    <w:p w:rsidR="001073C9" w:rsidRPr="007B7359" w:rsidRDefault="007B7359" w:rsidP="007B735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1073C9" w:rsidRPr="007B7359">
        <w:rPr>
          <w:rFonts w:ascii="Times New Roman" w:hAnsi="Times New Roman" w:cs="Times New Roman"/>
          <w:b/>
          <w:sz w:val="24"/>
          <w:szCs w:val="24"/>
        </w:rPr>
        <w:t>Duress in international criminal law</w:t>
      </w:r>
    </w:p>
    <w:p w:rsidR="00852B0C" w:rsidRPr="007B7359" w:rsidRDefault="009B7378"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Duress has been recognised as a defence in a number of domestic jurisdictions,</w:t>
      </w:r>
      <w:r w:rsidRPr="007B7359">
        <w:rPr>
          <w:rStyle w:val="FootnoteReference"/>
          <w:rFonts w:ascii="Times New Roman" w:hAnsi="Times New Roman"/>
          <w:sz w:val="24"/>
          <w:szCs w:val="24"/>
        </w:rPr>
        <w:footnoteReference w:id="11"/>
      </w:r>
      <w:r w:rsidRPr="007B7359">
        <w:rPr>
          <w:rFonts w:ascii="Times New Roman" w:hAnsi="Times New Roman" w:cs="Times New Roman"/>
          <w:sz w:val="24"/>
          <w:szCs w:val="24"/>
        </w:rPr>
        <w:t xml:space="preserve"> and has also been admitted as a defence before international and hybrid tribunals.</w:t>
      </w:r>
      <w:r w:rsidRPr="007B7359">
        <w:rPr>
          <w:rStyle w:val="FootnoteReference"/>
          <w:rFonts w:ascii="Times New Roman" w:hAnsi="Times New Roman"/>
          <w:sz w:val="24"/>
          <w:szCs w:val="24"/>
        </w:rPr>
        <w:footnoteReference w:id="12"/>
      </w:r>
      <w:r w:rsidR="000F3607" w:rsidRPr="007B7359">
        <w:rPr>
          <w:rFonts w:ascii="Times New Roman" w:hAnsi="Times New Roman" w:cs="Times New Roman"/>
          <w:sz w:val="24"/>
          <w:szCs w:val="24"/>
        </w:rPr>
        <w:t xml:space="preserve"> </w:t>
      </w:r>
      <w:r w:rsidR="001F795F" w:rsidRPr="007B7359">
        <w:rPr>
          <w:rFonts w:ascii="Times New Roman" w:hAnsi="Times New Roman" w:cs="Times New Roman"/>
          <w:sz w:val="24"/>
          <w:szCs w:val="24"/>
        </w:rPr>
        <w:t>A</w:t>
      </w:r>
      <w:r w:rsidR="000F3607" w:rsidRPr="007B7359">
        <w:rPr>
          <w:rFonts w:ascii="Times New Roman" w:hAnsi="Times New Roman" w:cs="Times New Roman"/>
          <w:sz w:val="24"/>
          <w:szCs w:val="24"/>
        </w:rPr>
        <w:t xml:space="preserve"> </w:t>
      </w:r>
      <w:r w:rsidR="00420650" w:rsidRPr="007B7359">
        <w:rPr>
          <w:rFonts w:ascii="Times New Roman" w:hAnsi="Times New Roman" w:cs="Times New Roman"/>
          <w:sz w:val="24"/>
          <w:szCs w:val="24"/>
        </w:rPr>
        <w:t>comparative</w:t>
      </w:r>
      <w:r w:rsidR="001F795F" w:rsidRPr="007B7359">
        <w:rPr>
          <w:rFonts w:ascii="Times New Roman" w:hAnsi="Times New Roman" w:cs="Times New Roman"/>
          <w:sz w:val="24"/>
          <w:szCs w:val="24"/>
        </w:rPr>
        <w:t xml:space="preserve"> analysis of the defence </w:t>
      </w:r>
      <w:r w:rsidR="000F3607" w:rsidRPr="007B7359">
        <w:rPr>
          <w:rFonts w:ascii="Times New Roman" w:hAnsi="Times New Roman" w:cs="Times New Roman"/>
          <w:sz w:val="24"/>
          <w:szCs w:val="24"/>
        </w:rPr>
        <w:t>of duress at the national level has been undertaken elsewhere,</w:t>
      </w:r>
      <w:r w:rsidR="001F795F" w:rsidRPr="007B7359">
        <w:rPr>
          <w:rStyle w:val="FootnoteReference"/>
          <w:rFonts w:ascii="Times New Roman" w:hAnsi="Times New Roman"/>
          <w:sz w:val="24"/>
          <w:szCs w:val="24"/>
        </w:rPr>
        <w:footnoteReference w:id="13"/>
      </w:r>
      <w:r w:rsidR="000F3607" w:rsidRPr="007B7359">
        <w:rPr>
          <w:rFonts w:ascii="Times New Roman" w:hAnsi="Times New Roman" w:cs="Times New Roman"/>
          <w:sz w:val="24"/>
          <w:szCs w:val="24"/>
        </w:rPr>
        <w:t xml:space="preserve"> </w:t>
      </w:r>
      <w:r w:rsidR="001F795F" w:rsidRPr="007B7359">
        <w:rPr>
          <w:rFonts w:ascii="Times New Roman" w:hAnsi="Times New Roman" w:cs="Times New Roman"/>
          <w:sz w:val="24"/>
          <w:szCs w:val="24"/>
        </w:rPr>
        <w:t xml:space="preserve"> s</w:t>
      </w:r>
      <w:r w:rsidR="00B16E39" w:rsidRPr="007B7359">
        <w:rPr>
          <w:rFonts w:ascii="Times New Roman" w:hAnsi="Times New Roman" w:cs="Times New Roman"/>
          <w:sz w:val="24"/>
          <w:szCs w:val="24"/>
        </w:rPr>
        <w:t xml:space="preserve">o the discussion here will open with a brief overview of the significance of the criterion of imminence in duress at the domestic level. </w:t>
      </w:r>
      <w:r w:rsidR="005A302F" w:rsidRPr="007B7359">
        <w:rPr>
          <w:rFonts w:ascii="Times New Roman" w:hAnsi="Times New Roman" w:cs="Times New Roman"/>
          <w:sz w:val="24"/>
          <w:szCs w:val="24"/>
        </w:rPr>
        <w:t>This will set the scene</w:t>
      </w:r>
      <w:r w:rsidR="001F795F" w:rsidRPr="007B7359">
        <w:rPr>
          <w:rFonts w:ascii="Times New Roman" w:hAnsi="Times New Roman" w:cs="Times New Roman"/>
          <w:sz w:val="24"/>
          <w:szCs w:val="24"/>
        </w:rPr>
        <w:t xml:space="preserve"> for a discussion of the </w:t>
      </w:r>
      <w:r w:rsidR="000F3607" w:rsidRPr="007B7359">
        <w:rPr>
          <w:rFonts w:ascii="Times New Roman" w:hAnsi="Times New Roman" w:cs="Times New Roman"/>
          <w:sz w:val="24"/>
          <w:szCs w:val="24"/>
        </w:rPr>
        <w:t xml:space="preserve">manifestations of the </w:t>
      </w:r>
      <w:r w:rsidR="00B16E39" w:rsidRPr="007B7359">
        <w:rPr>
          <w:rFonts w:ascii="Times New Roman" w:hAnsi="Times New Roman" w:cs="Times New Roman"/>
          <w:sz w:val="24"/>
          <w:szCs w:val="24"/>
        </w:rPr>
        <w:t>defence at the international lev</w:t>
      </w:r>
      <w:r w:rsidR="000F3607" w:rsidRPr="007B7359">
        <w:rPr>
          <w:rFonts w:ascii="Times New Roman" w:hAnsi="Times New Roman" w:cs="Times New Roman"/>
          <w:sz w:val="24"/>
          <w:szCs w:val="24"/>
        </w:rPr>
        <w:t xml:space="preserve">el. </w:t>
      </w:r>
      <w:r w:rsidR="00B16E39" w:rsidRPr="007B7359">
        <w:rPr>
          <w:rFonts w:ascii="Times New Roman" w:hAnsi="Times New Roman" w:cs="Times New Roman"/>
          <w:sz w:val="24"/>
          <w:szCs w:val="24"/>
        </w:rPr>
        <w:t>In the interests of parity, two influential civilian legal systems and two common law systems will be examined.</w:t>
      </w:r>
      <w:r w:rsidR="00852B0C" w:rsidRPr="007B7359">
        <w:rPr>
          <w:rFonts w:ascii="Times New Roman" w:hAnsi="Times New Roman" w:cs="Times New Roman"/>
          <w:sz w:val="24"/>
          <w:szCs w:val="24"/>
        </w:rPr>
        <w:t xml:space="preserve"> </w:t>
      </w:r>
      <w:r w:rsidR="00B16E39" w:rsidRPr="007B7359">
        <w:rPr>
          <w:rFonts w:ascii="Times New Roman" w:hAnsi="Times New Roman" w:cs="Times New Roman"/>
          <w:sz w:val="24"/>
          <w:szCs w:val="24"/>
        </w:rPr>
        <w:t>The jurisdictions which have been selected for analysis are England and Wales, United States, France and Germany, all of which are prominent and influential jurisdictions.</w:t>
      </w:r>
      <w:r w:rsidR="00B16E39" w:rsidRPr="007B7359">
        <w:rPr>
          <w:rStyle w:val="FootnoteReference"/>
          <w:rFonts w:ascii="Times New Roman" w:hAnsi="Times New Roman"/>
          <w:sz w:val="24"/>
          <w:szCs w:val="24"/>
        </w:rPr>
        <w:footnoteReference w:id="14"/>
      </w:r>
      <w:r w:rsidR="00B16E39" w:rsidRPr="007B7359">
        <w:rPr>
          <w:rFonts w:ascii="Times New Roman" w:hAnsi="Times New Roman" w:cs="Times New Roman"/>
          <w:sz w:val="24"/>
          <w:szCs w:val="24"/>
        </w:rPr>
        <w:t xml:space="preserve"> </w:t>
      </w:r>
    </w:p>
    <w:p w:rsidR="00852B0C" w:rsidRPr="007B7359" w:rsidRDefault="00852B0C" w:rsidP="00FC34D9">
      <w:pPr>
        <w:spacing w:after="0" w:line="480" w:lineRule="auto"/>
        <w:jc w:val="both"/>
        <w:rPr>
          <w:rFonts w:ascii="Times New Roman" w:hAnsi="Times New Roman" w:cs="Times New Roman"/>
          <w:sz w:val="24"/>
          <w:szCs w:val="24"/>
        </w:rPr>
      </w:pPr>
    </w:p>
    <w:p w:rsidR="00B16E39" w:rsidRPr="007B7359" w:rsidRDefault="00B16E39"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lastRenderedPageBreak/>
        <w:t>In England and Wales, there are three defences which relat</w:t>
      </w:r>
      <w:r w:rsidR="005C189A" w:rsidRPr="007B7359">
        <w:rPr>
          <w:rFonts w:ascii="Times New Roman" w:hAnsi="Times New Roman" w:cs="Times New Roman"/>
          <w:sz w:val="24"/>
          <w:szCs w:val="24"/>
        </w:rPr>
        <w:t xml:space="preserve">e to the idea of duress in the </w:t>
      </w:r>
      <w:r w:rsidRPr="007B7359">
        <w:rPr>
          <w:rFonts w:ascii="Times New Roman" w:hAnsi="Times New Roman" w:cs="Times New Roman"/>
          <w:sz w:val="24"/>
          <w:szCs w:val="24"/>
        </w:rPr>
        <w:t>Rome Statute: necessity, duress of circumstances and duress by threats.</w:t>
      </w:r>
      <w:r w:rsidRPr="007B7359">
        <w:rPr>
          <w:rStyle w:val="FootnoteReference"/>
          <w:rFonts w:ascii="Times New Roman" w:hAnsi="Times New Roman"/>
          <w:sz w:val="24"/>
          <w:szCs w:val="24"/>
        </w:rPr>
        <w:t xml:space="preserve"> </w:t>
      </w:r>
      <w:r w:rsidRPr="007B7359">
        <w:rPr>
          <w:rStyle w:val="FootnoteReference"/>
          <w:rFonts w:ascii="Times New Roman" w:hAnsi="Times New Roman"/>
          <w:sz w:val="24"/>
          <w:szCs w:val="24"/>
        </w:rPr>
        <w:footnoteReference w:id="15"/>
      </w:r>
      <w:r w:rsidR="005C189A" w:rsidRPr="007B7359">
        <w:rPr>
          <w:rFonts w:ascii="Times New Roman" w:hAnsi="Times New Roman" w:cs="Times New Roman"/>
          <w:sz w:val="24"/>
          <w:szCs w:val="24"/>
        </w:rPr>
        <w:t xml:space="preserve"> The courts have rejected the availability of all three defences to a charge of murder.</w:t>
      </w:r>
      <w:r w:rsidR="005C189A" w:rsidRPr="007B7359">
        <w:rPr>
          <w:rStyle w:val="FootnoteReference"/>
          <w:rFonts w:ascii="Times New Roman" w:hAnsi="Times New Roman"/>
          <w:sz w:val="24"/>
          <w:szCs w:val="24"/>
        </w:rPr>
        <w:t xml:space="preserve"> </w:t>
      </w:r>
      <w:r w:rsidR="005C189A" w:rsidRPr="007B7359">
        <w:rPr>
          <w:rStyle w:val="FootnoteReference"/>
          <w:rFonts w:ascii="Times New Roman" w:hAnsi="Times New Roman"/>
          <w:sz w:val="24"/>
          <w:szCs w:val="24"/>
        </w:rPr>
        <w:footnoteReference w:id="16"/>
      </w:r>
      <w:r w:rsidR="005C189A" w:rsidRPr="007B7359">
        <w:rPr>
          <w:rFonts w:ascii="Times New Roman" w:hAnsi="Times New Roman" w:cs="Times New Roman"/>
          <w:sz w:val="24"/>
          <w:szCs w:val="24"/>
        </w:rPr>
        <w:t xml:space="preserve"> The focus of the first two defences is on the idea of compulsion, where the concept of imminence appears to have little relevance.</w:t>
      </w:r>
      <w:r w:rsidR="005C189A" w:rsidRPr="007B7359">
        <w:rPr>
          <w:rStyle w:val="FootnoteReference"/>
          <w:rFonts w:ascii="Times New Roman" w:hAnsi="Times New Roman"/>
          <w:sz w:val="24"/>
          <w:szCs w:val="24"/>
        </w:rPr>
        <w:footnoteReference w:id="17"/>
      </w:r>
      <w:r w:rsidR="00447141" w:rsidRPr="007B7359">
        <w:rPr>
          <w:rFonts w:ascii="Times New Roman" w:hAnsi="Times New Roman" w:cs="Times New Roman"/>
          <w:sz w:val="24"/>
          <w:szCs w:val="24"/>
        </w:rPr>
        <w:t xml:space="preserve"> The focus instead, particularly in </w:t>
      </w:r>
      <w:r w:rsidR="00447141" w:rsidRPr="007B7359">
        <w:rPr>
          <w:rFonts w:ascii="Times New Roman" w:hAnsi="Times New Roman" w:cs="Times New Roman"/>
          <w:i/>
          <w:sz w:val="24"/>
          <w:szCs w:val="24"/>
        </w:rPr>
        <w:t xml:space="preserve">R </w:t>
      </w:r>
      <w:r w:rsidR="00447141" w:rsidRPr="00711748">
        <w:rPr>
          <w:rFonts w:ascii="Times New Roman" w:hAnsi="Times New Roman" w:cs="Times New Roman"/>
          <w:sz w:val="24"/>
          <w:szCs w:val="24"/>
        </w:rPr>
        <w:t>v</w:t>
      </w:r>
      <w:r w:rsidR="00711748">
        <w:rPr>
          <w:rFonts w:ascii="Times New Roman" w:hAnsi="Times New Roman" w:cs="Times New Roman"/>
          <w:sz w:val="24"/>
          <w:szCs w:val="24"/>
        </w:rPr>
        <w:t>.</w:t>
      </w:r>
      <w:r w:rsidR="00447141" w:rsidRPr="007B7359">
        <w:rPr>
          <w:rFonts w:ascii="Times New Roman" w:hAnsi="Times New Roman" w:cs="Times New Roman"/>
          <w:i/>
          <w:sz w:val="24"/>
          <w:szCs w:val="24"/>
        </w:rPr>
        <w:t xml:space="preserve"> Dudley</w:t>
      </w:r>
      <w:r w:rsidR="005C189A" w:rsidRPr="007B7359">
        <w:rPr>
          <w:rStyle w:val="FootnoteReference"/>
          <w:rFonts w:ascii="Times New Roman" w:hAnsi="Times New Roman"/>
          <w:sz w:val="24"/>
          <w:szCs w:val="24"/>
        </w:rPr>
        <w:footnoteReference w:id="18"/>
      </w:r>
      <w:r w:rsidR="00447141" w:rsidRPr="007B7359">
        <w:rPr>
          <w:rFonts w:ascii="Times New Roman" w:hAnsi="Times New Roman" w:cs="Times New Roman"/>
          <w:i/>
          <w:sz w:val="24"/>
          <w:szCs w:val="24"/>
        </w:rPr>
        <w:t xml:space="preserve"> </w:t>
      </w:r>
      <w:r w:rsidR="00447141" w:rsidRPr="007B7359">
        <w:rPr>
          <w:rFonts w:ascii="Times New Roman" w:hAnsi="Times New Roman" w:cs="Times New Roman"/>
          <w:sz w:val="24"/>
          <w:szCs w:val="24"/>
        </w:rPr>
        <w:t>is on the degree of pressure, rather than the imminence of the threat.</w:t>
      </w:r>
      <w:r w:rsidR="005C189A" w:rsidRPr="007B7359">
        <w:rPr>
          <w:rFonts w:ascii="Times New Roman" w:hAnsi="Times New Roman" w:cs="Times New Roman"/>
          <w:sz w:val="24"/>
          <w:szCs w:val="24"/>
        </w:rPr>
        <w:t xml:space="preserve"> </w:t>
      </w:r>
      <w:r w:rsidR="00447141" w:rsidRPr="007B7359">
        <w:rPr>
          <w:rFonts w:ascii="Times New Roman" w:hAnsi="Times New Roman" w:cs="Times New Roman"/>
          <w:sz w:val="24"/>
          <w:szCs w:val="24"/>
        </w:rPr>
        <w:t>Similarly, in the</w:t>
      </w:r>
      <w:r w:rsidR="00447141" w:rsidRPr="007B7359">
        <w:rPr>
          <w:rFonts w:ascii="Times New Roman" w:hAnsi="Times New Roman" w:cs="Times New Roman"/>
          <w:i/>
          <w:sz w:val="24"/>
          <w:szCs w:val="24"/>
        </w:rPr>
        <w:t xml:space="preserve"> Re </w:t>
      </w:r>
      <w:proofErr w:type="gramStart"/>
      <w:r w:rsidR="00447141" w:rsidRPr="007B7359">
        <w:rPr>
          <w:rFonts w:ascii="Times New Roman" w:hAnsi="Times New Roman" w:cs="Times New Roman"/>
          <w:i/>
          <w:sz w:val="24"/>
          <w:szCs w:val="24"/>
        </w:rPr>
        <w:t>A</w:t>
      </w:r>
      <w:proofErr w:type="gramEnd"/>
      <w:r w:rsidR="00447141" w:rsidRPr="007B7359">
        <w:rPr>
          <w:rFonts w:ascii="Times New Roman" w:hAnsi="Times New Roman" w:cs="Times New Roman"/>
          <w:i/>
          <w:sz w:val="24"/>
          <w:szCs w:val="24"/>
        </w:rPr>
        <w:t xml:space="preserve"> (Children)</w:t>
      </w:r>
      <w:r w:rsidR="00447141" w:rsidRPr="007B7359">
        <w:rPr>
          <w:rStyle w:val="FootnoteReference"/>
          <w:rFonts w:ascii="Times New Roman" w:hAnsi="Times New Roman"/>
          <w:sz w:val="24"/>
          <w:szCs w:val="24"/>
        </w:rPr>
        <w:footnoteReference w:id="19"/>
      </w:r>
      <w:r w:rsidR="00447141" w:rsidRPr="007B7359">
        <w:rPr>
          <w:rFonts w:ascii="Times New Roman" w:hAnsi="Times New Roman" w:cs="Times New Roman"/>
          <w:sz w:val="24"/>
          <w:szCs w:val="24"/>
        </w:rPr>
        <w:t xml:space="preserve"> case, the focus was on the doctrine of necessity where an individu</w:t>
      </w:r>
      <w:r w:rsidR="002F428B" w:rsidRPr="007B7359">
        <w:rPr>
          <w:rFonts w:ascii="Times New Roman" w:hAnsi="Times New Roman" w:cs="Times New Roman"/>
          <w:sz w:val="24"/>
          <w:szCs w:val="24"/>
        </w:rPr>
        <w:t>al acted as a result of pressure</w:t>
      </w:r>
      <w:r w:rsidR="00447141" w:rsidRPr="007B7359">
        <w:rPr>
          <w:rFonts w:ascii="Times New Roman" w:hAnsi="Times New Roman" w:cs="Times New Roman"/>
          <w:sz w:val="24"/>
          <w:szCs w:val="24"/>
        </w:rPr>
        <w:t xml:space="preserve">. The third type of duress, by threats, </w:t>
      </w:r>
      <w:r w:rsidR="00A17F2F" w:rsidRPr="007B7359">
        <w:rPr>
          <w:rFonts w:ascii="Times New Roman" w:hAnsi="Times New Roman" w:cs="Times New Roman"/>
          <w:sz w:val="24"/>
          <w:szCs w:val="24"/>
        </w:rPr>
        <w:t>equally relies upon the idea of a serious pressure, most likely relating to fear of death,</w:t>
      </w:r>
      <w:r w:rsidR="00A17F2F" w:rsidRPr="007B7359">
        <w:rPr>
          <w:rStyle w:val="FootnoteReference"/>
          <w:rFonts w:ascii="Times New Roman" w:hAnsi="Times New Roman"/>
          <w:sz w:val="24"/>
          <w:szCs w:val="24"/>
        </w:rPr>
        <w:footnoteReference w:id="20"/>
      </w:r>
      <w:r w:rsidR="00A17F2F" w:rsidRPr="007B7359">
        <w:rPr>
          <w:rFonts w:ascii="Times New Roman" w:hAnsi="Times New Roman" w:cs="Times New Roman"/>
          <w:sz w:val="24"/>
          <w:szCs w:val="24"/>
        </w:rPr>
        <w:t xml:space="preserve"> rendering the will of the accused overborne.</w:t>
      </w:r>
      <w:r w:rsidR="00A17F2F" w:rsidRPr="007B7359">
        <w:rPr>
          <w:rStyle w:val="FootnoteReference"/>
          <w:rFonts w:ascii="Times New Roman" w:hAnsi="Times New Roman"/>
          <w:sz w:val="24"/>
          <w:szCs w:val="24"/>
        </w:rPr>
        <w:footnoteReference w:id="21"/>
      </w:r>
    </w:p>
    <w:p w:rsidR="00B16E39" w:rsidRPr="007B7359" w:rsidRDefault="00B16E39" w:rsidP="00FC34D9">
      <w:pPr>
        <w:spacing w:after="0" w:line="480" w:lineRule="auto"/>
        <w:jc w:val="both"/>
        <w:rPr>
          <w:rFonts w:ascii="Times New Roman" w:hAnsi="Times New Roman" w:cs="Times New Roman"/>
          <w:sz w:val="24"/>
          <w:szCs w:val="24"/>
        </w:rPr>
      </w:pPr>
    </w:p>
    <w:p w:rsidR="00B16E39" w:rsidRPr="007B7359" w:rsidRDefault="00B16E39"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The defence of duress by threats is much more distinct and far more contentious than that above. The definition of duress has not been dealt with extensively by the courts and more serious cases tend to focus on its applicability, rather than the extent to which the individual has been threatened. The judgment in </w:t>
      </w:r>
      <w:r w:rsidRPr="007B7359">
        <w:rPr>
          <w:rFonts w:ascii="Times New Roman" w:hAnsi="Times New Roman" w:cs="Times New Roman"/>
          <w:i/>
          <w:sz w:val="24"/>
          <w:szCs w:val="24"/>
        </w:rPr>
        <w:t>Howe</w:t>
      </w:r>
      <w:r w:rsidRPr="007B7359">
        <w:rPr>
          <w:rStyle w:val="FootnoteReference"/>
          <w:rFonts w:ascii="Times New Roman" w:hAnsi="Times New Roman"/>
          <w:sz w:val="24"/>
          <w:szCs w:val="24"/>
        </w:rPr>
        <w:footnoteReference w:id="22"/>
      </w:r>
      <w:r w:rsidRPr="007B7359">
        <w:rPr>
          <w:rFonts w:ascii="Times New Roman" w:hAnsi="Times New Roman" w:cs="Times New Roman"/>
          <w:sz w:val="24"/>
          <w:szCs w:val="24"/>
        </w:rPr>
        <w:t xml:space="preserve"> relies on the definition written in Hale’s pleas of the </w:t>
      </w:r>
      <w:r w:rsidRPr="007B7359">
        <w:rPr>
          <w:rFonts w:ascii="Times New Roman" w:hAnsi="Times New Roman" w:cs="Times New Roman"/>
          <w:sz w:val="24"/>
          <w:szCs w:val="24"/>
        </w:rPr>
        <w:lastRenderedPageBreak/>
        <w:t>Crown,</w:t>
      </w:r>
      <w:r w:rsidRPr="007B7359">
        <w:rPr>
          <w:rStyle w:val="FootnoteReference"/>
          <w:rFonts w:ascii="Times New Roman" w:hAnsi="Times New Roman"/>
          <w:sz w:val="24"/>
          <w:szCs w:val="24"/>
        </w:rPr>
        <w:footnoteReference w:id="23"/>
      </w:r>
      <w:r w:rsidRPr="007B7359">
        <w:rPr>
          <w:rFonts w:ascii="Times New Roman" w:hAnsi="Times New Roman" w:cs="Times New Roman"/>
          <w:sz w:val="24"/>
          <w:szCs w:val="24"/>
        </w:rPr>
        <w:t xml:space="preserve"> which holds that there </w:t>
      </w:r>
      <w:r w:rsidR="00F5748B" w:rsidRPr="007B7359">
        <w:rPr>
          <w:rFonts w:ascii="Times New Roman" w:hAnsi="Times New Roman" w:cs="Times New Roman"/>
          <w:sz w:val="24"/>
          <w:szCs w:val="24"/>
        </w:rPr>
        <w:t>must</w:t>
      </w:r>
      <w:r w:rsidRPr="007B7359">
        <w:rPr>
          <w:rFonts w:ascii="Times New Roman" w:hAnsi="Times New Roman" w:cs="Times New Roman"/>
          <w:sz w:val="24"/>
          <w:szCs w:val="24"/>
        </w:rPr>
        <w:t xml:space="preserve"> be a ‘fear of death’ threatened by another individual compelling the accused to act. The case of </w:t>
      </w:r>
      <w:r w:rsidRPr="007B7359">
        <w:rPr>
          <w:rFonts w:ascii="Times New Roman" w:hAnsi="Times New Roman" w:cs="Times New Roman"/>
          <w:i/>
          <w:sz w:val="24"/>
          <w:szCs w:val="24"/>
        </w:rPr>
        <w:t>Hudson</w:t>
      </w:r>
      <w:r w:rsidRPr="007B7359">
        <w:rPr>
          <w:rStyle w:val="FootnoteReference"/>
          <w:rFonts w:ascii="Times New Roman" w:hAnsi="Times New Roman"/>
          <w:sz w:val="24"/>
          <w:szCs w:val="24"/>
        </w:rPr>
        <w:footnoteReference w:id="24"/>
      </w:r>
      <w:r w:rsidRPr="007B7359">
        <w:rPr>
          <w:rFonts w:ascii="Times New Roman" w:hAnsi="Times New Roman" w:cs="Times New Roman"/>
          <w:sz w:val="24"/>
          <w:szCs w:val="24"/>
        </w:rPr>
        <w:t xml:space="preserve"> holds that the question is really one of whether the will of the accused was ‘overborne’, which is an issue of proof to be decided by the jury. </w:t>
      </w:r>
      <w:r w:rsidR="002F428B" w:rsidRPr="007B7359">
        <w:rPr>
          <w:rFonts w:ascii="Times New Roman" w:hAnsi="Times New Roman" w:cs="Times New Roman"/>
          <w:sz w:val="24"/>
          <w:szCs w:val="24"/>
        </w:rPr>
        <w:t xml:space="preserve">There is little focus on the idea of the imminence of the threat in any of the above cases, and the courts appear to focus instead on the nature of the threat. </w:t>
      </w:r>
      <w:r w:rsidR="00A17F2F" w:rsidRPr="007B7359">
        <w:rPr>
          <w:rFonts w:ascii="Times New Roman" w:hAnsi="Times New Roman" w:cs="Times New Roman"/>
          <w:sz w:val="24"/>
          <w:szCs w:val="24"/>
        </w:rPr>
        <w:t>However, the English Law Commission have included a test of imminence in their proposals for the codification of duress.</w:t>
      </w:r>
      <w:r w:rsidR="00A17F2F" w:rsidRPr="007B7359">
        <w:rPr>
          <w:rStyle w:val="FootnoteReference"/>
          <w:rFonts w:ascii="Times New Roman" w:hAnsi="Times New Roman"/>
          <w:sz w:val="24"/>
          <w:szCs w:val="24"/>
        </w:rPr>
        <w:footnoteReference w:id="25"/>
      </w:r>
      <w:r w:rsidR="00A17F2F" w:rsidRPr="007B7359">
        <w:rPr>
          <w:rFonts w:ascii="Times New Roman" w:hAnsi="Times New Roman" w:cs="Times New Roman"/>
          <w:sz w:val="24"/>
          <w:szCs w:val="24"/>
        </w:rPr>
        <w:t xml:space="preserve"> However, as of 2017, there are no legislative plans to codify duress as a defence in English law.</w:t>
      </w:r>
      <w:r w:rsidR="00A17F2F" w:rsidRPr="007B7359">
        <w:rPr>
          <w:rStyle w:val="FootnoteReference"/>
          <w:rFonts w:ascii="Times New Roman" w:hAnsi="Times New Roman"/>
          <w:sz w:val="24"/>
          <w:szCs w:val="24"/>
        </w:rPr>
        <w:t xml:space="preserve"> </w:t>
      </w:r>
      <w:r w:rsidR="00A17F2F" w:rsidRPr="007B7359">
        <w:rPr>
          <w:rStyle w:val="FootnoteReference"/>
          <w:rFonts w:ascii="Times New Roman" w:hAnsi="Times New Roman"/>
          <w:sz w:val="24"/>
          <w:szCs w:val="24"/>
        </w:rPr>
        <w:footnoteReference w:id="26"/>
      </w:r>
      <w:r w:rsidR="002F428B" w:rsidRPr="007B7359">
        <w:rPr>
          <w:rFonts w:ascii="Times New Roman" w:hAnsi="Times New Roman" w:cs="Times New Roman"/>
          <w:sz w:val="24"/>
          <w:szCs w:val="24"/>
        </w:rPr>
        <w:t xml:space="preserve"> </w:t>
      </w:r>
    </w:p>
    <w:p w:rsidR="00B16E39" w:rsidRPr="007B7359" w:rsidRDefault="00B16E39" w:rsidP="00FC34D9">
      <w:pPr>
        <w:spacing w:after="0" w:line="480" w:lineRule="auto"/>
        <w:jc w:val="both"/>
        <w:rPr>
          <w:rFonts w:ascii="Times New Roman" w:hAnsi="Times New Roman" w:cs="Times New Roman"/>
          <w:sz w:val="24"/>
          <w:szCs w:val="24"/>
        </w:rPr>
      </w:pPr>
    </w:p>
    <w:p w:rsidR="008F5162" w:rsidRPr="007B7359" w:rsidRDefault="00A17F2F"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In the United States Model Penal Code,</w:t>
      </w:r>
      <w:r w:rsidRPr="007B7359">
        <w:rPr>
          <w:rStyle w:val="FootnoteReference"/>
          <w:rFonts w:ascii="Times New Roman" w:hAnsi="Times New Roman"/>
          <w:sz w:val="24"/>
          <w:szCs w:val="24"/>
        </w:rPr>
        <w:t xml:space="preserve"> </w:t>
      </w:r>
      <w:r w:rsidRPr="007B7359">
        <w:rPr>
          <w:rStyle w:val="FootnoteReference"/>
          <w:rFonts w:ascii="Times New Roman" w:hAnsi="Times New Roman"/>
          <w:sz w:val="24"/>
          <w:szCs w:val="24"/>
        </w:rPr>
        <w:footnoteReference w:id="27"/>
      </w:r>
      <w:r w:rsidR="008F5162" w:rsidRPr="007B7359">
        <w:rPr>
          <w:rFonts w:ascii="Times New Roman" w:hAnsi="Times New Roman" w:cs="Times New Roman"/>
          <w:sz w:val="24"/>
          <w:szCs w:val="24"/>
        </w:rPr>
        <w:t xml:space="preserve"> two relevant defences are provided: that of coercion (or duress) and a defence entitled ‘choice-of-evils.’ Duress is characterised as a positive</w:t>
      </w:r>
      <w:r w:rsidR="008F5162" w:rsidRPr="007B7359">
        <w:rPr>
          <w:rStyle w:val="FootnoteReference"/>
          <w:rFonts w:ascii="Times New Roman" w:hAnsi="Times New Roman"/>
          <w:sz w:val="24"/>
          <w:szCs w:val="24"/>
        </w:rPr>
        <w:footnoteReference w:id="28"/>
      </w:r>
      <w:r w:rsidR="008F5162" w:rsidRPr="007B7359">
        <w:rPr>
          <w:rFonts w:ascii="Times New Roman" w:hAnsi="Times New Roman" w:cs="Times New Roman"/>
          <w:sz w:val="24"/>
          <w:szCs w:val="24"/>
        </w:rPr>
        <w:t xml:space="preserve"> defence in which the individual argues he acted because </w:t>
      </w:r>
      <w:r w:rsidR="008F5162" w:rsidRPr="007B7359">
        <w:rPr>
          <w:rFonts w:ascii="Times New Roman" w:hAnsi="Times New Roman" w:cs="Times New Roman"/>
          <w:i/>
          <w:sz w:val="24"/>
          <w:szCs w:val="24"/>
        </w:rPr>
        <w:t>‘he was coerced to do so by the use of, or a threat to use, unlawful force against his person or the person of another, that a person of reasonable firmness would have been unable to resist.’</w:t>
      </w:r>
      <w:r w:rsidR="008F5162" w:rsidRPr="007B7359">
        <w:rPr>
          <w:rStyle w:val="FootnoteReference"/>
          <w:rFonts w:ascii="Times New Roman" w:hAnsi="Times New Roman"/>
          <w:i/>
          <w:sz w:val="24"/>
          <w:szCs w:val="24"/>
        </w:rPr>
        <w:t xml:space="preserve"> </w:t>
      </w:r>
      <w:r w:rsidR="008F5162" w:rsidRPr="007B7359">
        <w:rPr>
          <w:rStyle w:val="FootnoteReference"/>
          <w:rFonts w:ascii="Times New Roman" w:hAnsi="Times New Roman"/>
          <w:i/>
          <w:sz w:val="24"/>
          <w:szCs w:val="24"/>
        </w:rPr>
        <w:footnoteReference w:id="29"/>
      </w:r>
      <w:r w:rsidR="008F5162" w:rsidRPr="007B7359">
        <w:rPr>
          <w:rFonts w:ascii="Times New Roman" w:hAnsi="Times New Roman" w:cs="Times New Roman"/>
          <w:i/>
          <w:sz w:val="24"/>
          <w:szCs w:val="24"/>
        </w:rPr>
        <w:t xml:space="preserve"> </w:t>
      </w:r>
      <w:r w:rsidR="008F5162" w:rsidRPr="007B7359">
        <w:rPr>
          <w:rFonts w:ascii="Times New Roman" w:hAnsi="Times New Roman" w:cs="Times New Roman"/>
          <w:sz w:val="24"/>
          <w:szCs w:val="24"/>
        </w:rPr>
        <w:t xml:space="preserve">The choice-of-evils defence relates instead to a situation in which the individual </w:t>
      </w:r>
      <w:r w:rsidR="008F5162" w:rsidRPr="007B7359">
        <w:rPr>
          <w:rFonts w:ascii="Times New Roman" w:hAnsi="Times New Roman" w:cs="Times New Roman"/>
          <w:sz w:val="24"/>
          <w:szCs w:val="24"/>
        </w:rPr>
        <w:lastRenderedPageBreak/>
        <w:t>sought to avoid a greater harm than the one which would be created by the otherwise illegal act.</w:t>
      </w:r>
      <w:r w:rsidR="008F5162" w:rsidRPr="007B7359">
        <w:rPr>
          <w:rStyle w:val="FootnoteReference"/>
          <w:rFonts w:ascii="Times New Roman" w:hAnsi="Times New Roman"/>
          <w:sz w:val="24"/>
          <w:szCs w:val="24"/>
        </w:rPr>
        <w:t xml:space="preserve"> </w:t>
      </w:r>
      <w:r w:rsidR="008F5162" w:rsidRPr="007B7359">
        <w:rPr>
          <w:rStyle w:val="FootnoteReference"/>
          <w:rFonts w:ascii="Times New Roman" w:hAnsi="Times New Roman"/>
          <w:sz w:val="24"/>
          <w:szCs w:val="24"/>
        </w:rPr>
        <w:footnoteReference w:id="30"/>
      </w:r>
      <w:r w:rsidR="008F5162" w:rsidRPr="007B7359">
        <w:rPr>
          <w:rFonts w:ascii="Times New Roman" w:hAnsi="Times New Roman" w:cs="Times New Roman"/>
          <w:sz w:val="24"/>
          <w:szCs w:val="24"/>
        </w:rPr>
        <w:t xml:space="preserve"> Neither defence specifies a temporal element, or notes that the threat must be imminent.</w:t>
      </w:r>
      <w:r w:rsidR="00852B0C" w:rsidRPr="007B7359">
        <w:rPr>
          <w:rFonts w:ascii="Times New Roman" w:hAnsi="Times New Roman" w:cs="Times New Roman"/>
          <w:sz w:val="24"/>
          <w:szCs w:val="24"/>
        </w:rPr>
        <w:t xml:space="preserve"> The Model P</w:t>
      </w:r>
      <w:r w:rsidR="00C94801" w:rsidRPr="007B7359">
        <w:rPr>
          <w:rFonts w:ascii="Times New Roman" w:hAnsi="Times New Roman" w:cs="Times New Roman"/>
          <w:sz w:val="24"/>
          <w:szCs w:val="24"/>
        </w:rPr>
        <w:t>enal Code, to an extent, mirrors the English focus on the nature of the threat and the extent to which the individual could be expected to resist. There is no mention of a temporal element and the criterion of imminence is given little consideration. Both jurisdictions appear to take the approach that the nature of the threat, and the resultant degree of pressure under which the individual acted, is of greater import than the imminence of the threatened harm.</w:t>
      </w:r>
    </w:p>
    <w:p w:rsidR="00C94801" w:rsidRPr="007B7359" w:rsidRDefault="00C94801" w:rsidP="00FC34D9">
      <w:pPr>
        <w:spacing w:after="0" w:line="480" w:lineRule="auto"/>
        <w:jc w:val="both"/>
        <w:rPr>
          <w:rFonts w:ascii="Times New Roman" w:hAnsi="Times New Roman" w:cs="Times New Roman"/>
          <w:sz w:val="24"/>
          <w:szCs w:val="24"/>
        </w:rPr>
      </w:pPr>
    </w:p>
    <w:p w:rsidR="00C94801" w:rsidRPr="007B7359" w:rsidRDefault="00C94801" w:rsidP="00C94801">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civilian legal systems examined here both support the idea that imminence is a relevant consideration. In the French</w:t>
      </w:r>
      <w:r w:rsidR="008F5162" w:rsidRPr="007B7359">
        <w:rPr>
          <w:rFonts w:ascii="Times New Roman" w:hAnsi="Times New Roman" w:cs="Times New Roman"/>
          <w:sz w:val="24"/>
          <w:szCs w:val="24"/>
        </w:rPr>
        <w:t xml:space="preserve"> Criminal Code of 1994</w:t>
      </w:r>
      <w:r w:rsidR="005F2CE6" w:rsidRPr="007B7359">
        <w:rPr>
          <w:rFonts w:ascii="Times New Roman" w:hAnsi="Times New Roman" w:cs="Times New Roman"/>
          <w:sz w:val="24"/>
          <w:szCs w:val="24"/>
        </w:rPr>
        <w:t>, there are two defences connected with duress: constraint</w:t>
      </w:r>
      <w:r w:rsidR="005F2CE6" w:rsidRPr="007B7359">
        <w:rPr>
          <w:rStyle w:val="FootnoteReference"/>
          <w:rFonts w:ascii="Times New Roman" w:hAnsi="Times New Roman"/>
          <w:sz w:val="24"/>
          <w:szCs w:val="24"/>
        </w:rPr>
        <w:footnoteReference w:id="31"/>
      </w:r>
      <w:r w:rsidR="005F2CE6" w:rsidRPr="007B7359">
        <w:rPr>
          <w:rFonts w:ascii="Times New Roman" w:hAnsi="Times New Roman" w:cs="Times New Roman"/>
          <w:sz w:val="24"/>
          <w:szCs w:val="24"/>
        </w:rPr>
        <w:t xml:space="preserve"> and necessity.</w:t>
      </w:r>
      <w:r w:rsidR="005F2CE6" w:rsidRPr="007B7359">
        <w:rPr>
          <w:rStyle w:val="FootnoteReference"/>
          <w:rFonts w:ascii="Times New Roman" w:hAnsi="Times New Roman"/>
          <w:color w:val="000000"/>
          <w:sz w:val="24"/>
          <w:szCs w:val="24"/>
          <w:shd w:val="clear" w:color="auto" w:fill="FFFFFF"/>
          <w:lang w:val="fr-FR"/>
        </w:rPr>
        <w:t xml:space="preserve"> </w:t>
      </w:r>
      <w:r w:rsidR="005F2CE6" w:rsidRPr="007B7359">
        <w:rPr>
          <w:rStyle w:val="FootnoteReference"/>
          <w:rFonts w:ascii="Times New Roman" w:hAnsi="Times New Roman"/>
          <w:color w:val="000000"/>
          <w:sz w:val="24"/>
          <w:szCs w:val="24"/>
          <w:shd w:val="clear" w:color="auto" w:fill="FFFFFF"/>
          <w:lang w:val="fr-FR"/>
        </w:rPr>
        <w:footnoteReference w:id="32"/>
      </w:r>
      <w:r w:rsidR="005F2CE6" w:rsidRPr="007B7359">
        <w:rPr>
          <w:rFonts w:ascii="Times New Roman" w:hAnsi="Times New Roman" w:cs="Times New Roman"/>
          <w:sz w:val="24"/>
          <w:szCs w:val="24"/>
        </w:rPr>
        <w:t xml:space="preserve"> Both defences reference the idea of a present or imminent danger</w:t>
      </w:r>
      <w:r w:rsidR="002D76B5" w:rsidRPr="007B7359">
        <w:rPr>
          <w:rFonts w:ascii="Times New Roman" w:hAnsi="Times New Roman" w:cs="Times New Roman"/>
          <w:sz w:val="24"/>
          <w:szCs w:val="24"/>
        </w:rPr>
        <w:t xml:space="preserve"> as a requirement for the application of the defence</w:t>
      </w:r>
      <w:r w:rsidR="005F2CE6" w:rsidRPr="007B7359">
        <w:rPr>
          <w:rFonts w:ascii="Times New Roman" w:hAnsi="Times New Roman" w:cs="Times New Roman"/>
          <w:sz w:val="24"/>
          <w:szCs w:val="24"/>
        </w:rPr>
        <w:t>. Constraint focuses on the idea that criminal responsibility is removed when the danger is present or imminent and threatens the individual,</w:t>
      </w:r>
      <w:r w:rsidR="005F2CE6" w:rsidRPr="007B7359">
        <w:rPr>
          <w:rStyle w:val="FootnoteReference"/>
          <w:rFonts w:ascii="Times New Roman" w:hAnsi="Times New Roman"/>
          <w:sz w:val="24"/>
          <w:szCs w:val="24"/>
        </w:rPr>
        <w:footnoteReference w:id="33"/>
      </w:r>
      <w:r w:rsidR="005F2CE6" w:rsidRPr="007B7359">
        <w:rPr>
          <w:rFonts w:ascii="Times New Roman" w:hAnsi="Times New Roman" w:cs="Times New Roman"/>
          <w:sz w:val="24"/>
          <w:szCs w:val="24"/>
        </w:rPr>
        <w:t xml:space="preserve"> while necessity focuses on the actual or imminent danger which may face an individual who would need to commit a ‘necessary act.’</w:t>
      </w:r>
      <w:r w:rsidR="00242417" w:rsidRPr="007B7359">
        <w:rPr>
          <w:rFonts w:ascii="Times New Roman" w:hAnsi="Times New Roman" w:cs="Times New Roman"/>
          <w:sz w:val="24"/>
          <w:szCs w:val="24"/>
        </w:rPr>
        <w:t xml:space="preserve">  </w:t>
      </w:r>
    </w:p>
    <w:p w:rsidR="002D76B5" w:rsidRPr="007B7359" w:rsidRDefault="002D76B5" w:rsidP="00C94801">
      <w:pPr>
        <w:spacing w:after="0" w:line="480" w:lineRule="auto"/>
        <w:jc w:val="both"/>
        <w:rPr>
          <w:rFonts w:ascii="Times New Roman" w:hAnsi="Times New Roman" w:cs="Times New Roman"/>
          <w:sz w:val="24"/>
          <w:szCs w:val="24"/>
        </w:rPr>
      </w:pPr>
    </w:p>
    <w:p w:rsidR="00B16E39" w:rsidRPr="007B7359" w:rsidRDefault="00C94801" w:rsidP="00C94801">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lastRenderedPageBreak/>
        <w:t>Both definitions require there to be an imminent threat as a key criterion for the use of the defence. However, despite this, it should be noted that the defences have never been admitted for any serious charges of crimes against</w:t>
      </w:r>
      <w:r w:rsidR="00242417" w:rsidRPr="007B7359">
        <w:rPr>
          <w:rFonts w:ascii="Times New Roman" w:hAnsi="Times New Roman" w:cs="Times New Roman"/>
          <w:sz w:val="24"/>
          <w:szCs w:val="24"/>
        </w:rPr>
        <w:t xml:space="preserve"> the person</w:t>
      </w:r>
      <w:r w:rsidRPr="007B7359">
        <w:rPr>
          <w:rFonts w:ascii="Times New Roman" w:hAnsi="Times New Roman" w:cs="Times New Roman"/>
          <w:sz w:val="24"/>
          <w:szCs w:val="24"/>
        </w:rPr>
        <w:t>.</w:t>
      </w:r>
      <w:r w:rsidR="00242417" w:rsidRPr="007B7359">
        <w:rPr>
          <w:rStyle w:val="FootnoteReference"/>
          <w:rFonts w:ascii="Times New Roman" w:hAnsi="Times New Roman"/>
          <w:sz w:val="24"/>
          <w:szCs w:val="24"/>
        </w:rPr>
        <w:footnoteReference w:id="34"/>
      </w:r>
      <w:r w:rsidR="00242417" w:rsidRPr="007B7359">
        <w:rPr>
          <w:rFonts w:ascii="Times New Roman" w:hAnsi="Times New Roman" w:cs="Times New Roman"/>
          <w:sz w:val="24"/>
          <w:szCs w:val="24"/>
        </w:rPr>
        <w:t xml:space="preserve"> </w:t>
      </w:r>
      <w:r w:rsidRPr="007B7359">
        <w:rPr>
          <w:rFonts w:ascii="Times New Roman" w:hAnsi="Times New Roman" w:cs="Times New Roman"/>
          <w:sz w:val="24"/>
          <w:szCs w:val="24"/>
        </w:rPr>
        <w:t xml:space="preserve">Thus, even where the elements of the defence are satisfied, there is a general discomfort surrounding the application of the defence to very serious crimes. </w:t>
      </w:r>
    </w:p>
    <w:p w:rsidR="00C94801" w:rsidRPr="007B7359" w:rsidRDefault="00C94801" w:rsidP="00C94801">
      <w:pPr>
        <w:spacing w:after="0" w:line="480" w:lineRule="auto"/>
        <w:jc w:val="both"/>
        <w:rPr>
          <w:rFonts w:ascii="Times New Roman" w:hAnsi="Times New Roman" w:cs="Times New Roman"/>
          <w:sz w:val="24"/>
          <w:szCs w:val="24"/>
        </w:rPr>
      </w:pPr>
    </w:p>
    <w:p w:rsidR="00B16E39" w:rsidRPr="007B7359" w:rsidRDefault="00C94801" w:rsidP="00392F1C">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The German </w:t>
      </w:r>
      <w:r w:rsidR="002D76B5" w:rsidRPr="007B7359">
        <w:rPr>
          <w:rFonts w:ascii="Times New Roman" w:hAnsi="Times New Roman" w:cs="Times New Roman"/>
          <w:sz w:val="24"/>
          <w:szCs w:val="24"/>
        </w:rPr>
        <w:t>approach is similar in both the distinctions made between the defences and its lack of use in practice</w:t>
      </w:r>
      <w:r w:rsidRPr="007B7359">
        <w:rPr>
          <w:rFonts w:ascii="Times New Roman" w:hAnsi="Times New Roman" w:cs="Times New Roman"/>
          <w:sz w:val="24"/>
          <w:szCs w:val="24"/>
        </w:rPr>
        <w:t>, although the prescription of the defences makes much clearer their effect on criminal liability. The German Criminal Code has two forms of necessity:</w:t>
      </w:r>
      <w:r w:rsidRPr="007B7359">
        <w:rPr>
          <w:rStyle w:val="FootnoteReference"/>
          <w:rFonts w:ascii="Times New Roman" w:hAnsi="Times New Roman"/>
          <w:sz w:val="24"/>
          <w:szCs w:val="24"/>
        </w:rPr>
        <w:footnoteReference w:id="35"/>
      </w:r>
      <w:r w:rsidRPr="007B7359">
        <w:rPr>
          <w:rFonts w:ascii="Times New Roman" w:hAnsi="Times New Roman" w:cs="Times New Roman"/>
          <w:sz w:val="24"/>
          <w:szCs w:val="24"/>
        </w:rPr>
        <w:t xml:space="preserve"> necessity as a justification and necessity as an excuse. </w:t>
      </w:r>
      <w:r w:rsidR="00392F1C" w:rsidRPr="007B7359">
        <w:rPr>
          <w:rFonts w:ascii="Times New Roman" w:hAnsi="Times New Roman" w:cs="Times New Roman"/>
          <w:sz w:val="24"/>
          <w:szCs w:val="24"/>
        </w:rPr>
        <w:t xml:space="preserve"> Both versions of the defence require an ‘imminent danger to life or limb.’</w:t>
      </w:r>
      <w:r w:rsidR="00392F1C" w:rsidRPr="007B7359">
        <w:rPr>
          <w:rStyle w:val="FootnoteReference"/>
          <w:rFonts w:ascii="Times New Roman" w:hAnsi="Times New Roman"/>
          <w:i/>
          <w:sz w:val="24"/>
          <w:szCs w:val="24"/>
        </w:rPr>
        <w:t xml:space="preserve"> </w:t>
      </w:r>
      <w:r w:rsidR="00392F1C" w:rsidRPr="007B7359">
        <w:rPr>
          <w:rStyle w:val="FootnoteReference"/>
          <w:rFonts w:ascii="Times New Roman" w:hAnsi="Times New Roman"/>
          <w:sz w:val="24"/>
          <w:szCs w:val="24"/>
        </w:rPr>
        <w:footnoteReference w:id="36"/>
      </w:r>
      <w:r w:rsidR="00392F1C" w:rsidRPr="007B7359">
        <w:rPr>
          <w:rFonts w:ascii="Times New Roman" w:hAnsi="Times New Roman" w:cs="Times New Roman"/>
          <w:i/>
          <w:sz w:val="24"/>
          <w:szCs w:val="24"/>
        </w:rPr>
        <w:t xml:space="preserve"> </w:t>
      </w:r>
      <w:r w:rsidR="00392F1C" w:rsidRPr="007B7359">
        <w:rPr>
          <w:rFonts w:ascii="Times New Roman" w:hAnsi="Times New Roman" w:cs="Times New Roman"/>
          <w:sz w:val="24"/>
          <w:szCs w:val="24"/>
        </w:rPr>
        <w:t xml:space="preserve">However, there is a similar issue with German law, illustrated perfectly by the case of </w:t>
      </w:r>
      <w:r w:rsidR="00392F1C" w:rsidRPr="00711748">
        <w:rPr>
          <w:rFonts w:ascii="Times New Roman" w:hAnsi="Times New Roman" w:cs="Times New Roman"/>
          <w:i/>
          <w:sz w:val="24"/>
          <w:szCs w:val="24"/>
        </w:rPr>
        <w:t xml:space="preserve">Wolfgang </w:t>
      </w:r>
      <w:proofErr w:type="spellStart"/>
      <w:r w:rsidR="00B16E39" w:rsidRPr="00711748">
        <w:rPr>
          <w:rFonts w:ascii="Times New Roman" w:hAnsi="Times New Roman" w:cs="Times New Roman"/>
          <w:i/>
          <w:sz w:val="24"/>
          <w:szCs w:val="24"/>
        </w:rPr>
        <w:t>Daschner</w:t>
      </w:r>
      <w:proofErr w:type="spellEnd"/>
      <w:r w:rsidR="00B16E39" w:rsidRPr="007B7359">
        <w:rPr>
          <w:rFonts w:ascii="Times New Roman" w:hAnsi="Times New Roman" w:cs="Times New Roman"/>
          <w:sz w:val="24"/>
          <w:szCs w:val="24"/>
        </w:rPr>
        <w:t>.</w:t>
      </w:r>
      <w:r w:rsidR="00B16E39" w:rsidRPr="007B7359">
        <w:rPr>
          <w:rStyle w:val="FootnoteReference"/>
          <w:rFonts w:ascii="Times New Roman" w:hAnsi="Times New Roman"/>
          <w:sz w:val="24"/>
          <w:szCs w:val="24"/>
        </w:rPr>
        <w:footnoteReference w:id="37"/>
      </w:r>
      <w:r w:rsidR="00392F1C" w:rsidRPr="007B7359">
        <w:rPr>
          <w:rFonts w:ascii="Times New Roman" w:hAnsi="Times New Roman" w:cs="Times New Roman"/>
          <w:sz w:val="24"/>
          <w:szCs w:val="24"/>
        </w:rPr>
        <w:t xml:space="preserve"> Despite </w:t>
      </w:r>
      <w:proofErr w:type="spellStart"/>
      <w:r w:rsidR="00392F1C" w:rsidRPr="00711748">
        <w:rPr>
          <w:rFonts w:ascii="Times New Roman" w:hAnsi="Times New Roman" w:cs="Times New Roman"/>
          <w:i/>
          <w:sz w:val="24"/>
          <w:szCs w:val="24"/>
        </w:rPr>
        <w:t>Daschner</w:t>
      </w:r>
      <w:proofErr w:type="spellEnd"/>
      <w:r w:rsidR="00392F1C" w:rsidRPr="007B7359">
        <w:rPr>
          <w:rFonts w:ascii="Times New Roman" w:hAnsi="Times New Roman" w:cs="Times New Roman"/>
          <w:sz w:val="24"/>
          <w:szCs w:val="24"/>
        </w:rPr>
        <w:t xml:space="preserve"> satisfying all of the requirements of the defence, including that of an imminent threat (most pressingly, the presumed imminent harm to a child), it was held he could not access the defence where he had threatened torture of a suspect. The fact that even a threat of torture was considered </w:t>
      </w:r>
      <w:r w:rsidR="00392F1C" w:rsidRPr="007B7359">
        <w:rPr>
          <w:rFonts w:ascii="Times New Roman" w:hAnsi="Times New Roman" w:cs="Times New Roman"/>
          <w:sz w:val="24"/>
          <w:szCs w:val="24"/>
        </w:rPr>
        <w:lastRenderedPageBreak/>
        <w:t>too serious to permit the defence indicates a further restriction on the defence which is not evident from its wording.</w:t>
      </w:r>
    </w:p>
    <w:p w:rsidR="00392F1C" w:rsidRPr="007B7359" w:rsidRDefault="00392F1C" w:rsidP="00392F1C">
      <w:pPr>
        <w:spacing w:after="0" w:line="480" w:lineRule="auto"/>
        <w:jc w:val="both"/>
        <w:rPr>
          <w:rFonts w:ascii="Times New Roman" w:hAnsi="Times New Roman" w:cs="Times New Roman"/>
          <w:sz w:val="24"/>
          <w:szCs w:val="24"/>
        </w:rPr>
      </w:pPr>
    </w:p>
    <w:p w:rsidR="00392F1C" w:rsidRPr="007B7359" w:rsidRDefault="00392F1C" w:rsidP="00392F1C">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common law approach and the civilian law approach can seem divergent at first glance: civilian systems have a much more developed form of the defence of duress, which has all of the components of the defence used in the Rome Statute. Common law systems, on the other hand, appear to acknowledge the defence in theory, based on the work of the English Law Commission and the Model Penal Code. However, the English cases demonstrate a discomfort with ever using the defence in relation to a serious crime against the person. The idea of imminence, in these legal systems, is not viewed as significant as the nature of the threat. The civilian legal systems in France and Germany do not appear to focus as much on the seriousness of the crime, based on the wording of the defences. However, the application of the defence tells a different story, and the reticence to apply the defence shown by these systems is no less than that demonstrated in England and the United States.</w:t>
      </w:r>
    </w:p>
    <w:p w:rsidR="00392F1C" w:rsidRPr="007B7359" w:rsidRDefault="00392F1C" w:rsidP="00392F1C">
      <w:pPr>
        <w:spacing w:after="0" w:line="480" w:lineRule="auto"/>
        <w:jc w:val="both"/>
        <w:rPr>
          <w:rFonts w:ascii="Times New Roman" w:hAnsi="Times New Roman" w:cs="Times New Roman"/>
          <w:sz w:val="24"/>
          <w:szCs w:val="24"/>
        </w:rPr>
      </w:pPr>
    </w:p>
    <w:p w:rsidR="00392F1C" w:rsidRPr="007B7359" w:rsidRDefault="00392F1C" w:rsidP="00392F1C">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The systems </w:t>
      </w:r>
      <w:r w:rsidR="00847B79" w:rsidRPr="007B7359">
        <w:rPr>
          <w:rFonts w:ascii="Times New Roman" w:hAnsi="Times New Roman" w:cs="Times New Roman"/>
          <w:sz w:val="24"/>
          <w:szCs w:val="24"/>
        </w:rPr>
        <w:t>have a common thread connecting them</w:t>
      </w:r>
      <w:r w:rsidRPr="007B7359">
        <w:rPr>
          <w:rFonts w:ascii="Times New Roman" w:hAnsi="Times New Roman" w:cs="Times New Roman"/>
          <w:sz w:val="24"/>
          <w:szCs w:val="24"/>
        </w:rPr>
        <w:t xml:space="preserve">: </w:t>
      </w:r>
      <w:r w:rsidR="00F5748B" w:rsidRPr="007B7359">
        <w:rPr>
          <w:rFonts w:ascii="Times New Roman" w:hAnsi="Times New Roman" w:cs="Times New Roman"/>
          <w:sz w:val="24"/>
          <w:szCs w:val="24"/>
        </w:rPr>
        <w:t xml:space="preserve">no system outlined above considers the </w:t>
      </w:r>
      <w:r w:rsidRPr="007B7359">
        <w:rPr>
          <w:rFonts w:ascii="Times New Roman" w:hAnsi="Times New Roman" w:cs="Times New Roman"/>
          <w:sz w:val="24"/>
          <w:szCs w:val="24"/>
        </w:rPr>
        <w:t xml:space="preserve">idea of imminence </w:t>
      </w:r>
      <w:r w:rsidR="00F5748B" w:rsidRPr="007B7359">
        <w:rPr>
          <w:rFonts w:ascii="Times New Roman" w:hAnsi="Times New Roman" w:cs="Times New Roman"/>
          <w:sz w:val="24"/>
          <w:szCs w:val="24"/>
        </w:rPr>
        <w:t>to be as</w:t>
      </w:r>
      <w:r w:rsidRPr="007B7359">
        <w:rPr>
          <w:rFonts w:ascii="Times New Roman" w:hAnsi="Times New Roman" w:cs="Times New Roman"/>
          <w:sz w:val="24"/>
          <w:szCs w:val="24"/>
        </w:rPr>
        <w:t xml:space="preserve"> significant as the seriousness of the crime and th</w:t>
      </w:r>
      <w:r w:rsidR="002D76B5" w:rsidRPr="007B7359">
        <w:rPr>
          <w:rFonts w:ascii="Times New Roman" w:hAnsi="Times New Roman" w:cs="Times New Roman"/>
          <w:sz w:val="24"/>
          <w:szCs w:val="24"/>
        </w:rPr>
        <w:t>e attendant balancing exercise which must be c</w:t>
      </w:r>
      <w:r w:rsidRPr="007B7359">
        <w:rPr>
          <w:rFonts w:ascii="Times New Roman" w:hAnsi="Times New Roman" w:cs="Times New Roman"/>
          <w:sz w:val="24"/>
          <w:szCs w:val="24"/>
        </w:rPr>
        <w:t>ar</w:t>
      </w:r>
      <w:r w:rsidR="002D76B5" w:rsidRPr="007B7359">
        <w:rPr>
          <w:rFonts w:ascii="Times New Roman" w:hAnsi="Times New Roman" w:cs="Times New Roman"/>
          <w:sz w:val="24"/>
          <w:szCs w:val="24"/>
        </w:rPr>
        <w:t>ried out. The continued inclusion of</w:t>
      </w:r>
      <w:r w:rsidRPr="007B7359">
        <w:rPr>
          <w:rFonts w:ascii="Times New Roman" w:hAnsi="Times New Roman" w:cs="Times New Roman"/>
          <w:sz w:val="24"/>
          <w:szCs w:val="24"/>
        </w:rPr>
        <w:t xml:space="preserve"> imminence is a distraction from the central concern </w:t>
      </w:r>
      <w:r w:rsidRPr="007B7359">
        <w:rPr>
          <w:rFonts w:ascii="Times New Roman" w:hAnsi="Times New Roman" w:cs="Times New Roman"/>
          <w:sz w:val="24"/>
          <w:szCs w:val="24"/>
        </w:rPr>
        <w:lastRenderedPageBreak/>
        <w:t xml:space="preserve">of the effect that the criminal act will have, </w:t>
      </w:r>
      <w:r w:rsidR="00847B79" w:rsidRPr="007B7359">
        <w:rPr>
          <w:rFonts w:ascii="Times New Roman" w:hAnsi="Times New Roman" w:cs="Times New Roman"/>
          <w:sz w:val="24"/>
          <w:szCs w:val="24"/>
        </w:rPr>
        <w:t xml:space="preserve">and perhaps an unnecessary addition to the discussion. </w:t>
      </w:r>
      <w:r w:rsidR="002D76B5" w:rsidRPr="007B7359">
        <w:rPr>
          <w:rFonts w:ascii="Times New Roman" w:hAnsi="Times New Roman" w:cs="Times New Roman"/>
          <w:sz w:val="24"/>
          <w:szCs w:val="24"/>
        </w:rPr>
        <w:t>This analysis highlights the usefulness of the test of whether the individual had the freedom to choose in the situation in question, rather than focusing on the imminence of the threat. The confusion evident at the domestic level coul</w:t>
      </w:r>
      <w:r w:rsidR="00827AB1" w:rsidRPr="007B7359">
        <w:rPr>
          <w:rFonts w:ascii="Times New Roman" w:hAnsi="Times New Roman" w:cs="Times New Roman"/>
          <w:sz w:val="24"/>
          <w:szCs w:val="24"/>
        </w:rPr>
        <w:t>d also be remedied by greater emphasis on the freedom to choose than the idea of imminence, which seems to be of little concern to civilian systems in practice. This may address the slight confusion</w:t>
      </w:r>
      <w:r w:rsidR="00847B79" w:rsidRPr="007B7359">
        <w:rPr>
          <w:rFonts w:ascii="Times New Roman" w:hAnsi="Times New Roman" w:cs="Times New Roman"/>
          <w:sz w:val="24"/>
          <w:szCs w:val="24"/>
        </w:rPr>
        <w:t xml:space="preserve"> over the defence</w:t>
      </w:r>
      <w:r w:rsidR="00F5748B" w:rsidRPr="007B7359">
        <w:rPr>
          <w:rFonts w:ascii="Times New Roman" w:hAnsi="Times New Roman" w:cs="Times New Roman"/>
          <w:sz w:val="24"/>
          <w:szCs w:val="24"/>
        </w:rPr>
        <w:t xml:space="preserve"> in national law</w:t>
      </w:r>
      <w:r w:rsidR="00847B79" w:rsidRPr="007B7359">
        <w:rPr>
          <w:rFonts w:ascii="Times New Roman" w:hAnsi="Times New Roman" w:cs="Times New Roman"/>
          <w:sz w:val="24"/>
          <w:szCs w:val="24"/>
        </w:rPr>
        <w:t xml:space="preserve"> that this brief overview has highlighted.</w:t>
      </w:r>
    </w:p>
    <w:p w:rsidR="00B16E39" w:rsidRPr="007B7359" w:rsidRDefault="00B16E39" w:rsidP="00FC34D9">
      <w:pPr>
        <w:spacing w:after="0" w:line="480" w:lineRule="auto"/>
        <w:jc w:val="both"/>
        <w:rPr>
          <w:rFonts w:ascii="Times New Roman" w:hAnsi="Times New Roman" w:cs="Times New Roman"/>
          <w:sz w:val="24"/>
          <w:szCs w:val="24"/>
        </w:rPr>
      </w:pPr>
    </w:p>
    <w:p w:rsidR="008E65A0" w:rsidRPr="007B7359" w:rsidRDefault="00847B79"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Moving</w:t>
      </w:r>
      <w:r w:rsidR="008B29D7" w:rsidRPr="007B7359">
        <w:rPr>
          <w:rFonts w:ascii="Times New Roman" w:hAnsi="Times New Roman" w:cs="Times New Roman"/>
          <w:sz w:val="24"/>
          <w:szCs w:val="24"/>
        </w:rPr>
        <w:t xml:space="preserve"> to the international plane, the defence of duress was</w:t>
      </w:r>
      <w:r w:rsidRPr="007B7359">
        <w:rPr>
          <w:rFonts w:ascii="Times New Roman" w:hAnsi="Times New Roman" w:cs="Times New Roman"/>
          <w:sz w:val="24"/>
          <w:szCs w:val="24"/>
        </w:rPr>
        <w:t xml:space="preserve"> also</w:t>
      </w:r>
      <w:r w:rsidR="008B29D7" w:rsidRPr="007B7359">
        <w:rPr>
          <w:rFonts w:ascii="Times New Roman" w:hAnsi="Times New Roman" w:cs="Times New Roman"/>
          <w:sz w:val="24"/>
          <w:szCs w:val="24"/>
        </w:rPr>
        <w:t xml:space="preserve"> pleaded a number of times before h</w:t>
      </w:r>
      <w:r w:rsidR="000F3607" w:rsidRPr="007B7359">
        <w:rPr>
          <w:rFonts w:ascii="Times New Roman" w:hAnsi="Times New Roman" w:cs="Times New Roman"/>
          <w:sz w:val="24"/>
          <w:szCs w:val="24"/>
        </w:rPr>
        <w:t>ybrid and military tribunals</w:t>
      </w:r>
      <w:r w:rsidR="008B29D7" w:rsidRPr="007B7359">
        <w:rPr>
          <w:rFonts w:ascii="Times New Roman" w:hAnsi="Times New Roman" w:cs="Times New Roman"/>
          <w:sz w:val="24"/>
          <w:szCs w:val="24"/>
        </w:rPr>
        <w:t>. The</w:t>
      </w:r>
      <w:r w:rsidR="0037783C" w:rsidRPr="007B7359">
        <w:rPr>
          <w:rFonts w:ascii="Times New Roman" w:hAnsi="Times New Roman" w:cs="Times New Roman"/>
          <w:sz w:val="24"/>
          <w:szCs w:val="24"/>
        </w:rPr>
        <w:t xml:space="preserve"> tribunals engaged with the defence of duress, although none </w:t>
      </w:r>
      <w:r w:rsidR="00F9738D" w:rsidRPr="007B7359">
        <w:rPr>
          <w:rFonts w:ascii="Times New Roman" w:hAnsi="Times New Roman" w:cs="Times New Roman"/>
          <w:sz w:val="24"/>
          <w:szCs w:val="24"/>
        </w:rPr>
        <w:t>permitted that the defence be admitted in respect of the charges libelled</w:t>
      </w:r>
      <w:r w:rsidR="0037783C" w:rsidRPr="007B7359">
        <w:rPr>
          <w:rFonts w:ascii="Times New Roman" w:hAnsi="Times New Roman" w:cs="Times New Roman"/>
          <w:sz w:val="24"/>
          <w:szCs w:val="24"/>
        </w:rPr>
        <w:t>. However, as there was no detail on defences in any of the documents which constituted the tribunals, the courts were required to draw their own conclusions on what duress was</w:t>
      </w:r>
      <w:r w:rsidR="00A11231" w:rsidRPr="007B7359">
        <w:rPr>
          <w:rFonts w:ascii="Times New Roman" w:hAnsi="Times New Roman" w:cs="Times New Roman"/>
          <w:sz w:val="24"/>
          <w:szCs w:val="24"/>
        </w:rPr>
        <w:t>, which sources to use</w:t>
      </w:r>
      <w:r w:rsidR="0037783C" w:rsidRPr="007B7359">
        <w:rPr>
          <w:rFonts w:ascii="Times New Roman" w:hAnsi="Times New Roman" w:cs="Times New Roman"/>
          <w:sz w:val="24"/>
          <w:szCs w:val="24"/>
        </w:rPr>
        <w:t>, and how it ought to be applied.</w:t>
      </w:r>
      <w:r w:rsidR="007A17AE" w:rsidRPr="007B7359">
        <w:rPr>
          <w:rFonts w:ascii="Times New Roman" w:hAnsi="Times New Roman" w:cs="Times New Roman"/>
          <w:sz w:val="24"/>
          <w:szCs w:val="24"/>
        </w:rPr>
        <w:t xml:space="preserve"> This involved, var</w:t>
      </w:r>
      <w:r w:rsidR="00F9738D" w:rsidRPr="007B7359">
        <w:rPr>
          <w:rFonts w:ascii="Times New Roman" w:hAnsi="Times New Roman" w:cs="Times New Roman"/>
          <w:sz w:val="24"/>
          <w:szCs w:val="24"/>
        </w:rPr>
        <w:t xml:space="preserve">iously, the use of domestic law, the use of military manuals, particularly in the hybrid tribunals, </w:t>
      </w:r>
      <w:r w:rsidR="007A17AE" w:rsidRPr="007B7359">
        <w:rPr>
          <w:rFonts w:ascii="Times New Roman" w:hAnsi="Times New Roman" w:cs="Times New Roman"/>
          <w:sz w:val="24"/>
          <w:szCs w:val="24"/>
        </w:rPr>
        <w:t xml:space="preserve">and the court’s own opinion on what duress ought to be, including the consideration that duress and necessity were synonymous concepts. </w:t>
      </w:r>
      <w:r w:rsidR="0037783C" w:rsidRPr="007B7359">
        <w:rPr>
          <w:rFonts w:ascii="Times New Roman" w:hAnsi="Times New Roman" w:cs="Times New Roman"/>
          <w:sz w:val="24"/>
          <w:szCs w:val="24"/>
        </w:rPr>
        <w:t xml:space="preserve"> </w:t>
      </w:r>
      <w:r w:rsidR="007A17AE" w:rsidRPr="007B7359">
        <w:rPr>
          <w:rFonts w:ascii="Times New Roman" w:hAnsi="Times New Roman" w:cs="Times New Roman"/>
          <w:sz w:val="24"/>
          <w:szCs w:val="24"/>
        </w:rPr>
        <w:t xml:space="preserve">The </w:t>
      </w:r>
      <w:r w:rsidR="00816EFD" w:rsidRPr="007B7359">
        <w:rPr>
          <w:rFonts w:ascii="Times New Roman" w:hAnsi="Times New Roman" w:cs="Times New Roman"/>
          <w:sz w:val="24"/>
          <w:szCs w:val="24"/>
        </w:rPr>
        <w:t xml:space="preserve">cases demonstrate that the definition of duress that the courts and tribunals discussed varied, but that the question of imminence </w:t>
      </w:r>
      <w:r w:rsidR="00816EFD" w:rsidRPr="007B7359">
        <w:rPr>
          <w:rFonts w:ascii="Times New Roman" w:hAnsi="Times New Roman" w:cs="Times New Roman"/>
          <w:sz w:val="24"/>
          <w:szCs w:val="24"/>
        </w:rPr>
        <w:lastRenderedPageBreak/>
        <w:t>was overwhelmingly not a central consideration. The analysis below indicates that the courts and tribunals had a greater focus on the freedom to choose that the individual had, rather than the idea of an imminent threat.</w:t>
      </w:r>
    </w:p>
    <w:p w:rsidR="006B2505" w:rsidRPr="007B7359" w:rsidRDefault="006B2505" w:rsidP="00FC34D9">
      <w:pPr>
        <w:spacing w:after="0" w:line="480" w:lineRule="auto"/>
        <w:jc w:val="both"/>
        <w:rPr>
          <w:rFonts w:ascii="Times New Roman" w:hAnsi="Times New Roman" w:cs="Times New Roman"/>
          <w:b/>
          <w:sz w:val="24"/>
          <w:szCs w:val="24"/>
          <w:u w:val="single"/>
        </w:rPr>
      </w:pPr>
    </w:p>
    <w:p w:rsidR="008C1E6D" w:rsidRPr="007B7359" w:rsidRDefault="008C1E6D"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In t</w:t>
      </w:r>
      <w:r w:rsidR="000E7875" w:rsidRPr="007B7359">
        <w:rPr>
          <w:rFonts w:ascii="Times New Roman" w:hAnsi="Times New Roman" w:cs="Times New Roman"/>
          <w:sz w:val="24"/>
          <w:szCs w:val="24"/>
        </w:rPr>
        <w:t xml:space="preserve">he </w:t>
      </w:r>
      <w:r w:rsidR="000E7875" w:rsidRPr="007B7359">
        <w:rPr>
          <w:rFonts w:ascii="Times New Roman" w:hAnsi="Times New Roman" w:cs="Times New Roman"/>
          <w:i/>
          <w:sz w:val="24"/>
          <w:szCs w:val="24"/>
        </w:rPr>
        <w:t>Flick</w:t>
      </w:r>
      <w:r w:rsidR="007A17AE" w:rsidRPr="007B7359">
        <w:rPr>
          <w:rStyle w:val="FootnoteReference"/>
          <w:rFonts w:ascii="Times New Roman" w:hAnsi="Times New Roman"/>
          <w:i/>
          <w:sz w:val="24"/>
          <w:szCs w:val="24"/>
        </w:rPr>
        <w:footnoteReference w:id="38"/>
      </w:r>
      <w:r w:rsidR="000E7875" w:rsidRPr="007B7359">
        <w:rPr>
          <w:rFonts w:ascii="Times New Roman" w:hAnsi="Times New Roman" w:cs="Times New Roman"/>
          <w:sz w:val="24"/>
          <w:szCs w:val="24"/>
        </w:rPr>
        <w:t xml:space="preserve"> </w:t>
      </w:r>
      <w:r w:rsidRPr="007B7359">
        <w:rPr>
          <w:rFonts w:ascii="Times New Roman" w:hAnsi="Times New Roman" w:cs="Times New Roman"/>
          <w:sz w:val="24"/>
          <w:szCs w:val="24"/>
        </w:rPr>
        <w:t>case, the defendants were charged with the use of slave labour, property crimes and financing Nazi bodies, such as the SS. In this case, the tribunal</w:t>
      </w:r>
      <w:r w:rsidRPr="007B7359">
        <w:rPr>
          <w:rStyle w:val="FootnoteReference"/>
          <w:rFonts w:ascii="Times New Roman" w:hAnsi="Times New Roman"/>
          <w:sz w:val="24"/>
          <w:szCs w:val="24"/>
        </w:rPr>
        <w:footnoteReference w:id="39"/>
      </w:r>
      <w:r w:rsidRPr="007B7359">
        <w:rPr>
          <w:rFonts w:ascii="Times New Roman" w:hAnsi="Times New Roman" w:cs="Times New Roman"/>
          <w:sz w:val="24"/>
          <w:szCs w:val="24"/>
        </w:rPr>
        <w:t xml:space="preserve"> examined the availability of a defence of coercion to these crimes. When applying the law,</w:t>
      </w:r>
      <w:r w:rsidR="00816EFD" w:rsidRPr="007B7359">
        <w:rPr>
          <w:rFonts w:ascii="Times New Roman" w:hAnsi="Times New Roman" w:cs="Times New Roman"/>
          <w:sz w:val="24"/>
          <w:szCs w:val="24"/>
        </w:rPr>
        <w:t xml:space="preserve"> recourse was made to the London Charter’s</w:t>
      </w:r>
      <w:r w:rsidRPr="007B7359">
        <w:rPr>
          <w:rFonts w:ascii="Times New Roman" w:hAnsi="Times New Roman" w:cs="Times New Roman"/>
          <w:sz w:val="24"/>
          <w:szCs w:val="24"/>
        </w:rPr>
        <w:t xml:space="preserve"> exclusion of superior orders</w:t>
      </w:r>
      <w:r w:rsidR="00816EFD" w:rsidRPr="007B7359">
        <w:rPr>
          <w:rFonts w:ascii="Times New Roman" w:hAnsi="Times New Roman" w:cs="Times New Roman"/>
          <w:sz w:val="24"/>
          <w:szCs w:val="24"/>
        </w:rPr>
        <w:t>.</w:t>
      </w:r>
      <w:r w:rsidR="00390727" w:rsidRPr="007B7359">
        <w:rPr>
          <w:rStyle w:val="FootnoteReference"/>
          <w:rFonts w:ascii="Times New Roman" w:hAnsi="Times New Roman"/>
          <w:sz w:val="24"/>
          <w:szCs w:val="24"/>
        </w:rPr>
        <w:footnoteReference w:id="40"/>
      </w:r>
      <w:r w:rsidRPr="007B7359">
        <w:rPr>
          <w:rFonts w:ascii="Times New Roman" w:hAnsi="Times New Roman" w:cs="Times New Roman"/>
          <w:sz w:val="24"/>
          <w:szCs w:val="24"/>
        </w:rPr>
        <w:t xml:space="preserve"> </w:t>
      </w:r>
      <w:r w:rsidR="00816EFD" w:rsidRPr="007B7359">
        <w:rPr>
          <w:rFonts w:ascii="Times New Roman" w:hAnsi="Times New Roman" w:cs="Times New Roman"/>
          <w:sz w:val="24"/>
          <w:szCs w:val="24"/>
        </w:rPr>
        <w:t>However,</w:t>
      </w:r>
      <w:r w:rsidR="00390727" w:rsidRPr="007B7359">
        <w:rPr>
          <w:rFonts w:ascii="Times New Roman" w:hAnsi="Times New Roman" w:cs="Times New Roman"/>
          <w:sz w:val="24"/>
          <w:szCs w:val="24"/>
        </w:rPr>
        <w:t xml:space="preserve"> it was held that the exclusion of superior orders was not an indication that all defences were to be excluded. The Tribunal also held that it would be i</w:t>
      </w:r>
      <w:r w:rsidRPr="007B7359">
        <w:rPr>
          <w:rFonts w:ascii="Times New Roman" w:hAnsi="Times New Roman" w:cs="Times New Roman"/>
          <w:sz w:val="24"/>
          <w:szCs w:val="24"/>
        </w:rPr>
        <w:t>n line with justice to allow the defendants to argue the applicability of necessity.</w:t>
      </w:r>
      <w:r w:rsidRPr="007B7359">
        <w:rPr>
          <w:rStyle w:val="FootnoteReference"/>
          <w:rFonts w:ascii="Times New Roman" w:hAnsi="Times New Roman"/>
          <w:sz w:val="24"/>
          <w:szCs w:val="24"/>
        </w:rPr>
        <w:t xml:space="preserve"> </w:t>
      </w:r>
      <w:r w:rsidRPr="007B7359">
        <w:rPr>
          <w:rStyle w:val="FootnoteReference"/>
          <w:rFonts w:ascii="Times New Roman" w:hAnsi="Times New Roman"/>
          <w:sz w:val="24"/>
          <w:szCs w:val="24"/>
        </w:rPr>
        <w:footnoteReference w:id="41"/>
      </w:r>
    </w:p>
    <w:p w:rsidR="000E7875" w:rsidRPr="007B7359" w:rsidRDefault="000E7875" w:rsidP="00FC34D9">
      <w:pPr>
        <w:spacing w:after="0" w:line="480" w:lineRule="auto"/>
        <w:jc w:val="both"/>
        <w:rPr>
          <w:rFonts w:ascii="Times New Roman" w:hAnsi="Times New Roman" w:cs="Times New Roman"/>
          <w:sz w:val="24"/>
          <w:szCs w:val="24"/>
        </w:rPr>
      </w:pPr>
    </w:p>
    <w:p w:rsidR="0075229F" w:rsidRPr="007B7359" w:rsidRDefault="00390727"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It should be noted that the Court in this case focused on the US definition of coercion and necessity, using a US text,</w:t>
      </w:r>
      <w:r w:rsidRPr="007B7359">
        <w:rPr>
          <w:rStyle w:val="FootnoteReference"/>
          <w:rFonts w:ascii="Times New Roman" w:hAnsi="Times New Roman"/>
          <w:sz w:val="24"/>
          <w:szCs w:val="24"/>
        </w:rPr>
        <w:footnoteReference w:id="42"/>
      </w:r>
      <w:r w:rsidRPr="007B7359">
        <w:rPr>
          <w:rFonts w:ascii="Times New Roman" w:hAnsi="Times New Roman" w:cs="Times New Roman"/>
          <w:sz w:val="24"/>
          <w:szCs w:val="24"/>
        </w:rPr>
        <w:t xml:space="preserve"> and ultimately merged the ideas of duress, necessity and coercion.  Other than the reference to the US textbook, there was little further investigation into what the defence of duress entailed. </w:t>
      </w:r>
      <w:r w:rsidRPr="007B7359">
        <w:rPr>
          <w:rFonts w:ascii="Times New Roman" w:hAnsi="Times New Roman" w:cs="Times New Roman"/>
          <w:sz w:val="24"/>
          <w:szCs w:val="24"/>
        </w:rPr>
        <w:lastRenderedPageBreak/>
        <w:t xml:space="preserve">The Court accepted that the defence of necessity could be used against a charge of slave labour where the necessary </w:t>
      </w:r>
      <w:r w:rsidR="000E7875" w:rsidRPr="007B7359">
        <w:rPr>
          <w:rFonts w:ascii="Times New Roman" w:hAnsi="Times New Roman" w:cs="Times New Roman"/>
          <w:sz w:val="24"/>
          <w:szCs w:val="24"/>
        </w:rPr>
        <w:t>“compulsion and fear”</w:t>
      </w:r>
      <w:r w:rsidR="000E7875" w:rsidRPr="007B7359">
        <w:rPr>
          <w:rStyle w:val="FootnoteReference"/>
          <w:rFonts w:ascii="Times New Roman" w:hAnsi="Times New Roman"/>
          <w:sz w:val="24"/>
          <w:szCs w:val="24"/>
        </w:rPr>
        <w:footnoteReference w:id="43"/>
      </w:r>
      <w:r w:rsidR="000E7875" w:rsidRPr="007B7359">
        <w:rPr>
          <w:rFonts w:ascii="Times New Roman" w:hAnsi="Times New Roman" w:cs="Times New Roman"/>
          <w:sz w:val="24"/>
          <w:szCs w:val="24"/>
        </w:rPr>
        <w:t xml:space="preserve"> </w:t>
      </w:r>
      <w:r w:rsidR="0075229F" w:rsidRPr="007B7359">
        <w:rPr>
          <w:rFonts w:ascii="Times New Roman" w:hAnsi="Times New Roman" w:cs="Times New Roman"/>
          <w:sz w:val="24"/>
          <w:szCs w:val="24"/>
        </w:rPr>
        <w:t xml:space="preserve">was evident. However, in this case, it was not demonstrated that the defendants were sufficient fearful for their life and only acted to protect themselves. Instead, it was found that that the </w:t>
      </w:r>
      <w:r w:rsidR="00402F16" w:rsidRPr="007B7359">
        <w:rPr>
          <w:rFonts w:ascii="Times New Roman" w:hAnsi="Times New Roman" w:cs="Times New Roman"/>
          <w:sz w:val="24"/>
          <w:szCs w:val="24"/>
        </w:rPr>
        <w:t>conceptualisation of necessity by the US text utilised in the judgment was focused</w:t>
      </w:r>
      <w:r w:rsidR="0075229F" w:rsidRPr="007B7359">
        <w:rPr>
          <w:rFonts w:ascii="Times New Roman" w:hAnsi="Times New Roman" w:cs="Times New Roman"/>
          <w:sz w:val="24"/>
          <w:szCs w:val="24"/>
        </w:rPr>
        <w:t xml:space="preserve"> on the avoidance of an act which was ‘serious and irreparable, that there was no other adequate means of escape; and that the remedy was not disproportioned to the evil.’</w:t>
      </w:r>
      <w:r w:rsidR="0075229F" w:rsidRPr="007B7359">
        <w:rPr>
          <w:rStyle w:val="FootnoteReference"/>
          <w:rFonts w:ascii="Times New Roman" w:hAnsi="Times New Roman"/>
          <w:sz w:val="24"/>
          <w:szCs w:val="24"/>
        </w:rPr>
        <w:footnoteReference w:id="44"/>
      </w:r>
      <w:r w:rsidR="0075229F" w:rsidRPr="007B7359">
        <w:rPr>
          <w:rFonts w:ascii="Times New Roman" w:hAnsi="Times New Roman" w:cs="Times New Roman"/>
          <w:sz w:val="24"/>
          <w:szCs w:val="24"/>
        </w:rPr>
        <w:t xml:space="preserve"> There is lit</w:t>
      </w:r>
      <w:r w:rsidR="00816EFD" w:rsidRPr="007B7359">
        <w:rPr>
          <w:rFonts w:ascii="Times New Roman" w:hAnsi="Times New Roman" w:cs="Times New Roman"/>
          <w:sz w:val="24"/>
          <w:szCs w:val="24"/>
        </w:rPr>
        <w:t>tle mention of the idea that the</w:t>
      </w:r>
      <w:r w:rsidR="0075229F" w:rsidRPr="007B7359">
        <w:rPr>
          <w:rFonts w:ascii="Times New Roman" w:hAnsi="Times New Roman" w:cs="Times New Roman"/>
          <w:sz w:val="24"/>
          <w:szCs w:val="24"/>
        </w:rPr>
        <w:t xml:space="preserve"> threat or circumstance must be imminent, and rather the focus is the necessity of the act</w:t>
      </w:r>
      <w:r w:rsidR="00816EFD" w:rsidRPr="007B7359">
        <w:rPr>
          <w:rFonts w:ascii="Times New Roman" w:hAnsi="Times New Roman" w:cs="Times New Roman"/>
          <w:sz w:val="24"/>
          <w:szCs w:val="24"/>
        </w:rPr>
        <w:t>, removing the freedom of the individual to choose an alternative to the criminal act,</w:t>
      </w:r>
      <w:r w:rsidR="0075229F" w:rsidRPr="007B7359">
        <w:rPr>
          <w:rFonts w:ascii="Times New Roman" w:hAnsi="Times New Roman" w:cs="Times New Roman"/>
          <w:sz w:val="24"/>
          <w:szCs w:val="24"/>
        </w:rPr>
        <w:t xml:space="preserve"> and whether it was proportionate. The Court then focused on an analysis of whether the defence could be used in this situation, and concluded, without direct reference to proportionality, that the use of slave labour was not carried out in necessity, but rather because of the wishes of the factory owner to maintain productivity.</w:t>
      </w:r>
      <w:r w:rsidR="0075229F" w:rsidRPr="007B7359">
        <w:rPr>
          <w:rStyle w:val="FootnoteReference"/>
          <w:rFonts w:ascii="Times New Roman" w:hAnsi="Times New Roman"/>
          <w:sz w:val="24"/>
          <w:szCs w:val="24"/>
        </w:rPr>
        <w:footnoteReference w:id="45"/>
      </w:r>
      <w:r w:rsidR="0075229F" w:rsidRPr="007B7359">
        <w:rPr>
          <w:rFonts w:ascii="Times New Roman" w:hAnsi="Times New Roman" w:cs="Times New Roman"/>
          <w:sz w:val="24"/>
          <w:szCs w:val="24"/>
        </w:rPr>
        <w:t xml:space="preserve"> The issue, as with many of the cases below, was the lack of proof that necessity (used interchangeably with duress and coercion) was the reason for acting. </w:t>
      </w:r>
    </w:p>
    <w:p w:rsidR="0075229F" w:rsidRPr="007B7359" w:rsidRDefault="0075229F" w:rsidP="00FC34D9">
      <w:pPr>
        <w:spacing w:after="0" w:line="480" w:lineRule="auto"/>
        <w:jc w:val="both"/>
        <w:rPr>
          <w:rFonts w:ascii="Times New Roman" w:hAnsi="Times New Roman" w:cs="Times New Roman"/>
          <w:sz w:val="24"/>
          <w:szCs w:val="24"/>
        </w:rPr>
      </w:pPr>
    </w:p>
    <w:p w:rsidR="0075229F" w:rsidRPr="007B7359" w:rsidRDefault="0075229F"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lastRenderedPageBreak/>
        <w:t xml:space="preserve">Here, </w:t>
      </w:r>
      <w:r w:rsidR="005C65C4" w:rsidRPr="007B7359">
        <w:rPr>
          <w:rFonts w:ascii="Times New Roman" w:hAnsi="Times New Roman" w:cs="Times New Roman"/>
          <w:sz w:val="24"/>
          <w:szCs w:val="24"/>
        </w:rPr>
        <w:t>the focus of the Court remained</w:t>
      </w:r>
      <w:r w:rsidRPr="007B7359">
        <w:rPr>
          <w:rFonts w:ascii="Times New Roman" w:hAnsi="Times New Roman" w:cs="Times New Roman"/>
          <w:sz w:val="24"/>
          <w:szCs w:val="24"/>
        </w:rPr>
        <w:t xml:space="preserve"> on the seriousness of the threat and the freedom that the individual had to act, rather tha</w:t>
      </w:r>
      <w:r w:rsidR="00816EFD" w:rsidRPr="007B7359">
        <w:rPr>
          <w:rFonts w:ascii="Times New Roman" w:hAnsi="Times New Roman" w:cs="Times New Roman"/>
          <w:sz w:val="24"/>
          <w:szCs w:val="24"/>
        </w:rPr>
        <w:t>n the imminence of the th</w:t>
      </w:r>
      <w:r w:rsidRPr="007B7359">
        <w:rPr>
          <w:rFonts w:ascii="Times New Roman" w:hAnsi="Times New Roman" w:cs="Times New Roman"/>
          <w:sz w:val="24"/>
          <w:szCs w:val="24"/>
        </w:rPr>
        <w:t>reat. Although the prosecution made reference to the idea of a ‘clear and present danger’</w:t>
      </w:r>
      <w:r w:rsidRPr="007B7359">
        <w:rPr>
          <w:rStyle w:val="FootnoteReference"/>
          <w:rFonts w:ascii="Times New Roman" w:hAnsi="Times New Roman"/>
          <w:sz w:val="24"/>
          <w:szCs w:val="24"/>
        </w:rPr>
        <w:footnoteReference w:id="46"/>
      </w:r>
      <w:r w:rsidRPr="007B7359">
        <w:rPr>
          <w:rFonts w:ascii="Times New Roman" w:hAnsi="Times New Roman" w:cs="Times New Roman"/>
          <w:sz w:val="24"/>
          <w:szCs w:val="24"/>
        </w:rPr>
        <w:t xml:space="preserve"> no further reference to the temporal nature of the threa</w:t>
      </w:r>
      <w:r w:rsidR="00F4458D" w:rsidRPr="007B7359">
        <w:rPr>
          <w:rFonts w:ascii="Times New Roman" w:hAnsi="Times New Roman" w:cs="Times New Roman"/>
          <w:sz w:val="24"/>
          <w:szCs w:val="24"/>
        </w:rPr>
        <w:t>t was made by the judges.</w:t>
      </w:r>
    </w:p>
    <w:p w:rsidR="00F4458D" w:rsidRPr="007B7359" w:rsidRDefault="00F4458D" w:rsidP="00FC34D9">
      <w:pPr>
        <w:spacing w:after="0" w:line="480" w:lineRule="auto"/>
        <w:jc w:val="both"/>
        <w:rPr>
          <w:rFonts w:ascii="Times New Roman" w:hAnsi="Times New Roman" w:cs="Times New Roman"/>
          <w:sz w:val="24"/>
          <w:szCs w:val="24"/>
        </w:rPr>
      </w:pPr>
    </w:p>
    <w:p w:rsidR="00273A7B" w:rsidRPr="007B7359" w:rsidRDefault="00CC652A"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In the </w:t>
      </w:r>
      <w:r w:rsidR="007024B3" w:rsidRPr="007B7359">
        <w:rPr>
          <w:rFonts w:ascii="Times New Roman" w:hAnsi="Times New Roman" w:cs="Times New Roman"/>
          <w:i/>
          <w:sz w:val="24"/>
          <w:szCs w:val="24"/>
        </w:rPr>
        <w:t>Flick</w:t>
      </w:r>
      <w:r w:rsidRPr="007B7359">
        <w:rPr>
          <w:rStyle w:val="FootnoteReference"/>
          <w:rFonts w:ascii="Times New Roman" w:hAnsi="Times New Roman"/>
          <w:sz w:val="24"/>
          <w:szCs w:val="24"/>
        </w:rPr>
        <w:footnoteReference w:id="47"/>
      </w:r>
      <w:r w:rsidR="00840552" w:rsidRPr="007B7359">
        <w:rPr>
          <w:rFonts w:ascii="Times New Roman" w:hAnsi="Times New Roman" w:cs="Times New Roman"/>
          <w:sz w:val="24"/>
          <w:szCs w:val="24"/>
        </w:rPr>
        <w:t xml:space="preserve"> case, </w:t>
      </w:r>
      <w:r w:rsidR="00B968E1" w:rsidRPr="007B7359">
        <w:rPr>
          <w:rFonts w:ascii="Times New Roman" w:hAnsi="Times New Roman" w:cs="Times New Roman"/>
          <w:sz w:val="24"/>
          <w:szCs w:val="24"/>
        </w:rPr>
        <w:t>the individuals put forward several defences against the charges of murder, extermination, and genocide</w:t>
      </w:r>
      <w:r w:rsidR="00273A7B" w:rsidRPr="007B7359">
        <w:rPr>
          <w:rFonts w:ascii="Times New Roman" w:hAnsi="Times New Roman" w:cs="Times New Roman"/>
          <w:sz w:val="24"/>
          <w:szCs w:val="24"/>
        </w:rPr>
        <w:t>, specifically self-defence, duress, and necessity</w:t>
      </w:r>
      <w:r w:rsidR="00B968E1" w:rsidRPr="007B7359">
        <w:rPr>
          <w:rFonts w:ascii="Times New Roman" w:hAnsi="Times New Roman" w:cs="Times New Roman"/>
          <w:sz w:val="24"/>
          <w:szCs w:val="24"/>
        </w:rPr>
        <w:t>.</w:t>
      </w:r>
      <w:r w:rsidR="00273A7B" w:rsidRPr="007B7359">
        <w:rPr>
          <w:rFonts w:ascii="Times New Roman" w:hAnsi="Times New Roman" w:cs="Times New Roman"/>
          <w:sz w:val="24"/>
          <w:szCs w:val="24"/>
        </w:rPr>
        <w:t xml:space="preserve"> The basic argument underlying the use of each of the defences was the lack of choice that the defendants had in carrying out the attacks, basing their arguments on German legal concepts.</w:t>
      </w:r>
      <w:r w:rsidR="00B968E1" w:rsidRPr="007B7359">
        <w:rPr>
          <w:rFonts w:ascii="Times New Roman" w:hAnsi="Times New Roman" w:cs="Times New Roman"/>
          <w:sz w:val="24"/>
          <w:szCs w:val="24"/>
        </w:rPr>
        <w:t xml:space="preserve"> The first issue raised by the defence lawyers was the question of which law, in terms of jurisdiction, ought to be applied, with the defence lawyers preferring German or Russian.</w:t>
      </w:r>
      <w:r w:rsidR="00CD7DD3" w:rsidRPr="007B7359">
        <w:rPr>
          <w:rStyle w:val="FootnoteReference"/>
          <w:rFonts w:ascii="Times New Roman" w:hAnsi="Times New Roman"/>
          <w:sz w:val="24"/>
          <w:szCs w:val="24"/>
        </w:rPr>
        <w:footnoteReference w:id="48"/>
      </w:r>
      <w:r w:rsidR="00B968E1" w:rsidRPr="007B7359">
        <w:rPr>
          <w:rFonts w:ascii="Times New Roman" w:hAnsi="Times New Roman" w:cs="Times New Roman"/>
          <w:sz w:val="24"/>
          <w:szCs w:val="24"/>
        </w:rPr>
        <w:t xml:space="preserve"> The</w:t>
      </w:r>
      <w:r w:rsidR="00273A7B" w:rsidRPr="007B7359">
        <w:rPr>
          <w:rFonts w:ascii="Times New Roman" w:hAnsi="Times New Roman" w:cs="Times New Roman"/>
          <w:sz w:val="24"/>
          <w:szCs w:val="24"/>
        </w:rPr>
        <w:t xml:space="preserve">ir central claim </w:t>
      </w:r>
      <w:r w:rsidR="00B968E1" w:rsidRPr="007B7359">
        <w:rPr>
          <w:rFonts w:ascii="Times New Roman" w:hAnsi="Times New Roman" w:cs="Times New Roman"/>
          <w:sz w:val="24"/>
          <w:szCs w:val="24"/>
        </w:rPr>
        <w:t>was that the application of US law was viewed as arbitrary, on account of the fact that the trial could have been held by any one of the Allied powers,</w:t>
      </w:r>
      <w:r w:rsidR="000466B6" w:rsidRPr="007B7359">
        <w:rPr>
          <w:rStyle w:val="FootnoteReference"/>
          <w:rFonts w:ascii="Times New Roman" w:hAnsi="Times New Roman"/>
          <w:sz w:val="24"/>
          <w:szCs w:val="24"/>
        </w:rPr>
        <w:footnoteReference w:id="49"/>
      </w:r>
      <w:r w:rsidR="00B968E1" w:rsidRPr="007B7359">
        <w:rPr>
          <w:rFonts w:ascii="Times New Roman" w:hAnsi="Times New Roman" w:cs="Times New Roman"/>
          <w:sz w:val="24"/>
          <w:szCs w:val="24"/>
        </w:rPr>
        <w:t xml:space="preserve"> and that the US law was particu</w:t>
      </w:r>
      <w:r w:rsidR="000466B6" w:rsidRPr="007B7359">
        <w:rPr>
          <w:rFonts w:ascii="Times New Roman" w:hAnsi="Times New Roman" w:cs="Times New Roman"/>
          <w:sz w:val="24"/>
          <w:szCs w:val="24"/>
        </w:rPr>
        <w:t>larly foreign to the defendants.</w:t>
      </w:r>
      <w:r w:rsidR="000466B6" w:rsidRPr="007B7359">
        <w:rPr>
          <w:rStyle w:val="FootnoteReference"/>
          <w:rFonts w:ascii="Times New Roman" w:hAnsi="Times New Roman"/>
          <w:sz w:val="24"/>
          <w:szCs w:val="24"/>
        </w:rPr>
        <w:t xml:space="preserve"> </w:t>
      </w:r>
      <w:r w:rsidR="000466B6" w:rsidRPr="007B7359">
        <w:rPr>
          <w:rStyle w:val="FootnoteReference"/>
          <w:rFonts w:ascii="Times New Roman" w:hAnsi="Times New Roman"/>
          <w:sz w:val="24"/>
          <w:szCs w:val="24"/>
        </w:rPr>
        <w:footnoteReference w:id="50"/>
      </w:r>
      <w:r w:rsidR="00B968E1" w:rsidRPr="007B7359">
        <w:rPr>
          <w:rFonts w:ascii="Times New Roman" w:hAnsi="Times New Roman" w:cs="Times New Roman"/>
          <w:sz w:val="24"/>
          <w:szCs w:val="24"/>
        </w:rPr>
        <w:t xml:space="preserve"> </w:t>
      </w:r>
      <w:r w:rsidR="000466B6" w:rsidRPr="007B7359">
        <w:rPr>
          <w:rFonts w:ascii="Times New Roman" w:hAnsi="Times New Roman" w:cs="Times New Roman"/>
          <w:sz w:val="24"/>
          <w:szCs w:val="24"/>
        </w:rPr>
        <w:t xml:space="preserve">The judges engaged with the German legal concepts, but ultimately, it relied upon the work of </w:t>
      </w:r>
      <w:r w:rsidR="000466B6" w:rsidRPr="007B7359">
        <w:rPr>
          <w:rFonts w:ascii="Times New Roman" w:hAnsi="Times New Roman" w:cs="Times New Roman"/>
          <w:sz w:val="24"/>
          <w:szCs w:val="24"/>
        </w:rPr>
        <w:lastRenderedPageBreak/>
        <w:t>an international law expert</w:t>
      </w:r>
      <w:r w:rsidR="00816EFD" w:rsidRPr="007B7359">
        <w:rPr>
          <w:rStyle w:val="FootnoteReference"/>
          <w:rFonts w:ascii="Times New Roman" w:hAnsi="Times New Roman"/>
          <w:sz w:val="24"/>
          <w:szCs w:val="24"/>
        </w:rPr>
        <w:footnoteReference w:id="51"/>
      </w:r>
      <w:r w:rsidR="00816EFD" w:rsidRPr="007B7359">
        <w:rPr>
          <w:rFonts w:ascii="Times New Roman" w:hAnsi="Times New Roman" w:cs="Times New Roman"/>
          <w:sz w:val="24"/>
          <w:szCs w:val="24"/>
        </w:rPr>
        <w:t xml:space="preserve"> </w:t>
      </w:r>
      <w:r w:rsidR="000466B6" w:rsidRPr="007B7359">
        <w:rPr>
          <w:rFonts w:ascii="Times New Roman" w:hAnsi="Times New Roman" w:cs="Times New Roman"/>
          <w:sz w:val="24"/>
          <w:szCs w:val="24"/>
        </w:rPr>
        <w:t xml:space="preserve">to determine that extermination could never be considered legal, nor was it a suitable method of self-defence. </w:t>
      </w:r>
      <w:r w:rsidR="00273A7B" w:rsidRPr="007B7359">
        <w:rPr>
          <w:rFonts w:ascii="Times New Roman" w:hAnsi="Times New Roman" w:cs="Times New Roman"/>
          <w:sz w:val="24"/>
          <w:szCs w:val="24"/>
        </w:rPr>
        <w:t>However, it should be noted that there was something of a presumption of what self-defence meant: no definition of self-defence was suppli</w:t>
      </w:r>
      <w:r w:rsidR="005C65C4" w:rsidRPr="007B7359">
        <w:rPr>
          <w:rFonts w:ascii="Times New Roman" w:hAnsi="Times New Roman" w:cs="Times New Roman"/>
          <w:sz w:val="24"/>
          <w:szCs w:val="24"/>
        </w:rPr>
        <w:t>ed and there was no focus on any</w:t>
      </w:r>
      <w:r w:rsidR="00273A7B" w:rsidRPr="007B7359">
        <w:rPr>
          <w:rFonts w:ascii="Times New Roman" w:hAnsi="Times New Roman" w:cs="Times New Roman"/>
          <w:sz w:val="24"/>
          <w:szCs w:val="24"/>
        </w:rPr>
        <w:t xml:space="preserve"> particular jurisdiction. Thus, the foundational element of its rejection – proportionality – was explained as the consequence of the situation, rather than focus on an analysis of the legal concept.</w:t>
      </w:r>
    </w:p>
    <w:p w:rsidR="00273A7B" w:rsidRPr="007B7359" w:rsidRDefault="00273A7B" w:rsidP="00FC34D9">
      <w:pPr>
        <w:spacing w:after="0" w:line="480" w:lineRule="auto"/>
        <w:jc w:val="both"/>
        <w:rPr>
          <w:rFonts w:ascii="Times New Roman" w:hAnsi="Times New Roman" w:cs="Times New Roman"/>
          <w:sz w:val="24"/>
          <w:szCs w:val="24"/>
        </w:rPr>
      </w:pPr>
    </w:p>
    <w:p w:rsidR="00784A4C" w:rsidRPr="007B7359" w:rsidRDefault="00273A7B"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judgment</w:t>
      </w:r>
      <w:r w:rsidR="000466B6" w:rsidRPr="007B7359">
        <w:rPr>
          <w:rFonts w:ascii="Times New Roman" w:hAnsi="Times New Roman" w:cs="Times New Roman"/>
          <w:sz w:val="24"/>
          <w:szCs w:val="24"/>
        </w:rPr>
        <w:t xml:space="preserve"> explained in g</w:t>
      </w:r>
      <w:r w:rsidRPr="007B7359">
        <w:rPr>
          <w:rFonts w:ascii="Times New Roman" w:hAnsi="Times New Roman" w:cs="Times New Roman"/>
          <w:sz w:val="24"/>
          <w:szCs w:val="24"/>
        </w:rPr>
        <w:t>reat detail, by carrying out a balancing exercise and without direct reference t</w:t>
      </w:r>
      <w:r w:rsidR="005C65C4" w:rsidRPr="007B7359">
        <w:rPr>
          <w:rFonts w:ascii="Times New Roman" w:hAnsi="Times New Roman" w:cs="Times New Roman"/>
          <w:sz w:val="24"/>
          <w:szCs w:val="24"/>
        </w:rPr>
        <w:t>o proportionality, that the murder and genocide</w:t>
      </w:r>
      <w:r w:rsidRPr="007B7359">
        <w:rPr>
          <w:rFonts w:ascii="Times New Roman" w:hAnsi="Times New Roman" w:cs="Times New Roman"/>
          <w:sz w:val="24"/>
          <w:szCs w:val="24"/>
        </w:rPr>
        <w:t xml:space="preserve"> ca</w:t>
      </w:r>
      <w:r w:rsidR="000466B6" w:rsidRPr="007B7359">
        <w:rPr>
          <w:rFonts w:ascii="Times New Roman" w:hAnsi="Times New Roman" w:cs="Times New Roman"/>
          <w:sz w:val="24"/>
          <w:szCs w:val="24"/>
        </w:rPr>
        <w:t>rried out by the defendant could</w:t>
      </w:r>
      <w:r w:rsidR="005C65C4" w:rsidRPr="007B7359">
        <w:rPr>
          <w:rFonts w:ascii="Times New Roman" w:hAnsi="Times New Roman" w:cs="Times New Roman"/>
          <w:sz w:val="24"/>
          <w:szCs w:val="24"/>
        </w:rPr>
        <w:t xml:space="preserve"> not be considered a proportionate means of self-defence</w:t>
      </w:r>
      <w:r w:rsidR="000466B6" w:rsidRPr="007B7359">
        <w:rPr>
          <w:rFonts w:ascii="Times New Roman" w:hAnsi="Times New Roman" w:cs="Times New Roman"/>
          <w:sz w:val="24"/>
          <w:szCs w:val="24"/>
        </w:rPr>
        <w:t>.</w:t>
      </w:r>
      <w:r w:rsidR="000466B6" w:rsidRPr="007B7359">
        <w:rPr>
          <w:rStyle w:val="FootnoteReference"/>
          <w:rFonts w:ascii="Times New Roman" w:hAnsi="Times New Roman"/>
          <w:sz w:val="24"/>
          <w:szCs w:val="24"/>
        </w:rPr>
        <w:footnoteReference w:id="52"/>
      </w:r>
      <w:r w:rsidR="000466B6" w:rsidRPr="007B7359">
        <w:rPr>
          <w:rFonts w:ascii="Times New Roman" w:hAnsi="Times New Roman" w:cs="Times New Roman"/>
          <w:sz w:val="24"/>
          <w:szCs w:val="24"/>
        </w:rPr>
        <w:t xml:space="preserve"> Consequently, that the conditions for self-defence or necessity did not exist, as the </w:t>
      </w:r>
      <w:r w:rsidR="007D085A" w:rsidRPr="007B7359">
        <w:rPr>
          <w:rFonts w:ascii="Times New Roman" w:hAnsi="Times New Roman" w:cs="Times New Roman"/>
          <w:sz w:val="24"/>
          <w:szCs w:val="24"/>
        </w:rPr>
        <w:t>vigour with which the attacks were undertaken</w:t>
      </w:r>
      <w:r w:rsidRPr="007B7359">
        <w:rPr>
          <w:rStyle w:val="FootnoteReference"/>
          <w:rFonts w:ascii="Times New Roman" w:hAnsi="Times New Roman"/>
          <w:sz w:val="24"/>
          <w:szCs w:val="24"/>
        </w:rPr>
        <w:footnoteReference w:id="53"/>
      </w:r>
      <w:r w:rsidRPr="007B7359">
        <w:rPr>
          <w:rFonts w:ascii="Times New Roman" w:hAnsi="Times New Roman" w:cs="Times New Roman"/>
          <w:sz w:val="24"/>
          <w:szCs w:val="24"/>
        </w:rPr>
        <w:t xml:space="preserve"> </w:t>
      </w:r>
      <w:r w:rsidR="000466B6" w:rsidRPr="007B7359">
        <w:rPr>
          <w:rFonts w:ascii="Times New Roman" w:hAnsi="Times New Roman" w:cs="Times New Roman"/>
          <w:sz w:val="24"/>
          <w:szCs w:val="24"/>
        </w:rPr>
        <w:t>undermined</w:t>
      </w:r>
      <w:r w:rsidR="00816EFD" w:rsidRPr="007B7359">
        <w:rPr>
          <w:rFonts w:ascii="Times New Roman" w:hAnsi="Times New Roman" w:cs="Times New Roman"/>
          <w:sz w:val="24"/>
          <w:szCs w:val="24"/>
        </w:rPr>
        <w:t xml:space="preserve"> the argument for both necessity and self-defence</w:t>
      </w:r>
      <w:r w:rsidR="000466B6" w:rsidRPr="007B7359">
        <w:rPr>
          <w:rFonts w:ascii="Times New Roman" w:hAnsi="Times New Roman" w:cs="Times New Roman"/>
          <w:sz w:val="24"/>
          <w:szCs w:val="24"/>
        </w:rPr>
        <w:t xml:space="preserve">, as well as for </w:t>
      </w:r>
      <w:r w:rsidR="007C0EF2" w:rsidRPr="007B7359">
        <w:rPr>
          <w:rFonts w:ascii="Times New Roman" w:hAnsi="Times New Roman" w:cs="Times New Roman"/>
          <w:sz w:val="24"/>
          <w:szCs w:val="24"/>
        </w:rPr>
        <w:t>personal duress</w:t>
      </w:r>
      <w:r w:rsidR="000466B6" w:rsidRPr="007B7359">
        <w:rPr>
          <w:rFonts w:ascii="Times New Roman" w:hAnsi="Times New Roman" w:cs="Times New Roman"/>
          <w:sz w:val="24"/>
          <w:szCs w:val="24"/>
        </w:rPr>
        <w:t>.</w:t>
      </w:r>
      <w:r w:rsidR="007C0EF2" w:rsidRPr="007B7359">
        <w:rPr>
          <w:rStyle w:val="FootnoteReference"/>
          <w:rFonts w:ascii="Times New Roman" w:hAnsi="Times New Roman"/>
          <w:sz w:val="24"/>
          <w:szCs w:val="24"/>
        </w:rPr>
        <w:footnoteReference w:id="54"/>
      </w:r>
      <w:r w:rsidR="007C0EF2" w:rsidRPr="007B7359">
        <w:rPr>
          <w:rFonts w:ascii="Times New Roman" w:hAnsi="Times New Roman" w:cs="Times New Roman"/>
          <w:sz w:val="24"/>
          <w:szCs w:val="24"/>
        </w:rPr>
        <w:t xml:space="preserve"> </w:t>
      </w:r>
      <w:r w:rsidRPr="007B7359">
        <w:rPr>
          <w:rFonts w:ascii="Times New Roman" w:hAnsi="Times New Roman" w:cs="Times New Roman"/>
          <w:sz w:val="24"/>
          <w:szCs w:val="24"/>
        </w:rPr>
        <w:t>Because of the level of the aggression deployed, the use of self-defence was rejected as</w:t>
      </w:r>
      <w:r w:rsidR="006D7609" w:rsidRPr="007B7359">
        <w:rPr>
          <w:rFonts w:ascii="Times New Roman" w:hAnsi="Times New Roman" w:cs="Times New Roman"/>
          <w:sz w:val="24"/>
          <w:szCs w:val="24"/>
        </w:rPr>
        <w:t xml:space="preserve"> ‘untenable as being opposed to all facts, all logic and all law.’</w:t>
      </w:r>
      <w:r w:rsidR="006D7609" w:rsidRPr="007B7359">
        <w:rPr>
          <w:rStyle w:val="FootnoteReference"/>
          <w:rFonts w:ascii="Times New Roman" w:hAnsi="Times New Roman"/>
          <w:sz w:val="24"/>
          <w:szCs w:val="24"/>
        </w:rPr>
        <w:footnoteReference w:id="55"/>
      </w:r>
      <w:r w:rsidR="003B1917" w:rsidRPr="007B7359">
        <w:rPr>
          <w:rFonts w:ascii="Times New Roman" w:hAnsi="Times New Roman" w:cs="Times New Roman"/>
          <w:sz w:val="24"/>
          <w:szCs w:val="24"/>
        </w:rPr>
        <w:t xml:space="preserve"> </w:t>
      </w:r>
    </w:p>
    <w:p w:rsidR="00784A4C" w:rsidRPr="007B7359" w:rsidRDefault="00784A4C" w:rsidP="00FC34D9">
      <w:pPr>
        <w:spacing w:after="0" w:line="480" w:lineRule="auto"/>
        <w:jc w:val="both"/>
        <w:rPr>
          <w:rFonts w:ascii="Times New Roman" w:hAnsi="Times New Roman" w:cs="Times New Roman"/>
          <w:sz w:val="24"/>
          <w:szCs w:val="24"/>
        </w:rPr>
      </w:pPr>
    </w:p>
    <w:p w:rsidR="008B45ED" w:rsidRPr="007B7359" w:rsidRDefault="00784A4C"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lastRenderedPageBreak/>
        <w:t>The T</w:t>
      </w:r>
      <w:r w:rsidR="003B1917" w:rsidRPr="007B7359">
        <w:rPr>
          <w:rFonts w:ascii="Times New Roman" w:hAnsi="Times New Roman" w:cs="Times New Roman"/>
          <w:sz w:val="24"/>
          <w:szCs w:val="24"/>
        </w:rPr>
        <w:t xml:space="preserve">ribunal then went on to consider superior orders and duress, </w:t>
      </w:r>
      <w:r w:rsidR="00FE0581" w:rsidRPr="007B7359">
        <w:rPr>
          <w:rFonts w:ascii="Times New Roman" w:hAnsi="Times New Roman" w:cs="Times New Roman"/>
          <w:sz w:val="24"/>
          <w:szCs w:val="24"/>
        </w:rPr>
        <w:t>the latter of which was required to exist in order for the former to be plead successfully.</w:t>
      </w:r>
      <w:r w:rsidR="003B1917" w:rsidRPr="007B7359">
        <w:rPr>
          <w:rFonts w:ascii="Times New Roman" w:hAnsi="Times New Roman" w:cs="Times New Roman"/>
          <w:sz w:val="24"/>
          <w:szCs w:val="24"/>
        </w:rPr>
        <w:t xml:space="preserve"> </w:t>
      </w:r>
      <w:r w:rsidRPr="007B7359">
        <w:rPr>
          <w:rFonts w:ascii="Times New Roman" w:hAnsi="Times New Roman" w:cs="Times New Roman"/>
          <w:sz w:val="24"/>
          <w:szCs w:val="24"/>
        </w:rPr>
        <w:t>It</w:t>
      </w:r>
      <w:r w:rsidR="003B1917" w:rsidRPr="007B7359">
        <w:rPr>
          <w:rFonts w:ascii="Times New Roman" w:hAnsi="Times New Roman" w:cs="Times New Roman"/>
          <w:sz w:val="24"/>
          <w:szCs w:val="24"/>
        </w:rPr>
        <w:t xml:space="preserve"> offered more detail on the reasoning underlying duress and an explan</w:t>
      </w:r>
      <w:r w:rsidRPr="007B7359">
        <w:rPr>
          <w:rFonts w:ascii="Times New Roman" w:hAnsi="Times New Roman" w:cs="Times New Roman"/>
          <w:sz w:val="24"/>
          <w:szCs w:val="24"/>
        </w:rPr>
        <w:t>ation of the defence, using the German Criminal Code’s version of duress. For</w:t>
      </w:r>
      <w:r w:rsidR="00FE0581" w:rsidRPr="007B7359">
        <w:rPr>
          <w:rFonts w:ascii="Times New Roman" w:hAnsi="Times New Roman" w:cs="Times New Roman"/>
          <w:sz w:val="24"/>
          <w:szCs w:val="24"/>
        </w:rPr>
        <w:t xml:space="preserve"> s</w:t>
      </w:r>
      <w:r w:rsidR="003B1917" w:rsidRPr="007B7359">
        <w:rPr>
          <w:rFonts w:ascii="Times New Roman" w:hAnsi="Times New Roman" w:cs="Times New Roman"/>
          <w:sz w:val="24"/>
          <w:szCs w:val="24"/>
        </w:rPr>
        <w:t>uperior orders, the</w:t>
      </w:r>
      <w:r w:rsidRPr="007B7359">
        <w:rPr>
          <w:rFonts w:ascii="Times New Roman" w:hAnsi="Times New Roman" w:cs="Times New Roman"/>
          <w:sz w:val="24"/>
          <w:szCs w:val="24"/>
        </w:rPr>
        <w:t xml:space="preserve"> source of law was various </w:t>
      </w:r>
      <w:r w:rsidR="003B1917" w:rsidRPr="007B7359">
        <w:rPr>
          <w:rFonts w:ascii="Times New Roman" w:hAnsi="Times New Roman" w:cs="Times New Roman"/>
          <w:sz w:val="24"/>
          <w:szCs w:val="24"/>
        </w:rPr>
        <w:t>military manuals which were provided as evidenced of t</w:t>
      </w:r>
      <w:r w:rsidRPr="007B7359">
        <w:rPr>
          <w:rFonts w:ascii="Times New Roman" w:hAnsi="Times New Roman" w:cs="Times New Roman"/>
          <w:sz w:val="24"/>
          <w:szCs w:val="24"/>
        </w:rPr>
        <w:t>he existence of the defence in the German, British and United States</w:t>
      </w:r>
      <w:r w:rsidR="003B1917" w:rsidRPr="007B7359">
        <w:rPr>
          <w:rFonts w:ascii="Times New Roman" w:hAnsi="Times New Roman" w:cs="Times New Roman"/>
          <w:sz w:val="24"/>
          <w:szCs w:val="24"/>
        </w:rPr>
        <w:t xml:space="preserve"> legal systems. The German Criminal Code was used extensively</w:t>
      </w:r>
      <w:r w:rsidR="003B1917" w:rsidRPr="007B7359">
        <w:rPr>
          <w:rStyle w:val="FootnoteReference"/>
          <w:rFonts w:ascii="Times New Roman" w:hAnsi="Times New Roman"/>
          <w:sz w:val="24"/>
          <w:szCs w:val="24"/>
        </w:rPr>
        <w:footnoteReference w:id="56"/>
      </w:r>
      <w:r w:rsidR="00FE0581" w:rsidRPr="007B7359">
        <w:rPr>
          <w:rFonts w:ascii="Times New Roman" w:hAnsi="Times New Roman" w:cs="Times New Roman"/>
          <w:sz w:val="24"/>
          <w:szCs w:val="24"/>
        </w:rPr>
        <w:t xml:space="preserve"> in determining than the central focus in the defence of duress was wilful volition to act. In other words, the defence would be available should the individual be compelled to act, based on the circumstances in which he found himself, as well as the behaviour. </w:t>
      </w:r>
      <w:r w:rsidR="005C65C4" w:rsidRPr="007B7359">
        <w:rPr>
          <w:rFonts w:ascii="Times New Roman" w:hAnsi="Times New Roman" w:cs="Times New Roman"/>
          <w:sz w:val="24"/>
          <w:szCs w:val="24"/>
        </w:rPr>
        <w:t>The Tribunal took a flexible approach to the idea of duress and considered the idea of imminence to be dispensable in cases concerning duress:</w:t>
      </w:r>
    </w:p>
    <w:p w:rsidR="0004423D" w:rsidRDefault="0004423D" w:rsidP="00FC34D9">
      <w:pPr>
        <w:spacing w:after="0" w:line="480" w:lineRule="auto"/>
        <w:ind w:firstLine="720"/>
        <w:jc w:val="both"/>
        <w:rPr>
          <w:rFonts w:ascii="Times New Roman" w:hAnsi="Times New Roman" w:cs="Times New Roman"/>
          <w:sz w:val="24"/>
          <w:szCs w:val="24"/>
        </w:rPr>
      </w:pPr>
    </w:p>
    <w:p w:rsidR="0004423D" w:rsidRDefault="0004423D" w:rsidP="00FC34D9">
      <w:pPr>
        <w:spacing w:after="0" w:line="480" w:lineRule="auto"/>
        <w:ind w:firstLine="720"/>
        <w:jc w:val="both"/>
        <w:rPr>
          <w:rFonts w:ascii="Times New Roman" w:hAnsi="Times New Roman" w:cs="Times New Roman"/>
          <w:sz w:val="24"/>
          <w:szCs w:val="24"/>
        </w:rPr>
      </w:pPr>
    </w:p>
    <w:p w:rsidR="006D7609" w:rsidRPr="0004423D" w:rsidRDefault="006D7609" w:rsidP="0004423D">
      <w:pPr>
        <w:spacing w:after="0" w:line="480" w:lineRule="auto"/>
        <w:ind w:left="284" w:right="284"/>
        <w:jc w:val="both"/>
        <w:rPr>
          <w:rFonts w:ascii="Times New Roman" w:hAnsi="Times New Roman" w:cs="Times New Roman"/>
        </w:rPr>
      </w:pPr>
      <w:r w:rsidRPr="0004423D">
        <w:rPr>
          <w:rFonts w:ascii="Times New Roman" w:hAnsi="Times New Roman" w:cs="Times New Roman"/>
        </w:rPr>
        <w:t>No court will punish a man who, with a loaded pistol at his head, is compelled to pull a lethal lever. Nor need the peril be that imminent</w:t>
      </w:r>
      <w:r w:rsidR="00FE0581" w:rsidRPr="0004423D">
        <w:rPr>
          <w:rFonts w:ascii="Times New Roman" w:hAnsi="Times New Roman" w:cs="Times New Roman"/>
        </w:rPr>
        <w:t xml:space="preserve"> in order to escape punishment</w:t>
      </w:r>
      <w:r w:rsidR="0004423D">
        <w:rPr>
          <w:rFonts w:ascii="Times New Roman" w:hAnsi="Times New Roman" w:cs="Times New Roman"/>
        </w:rPr>
        <w:t xml:space="preserve"> </w:t>
      </w:r>
      <w:r w:rsidR="00FE0581" w:rsidRPr="0004423D">
        <w:rPr>
          <w:rFonts w:ascii="Times New Roman" w:hAnsi="Times New Roman" w:cs="Times New Roman"/>
        </w:rPr>
        <w:t>…</w:t>
      </w:r>
      <w:r w:rsidR="0004423D">
        <w:rPr>
          <w:rFonts w:ascii="Times New Roman" w:hAnsi="Times New Roman" w:cs="Times New Roman"/>
        </w:rPr>
        <w:t xml:space="preserve"> (t</w:t>
      </w:r>
      <w:proofErr w:type="gramStart"/>
      <w:r w:rsidR="0004423D">
        <w:rPr>
          <w:rFonts w:ascii="Times New Roman" w:hAnsi="Times New Roman" w:cs="Times New Roman"/>
        </w:rPr>
        <w:t>)</w:t>
      </w:r>
      <w:r w:rsidRPr="0004423D">
        <w:rPr>
          <w:rFonts w:ascii="Times New Roman" w:hAnsi="Times New Roman" w:cs="Times New Roman"/>
        </w:rPr>
        <w:t>he</w:t>
      </w:r>
      <w:proofErr w:type="gramEnd"/>
      <w:r w:rsidRPr="0004423D">
        <w:rPr>
          <w:rFonts w:ascii="Times New Roman" w:hAnsi="Times New Roman" w:cs="Times New Roman"/>
        </w:rPr>
        <w:t xml:space="preserve"> test to be applied is whether the subordinate acted under coercion or whether he himself approved of the principle involved in the </w:t>
      </w:r>
      <w:r w:rsidRPr="0004423D">
        <w:rPr>
          <w:rFonts w:ascii="Times New Roman" w:hAnsi="Times New Roman" w:cs="Times New Roman"/>
        </w:rPr>
        <w:lastRenderedPageBreak/>
        <w:t>order. If the second proposition be true, the plea of supe</w:t>
      </w:r>
      <w:r w:rsidR="0004423D">
        <w:rPr>
          <w:rFonts w:ascii="Times New Roman" w:hAnsi="Times New Roman" w:cs="Times New Roman"/>
        </w:rPr>
        <w:t>rior orders fails.</w:t>
      </w:r>
      <w:r w:rsidRPr="0004423D">
        <w:rPr>
          <w:rStyle w:val="FootnoteReference"/>
          <w:rFonts w:ascii="Times New Roman" w:hAnsi="Times New Roman"/>
        </w:rPr>
        <w:footnoteReference w:id="57"/>
      </w:r>
    </w:p>
    <w:p w:rsidR="00FE0581" w:rsidRDefault="00FE0581" w:rsidP="00FC34D9">
      <w:pPr>
        <w:spacing w:after="0" w:line="480" w:lineRule="auto"/>
        <w:jc w:val="both"/>
        <w:rPr>
          <w:rFonts w:ascii="Times New Roman" w:hAnsi="Times New Roman" w:cs="Times New Roman"/>
          <w:sz w:val="24"/>
          <w:szCs w:val="24"/>
        </w:rPr>
      </w:pPr>
    </w:p>
    <w:p w:rsidR="00FE0581" w:rsidRPr="007B7359" w:rsidRDefault="00340CBA" w:rsidP="00FC34D9">
      <w:pPr>
        <w:spacing w:after="0" w:line="480" w:lineRule="auto"/>
        <w:jc w:val="both"/>
        <w:rPr>
          <w:rFonts w:ascii="Times New Roman" w:hAnsi="Times New Roman" w:cs="Times New Roman"/>
          <w:sz w:val="24"/>
          <w:szCs w:val="24"/>
          <w:highlight w:val="cyan"/>
        </w:rPr>
      </w:pPr>
      <w:r w:rsidRPr="007B7359">
        <w:rPr>
          <w:rFonts w:ascii="Times New Roman" w:hAnsi="Times New Roman" w:cs="Times New Roman"/>
          <w:sz w:val="24"/>
          <w:szCs w:val="24"/>
        </w:rPr>
        <w:t xml:space="preserve">This brief paragraph encapsulates the Tribunal’s understanding of the form of duress, on the basis of superior orders, which it applied in this case. The willingness to go along with the orders, and the freedom to choose were the most important </w:t>
      </w:r>
      <w:r w:rsidR="00F9738D" w:rsidRPr="007B7359">
        <w:rPr>
          <w:rFonts w:ascii="Times New Roman" w:hAnsi="Times New Roman" w:cs="Times New Roman"/>
          <w:sz w:val="24"/>
          <w:szCs w:val="24"/>
        </w:rPr>
        <w:t>aspects of the judges’</w:t>
      </w:r>
      <w:r w:rsidR="00F621F8" w:rsidRPr="007B7359">
        <w:rPr>
          <w:rFonts w:ascii="Times New Roman" w:hAnsi="Times New Roman" w:cs="Times New Roman"/>
          <w:sz w:val="24"/>
          <w:szCs w:val="24"/>
        </w:rPr>
        <w:t xml:space="preserve"> reasoning. The</w:t>
      </w:r>
      <w:r w:rsidR="00F9738D" w:rsidRPr="007B7359">
        <w:rPr>
          <w:rFonts w:ascii="Times New Roman" w:hAnsi="Times New Roman" w:cs="Times New Roman"/>
          <w:sz w:val="24"/>
          <w:szCs w:val="24"/>
        </w:rPr>
        <w:t xml:space="preserve"> idea of the imminence of the threat did not occupy any of their time in the judgment</w:t>
      </w:r>
      <w:r w:rsidR="00F621F8" w:rsidRPr="007B7359">
        <w:rPr>
          <w:rFonts w:ascii="Times New Roman" w:hAnsi="Times New Roman" w:cs="Times New Roman"/>
          <w:sz w:val="24"/>
          <w:szCs w:val="24"/>
        </w:rPr>
        <w:t>; it w</w:t>
      </w:r>
      <w:r w:rsidR="005C65C4" w:rsidRPr="007B7359">
        <w:rPr>
          <w:rFonts w:ascii="Times New Roman" w:hAnsi="Times New Roman" w:cs="Times New Roman"/>
          <w:sz w:val="24"/>
          <w:szCs w:val="24"/>
        </w:rPr>
        <w:t xml:space="preserve">as noted as part of duress, albeit an expendable part. </w:t>
      </w:r>
      <w:r w:rsidR="00F621F8" w:rsidRPr="007B7359">
        <w:rPr>
          <w:rFonts w:ascii="Times New Roman" w:hAnsi="Times New Roman" w:cs="Times New Roman"/>
          <w:sz w:val="24"/>
          <w:szCs w:val="24"/>
        </w:rPr>
        <w:t>Rather than imminence being key, it was used to demonstrate the lack of choice that the individual demonstrates in the matter. The central issue was the element of</w:t>
      </w:r>
      <w:r w:rsidR="00F9738D" w:rsidRPr="007B7359">
        <w:rPr>
          <w:rFonts w:ascii="Times New Roman" w:hAnsi="Times New Roman" w:cs="Times New Roman"/>
          <w:sz w:val="24"/>
          <w:szCs w:val="24"/>
        </w:rPr>
        <w:t xml:space="preserve"> choice that the individual had, and whether his free choice would have resulted in the same outcome as the coerced behaviour. In this case, it is clear that </w:t>
      </w:r>
      <w:r w:rsidR="00F621F8" w:rsidRPr="007B7359">
        <w:rPr>
          <w:rFonts w:ascii="Times New Roman" w:hAnsi="Times New Roman" w:cs="Times New Roman"/>
          <w:sz w:val="24"/>
          <w:szCs w:val="24"/>
        </w:rPr>
        <w:t xml:space="preserve">the defendants had freedom to choose whether to obey or not, and that their freedom was not impaired by the threat of death or serious physical injury. The Tribunal’s wisdom in focusing on the degree of seriousness of the threat, and the removal of the defendant’s freedom, was particularly important in the context of the Nazi regime, in which </w:t>
      </w:r>
      <w:r w:rsidR="008C1E6D" w:rsidRPr="007B7359">
        <w:rPr>
          <w:rFonts w:ascii="Times New Roman" w:hAnsi="Times New Roman" w:cs="Times New Roman"/>
          <w:sz w:val="24"/>
          <w:szCs w:val="24"/>
        </w:rPr>
        <w:t>the pressure may have been ongoing because of the situation</w:t>
      </w:r>
      <w:r w:rsidR="00F621F8" w:rsidRPr="007B7359">
        <w:rPr>
          <w:rFonts w:ascii="Times New Roman" w:hAnsi="Times New Roman" w:cs="Times New Roman"/>
          <w:sz w:val="24"/>
          <w:szCs w:val="24"/>
        </w:rPr>
        <w:t xml:space="preserve">. It should also be noted that the </w:t>
      </w:r>
      <w:r w:rsidR="008C1E6D" w:rsidRPr="007B7359">
        <w:rPr>
          <w:rFonts w:ascii="Times New Roman" w:hAnsi="Times New Roman" w:cs="Times New Roman"/>
          <w:sz w:val="24"/>
          <w:szCs w:val="24"/>
        </w:rPr>
        <w:t xml:space="preserve">focus on the removal of freedom of choice did not permit the defendants to access the defence when </w:t>
      </w:r>
      <w:r w:rsidR="008C1E6D" w:rsidRPr="007B7359">
        <w:rPr>
          <w:rFonts w:ascii="Times New Roman" w:hAnsi="Times New Roman" w:cs="Times New Roman"/>
          <w:sz w:val="24"/>
          <w:szCs w:val="24"/>
        </w:rPr>
        <w:lastRenderedPageBreak/>
        <w:t>they were clearly not entitled to use it: the threshold was not lowered when imminence is no longer a consideration.</w:t>
      </w:r>
    </w:p>
    <w:p w:rsidR="008B45ED" w:rsidRPr="007B7359" w:rsidRDefault="0090727D" w:rsidP="00FC34D9">
      <w:pPr>
        <w:tabs>
          <w:tab w:val="left" w:pos="7939"/>
        </w:tabs>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ab/>
      </w:r>
    </w:p>
    <w:p w:rsidR="005B6861" w:rsidRDefault="005B6861"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The case of </w:t>
      </w:r>
      <w:r w:rsidRPr="007B7359">
        <w:rPr>
          <w:rFonts w:ascii="Times New Roman" w:hAnsi="Times New Roman" w:cs="Times New Roman"/>
          <w:i/>
          <w:sz w:val="24"/>
          <w:szCs w:val="24"/>
        </w:rPr>
        <w:t xml:space="preserve">Von </w:t>
      </w:r>
      <w:proofErr w:type="spellStart"/>
      <w:r w:rsidRPr="007B7359">
        <w:rPr>
          <w:rFonts w:ascii="Times New Roman" w:hAnsi="Times New Roman" w:cs="Times New Roman"/>
          <w:i/>
          <w:sz w:val="24"/>
          <w:szCs w:val="24"/>
        </w:rPr>
        <w:t>Leeb</w:t>
      </w:r>
      <w:proofErr w:type="spellEnd"/>
      <w:r w:rsidRPr="007B7359">
        <w:rPr>
          <w:rStyle w:val="FootnoteReference"/>
          <w:rFonts w:ascii="Times New Roman" w:hAnsi="Times New Roman"/>
          <w:sz w:val="24"/>
          <w:szCs w:val="24"/>
        </w:rPr>
        <w:footnoteReference w:id="58"/>
      </w:r>
      <w:r w:rsidRPr="007B7359">
        <w:rPr>
          <w:rFonts w:ascii="Times New Roman" w:hAnsi="Times New Roman" w:cs="Times New Roman"/>
          <w:sz w:val="24"/>
          <w:szCs w:val="24"/>
        </w:rPr>
        <w:t xml:space="preserve"> </w:t>
      </w:r>
      <w:r w:rsidR="00AA5C5B" w:rsidRPr="007B7359">
        <w:rPr>
          <w:rFonts w:ascii="Times New Roman" w:hAnsi="Times New Roman" w:cs="Times New Roman"/>
          <w:sz w:val="24"/>
          <w:szCs w:val="24"/>
        </w:rPr>
        <w:t>involved members of the German High Command being tried on charges of a significant number of war crimes and crimes against humanity, including breaches of the Geneva Convention,</w:t>
      </w:r>
      <w:r w:rsidR="00A93F11" w:rsidRPr="007B7359">
        <w:rPr>
          <w:rStyle w:val="FootnoteReference"/>
          <w:rFonts w:ascii="Times New Roman" w:hAnsi="Times New Roman"/>
          <w:sz w:val="24"/>
          <w:szCs w:val="24"/>
        </w:rPr>
        <w:footnoteReference w:id="59"/>
      </w:r>
      <w:r w:rsidR="00AA5C5B" w:rsidRPr="007B7359">
        <w:rPr>
          <w:rFonts w:ascii="Times New Roman" w:hAnsi="Times New Roman" w:cs="Times New Roman"/>
          <w:sz w:val="24"/>
          <w:szCs w:val="24"/>
        </w:rPr>
        <w:t xml:space="preserve"> crimes against civilians,</w:t>
      </w:r>
      <w:r w:rsidR="00A93F11" w:rsidRPr="007B7359">
        <w:rPr>
          <w:rStyle w:val="FootnoteReference"/>
          <w:rFonts w:ascii="Times New Roman" w:hAnsi="Times New Roman"/>
          <w:sz w:val="24"/>
          <w:szCs w:val="24"/>
        </w:rPr>
        <w:footnoteReference w:id="60"/>
      </w:r>
      <w:r w:rsidR="00AA5C5B" w:rsidRPr="007B7359">
        <w:rPr>
          <w:rFonts w:ascii="Times New Roman" w:hAnsi="Times New Roman" w:cs="Times New Roman"/>
          <w:sz w:val="24"/>
          <w:szCs w:val="24"/>
        </w:rPr>
        <w:t xml:space="preserve"> </w:t>
      </w:r>
      <w:r w:rsidR="00A93F11" w:rsidRPr="007B7359">
        <w:rPr>
          <w:rFonts w:ascii="Times New Roman" w:hAnsi="Times New Roman" w:cs="Times New Roman"/>
          <w:sz w:val="24"/>
          <w:szCs w:val="24"/>
        </w:rPr>
        <w:t>and conducting an aggressive war.</w:t>
      </w:r>
      <w:r w:rsidR="00A93F11" w:rsidRPr="007B7359">
        <w:rPr>
          <w:rStyle w:val="FootnoteReference"/>
          <w:rFonts w:ascii="Times New Roman" w:hAnsi="Times New Roman"/>
          <w:sz w:val="24"/>
          <w:szCs w:val="24"/>
        </w:rPr>
        <w:footnoteReference w:id="61"/>
      </w:r>
    </w:p>
    <w:p w:rsidR="0004423D" w:rsidRPr="007B7359" w:rsidRDefault="0004423D" w:rsidP="00FC34D9">
      <w:pPr>
        <w:spacing w:after="0" w:line="480" w:lineRule="auto"/>
        <w:jc w:val="both"/>
        <w:rPr>
          <w:rFonts w:ascii="Times New Roman" w:hAnsi="Times New Roman" w:cs="Times New Roman"/>
          <w:sz w:val="24"/>
          <w:szCs w:val="24"/>
        </w:rPr>
      </w:pPr>
    </w:p>
    <w:p w:rsidR="00DD0A6E" w:rsidRPr="007B7359" w:rsidRDefault="00DD0A6E"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The defendants argued that they were entitled to the defence of </w:t>
      </w:r>
      <w:r w:rsidR="0090727D" w:rsidRPr="007B7359">
        <w:rPr>
          <w:rFonts w:ascii="Times New Roman" w:hAnsi="Times New Roman" w:cs="Times New Roman"/>
          <w:sz w:val="24"/>
          <w:szCs w:val="24"/>
        </w:rPr>
        <w:t>superior orders,</w:t>
      </w:r>
      <w:r w:rsidR="0090727D" w:rsidRPr="007B7359">
        <w:rPr>
          <w:rStyle w:val="FootnoteReference"/>
          <w:rFonts w:ascii="Times New Roman" w:hAnsi="Times New Roman"/>
          <w:sz w:val="24"/>
          <w:szCs w:val="24"/>
        </w:rPr>
        <w:footnoteReference w:id="62"/>
      </w:r>
      <w:r w:rsidR="0090727D" w:rsidRPr="007B7359">
        <w:rPr>
          <w:rFonts w:ascii="Times New Roman" w:hAnsi="Times New Roman" w:cs="Times New Roman"/>
          <w:sz w:val="24"/>
          <w:szCs w:val="24"/>
        </w:rPr>
        <w:t xml:space="preserve"> </w:t>
      </w:r>
      <w:r w:rsidR="00FA4735" w:rsidRPr="007B7359">
        <w:rPr>
          <w:rFonts w:ascii="Times New Roman" w:hAnsi="Times New Roman" w:cs="Times New Roman"/>
          <w:sz w:val="24"/>
          <w:szCs w:val="24"/>
        </w:rPr>
        <w:t>even though</w:t>
      </w:r>
      <w:r w:rsidR="0090727D" w:rsidRPr="007B7359">
        <w:rPr>
          <w:rFonts w:ascii="Times New Roman" w:hAnsi="Times New Roman" w:cs="Times New Roman"/>
          <w:sz w:val="24"/>
          <w:szCs w:val="24"/>
        </w:rPr>
        <w:t xml:space="preserve"> the order under which the Nuremberg Trials had been established had explicitly excluded the defence.</w:t>
      </w:r>
      <w:r w:rsidR="0090727D" w:rsidRPr="007B7359">
        <w:rPr>
          <w:rStyle w:val="FootnoteReference"/>
          <w:rFonts w:ascii="Times New Roman" w:hAnsi="Times New Roman"/>
          <w:sz w:val="24"/>
          <w:szCs w:val="24"/>
        </w:rPr>
        <w:footnoteReference w:id="63"/>
      </w:r>
      <w:r w:rsidR="00FA4735" w:rsidRPr="007B7359">
        <w:rPr>
          <w:rFonts w:ascii="Times New Roman" w:hAnsi="Times New Roman" w:cs="Times New Roman"/>
          <w:sz w:val="24"/>
          <w:szCs w:val="24"/>
        </w:rPr>
        <w:t xml:space="preserve"> Although the Tribunal acknowledged that it was bound by the law excluding the defence, it outlined its reasons for rejecting the application of superior orders, on account of the </w:t>
      </w:r>
      <w:r w:rsidR="00F4458D" w:rsidRPr="007B7359">
        <w:rPr>
          <w:rFonts w:ascii="Times New Roman" w:hAnsi="Times New Roman" w:cs="Times New Roman"/>
          <w:sz w:val="24"/>
          <w:szCs w:val="24"/>
        </w:rPr>
        <w:t>oft-cited argument that any trial organised by the Allied powers against the Nazis</w:t>
      </w:r>
      <w:r w:rsidR="00FA4735" w:rsidRPr="007B7359">
        <w:rPr>
          <w:rFonts w:ascii="Times New Roman" w:hAnsi="Times New Roman" w:cs="Times New Roman"/>
          <w:sz w:val="24"/>
          <w:szCs w:val="24"/>
        </w:rPr>
        <w:t xml:space="preserve"> was fundamentally unfair to the individuals, who were all bound by Hitler’s orders.</w:t>
      </w:r>
      <w:r w:rsidR="00FA4735" w:rsidRPr="007B7359">
        <w:rPr>
          <w:rStyle w:val="FootnoteReference"/>
          <w:rFonts w:ascii="Times New Roman" w:hAnsi="Times New Roman"/>
          <w:sz w:val="24"/>
          <w:szCs w:val="24"/>
        </w:rPr>
        <w:footnoteReference w:id="64"/>
      </w:r>
      <w:r w:rsidR="00F4458D" w:rsidRPr="007B7359">
        <w:rPr>
          <w:rFonts w:ascii="Times New Roman" w:hAnsi="Times New Roman" w:cs="Times New Roman"/>
          <w:sz w:val="24"/>
          <w:szCs w:val="24"/>
        </w:rPr>
        <w:t xml:space="preserve"> After exploring the idea of superior orders, as outlined in the German Military  Penal Code, t</w:t>
      </w:r>
      <w:r w:rsidR="00FA4735" w:rsidRPr="007B7359">
        <w:rPr>
          <w:rFonts w:ascii="Times New Roman" w:hAnsi="Times New Roman" w:cs="Times New Roman"/>
          <w:sz w:val="24"/>
          <w:szCs w:val="24"/>
        </w:rPr>
        <w:t xml:space="preserve">he </w:t>
      </w:r>
      <w:r w:rsidR="006C0581" w:rsidRPr="007B7359">
        <w:rPr>
          <w:rFonts w:ascii="Times New Roman" w:hAnsi="Times New Roman" w:cs="Times New Roman"/>
          <w:sz w:val="24"/>
          <w:szCs w:val="24"/>
        </w:rPr>
        <w:t xml:space="preserve">Tribunal held that superior orders, as a form of duress </w:t>
      </w:r>
      <w:r w:rsidR="006C0581" w:rsidRPr="007B7359">
        <w:rPr>
          <w:rFonts w:ascii="Times New Roman" w:hAnsi="Times New Roman" w:cs="Times New Roman"/>
          <w:sz w:val="24"/>
          <w:szCs w:val="24"/>
        </w:rPr>
        <w:lastRenderedPageBreak/>
        <w:t>or necessity,</w:t>
      </w:r>
      <w:r w:rsidR="006C0581" w:rsidRPr="007B7359">
        <w:rPr>
          <w:rStyle w:val="FootnoteReference"/>
          <w:rFonts w:ascii="Times New Roman" w:hAnsi="Times New Roman"/>
          <w:sz w:val="24"/>
          <w:szCs w:val="24"/>
        </w:rPr>
        <w:footnoteReference w:id="65"/>
      </w:r>
      <w:r w:rsidR="006C0581" w:rsidRPr="007B7359">
        <w:rPr>
          <w:rFonts w:ascii="Times New Roman" w:hAnsi="Times New Roman" w:cs="Times New Roman"/>
          <w:sz w:val="24"/>
          <w:szCs w:val="24"/>
        </w:rPr>
        <w:t xml:space="preserve"> could not be a defence where slavish adherence to orders of a clearly criminal nature had occurred.</w:t>
      </w:r>
      <w:r w:rsidR="006C0581" w:rsidRPr="007B7359">
        <w:rPr>
          <w:rStyle w:val="FootnoteReference"/>
          <w:rFonts w:ascii="Times New Roman" w:hAnsi="Times New Roman"/>
          <w:sz w:val="24"/>
          <w:szCs w:val="24"/>
        </w:rPr>
        <w:footnoteReference w:id="66"/>
      </w:r>
      <w:r w:rsidR="006C0581" w:rsidRPr="007B7359">
        <w:rPr>
          <w:rFonts w:ascii="Times New Roman" w:hAnsi="Times New Roman" w:cs="Times New Roman"/>
          <w:sz w:val="24"/>
          <w:szCs w:val="24"/>
        </w:rPr>
        <w:t xml:space="preserve"> </w:t>
      </w:r>
    </w:p>
    <w:p w:rsidR="006C0581" w:rsidRPr="007B7359" w:rsidRDefault="006C0581" w:rsidP="00FC34D9">
      <w:pPr>
        <w:spacing w:after="0" w:line="480" w:lineRule="auto"/>
        <w:jc w:val="both"/>
        <w:rPr>
          <w:rFonts w:ascii="Times New Roman" w:hAnsi="Times New Roman" w:cs="Times New Roman"/>
          <w:sz w:val="24"/>
          <w:szCs w:val="24"/>
        </w:rPr>
      </w:pPr>
    </w:p>
    <w:p w:rsidR="007A17AE" w:rsidRPr="007B7359" w:rsidRDefault="006C0581"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Tribunal, unusually considering the judgments noted above, the importance of the immediate or imminent nature of the threat. It went on to highlight that the defence of necessity could be available to an individual who</w:t>
      </w:r>
      <w:r w:rsidR="008B45ED" w:rsidRPr="007B7359">
        <w:rPr>
          <w:rFonts w:ascii="Times New Roman" w:hAnsi="Times New Roman" w:cs="Times New Roman"/>
          <w:sz w:val="24"/>
          <w:szCs w:val="24"/>
        </w:rPr>
        <w:t xml:space="preserve"> ‘was in such imminent physical peril as to deprive him of freedom to choose the right and refrain from the wrong.’</w:t>
      </w:r>
      <w:r w:rsidR="008B45ED" w:rsidRPr="007B7359">
        <w:rPr>
          <w:rStyle w:val="FootnoteReference"/>
          <w:rFonts w:ascii="Times New Roman" w:hAnsi="Times New Roman"/>
          <w:sz w:val="24"/>
          <w:szCs w:val="24"/>
        </w:rPr>
        <w:footnoteReference w:id="67"/>
      </w:r>
      <w:r w:rsidR="008B45ED" w:rsidRPr="007B7359">
        <w:rPr>
          <w:rFonts w:ascii="Times New Roman" w:hAnsi="Times New Roman" w:cs="Times New Roman"/>
          <w:sz w:val="24"/>
          <w:szCs w:val="24"/>
        </w:rPr>
        <w:t xml:space="preserve"> </w:t>
      </w:r>
      <w:r w:rsidRPr="007B7359">
        <w:rPr>
          <w:rFonts w:ascii="Times New Roman" w:hAnsi="Times New Roman" w:cs="Times New Roman"/>
          <w:sz w:val="24"/>
          <w:szCs w:val="24"/>
        </w:rPr>
        <w:t>The significance of the imminence of the threat was underscored in the same paragraph of the judgment, where the ‘disadvantage or punishment’ had to be ‘immediately threatened’</w:t>
      </w:r>
      <w:r w:rsidRPr="007B7359">
        <w:rPr>
          <w:rStyle w:val="FootnoteReference"/>
          <w:rFonts w:ascii="Times New Roman" w:hAnsi="Times New Roman"/>
          <w:sz w:val="24"/>
          <w:szCs w:val="24"/>
        </w:rPr>
        <w:footnoteReference w:id="68"/>
      </w:r>
      <w:r w:rsidRPr="007B7359">
        <w:rPr>
          <w:rFonts w:ascii="Times New Roman" w:hAnsi="Times New Roman" w:cs="Times New Roman"/>
          <w:sz w:val="24"/>
          <w:szCs w:val="24"/>
        </w:rPr>
        <w:t xml:space="preserve"> for the defence to be used. The Tribunal in this instance prioritised and highlighted the importance of the requirement of imminence, </w:t>
      </w:r>
      <w:r w:rsidR="0024269D" w:rsidRPr="007B7359">
        <w:rPr>
          <w:rFonts w:ascii="Times New Roman" w:hAnsi="Times New Roman" w:cs="Times New Roman"/>
          <w:sz w:val="24"/>
          <w:szCs w:val="24"/>
        </w:rPr>
        <w:t>but used it as a way of indicating that the individual’s free will had truly been overborne. The repeated adherence to the orders, and the lack of evidence indicating a clear objection to the orders, was held to have been sufficient evidence that the accused were not entitled to rely on the defence of superior orders.</w:t>
      </w:r>
    </w:p>
    <w:p w:rsidR="0024269D" w:rsidRPr="007B7359" w:rsidRDefault="0024269D" w:rsidP="00FC34D9">
      <w:pPr>
        <w:spacing w:after="0" w:line="480" w:lineRule="auto"/>
        <w:jc w:val="both"/>
        <w:rPr>
          <w:rFonts w:ascii="Times New Roman" w:hAnsi="Times New Roman" w:cs="Times New Roman"/>
          <w:sz w:val="24"/>
          <w:szCs w:val="24"/>
        </w:rPr>
      </w:pPr>
    </w:p>
    <w:p w:rsidR="0024269D" w:rsidRPr="007B7359" w:rsidRDefault="00816EFD"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In this case, the Tribunal had</w:t>
      </w:r>
      <w:r w:rsidR="0024269D" w:rsidRPr="007B7359">
        <w:rPr>
          <w:rFonts w:ascii="Times New Roman" w:hAnsi="Times New Roman" w:cs="Times New Roman"/>
          <w:sz w:val="24"/>
          <w:szCs w:val="24"/>
        </w:rPr>
        <w:t>, unusually</w:t>
      </w:r>
      <w:r w:rsidRPr="007B7359">
        <w:rPr>
          <w:rFonts w:ascii="Times New Roman" w:hAnsi="Times New Roman" w:cs="Times New Roman"/>
          <w:sz w:val="24"/>
          <w:szCs w:val="24"/>
        </w:rPr>
        <w:t xml:space="preserve"> in comparison to the other cases analysed here</w:t>
      </w:r>
      <w:r w:rsidR="0024269D" w:rsidRPr="007B7359">
        <w:rPr>
          <w:rFonts w:ascii="Times New Roman" w:hAnsi="Times New Roman" w:cs="Times New Roman"/>
          <w:sz w:val="24"/>
          <w:szCs w:val="24"/>
        </w:rPr>
        <w:t xml:space="preserve">, noted twice the importance of the </w:t>
      </w:r>
      <w:r w:rsidR="0024269D" w:rsidRPr="007B7359">
        <w:rPr>
          <w:rFonts w:ascii="Times New Roman" w:hAnsi="Times New Roman" w:cs="Times New Roman"/>
          <w:sz w:val="24"/>
          <w:szCs w:val="24"/>
        </w:rPr>
        <w:lastRenderedPageBreak/>
        <w:t>temporal nature of the threat or pr</w:t>
      </w:r>
      <w:r w:rsidR="00420CEA" w:rsidRPr="007B7359">
        <w:rPr>
          <w:rFonts w:ascii="Times New Roman" w:hAnsi="Times New Roman" w:cs="Times New Roman"/>
          <w:sz w:val="24"/>
          <w:szCs w:val="24"/>
        </w:rPr>
        <w:t xml:space="preserve">esumed punishment. It is also worth highlighting that the </w:t>
      </w:r>
      <w:r w:rsidR="0024269D" w:rsidRPr="007B7359">
        <w:rPr>
          <w:rFonts w:ascii="Times New Roman" w:hAnsi="Times New Roman" w:cs="Times New Roman"/>
          <w:sz w:val="24"/>
          <w:szCs w:val="24"/>
        </w:rPr>
        <w:t>idea of superior orders was automatically connected with duress and/or necessity, and consequently that the pressure on the individual was a key element in utilising the defence. However, the availability of the defence was strictly circumscribed to exclude the generally pressurised environment of the strict Nazi regime and punishments such as demotion. Interestingly, the Tribunal also noted the importance of a ‘physical peril’, weighting the requirements of the defence as much higher than a mere ‘punishment or disadvantage.</w:t>
      </w:r>
      <w:r w:rsidR="00A55488" w:rsidRPr="007B7359">
        <w:rPr>
          <w:rFonts w:ascii="Times New Roman" w:hAnsi="Times New Roman" w:cs="Times New Roman"/>
          <w:sz w:val="24"/>
          <w:szCs w:val="24"/>
        </w:rPr>
        <w:t>’</w:t>
      </w:r>
      <w:r w:rsidR="00420CEA" w:rsidRPr="007B7359">
        <w:rPr>
          <w:rFonts w:ascii="Times New Roman" w:hAnsi="Times New Roman" w:cs="Times New Roman"/>
          <w:sz w:val="24"/>
          <w:szCs w:val="24"/>
        </w:rPr>
        <w:t xml:space="preserve"> Taking the ordinary meaning of the words used</w:t>
      </w:r>
      <w:r w:rsidR="0024269D" w:rsidRPr="007B7359">
        <w:rPr>
          <w:rFonts w:ascii="Times New Roman" w:hAnsi="Times New Roman" w:cs="Times New Roman"/>
          <w:sz w:val="24"/>
          <w:szCs w:val="24"/>
        </w:rPr>
        <w:t>, the imminence of the threat is more significant here than the seriousness of the threat, given that the imminence of the threat is repeated by using the word ‘peril’, but that the seriousness of the threat is not mentioned outside of that word.</w:t>
      </w:r>
    </w:p>
    <w:p w:rsidR="0024269D" w:rsidRPr="007B7359" w:rsidRDefault="0024269D" w:rsidP="00FC34D9">
      <w:pPr>
        <w:spacing w:after="0" w:line="480" w:lineRule="auto"/>
        <w:jc w:val="both"/>
        <w:rPr>
          <w:rFonts w:ascii="Times New Roman" w:hAnsi="Times New Roman" w:cs="Times New Roman"/>
          <w:sz w:val="24"/>
          <w:szCs w:val="24"/>
        </w:rPr>
      </w:pPr>
    </w:p>
    <w:p w:rsidR="0024269D" w:rsidRPr="007B7359" w:rsidRDefault="004478BC"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i/>
          <w:sz w:val="24"/>
          <w:szCs w:val="24"/>
        </w:rPr>
        <w:t xml:space="preserve">Von </w:t>
      </w:r>
      <w:proofErr w:type="spellStart"/>
      <w:r w:rsidRPr="007B7359">
        <w:rPr>
          <w:rFonts w:ascii="Times New Roman" w:hAnsi="Times New Roman" w:cs="Times New Roman"/>
          <w:i/>
          <w:sz w:val="24"/>
          <w:szCs w:val="24"/>
        </w:rPr>
        <w:t>Leeb</w:t>
      </w:r>
      <w:proofErr w:type="spellEnd"/>
      <w:r w:rsidRPr="007B7359">
        <w:rPr>
          <w:rFonts w:ascii="Times New Roman" w:hAnsi="Times New Roman" w:cs="Times New Roman"/>
          <w:i/>
          <w:sz w:val="24"/>
          <w:szCs w:val="24"/>
        </w:rPr>
        <w:t xml:space="preserve"> </w:t>
      </w:r>
      <w:r w:rsidRPr="007B7359">
        <w:rPr>
          <w:rFonts w:ascii="Times New Roman" w:hAnsi="Times New Roman" w:cs="Times New Roman"/>
          <w:sz w:val="24"/>
          <w:szCs w:val="24"/>
        </w:rPr>
        <w:t xml:space="preserve">resurrects the idea of imminence as key in the context of duress/necessity, but only in the case of superior orders. However, no clear reasoning for doing so is offered and, similarly to the cases above, there is little authority offered to substantiate the position undertaken by the Tribunal. Where the Germany Military Penal Code is adduced as authority for the idea that superior orders cannot be a valid defence to war </w:t>
      </w:r>
      <w:r w:rsidRPr="007B7359">
        <w:rPr>
          <w:rFonts w:ascii="Times New Roman" w:hAnsi="Times New Roman" w:cs="Times New Roman"/>
          <w:sz w:val="24"/>
          <w:szCs w:val="24"/>
        </w:rPr>
        <w:lastRenderedPageBreak/>
        <w:t>crimes,</w:t>
      </w:r>
      <w:r w:rsidRPr="007B7359">
        <w:rPr>
          <w:rStyle w:val="FootnoteReference"/>
          <w:rFonts w:ascii="Times New Roman" w:hAnsi="Times New Roman"/>
          <w:sz w:val="24"/>
          <w:szCs w:val="24"/>
        </w:rPr>
        <w:footnoteReference w:id="69"/>
      </w:r>
      <w:r w:rsidRPr="007B7359">
        <w:rPr>
          <w:rFonts w:ascii="Times New Roman" w:hAnsi="Times New Roman" w:cs="Times New Roman"/>
          <w:sz w:val="24"/>
          <w:szCs w:val="24"/>
        </w:rPr>
        <w:t xml:space="preserve"> no reference is made to the definition of superior orders. Thus, the defence on which the Tribunal bases its arguments appears to be drawn from a general understanding of the ‘international common law’</w:t>
      </w:r>
      <w:r w:rsidRPr="007B7359">
        <w:rPr>
          <w:rStyle w:val="FootnoteReference"/>
          <w:rFonts w:ascii="Times New Roman" w:hAnsi="Times New Roman"/>
          <w:sz w:val="24"/>
          <w:szCs w:val="24"/>
        </w:rPr>
        <w:footnoteReference w:id="70"/>
      </w:r>
      <w:r w:rsidRPr="007B7359">
        <w:rPr>
          <w:rFonts w:ascii="Times New Roman" w:hAnsi="Times New Roman" w:cs="Times New Roman"/>
          <w:sz w:val="24"/>
          <w:szCs w:val="24"/>
        </w:rPr>
        <w:t xml:space="preserve"> and the inclusion of imminence appears arbitrary.</w:t>
      </w:r>
    </w:p>
    <w:p w:rsidR="00F4458D" w:rsidRPr="007B7359" w:rsidRDefault="00F4458D" w:rsidP="00FC34D9">
      <w:pPr>
        <w:spacing w:after="0" w:line="480" w:lineRule="auto"/>
        <w:jc w:val="both"/>
        <w:rPr>
          <w:rFonts w:ascii="Times New Roman" w:hAnsi="Times New Roman" w:cs="Times New Roman"/>
          <w:b/>
          <w:sz w:val="24"/>
          <w:szCs w:val="24"/>
          <w:u w:val="single"/>
        </w:rPr>
      </w:pPr>
    </w:p>
    <w:p w:rsidR="004478BC" w:rsidRPr="007B7359" w:rsidRDefault="007A17AE"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The </w:t>
      </w:r>
      <w:r w:rsidRPr="007B7359">
        <w:rPr>
          <w:rFonts w:ascii="Times New Roman" w:hAnsi="Times New Roman" w:cs="Times New Roman"/>
          <w:i/>
          <w:sz w:val="24"/>
          <w:szCs w:val="24"/>
        </w:rPr>
        <w:t>Priebke</w:t>
      </w:r>
      <w:r w:rsidR="00106F32" w:rsidRPr="007B7359">
        <w:rPr>
          <w:rStyle w:val="FootnoteReference"/>
          <w:rFonts w:ascii="Times New Roman" w:hAnsi="Times New Roman"/>
          <w:i/>
          <w:sz w:val="24"/>
          <w:szCs w:val="24"/>
        </w:rPr>
        <w:footnoteReference w:id="71"/>
      </w:r>
      <w:r w:rsidRPr="007B7359">
        <w:rPr>
          <w:rFonts w:ascii="Times New Roman" w:hAnsi="Times New Roman" w:cs="Times New Roman"/>
          <w:sz w:val="24"/>
          <w:szCs w:val="24"/>
        </w:rPr>
        <w:t xml:space="preserve"> case was heard relatively recently, in 1998,</w:t>
      </w:r>
      <w:r w:rsidR="001F1875" w:rsidRPr="007B7359">
        <w:rPr>
          <w:rFonts w:ascii="Times New Roman" w:hAnsi="Times New Roman" w:cs="Times New Roman"/>
          <w:sz w:val="24"/>
          <w:szCs w:val="24"/>
        </w:rPr>
        <w:t xml:space="preserve"> although it concerned events which had occurred towards the end of the Second World War. In a similar manner to the </w:t>
      </w:r>
      <w:r w:rsidR="004478BC" w:rsidRPr="007B7359">
        <w:rPr>
          <w:rFonts w:ascii="Times New Roman" w:hAnsi="Times New Roman" w:cs="Times New Roman"/>
          <w:i/>
          <w:sz w:val="24"/>
          <w:szCs w:val="24"/>
        </w:rPr>
        <w:t xml:space="preserve">Von </w:t>
      </w:r>
      <w:proofErr w:type="spellStart"/>
      <w:r w:rsidR="004478BC" w:rsidRPr="007B7359">
        <w:rPr>
          <w:rFonts w:ascii="Times New Roman" w:hAnsi="Times New Roman" w:cs="Times New Roman"/>
          <w:i/>
          <w:sz w:val="24"/>
          <w:szCs w:val="24"/>
        </w:rPr>
        <w:t>Leeb</w:t>
      </w:r>
      <w:proofErr w:type="spellEnd"/>
      <w:r w:rsidR="004478BC" w:rsidRPr="007B7359">
        <w:rPr>
          <w:rFonts w:ascii="Times New Roman" w:hAnsi="Times New Roman" w:cs="Times New Roman"/>
          <w:sz w:val="24"/>
          <w:szCs w:val="24"/>
        </w:rPr>
        <w:t xml:space="preserve"> case,</w:t>
      </w:r>
      <w:r w:rsidRPr="007B7359">
        <w:rPr>
          <w:rFonts w:ascii="Times New Roman" w:hAnsi="Times New Roman" w:cs="Times New Roman"/>
          <w:sz w:val="24"/>
          <w:szCs w:val="24"/>
        </w:rPr>
        <w:t xml:space="preserve"> </w:t>
      </w:r>
      <w:r w:rsidR="001F1875" w:rsidRPr="007B7359">
        <w:rPr>
          <w:rFonts w:ascii="Times New Roman" w:hAnsi="Times New Roman" w:cs="Times New Roman"/>
          <w:sz w:val="24"/>
          <w:szCs w:val="24"/>
        </w:rPr>
        <w:t xml:space="preserve">it </w:t>
      </w:r>
      <w:r w:rsidRPr="007B7359">
        <w:rPr>
          <w:rFonts w:ascii="Times New Roman" w:hAnsi="Times New Roman" w:cs="Times New Roman"/>
          <w:sz w:val="24"/>
          <w:szCs w:val="24"/>
        </w:rPr>
        <w:t xml:space="preserve">raised some points relevant to the discussion of duress. Priebke and Hass both stood trial accused of killing civilians in response to the deaths of German soldiers, and both pleaded </w:t>
      </w:r>
      <w:r w:rsidR="004478BC" w:rsidRPr="007B7359">
        <w:rPr>
          <w:rFonts w:ascii="Times New Roman" w:hAnsi="Times New Roman" w:cs="Times New Roman"/>
          <w:sz w:val="24"/>
          <w:szCs w:val="24"/>
        </w:rPr>
        <w:t xml:space="preserve">the defence of superior orders. Their defences included the argument that they would have been subject to serious harm had they not carried out the killings as directed. The Court considered both the defence of superior orders in respect of the case, as well as the argument that they had acted under duress, and examined the availability of the defences to the charges of </w:t>
      </w:r>
      <w:r w:rsidR="001F1875" w:rsidRPr="007B7359">
        <w:rPr>
          <w:rFonts w:ascii="Times New Roman" w:hAnsi="Times New Roman" w:cs="Times New Roman"/>
          <w:sz w:val="24"/>
          <w:szCs w:val="24"/>
        </w:rPr>
        <w:t>war crimes, including murder and extermination.</w:t>
      </w:r>
    </w:p>
    <w:p w:rsidR="004478BC" w:rsidRPr="007B7359" w:rsidRDefault="004478BC" w:rsidP="00FC34D9">
      <w:pPr>
        <w:spacing w:after="0" w:line="480" w:lineRule="auto"/>
        <w:jc w:val="both"/>
        <w:rPr>
          <w:rFonts w:ascii="Times New Roman" w:hAnsi="Times New Roman" w:cs="Times New Roman"/>
          <w:sz w:val="24"/>
          <w:szCs w:val="24"/>
        </w:rPr>
      </w:pPr>
    </w:p>
    <w:p w:rsidR="001F1875" w:rsidRPr="007B7359" w:rsidRDefault="001F1875"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Both Hass and Priebke</w:t>
      </w:r>
      <w:r w:rsidR="007A17AE" w:rsidRPr="007B7359">
        <w:rPr>
          <w:rFonts w:ascii="Times New Roman" w:hAnsi="Times New Roman" w:cs="Times New Roman"/>
          <w:sz w:val="24"/>
          <w:szCs w:val="24"/>
        </w:rPr>
        <w:t xml:space="preserve"> argued that they were forced to carry out the killings, </w:t>
      </w:r>
      <w:r w:rsidRPr="007B7359">
        <w:rPr>
          <w:rFonts w:ascii="Times New Roman" w:hAnsi="Times New Roman" w:cs="Times New Roman"/>
          <w:sz w:val="24"/>
          <w:szCs w:val="24"/>
        </w:rPr>
        <w:t xml:space="preserve">and stated that they </w:t>
      </w:r>
      <w:r w:rsidR="007A17AE" w:rsidRPr="007B7359">
        <w:rPr>
          <w:rFonts w:ascii="Times New Roman" w:hAnsi="Times New Roman" w:cs="Times New Roman"/>
          <w:sz w:val="24"/>
          <w:szCs w:val="24"/>
        </w:rPr>
        <w:t>would have been subject to serious harm if they ha</w:t>
      </w:r>
      <w:r w:rsidRPr="007B7359">
        <w:rPr>
          <w:rFonts w:ascii="Times New Roman" w:hAnsi="Times New Roman" w:cs="Times New Roman"/>
          <w:sz w:val="24"/>
          <w:szCs w:val="24"/>
        </w:rPr>
        <w:t xml:space="preserve">d not. As the case was heard before a </w:t>
      </w:r>
      <w:r w:rsidRPr="007B7359">
        <w:rPr>
          <w:rFonts w:ascii="Times New Roman" w:hAnsi="Times New Roman" w:cs="Times New Roman"/>
          <w:sz w:val="24"/>
          <w:szCs w:val="24"/>
        </w:rPr>
        <w:lastRenderedPageBreak/>
        <w:t xml:space="preserve">military tribunal in </w:t>
      </w:r>
      <w:r w:rsidR="007A17AE" w:rsidRPr="007B7359">
        <w:rPr>
          <w:rFonts w:ascii="Times New Roman" w:hAnsi="Times New Roman" w:cs="Times New Roman"/>
          <w:sz w:val="24"/>
          <w:szCs w:val="24"/>
        </w:rPr>
        <w:t>Italy, the version of duress pled was the version contained within the Italian Criminal Code. This version requires that a person must prove they were ‘threatened with severe and irremediable harm to life or limb.’</w:t>
      </w:r>
      <w:r w:rsidR="007A17AE" w:rsidRPr="007B7359">
        <w:rPr>
          <w:rStyle w:val="FootnoteReference"/>
          <w:rFonts w:ascii="Times New Roman" w:hAnsi="Times New Roman"/>
          <w:sz w:val="24"/>
          <w:szCs w:val="24"/>
        </w:rPr>
        <w:footnoteReference w:id="72"/>
      </w:r>
      <w:r w:rsidR="007A17AE" w:rsidRPr="007B7359">
        <w:rPr>
          <w:rFonts w:ascii="Times New Roman" w:hAnsi="Times New Roman" w:cs="Times New Roman"/>
          <w:sz w:val="24"/>
          <w:szCs w:val="24"/>
        </w:rPr>
        <w:t xml:space="preserve"> There was little discussion regarding the idea of the i</w:t>
      </w:r>
      <w:r w:rsidRPr="007B7359">
        <w:rPr>
          <w:rFonts w:ascii="Times New Roman" w:hAnsi="Times New Roman" w:cs="Times New Roman"/>
          <w:sz w:val="24"/>
          <w:szCs w:val="24"/>
        </w:rPr>
        <w:t xml:space="preserve">mminence of the threat, </w:t>
      </w:r>
      <w:r w:rsidR="007A17AE" w:rsidRPr="007B7359">
        <w:rPr>
          <w:rFonts w:ascii="Times New Roman" w:hAnsi="Times New Roman" w:cs="Times New Roman"/>
          <w:sz w:val="24"/>
          <w:szCs w:val="24"/>
        </w:rPr>
        <w:t>and instead the focus was on proportionality.</w:t>
      </w:r>
      <w:r w:rsidR="007A17AE" w:rsidRPr="007B7359">
        <w:rPr>
          <w:rStyle w:val="FootnoteReference"/>
          <w:rFonts w:ascii="Times New Roman" w:hAnsi="Times New Roman"/>
          <w:sz w:val="24"/>
          <w:szCs w:val="24"/>
        </w:rPr>
        <w:footnoteReference w:id="73"/>
      </w:r>
      <w:r w:rsidR="007A17AE" w:rsidRPr="007B7359">
        <w:rPr>
          <w:rFonts w:ascii="Times New Roman" w:hAnsi="Times New Roman" w:cs="Times New Roman"/>
          <w:sz w:val="24"/>
          <w:szCs w:val="24"/>
        </w:rPr>
        <w:t xml:space="preserve"> </w:t>
      </w:r>
      <w:r w:rsidRPr="007B7359">
        <w:rPr>
          <w:rFonts w:ascii="Times New Roman" w:hAnsi="Times New Roman" w:cs="Times New Roman"/>
          <w:sz w:val="24"/>
          <w:szCs w:val="24"/>
        </w:rPr>
        <w:t xml:space="preserve">The Court held that the acts carried out by both defendants could never be considered proportionate, without having much regard to the imminence of the threat. Furthermore, in a similar way to the other cases, the Tribunal held that there was a lack of evidence to demonstrate the existence of the threat argued by both parties. Thus, </w:t>
      </w:r>
      <w:r w:rsidR="00420CEA" w:rsidRPr="007B7359">
        <w:rPr>
          <w:rFonts w:ascii="Times New Roman" w:hAnsi="Times New Roman" w:cs="Times New Roman"/>
          <w:sz w:val="24"/>
          <w:szCs w:val="24"/>
        </w:rPr>
        <w:t xml:space="preserve">the thread connecting the cases here also runs through the </w:t>
      </w:r>
      <w:r w:rsidR="00420CEA" w:rsidRPr="007B7359">
        <w:rPr>
          <w:rFonts w:ascii="Times New Roman" w:hAnsi="Times New Roman" w:cs="Times New Roman"/>
          <w:i/>
          <w:sz w:val="24"/>
          <w:szCs w:val="24"/>
        </w:rPr>
        <w:t>Priebke</w:t>
      </w:r>
      <w:r w:rsidR="00420CEA" w:rsidRPr="007B7359">
        <w:rPr>
          <w:rFonts w:ascii="Times New Roman" w:hAnsi="Times New Roman" w:cs="Times New Roman"/>
          <w:sz w:val="24"/>
          <w:szCs w:val="24"/>
        </w:rPr>
        <w:t xml:space="preserve"> case: the</w:t>
      </w:r>
      <w:r w:rsidRPr="007B7359">
        <w:rPr>
          <w:rFonts w:ascii="Times New Roman" w:hAnsi="Times New Roman" w:cs="Times New Roman"/>
          <w:sz w:val="24"/>
          <w:szCs w:val="24"/>
        </w:rPr>
        <w:t xml:space="preserve"> inapplicability of the defence </w:t>
      </w:r>
      <w:r w:rsidR="00420CEA" w:rsidRPr="007B7359">
        <w:rPr>
          <w:rFonts w:ascii="Times New Roman" w:hAnsi="Times New Roman" w:cs="Times New Roman"/>
          <w:sz w:val="24"/>
          <w:szCs w:val="24"/>
        </w:rPr>
        <w:t xml:space="preserve">in cases before the post-Second World War tribunals </w:t>
      </w:r>
      <w:r w:rsidRPr="007B7359">
        <w:rPr>
          <w:rFonts w:ascii="Times New Roman" w:hAnsi="Times New Roman" w:cs="Times New Roman"/>
          <w:sz w:val="24"/>
          <w:szCs w:val="24"/>
        </w:rPr>
        <w:t>has rested mainly on the fact that the threats argued did not exist, and that they could not justify or excuse the act</w:t>
      </w:r>
      <w:r w:rsidR="00420CEA" w:rsidRPr="007B7359">
        <w:rPr>
          <w:rFonts w:ascii="Times New Roman" w:hAnsi="Times New Roman" w:cs="Times New Roman"/>
          <w:sz w:val="24"/>
          <w:szCs w:val="24"/>
        </w:rPr>
        <w:t xml:space="preserve">ions undertaken by the accused. Rather, the </w:t>
      </w:r>
      <w:r w:rsidRPr="007B7359">
        <w:rPr>
          <w:rFonts w:ascii="Times New Roman" w:hAnsi="Times New Roman" w:cs="Times New Roman"/>
          <w:sz w:val="24"/>
          <w:szCs w:val="24"/>
        </w:rPr>
        <w:t>i</w:t>
      </w:r>
      <w:r w:rsidR="00420CEA" w:rsidRPr="007B7359">
        <w:rPr>
          <w:rFonts w:ascii="Times New Roman" w:hAnsi="Times New Roman" w:cs="Times New Roman"/>
          <w:sz w:val="24"/>
          <w:szCs w:val="24"/>
        </w:rPr>
        <w:t>ssue of proportionality is instrumental</w:t>
      </w:r>
      <w:r w:rsidRPr="007B7359">
        <w:rPr>
          <w:rFonts w:ascii="Times New Roman" w:hAnsi="Times New Roman" w:cs="Times New Roman"/>
          <w:sz w:val="24"/>
          <w:szCs w:val="24"/>
        </w:rPr>
        <w:t xml:space="preserve">, and of far greater import than the imminence of the threat. The understanding thus far appears to be that the issue of arguing that a war crime is proportionate in respect of the threat made to the accused is too difficult to ever surmount, making it deeply curious that the criterion of </w:t>
      </w:r>
      <w:r w:rsidRPr="007B7359">
        <w:rPr>
          <w:rFonts w:ascii="Times New Roman" w:hAnsi="Times New Roman" w:cs="Times New Roman"/>
          <w:sz w:val="24"/>
          <w:szCs w:val="24"/>
        </w:rPr>
        <w:lastRenderedPageBreak/>
        <w:t>imminence has been included in the Rome Statute’s definition of duress.</w:t>
      </w:r>
    </w:p>
    <w:p w:rsidR="008B45ED" w:rsidRPr="007B7359" w:rsidRDefault="008B45ED" w:rsidP="00FC34D9">
      <w:pPr>
        <w:spacing w:after="0" w:line="480" w:lineRule="auto"/>
        <w:jc w:val="both"/>
        <w:rPr>
          <w:rFonts w:ascii="Times New Roman" w:hAnsi="Times New Roman" w:cs="Times New Roman"/>
          <w:sz w:val="24"/>
          <w:szCs w:val="24"/>
        </w:rPr>
      </w:pPr>
    </w:p>
    <w:p w:rsidR="003B45AC" w:rsidRPr="007B7359" w:rsidRDefault="001F1875"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The case of </w:t>
      </w:r>
      <w:proofErr w:type="spellStart"/>
      <w:r w:rsidRPr="007B7359">
        <w:rPr>
          <w:rFonts w:ascii="Times New Roman" w:hAnsi="Times New Roman" w:cs="Times New Roman"/>
          <w:i/>
          <w:sz w:val="24"/>
          <w:szCs w:val="24"/>
        </w:rPr>
        <w:t>Erd</w:t>
      </w:r>
      <w:r w:rsidR="008B45ED" w:rsidRPr="007B7359">
        <w:rPr>
          <w:rFonts w:ascii="Times New Roman" w:hAnsi="Times New Roman" w:cs="Times New Roman"/>
          <w:i/>
          <w:sz w:val="24"/>
          <w:szCs w:val="24"/>
        </w:rPr>
        <w:t>emović</w:t>
      </w:r>
      <w:proofErr w:type="spellEnd"/>
      <w:r w:rsidR="008B45ED" w:rsidRPr="007B7359">
        <w:rPr>
          <w:rStyle w:val="FootnoteReference"/>
          <w:rFonts w:ascii="Times New Roman" w:hAnsi="Times New Roman"/>
          <w:i/>
          <w:sz w:val="24"/>
          <w:szCs w:val="24"/>
        </w:rPr>
        <w:footnoteReference w:id="74"/>
      </w:r>
      <w:r w:rsidR="008B45ED" w:rsidRPr="007B7359">
        <w:rPr>
          <w:rFonts w:ascii="Times New Roman" w:hAnsi="Times New Roman" w:cs="Times New Roman"/>
          <w:sz w:val="24"/>
          <w:szCs w:val="24"/>
        </w:rPr>
        <w:t>, heard by the International Criminal Tribunal for the former Yugoslavia,</w:t>
      </w:r>
      <w:r w:rsidRPr="007B7359">
        <w:rPr>
          <w:rFonts w:ascii="Times New Roman" w:hAnsi="Times New Roman" w:cs="Times New Roman"/>
          <w:sz w:val="24"/>
          <w:szCs w:val="24"/>
        </w:rPr>
        <w:t xml:space="preserve"> involved the most in-depth examination of the defence of duress which has ever been undertaken by an international criminal court or tribunal. The </w:t>
      </w:r>
      <w:r w:rsidR="003B45AC" w:rsidRPr="007B7359">
        <w:rPr>
          <w:rFonts w:ascii="Times New Roman" w:hAnsi="Times New Roman" w:cs="Times New Roman"/>
          <w:sz w:val="24"/>
          <w:szCs w:val="24"/>
        </w:rPr>
        <w:t>accused stood charged with war crimes</w:t>
      </w:r>
      <w:r w:rsidR="000846C7" w:rsidRPr="007B7359">
        <w:rPr>
          <w:rFonts w:ascii="Times New Roman" w:hAnsi="Times New Roman" w:cs="Times New Roman"/>
          <w:sz w:val="24"/>
          <w:szCs w:val="24"/>
        </w:rPr>
        <w:t xml:space="preserve"> and the crime against humanity of murder</w:t>
      </w:r>
      <w:r w:rsidR="003B45AC" w:rsidRPr="007B7359">
        <w:rPr>
          <w:rFonts w:ascii="Times New Roman" w:hAnsi="Times New Roman" w:cs="Times New Roman"/>
          <w:sz w:val="24"/>
          <w:szCs w:val="24"/>
        </w:rPr>
        <w:t xml:space="preserve"> after admitting to taking part in the massacre in Srebr</w:t>
      </w:r>
      <w:r w:rsidR="000846C7" w:rsidRPr="007B7359">
        <w:rPr>
          <w:rFonts w:ascii="Times New Roman" w:hAnsi="Times New Roman" w:cs="Times New Roman"/>
          <w:sz w:val="24"/>
          <w:szCs w:val="24"/>
        </w:rPr>
        <w:t xml:space="preserve">enica during the Bosnian war. </w:t>
      </w:r>
      <w:r w:rsidR="008B45ED" w:rsidRPr="007B7359">
        <w:rPr>
          <w:rFonts w:ascii="Times New Roman" w:hAnsi="Times New Roman" w:cs="Times New Roman"/>
          <w:sz w:val="24"/>
          <w:szCs w:val="24"/>
        </w:rPr>
        <w:t xml:space="preserve"> </w:t>
      </w:r>
      <w:r w:rsidR="00411EBE" w:rsidRPr="007B7359">
        <w:rPr>
          <w:rFonts w:ascii="Times New Roman" w:hAnsi="Times New Roman" w:cs="Times New Roman"/>
          <w:sz w:val="24"/>
          <w:szCs w:val="24"/>
        </w:rPr>
        <w:t xml:space="preserve">Between the initial indictment and the eventual conviction, there were a variety of issues raised by the defence and the Tribunal, not least of all the validity of </w:t>
      </w:r>
      <w:proofErr w:type="spellStart"/>
      <w:r w:rsidR="00411EBE" w:rsidRPr="007B7359">
        <w:rPr>
          <w:rFonts w:ascii="Times New Roman" w:hAnsi="Times New Roman" w:cs="Times New Roman"/>
          <w:sz w:val="24"/>
          <w:szCs w:val="24"/>
        </w:rPr>
        <w:t>Erdemovic’s</w:t>
      </w:r>
      <w:proofErr w:type="spellEnd"/>
      <w:r w:rsidR="00411EBE" w:rsidRPr="007B7359">
        <w:rPr>
          <w:rFonts w:ascii="Times New Roman" w:hAnsi="Times New Roman" w:cs="Times New Roman"/>
          <w:sz w:val="24"/>
          <w:szCs w:val="24"/>
        </w:rPr>
        <w:t xml:space="preserve"> guilty plea. </w:t>
      </w:r>
      <w:r w:rsidR="005611A4" w:rsidRPr="007B7359">
        <w:rPr>
          <w:rFonts w:ascii="Times New Roman" w:hAnsi="Times New Roman" w:cs="Times New Roman"/>
          <w:sz w:val="24"/>
          <w:szCs w:val="24"/>
        </w:rPr>
        <w:t>However, the focus here is simply on the applicability of the defence of duress.</w:t>
      </w:r>
      <w:r w:rsidR="00411EBE" w:rsidRPr="007B7359">
        <w:rPr>
          <w:rFonts w:ascii="Times New Roman" w:hAnsi="Times New Roman" w:cs="Times New Roman"/>
          <w:sz w:val="24"/>
          <w:szCs w:val="24"/>
        </w:rPr>
        <w:t xml:space="preserve"> </w:t>
      </w:r>
    </w:p>
    <w:p w:rsidR="00411EBE" w:rsidRPr="007B7359" w:rsidRDefault="00411EBE" w:rsidP="00FC34D9">
      <w:pPr>
        <w:spacing w:after="0" w:line="480" w:lineRule="auto"/>
        <w:jc w:val="both"/>
        <w:rPr>
          <w:rFonts w:ascii="Times New Roman" w:hAnsi="Times New Roman" w:cs="Times New Roman"/>
          <w:sz w:val="24"/>
          <w:szCs w:val="24"/>
        </w:rPr>
      </w:pPr>
    </w:p>
    <w:p w:rsidR="00411EBE" w:rsidRPr="007B7359" w:rsidRDefault="00411EBE"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Appeals Tribunal, in particular, focused on the availability of the defence for duress for charges of war crimes, and un</w:t>
      </w:r>
      <w:r w:rsidR="00465365" w:rsidRPr="007B7359">
        <w:rPr>
          <w:rFonts w:ascii="Times New Roman" w:hAnsi="Times New Roman" w:cs="Times New Roman"/>
          <w:sz w:val="24"/>
          <w:szCs w:val="24"/>
        </w:rPr>
        <w:t>dertook a comparative exploration of the use of duress at the domestic level.</w:t>
      </w:r>
      <w:r w:rsidR="0023476E" w:rsidRPr="007B7359">
        <w:rPr>
          <w:rStyle w:val="FootnoteReference"/>
          <w:rFonts w:ascii="Times New Roman" w:hAnsi="Times New Roman"/>
          <w:sz w:val="24"/>
          <w:szCs w:val="24"/>
        </w:rPr>
        <w:footnoteReference w:id="75"/>
      </w:r>
      <w:r w:rsidR="00465365" w:rsidRPr="007B7359">
        <w:rPr>
          <w:rFonts w:ascii="Times New Roman" w:hAnsi="Times New Roman" w:cs="Times New Roman"/>
          <w:sz w:val="24"/>
          <w:szCs w:val="24"/>
        </w:rPr>
        <w:t xml:space="preserve"> T</w:t>
      </w:r>
      <w:r w:rsidR="005611A4" w:rsidRPr="007B7359">
        <w:rPr>
          <w:rFonts w:ascii="Times New Roman" w:hAnsi="Times New Roman" w:cs="Times New Roman"/>
          <w:sz w:val="24"/>
          <w:szCs w:val="24"/>
        </w:rPr>
        <w:t xml:space="preserve">he majority opinion of Judges </w:t>
      </w:r>
      <w:proofErr w:type="spellStart"/>
      <w:r w:rsidR="005611A4" w:rsidRPr="007B7359">
        <w:rPr>
          <w:rFonts w:ascii="Times New Roman" w:hAnsi="Times New Roman" w:cs="Times New Roman"/>
          <w:sz w:val="24"/>
          <w:szCs w:val="24"/>
        </w:rPr>
        <w:t>M</w:t>
      </w:r>
      <w:r w:rsidR="00465365" w:rsidRPr="007B7359">
        <w:rPr>
          <w:rFonts w:ascii="Times New Roman" w:hAnsi="Times New Roman" w:cs="Times New Roman"/>
          <w:sz w:val="24"/>
          <w:szCs w:val="24"/>
        </w:rPr>
        <w:t>cdonald</w:t>
      </w:r>
      <w:proofErr w:type="spellEnd"/>
      <w:r w:rsidR="00465365" w:rsidRPr="007B7359">
        <w:rPr>
          <w:rFonts w:ascii="Times New Roman" w:hAnsi="Times New Roman" w:cs="Times New Roman"/>
          <w:sz w:val="24"/>
          <w:szCs w:val="24"/>
        </w:rPr>
        <w:t xml:space="preserve"> and </w:t>
      </w:r>
      <w:proofErr w:type="spellStart"/>
      <w:r w:rsidR="00465365" w:rsidRPr="007B7359">
        <w:rPr>
          <w:rFonts w:ascii="Times New Roman" w:hAnsi="Times New Roman" w:cs="Times New Roman"/>
          <w:sz w:val="24"/>
          <w:szCs w:val="24"/>
        </w:rPr>
        <w:t>Vohrah</w:t>
      </w:r>
      <w:proofErr w:type="spellEnd"/>
      <w:r w:rsidR="00465365" w:rsidRPr="007B7359">
        <w:rPr>
          <w:rFonts w:ascii="Times New Roman" w:hAnsi="Times New Roman" w:cs="Times New Roman"/>
          <w:sz w:val="24"/>
          <w:szCs w:val="24"/>
        </w:rPr>
        <w:t xml:space="preserve"> held that the </w:t>
      </w:r>
      <w:proofErr w:type="spellStart"/>
      <w:r w:rsidR="00465365" w:rsidRPr="007B7359">
        <w:rPr>
          <w:rFonts w:ascii="Times New Roman" w:hAnsi="Times New Roman" w:cs="Times New Roman"/>
          <w:i/>
          <w:sz w:val="24"/>
          <w:szCs w:val="24"/>
        </w:rPr>
        <w:t>Ohlendorf</w:t>
      </w:r>
      <w:proofErr w:type="spellEnd"/>
      <w:r w:rsidR="00465365" w:rsidRPr="007B7359">
        <w:rPr>
          <w:rStyle w:val="FootnoteReference"/>
          <w:rFonts w:ascii="Times New Roman" w:hAnsi="Times New Roman"/>
          <w:sz w:val="24"/>
          <w:szCs w:val="24"/>
        </w:rPr>
        <w:footnoteReference w:id="76"/>
      </w:r>
      <w:r w:rsidR="00465365" w:rsidRPr="007B7359">
        <w:rPr>
          <w:rFonts w:ascii="Times New Roman" w:hAnsi="Times New Roman" w:cs="Times New Roman"/>
          <w:sz w:val="24"/>
          <w:szCs w:val="24"/>
        </w:rPr>
        <w:t xml:space="preserve"> case was the only international criminal law case to accept that duress could be a defence to </w:t>
      </w:r>
      <w:r w:rsidR="00465365" w:rsidRPr="007B7359">
        <w:rPr>
          <w:rFonts w:ascii="Times New Roman" w:hAnsi="Times New Roman" w:cs="Times New Roman"/>
          <w:sz w:val="24"/>
          <w:szCs w:val="24"/>
        </w:rPr>
        <w:lastRenderedPageBreak/>
        <w:t>serious violations of international criminal law, and that it lacked any formal basis in customary international law to draw that conclusion.</w:t>
      </w:r>
      <w:r w:rsidR="00465365" w:rsidRPr="007B7359">
        <w:rPr>
          <w:rStyle w:val="FootnoteReference"/>
          <w:rFonts w:ascii="Times New Roman" w:hAnsi="Times New Roman"/>
          <w:sz w:val="24"/>
          <w:szCs w:val="24"/>
        </w:rPr>
        <w:footnoteReference w:id="77"/>
      </w:r>
      <w:r w:rsidR="0023476E" w:rsidRPr="007B7359">
        <w:rPr>
          <w:rFonts w:ascii="Times New Roman" w:hAnsi="Times New Roman" w:cs="Times New Roman"/>
          <w:sz w:val="24"/>
          <w:szCs w:val="24"/>
        </w:rPr>
        <w:t xml:space="preserve"> It also concluded that the concept of duress insofar as it meant ‘imminent threats to the life of an accused if he refuses to commit a crime’</w:t>
      </w:r>
      <w:r w:rsidR="0023476E" w:rsidRPr="007B7359">
        <w:rPr>
          <w:rStyle w:val="FootnoteReference"/>
          <w:rFonts w:ascii="Times New Roman" w:hAnsi="Times New Roman"/>
          <w:sz w:val="24"/>
          <w:szCs w:val="24"/>
        </w:rPr>
        <w:footnoteReference w:id="78"/>
      </w:r>
      <w:r w:rsidR="0023476E" w:rsidRPr="007B7359">
        <w:rPr>
          <w:rFonts w:ascii="Times New Roman" w:hAnsi="Times New Roman" w:cs="Times New Roman"/>
          <w:sz w:val="24"/>
          <w:szCs w:val="24"/>
        </w:rPr>
        <w:t xml:space="preserve"> does not exist as a general principle in international criminal law.</w:t>
      </w:r>
      <w:r w:rsidR="0023476E" w:rsidRPr="007B7359">
        <w:rPr>
          <w:rStyle w:val="FootnoteReference"/>
          <w:rFonts w:ascii="Times New Roman" w:hAnsi="Times New Roman"/>
          <w:sz w:val="24"/>
          <w:szCs w:val="24"/>
        </w:rPr>
        <w:footnoteReference w:id="79"/>
      </w:r>
      <w:r w:rsidR="0023476E" w:rsidRPr="007B7359">
        <w:rPr>
          <w:rFonts w:ascii="Times New Roman" w:hAnsi="Times New Roman" w:cs="Times New Roman"/>
          <w:sz w:val="24"/>
          <w:szCs w:val="24"/>
        </w:rPr>
        <w:t xml:space="preserve"> In this case, the comparative study yielded the conclusion that the criterion of imminence ought to be retained as part of the general understanding of what the defence entailed</w:t>
      </w:r>
      <w:r w:rsidR="00DD535E" w:rsidRPr="007B7359">
        <w:rPr>
          <w:rFonts w:ascii="Times New Roman" w:hAnsi="Times New Roman" w:cs="Times New Roman"/>
          <w:sz w:val="24"/>
          <w:szCs w:val="24"/>
        </w:rPr>
        <w:t>, despite the majority of countries not mentioning the idea of an imminent or immediate threat. Out of the twenty-seven countries studied, nine mentioned the temporal nature of the threat,</w:t>
      </w:r>
      <w:r w:rsidR="00DD535E" w:rsidRPr="007B7359">
        <w:rPr>
          <w:rStyle w:val="FootnoteReference"/>
          <w:rFonts w:ascii="Times New Roman" w:hAnsi="Times New Roman"/>
          <w:sz w:val="24"/>
          <w:szCs w:val="24"/>
        </w:rPr>
        <w:footnoteReference w:id="80"/>
      </w:r>
      <w:r w:rsidR="00DD535E" w:rsidRPr="007B7359">
        <w:rPr>
          <w:rFonts w:ascii="Times New Roman" w:hAnsi="Times New Roman" w:cs="Times New Roman"/>
          <w:sz w:val="24"/>
          <w:szCs w:val="24"/>
        </w:rPr>
        <w:t xml:space="preserve"> with India and Malaysia holding that the threat must be instant.</w:t>
      </w:r>
      <w:r w:rsidR="00DD535E" w:rsidRPr="007B7359">
        <w:rPr>
          <w:rStyle w:val="FootnoteReference"/>
          <w:rFonts w:ascii="Times New Roman" w:hAnsi="Times New Roman"/>
          <w:sz w:val="24"/>
          <w:szCs w:val="24"/>
        </w:rPr>
        <w:footnoteReference w:id="81"/>
      </w:r>
      <w:r w:rsidR="00DD535E" w:rsidRPr="007B7359">
        <w:rPr>
          <w:rFonts w:ascii="Times New Roman" w:hAnsi="Times New Roman" w:cs="Times New Roman"/>
          <w:sz w:val="24"/>
          <w:szCs w:val="24"/>
        </w:rPr>
        <w:t xml:space="preserve"> Two did not accept the defence at all</w:t>
      </w:r>
      <w:r w:rsidR="005611A4" w:rsidRPr="007B7359">
        <w:rPr>
          <w:rFonts w:ascii="Times New Roman" w:hAnsi="Times New Roman" w:cs="Times New Roman"/>
          <w:sz w:val="24"/>
          <w:szCs w:val="24"/>
        </w:rPr>
        <w:t xml:space="preserve"> in respect of a murder charge</w:t>
      </w:r>
      <w:r w:rsidR="00DD535E" w:rsidRPr="007B7359">
        <w:rPr>
          <w:rFonts w:ascii="Times New Roman" w:hAnsi="Times New Roman" w:cs="Times New Roman"/>
          <w:sz w:val="24"/>
          <w:szCs w:val="24"/>
        </w:rPr>
        <w:t xml:space="preserve">, </w:t>
      </w:r>
      <w:r w:rsidR="005611A4" w:rsidRPr="007B7359">
        <w:rPr>
          <w:rFonts w:ascii="Times New Roman" w:hAnsi="Times New Roman" w:cs="Times New Roman"/>
          <w:sz w:val="24"/>
          <w:szCs w:val="24"/>
        </w:rPr>
        <w:t>and accordingly, no reference was made to their definition of duress.</w:t>
      </w:r>
      <w:r w:rsidR="00DD535E" w:rsidRPr="007B7359">
        <w:rPr>
          <w:rStyle w:val="FootnoteReference"/>
          <w:rFonts w:ascii="Times New Roman" w:hAnsi="Times New Roman"/>
          <w:sz w:val="24"/>
          <w:szCs w:val="24"/>
        </w:rPr>
        <w:footnoteReference w:id="82"/>
      </w:r>
      <w:r w:rsidR="005611A4" w:rsidRPr="007B7359">
        <w:rPr>
          <w:rFonts w:ascii="Times New Roman" w:hAnsi="Times New Roman" w:cs="Times New Roman"/>
          <w:sz w:val="24"/>
          <w:szCs w:val="24"/>
        </w:rPr>
        <w:t xml:space="preserve"> T</w:t>
      </w:r>
      <w:r w:rsidR="00DD535E" w:rsidRPr="007B7359">
        <w:rPr>
          <w:rFonts w:ascii="Times New Roman" w:hAnsi="Times New Roman" w:cs="Times New Roman"/>
          <w:sz w:val="24"/>
          <w:szCs w:val="24"/>
        </w:rPr>
        <w:t>he remaining sixteen did not mention the idea of a temporal threat at all.</w:t>
      </w:r>
      <w:r w:rsidR="00DD535E" w:rsidRPr="007B7359">
        <w:rPr>
          <w:rStyle w:val="FootnoteReference"/>
          <w:rFonts w:ascii="Times New Roman" w:hAnsi="Times New Roman"/>
          <w:sz w:val="24"/>
          <w:szCs w:val="24"/>
        </w:rPr>
        <w:footnoteReference w:id="83"/>
      </w:r>
      <w:r w:rsidR="00DD535E" w:rsidRPr="007B7359">
        <w:rPr>
          <w:rFonts w:ascii="Times New Roman" w:hAnsi="Times New Roman" w:cs="Times New Roman"/>
          <w:sz w:val="24"/>
          <w:szCs w:val="24"/>
        </w:rPr>
        <w:t xml:space="preserve"> Instead, the range of countries cited, including France, Sweden, Ethiopia, Japan, Mexico, Somalia, and Chile, noted the importance of the irr</w:t>
      </w:r>
      <w:r w:rsidR="00034D9D" w:rsidRPr="007B7359">
        <w:rPr>
          <w:rFonts w:ascii="Times New Roman" w:hAnsi="Times New Roman" w:cs="Times New Roman"/>
          <w:sz w:val="24"/>
          <w:szCs w:val="24"/>
        </w:rPr>
        <w:t xml:space="preserve">esistibility or inescapability of the threat. Interestingly, the lean away from the requirement was not mentioned or noted by </w:t>
      </w:r>
      <w:r w:rsidR="00034D9D" w:rsidRPr="007B7359">
        <w:rPr>
          <w:rFonts w:ascii="Times New Roman" w:hAnsi="Times New Roman" w:cs="Times New Roman"/>
          <w:sz w:val="24"/>
          <w:szCs w:val="24"/>
        </w:rPr>
        <w:lastRenderedPageBreak/>
        <w:t>the Chamber, and the preference to include imminence, without any regard for the outcome of the comparative study, remained.</w:t>
      </w:r>
    </w:p>
    <w:p w:rsidR="0023476E" w:rsidRPr="007B7359" w:rsidRDefault="0023476E" w:rsidP="00FC34D9">
      <w:pPr>
        <w:spacing w:after="0" w:line="480" w:lineRule="auto"/>
        <w:jc w:val="both"/>
        <w:rPr>
          <w:rFonts w:ascii="Times New Roman" w:hAnsi="Times New Roman" w:cs="Times New Roman"/>
          <w:sz w:val="24"/>
          <w:szCs w:val="24"/>
        </w:rPr>
      </w:pPr>
    </w:p>
    <w:p w:rsidR="00034D9D" w:rsidRPr="007B7359" w:rsidRDefault="00034D9D"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Judge Cassese’s notable dissent in the </w:t>
      </w:r>
      <w:proofErr w:type="spellStart"/>
      <w:r w:rsidRPr="007B7359">
        <w:rPr>
          <w:rFonts w:ascii="Times New Roman" w:hAnsi="Times New Roman" w:cs="Times New Roman"/>
          <w:i/>
          <w:sz w:val="24"/>
          <w:szCs w:val="24"/>
        </w:rPr>
        <w:t>Erdemovic</w:t>
      </w:r>
      <w:proofErr w:type="spellEnd"/>
      <w:r w:rsidRPr="007B7359">
        <w:rPr>
          <w:rFonts w:ascii="Times New Roman" w:hAnsi="Times New Roman" w:cs="Times New Roman"/>
          <w:sz w:val="24"/>
          <w:szCs w:val="24"/>
        </w:rPr>
        <w:t xml:space="preserve"> case ends by giving even greater emphasis to the requirement of imminence, but begins without noting imminence as part of the definition of duress. </w:t>
      </w:r>
      <w:r w:rsidRPr="007B7359">
        <w:rPr>
          <w:rStyle w:val="FootnoteReference"/>
          <w:rFonts w:ascii="Times New Roman" w:hAnsi="Times New Roman"/>
          <w:sz w:val="24"/>
          <w:szCs w:val="24"/>
        </w:rPr>
        <w:footnoteReference w:id="84"/>
      </w:r>
      <w:r w:rsidRPr="007B7359">
        <w:rPr>
          <w:rFonts w:ascii="Times New Roman" w:hAnsi="Times New Roman" w:cs="Times New Roman"/>
          <w:sz w:val="24"/>
          <w:szCs w:val="24"/>
        </w:rPr>
        <w:t xml:space="preserve"> He highlights the criterion of imminence as being part of the ‘strict conditions’ of the defence, but not one which stands alone </w:t>
      </w:r>
      <w:proofErr w:type="spellStart"/>
      <w:r w:rsidRPr="007B7359">
        <w:rPr>
          <w:rFonts w:ascii="Times New Roman" w:hAnsi="Times New Roman" w:cs="Times New Roman"/>
          <w:sz w:val="24"/>
          <w:szCs w:val="24"/>
        </w:rPr>
        <w:t>outwith</w:t>
      </w:r>
      <w:proofErr w:type="spellEnd"/>
      <w:r w:rsidRPr="007B7359">
        <w:rPr>
          <w:rFonts w:ascii="Times New Roman" w:hAnsi="Times New Roman" w:cs="Times New Roman"/>
          <w:sz w:val="24"/>
          <w:szCs w:val="24"/>
        </w:rPr>
        <w:t xml:space="preserve"> the matter of the inevitability of the threat.</w:t>
      </w:r>
      <w:r w:rsidRPr="007B7359">
        <w:rPr>
          <w:rStyle w:val="FootnoteReference"/>
          <w:rFonts w:ascii="Times New Roman" w:hAnsi="Times New Roman"/>
          <w:sz w:val="24"/>
          <w:szCs w:val="24"/>
        </w:rPr>
        <w:footnoteReference w:id="85"/>
      </w:r>
      <w:r w:rsidR="00EA7B8A" w:rsidRPr="007B7359">
        <w:rPr>
          <w:rFonts w:ascii="Times New Roman" w:hAnsi="Times New Roman" w:cs="Times New Roman"/>
          <w:sz w:val="24"/>
          <w:szCs w:val="24"/>
        </w:rPr>
        <w:t xml:space="preserve"> However, a large part of Cassese’s reasoning, to hold that the defence ought to be applied in the case, focuses on the inevitability of the threat and the inescapable nature of the situation.</w:t>
      </w:r>
      <w:r w:rsidR="00EA7B8A" w:rsidRPr="007B7359">
        <w:rPr>
          <w:rStyle w:val="FootnoteReference"/>
          <w:rFonts w:ascii="Times New Roman" w:hAnsi="Times New Roman"/>
          <w:sz w:val="24"/>
          <w:szCs w:val="24"/>
        </w:rPr>
        <w:footnoteReference w:id="86"/>
      </w:r>
      <w:r w:rsidR="00EA7B8A" w:rsidRPr="007B7359">
        <w:rPr>
          <w:rFonts w:ascii="Times New Roman" w:hAnsi="Times New Roman" w:cs="Times New Roman"/>
          <w:sz w:val="24"/>
          <w:szCs w:val="24"/>
        </w:rPr>
        <w:t xml:space="preserve"> The fact that the crime would have been carried out with or without </w:t>
      </w:r>
      <w:proofErr w:type="spellStart"/>
      <w:r w:rsidR="00EA7B8A" w:rsidRPr="007B7359">
        <w:rPr>
          <w:rFonts w:ascii="Times New Roman" w:hAnsi="Times New Roman" w:cs="Times New Roman"/>
          <w:sz w:val="24"/>
          <w:szCs w:val="24"/>
        </w:rPr>
        <w:t>Erdemovic’s</w:t>
      </w:r>
      <w:proofErr w:type="spellEnd"/>
      <w:r w:rsidR="00EA7B8A" w:rsidRPr="007B7359">
        <w:rPr>
          <w:rFonts w:ascii="Times New Roman" w:hAnsi="Times New Roman" w:cs="Times New Roman"/>
          <w:sz w:val="24"/>
          <w:szCs w:val="24"/>
        </w:rPr>
        <w:t xml:space="preserve"> cooperation was held to have been a relevant consideration and, consequently, a demonstration of why the defence ought to have been permitted.</w:t>
      </w:r>
      <w:r w:rsidR="003A06F3" w:rsidRPr="007B7359">
        <w:rPr>
          <w:rStyle w:val="FootnoteReference"/>
          <w:rFonts w:ascii="Times New Roman" w:hAnsi="Times New Roman"/>
          <w:sz w:val="24"/>
          <w:szCs w:val="24"/>
        </w:rPr>
        <w:footnoteReference w:id="87"/>
      </w:r>
      <w:r w:rsidR="00EA7B8A" w:rsidRPr="007B7359">
        <w:rPr>
          <w:rFonts w:ascii="Times New Roman" w:hAnsi="Times New Roman" w:cs="Times New Roman"/>
          <w:sz w:val="24"/>
          <w:szCs w:val="24"/>
        </w:rPr>
        <w:t xml:space="preserve"> At this juncture, it is worthwhile highlighting that the fact that the crime would have been carried out anyway </w:t>
      </w:r>
      <w:r w:rsidR="00420CEA" w:rsidRPr="007B7359">
        <w:rPr>
          <w:rFonts w:ascii="Times New Roman" w:hAnsi="Times New Roman" w:cs="Times New Roman"/>
          <w:sz w:val="24"/>
          <w:szCs w:val="24"/>
        </w:rPr>
        <w:t>is argued to be part of the removal of the individual’s freedom to choose; even where certain death or serious harm was preferred by the person, rather than committing the crime, the crime would still occur.</w:t>
      </w:r>
    </w:p>
    <w:p w:rsidR="00BB323F" w:rsidRPr="007B7359" w:rsidRDefault="00BB323F" w:rsidP="00FC34D9">
      <w:pPr>
        <w:spacing w:after="0" w:line="480" w:lineRule="auto"/>
        <w:jc w:val="both"/>
        <w:rPr>
          <w:rFonts w:ascii="Times New Roman" w:hAnsi="Times New Roman" w:cs="Times New Roman"/>
          <w:sz w:val="24"/>
          <w:szCs w:val="24"/>
        </w:rPr>
      </w:pPr>
    </w:p>
    <w:p w:rsidR="008B45ED" w:rsidRPr="007B7359" w:rsidRDefault="00BB323F"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Cassese’s conclusions in the matter highlight the nature of the threat as being of great import, as well as the likelihood of a similar outcome in the case whether or not the individual participates, or capitulates to the threat. Although Cassese’s opinion was not that of the majority, both his and the opinion of Judges </w:t>
      </w:r>
      <w:proofErr w:type="spellStart"/>
      <w:r w:rsidRPr="007B7359">
        <w:rPr>
          <w:rFonts w:ascii="Times New Roman" w:hAnsi="Times New Roman" w:cs="Times New Roman"/>
          <w:sz w:val="24"/>
          <w:szCs w:val="24"/>
        </w:rPr>
        <w:t>Mcdonald</w:t>
      </w:r>
      <w:proofErr w:type="spellEnd"/>
      <w:r w:rsidRPr="007B7359">
        <w:rPr>
          <w:rFonts w:ascii="Times New Roman" w:hAnsi="Times New Roman" w:cs="Times New Roman"/>
          <w:sz w:val="24"/>
          <w:szCs w:val="24"/>
        </w:rPr>
        <w:t xml:space="preserve"> and </w:t>
      </w:r>
      <w:proofErr w:type="spellStart"/>
      <w:r w:rsidRPr="007B7359">
        <w:rPr>
          <w:rFonts w:ascii="Times New Roman" w:hAnsi="Times New Roman" w:cs="Times New Roman"/>
          <w:sz w:val="24"/>
          <w:szCs w:val="24"/>
        </w:rPr>
        <w:t>Vohrah</w:t>
      </w:r>
      <w:proofErr w:type="spellEnd"/>
      <w:r w:rsidRPr="007B7359">
        <w:rPr>
          <w:rFonts w:ascii="Times New Roman" w:hAnsi="Times New Roman" w:cs="Times New Roman"/>
          <w:sz w:val="24"/>
          <w:szCs w:val="24"/>
        </w:rPr>
        <w:t xml:space="preserve"> demonstrate striking similar</w:t>
      </w:r>
      <w:r w:rsidR="00420CEA" w:rsidRPr="007B7359">
        <w:rPr>
          <w:rFonts w:ascii="Times New Roman" w:hAnsi="Times New Roman" w:cs="Times New Roman"/>
          <w:sz w:val="24"/>
          <w:szCs w:val="24"/>
        </w:rPr>
        <w:t>ity</w:t>
      </w:r>
      <w:r w:rsidRPr="007B7359">
        <w:rPr>
          <w:rFonts w:ascii="Times New Roman" w:hAnsi="Times New Roman" w:cs="Times New Roman"/>
          <w:sz w:val="24"/>
          <w:szCs w:val="24"/>
        </w:rPr>
        <w:t xml:space="preserve"> as regards the nature of the threat. Both acknowledge, in </w:t>
      </w:r>
      <w:r w:rsidR="00420CEA" w:rsidRPr="007B7359">
        <w:rPr>
          <w:rFonts w:ascii="Times New Roman" w:hAnsi="Times New Roman" w:cs="Times New Roman"/>
          <w:sz w:val="24"/>
          <w:szCs w:val="24"/>
        </w:rPr>
        <w:t xml:space="preserve">the </w:t>
      </w:r>
      <w:r w:rsidRPr="007B7359">
        <w:rPr>
          <w:rFonts w:ascii="Times New Roman" w:hAnsi="Times New Roman" w:cs="Times New Roman"/>
          <w:sz w:val="24"/>
          <w:szCs w:val="24"/>
        </w:rPr>
        <w:t>research</w:t>
      </w:r>
      <w:r w:rsidR="00420CEA" w:rsidRPr="007B7359">
        <w:rPr>
          <w:rFonts w:ascii="Times New Roman" w:hAnsi="Times New Roman" w:cs="Times New Roman"/>
          <w:sz w:val="24"/>
          <w:szCs w:val="24"/>
        </w:rPr>
        <w:t xml:space="preserve"> conducted</w:t>
      </w:r>
      <w:r w:rsidRPr="007B7359">
        <w:rPr>
          <w:rFonts w:ascii="Times New Roman" w:hAnsi="Times New Roman" w:cs="Times New Roman"/>
          <w:sz w:val="24"/>
          <w:szCs w:val="24"/>
        </w:rPr>
        <w:t xml:space="preserve"> rather than conclusions</w:t>
      </w:r>
      <w:r w:rsidR="00420CEA" w:rsidRPr="007B7359">
        <w:rPr>
          <w:rFonts w:ascii="Times New Roman" w:hAnsi="Times New Roman" w:cs="Times New Roman"/>
          <w:sz w:val="24"/>
          <w:szCs w:val="24"/>
        </w:rPr>
        <w:t xml:space="preserve"> drawn</w:t>
      </w:r>
      <w:r w:rsidRPr="007B7359">
        <w:rPr>
          <w:rFonts w:ascii="Times New Roman" w:hAnsi="Times New Roman" w:cs="Times New Roman"/>
          <w:sz w:val="24"/>
          <w:szCs w:val="24"/>
        </w:rPr>
        <w:t>, the importance of the nature of the threat being inescapable and serious. The requirement of imminence in both cases functions to underscore the nature of the threat, without really adding anything to the understanding of duress. Finally, both note the existence of dures</w:t>
      </w:r>
      <w:r w:rsidR="00E73AD8" w:rsidRPr="007B7359">
        <w:rPr>
          <w:rFonts w:ascii="Times New Roman" w:hAnsi="Times New Roman" w:cs="Times New Roman"/>
          <w:sz w:val="24"/>
          <w:szCs w:val="24"/>
        </w:rPr>
        <w:t>s as a defence, and the comparative study highlights the importance of the nature of the threat, rather than the criterion of imminence. Cassese’s focus, in his concluding paragraphs, of the seriousness of the threat and the inevitability of the outcome, demonstrate</w:t>
      </w:r>
      <w:r w:rsidR="00420CEA" w:rsidRPr="007B7359">
        <w:rPr>
          <w:rFonts w:ascii="Times New Roman" w:hAnsi="Times New Roman" w:cs="Times New Roman"/>
          <w:sz w:val="24"/>
          <w:szCs w:val="24"/>
        </w:rPr>
        <w:t>s clearly</w:t>
      </w:r>
      <w:r w:rsidR="00E73AD8" w:rsidRPr="007B7359">
        <w:rPr>
          <w:rFonts w:ascii="Times New Roman" w:hAnsi="Times New Roman" w:cs="Times New Roman"/>
          <w:sz w:val="24"/>
          <w:szCs w:val="24"/>
        </w:rPr>
        <w:t xml:space="preserve"> the importance of the fact that the individual has no other choice. </w:t>
      </w:r>
    </w:p>
    <w:p w:rsidR="00420CEA" w:rsidRPr="007B7359" w:rsidRDefault="00420CEA" w:rsidP="00FC34D9">
      <w:pPr>
        <w:spacing w:after="0" w:line="480" w:lineRule="auto"/>
        <w:jc w:val="both"/>
        <w:rPr>
          <w:rFonts w:ascii="Times New Roman" w:hAnsi="Times New Roman" w:cs="Times New Roman"/>
          <w:sz w:val="24"/>
          <w:szCs w:val="24"/>
        </w:rPr>
      </w:pPr>
    </w:p>
    <w:p w:rsidR="00420CEA" w:rsidRDefault="00420CEA"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Based on these findings from the above cases, it is clear that the role of imminence in duress is questionable, and so the next part to the work examines the place of imminence in the defences which have been used as part of the above discussion. Acknowledging duress, necessity, and self-defence as being part </w:t>
      </w:r>
      <w:r w:rsidRPr="007B7359">
        <w:rPr>
          <w:rFonts w:ascii="Times New Roman" w:hAnsi="Times New Roman" w:cs="Times New Roman"/>
          <w:sz w:val="24"/>
          <w:szCs w:val="24"/>
        </w:rPr>
        <w:lastRenderedPageBreak/>
        <w:t>of the same ‘</w:t>
      </w:r>
      <w:r w:rsidR="00935B23" w:rsidRPr="007B7359">
        <w:rPr>
          <w:rFonts w:ascii="Times New Roman" w:hAnsi="Times New Roman" w:cs="Times New Roman"/>
          <w:sz w:val="24"/>
          <w:szCs w:val="24"/>
        </w:rPr>
        <w:t>species’</w:t>
      </w:r>
      <w:r w:rsidRPr="007B7359">
        <w:rPr>
          <w:rFonts w:ascii="Times New Roman" w:hAnsi="Times New Roman" w:cs="Times New Roman"/>
          <w:sz w:val="24"/>
          <w:szCs w:val="24"/>
        </w:rPr>
        <w:t xml:space="preserve"> of a generalised defence of being compelled to act for different reasons, the next section explores the idea of imminence in each and questions whether imminence plays the same role in each of the defences, noting the problems that arise as a consequence of making imminence a condition in self-defence.</w:t>
      </w:r>
    </w:p>
    <w:p w:rsidR="0004423D" w:rsidRPr="007B7359" w:rsidRDefault="0004423D" w:rsidP="00FC34D9">
      <w:pPr>
        <w:spacing w:after="0" w:line="480" w:lineRule="auto"/>
        <w:jc w:val="both"/>
        <w:rPr>
          <w:rFonts w:ascii="Times New Roman" w:hAnsi="Times New Roman" w:cs="Times New Roman"/>
          <w:sz w:val="24"/>
          <w:szCs w:val="24"/>
        </w:rPr>
      </w:pPr>
    </w:p>
    <w:p w:rsidR="001073C9" w:rsidRPr="007B7359" w:rsidRDefault="001073C9" w:rsidP="00FC34D9">
      <w:pPr>
        <w:spacing w:after="0" w:line="480" w:lineRule="auto"/>
        <w:jc w:val="both"/>
        <w:rPr>
          <w:rFonts w:ascii="Times New Roman" w:hAnsi="Times New Roman" w:cs="Times New Roman"/>
          <w:sz w:val="24"/>
          <w:szCs w:val="24"/>
        </w:rPr>
      </w:pPr>
    </w:p>
    <w:p w:rsidR="00B1072B" w:rsidRPr="007B7359" w:rsidRDefault="007B7359" w:rsidP="007B735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1073AA" w:rsidRPr="007B7359">
        <w:rPr>
          <w:rFonts w:ascii="Times New Roman" w:hAnsi="Times New Roman" w:cs="Times New Roman"/>
          <w:b/>
          <w:sz w:val="24"/>
          <w:szCs w:val="24"/>
        </w:rPr>
        <w:t>Imminence in the ‘necessity’ defences</w:t>
      </w:r>
    </w:p>
    <w:p w:rsidR="00420CEA" w:rsidRPr="007B7359" w:rsidRDefault="00420CEA" w:rsidP="00FC34D9">
      <w:pPr>
        <w:spacing w:after="0" w:line="480" w:lineRule="auto"/>
        <w:jc w:val="both"/>
        <w:rPr>
          <w:rFonts w:ascii="Times New Roman" w:hAnsi="Times New Roman" w:cs="Times New Roman"/>
          <w:sz w:val="24"/>
          <w:szCs w:val="24"/>
        </w:rPr>
      </w:pPr>
    </w:p>
    <w:p w:rsidR="00FA440F" w:rsidRPr="007B7359" w:rsidRDefault="00B1072B"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idea that necessity and duress and self-defence are species of the same basic concept is not new</w:t>
      </w:r>
      <w:r w:rsidR="00840E00" w:rsidRPr="007B7359">
        <w:rPr>
          <w:rFonts w:ascii="Times New Roman" w:hAnsi="Times New Roman" w:cs="Times New Roman"/>
          <w:sz w:val="24"/>
          <w:szCs w:val="24"/>
        </w:rPr>
        <w:t>,</w:t>
      </w:r>
      <w:r w:rsidRPr="007B7359">
        <w:rPr>
          <w:rStyle w:val="FootnoteReference"/>
          <w:rFonts w:ascii="Times New Roman" w:hAnsi="Times New Roman"/>
          <w:sz w:val="24"/>
          <w:szCs w:val="24"/>
        </w:rPr>
        <w:footnoteReference w:id="88"/>
      </w:r>
      <w:r w:rsidR="00840E00" w:rsidRPr="007B7359">
        <w:rPr>
          <w:rFonts w:ascii="Times New Roman" w:hAnsi="Times New Roman" w:cs="Times New Roman"/>
          <w:sz w:val="24"/>
          <w:szCs w:val="24"/>
        </w:rPr>
        <w:t xml:space="preserve"> as demonstrated above by the way in which the courts and tribunals approached the issues of necessity, self-defence, and duress, whether through threats or by superior orders. The requirements for each are similar, in that there should be a threat of serious harm or death to the individual who then must react to avert that threat, by using violence against the aggressor (self-defence), using violence to avert the threat or consequences (necessity) or committing a crime to protect themselves (duress). Because of the similarities between the defences, there has even been s</w:t>
      </w:r>
      <w:r w:rsidR="00CB1578" w:rsidRPr="007B7359">
        <w:rPr>
          <w:rFonts w:ascii="Times New Roman" w:hAnsi="Times New Roman" w:cs="Times New Roman"/>
          <w:sz w:val="24"/>
          <w:szCs w:val="24"/>
        </w:rPr>
        <w:t xml:space="preserve">ome discussion of </w:t>
      </w:r>
      <w:r w:rsidR="00CB1578" w:rsidRPr="007B7359">
        <w:rPr>
          <w:rFonts w:ascii="Times New Roman" w:hAnsi="Times New Roman" w:cs="Times New Roman"/>
          <w:sz w:val="24"/>
          <w:szCs w:val="24"/>
        </w:rPr>
        <w:lastRenderedPageBreak/>
        <w:t>uniting all</w:t>
      </w:r>
      <w:r w:rsidR="00840E00" w:rsidRPr="007B7359">
        <w:rPr>
          <w:rFonts w:ascii="Times New Roman" w:hAnsi="Times New Roman" w:cs="Times New Roman"/>
          <w:sz w:val="24"/>
          <w:szCs w:val="24"/>
        </w:rPr>
        <w:t xml:space="preserve"> </w:t>
      </w:r>
      <w:r w:rsidR="001C3A46">
        <w:rPr>
          <w:rFonts w:ascii="Times New Roman" w:hAnsi="Times New Roman" w:cs="Times New Roman"/>
          <w:sz w:val="24"/>
          <w:szCs w:val="24"/>
        </w:rPr>
        <w:t>the defences under one of ‘nece</w:t>
      </w:r>
      <w:r w:rsidR="00840E00" w:rsidRPr="007B7359">
        <w:rPr>
          <w:rFonts w:ascii="Times New Roman" w:hAnsi="Times New Roman" w:cs="Times New Roman"/>
          <w:sz w:val="24"/>
          <w:szCs w:val="24"/>
        </w:rPr>
        <w:t>ssary action’</w:t>
      </w:r>
      <w:r w:rsidR="00840E00" w:rsidRPr="007B7359">
        <w:rPr>
          <w:rStyle w:val="FootnoteReference"/>
          <w:rFonts w:ascii="Times New Roman" w:hAnsi="Times New Roman"/>
          <w:sz w:val="24"/>
          <w:szCs w:val="24"/>
        </w:rPr>
        <w:footnoteReference w:id="89"/>
      </w:r>
      <w:r w:rsidR="000E65F3" w:rsidRPr="007B7359">
        <w:rPr>
          <w:rFonts w:ascii="Times New Roman" w:hAnsi="Times New Roman" w:cs="Times New Roman"/>
          <w:sz w:val="24"/>
          <w:szCs w:val="24"/>
        </w:rPr>
        <w:t xml:space="preserve"> in English law. For</w:t>
      </w:r>
      <w:r w:rsidR="00840E00" w:rsidRPr="007B7359">
        <w:rPr>
          <w:rFonts w:ascii="Times New Roman" w:hAnsi="Times New Roman" w:cs="Times New Roman"/>
          <w:sz w:val="24"/>
          <w:szCs w:val="24"/>
        </w:rPr>
        <w:t xml:space="preserve"> self-defence in particular, the requirement that the threat to one’s life is imminent has been applied with relative consistency,</w:t>
      </w:r>
      <w:r w:rsidR="00CB1578" w:rsidRPr="007B7359">
        <w:rPr>
          <w:rStyle w:val="FootnoteReference"/>
          <w:rFonts w:ascii="Times New Roman" w:hAnsi="Times New Roman"/>
          <w:sz w:val="24"/>
          <w:szCs w:val="24"/>
        </w:rPr>
        <w:footnoteReference w:id="90"/>
      </w:r>
      <w:r w:rsidR="00840E00" w:rsidRPr="007B7359">
        <w:rPr>
          <w:rFonts w:ascii="Times New Roman" w:hAnsi="Times New Roman" w:cs="Times New Roman"/>
          <w:sz w:val="24"/>
          <w:szCs w:val="24"/>
        </w:rPr>
        <w:t xml:space="preserve"> as will be discussed below. However, there has been a lack of</w:t>
      </w:r>
      <w:r w:rsidR="00533970" w:rsidRPr="007B7359">
        <w:rPr>
          <w:rFonts w:ascii="Times New Roman" w:hAnsi="Times New Roman" w:cs="Times New Roman"/>
          <w:sz w:val="24"/>
          <w:szCs w:val="24"/>
        </w:rPr>
        <w:t xml:space="preserve"> discussion of </w:t>
      </w:r>
      <w:r w:rsidR="00840E00" w:rsidRPr="007B7359">
        <w:rPr>
          <w:rFonts w:ascii="Times New Roman" w:hAnsi="Times New Roman" w:cs="Times New Roman"/>
          <w:sz w:val="24"/>
          <w:szCs w:val="24"/>
        </w:rPr>
        <w:t xml:space="preserve">the condition of </w:t>
      </w:r>
      <w:r w:rsidR="00533970" w:rsidRPr="007B7359">
        <w:rPr>
          <w:rFonts w:ascii="Times New Roman" w:hAnsi="Times New Roman" w:cs="Times New Roman"/>
          <w:sz w:val="24"/>
          <w:szCs w:val="24"/>
        </w:rPr>
        <w:t>imminence in the literature on duress</w:t>
      </w:r>
      <w:r w:rsidR="00840E00" w:rsidRPr="007B7359">
        <w:rPr>
          <w:rFonts w:ascii="Times New Roman" w:hAnsi="Times New Roman" w:cs="Times New Roman"/>
          <w:sz w:val="24"/>
          <w:szCs w:val="24"/>
        </w:rPr>
        <w:t>.</w:t>
      </w:r>
      <w:r w:rsidR="00533970" w:rsidRPr="007B7359">
        <w:rPr>
          <w:rStyle w:val="FootnoteReference"/>
          <w:rFonts w:ascii="Times New Roman" w:hAnsi="Times New Roman"/>
          <w:sz w:val="24"/>
          <w:szCs w:val="24"/>
        </w:rPr>
        <w:footnoteReference w:id="91"/>
      </w:r>
      <w:r w:rsidR="00CB1578" w:rsidRPr="007B7359">
        <w:rPr>
          <w:rFonts w:ascii="Times New Roman" w:hAnsi="Times New Roman" w:cs="Times New Roman"/>
          <w:sz w:val="24"/>
          <w:szCs w:val="24"/>
        </w:rPr>
        <w:t xml:space="preserve"> This section will examine the role of imminence in the necessity defences, focusing on the defence of self-defence, and questioning whether imminence has been ‘imported’ from self-defence to duress. The reasoning underlying this shall also be examined, and the problems of uniting the defences shall also be discussed.</w:t>
      </w:r>
    </w:p>
    <w:p w:rsidR="00DF336D" w:rsidRPr="007B7359" w:rsidRDefault="00DF336D" w:rsidP="00FC34D9">
      <w:pPr>
        <w:spacing w:after="0" w:line="480" w:lineRule="auto"/>
        <w:jc w:val="both"/>
        <w:rPr>
          <w:rFonts w:ascii="Times New Roman" w:hAnsi="Times New Roman" w:cs="Times New Roman"/>
          <w:sz w:val="24"/>
          <w:szCs w:val="24"/>
        </w:rPr>
      </w:pPr>
    </w:p>
    <w:p w:rsidR="00CB1578" w:rsidRPr="007B7359" w:rsidRDefault="00DF336D" w:rsidP="00FC34D9">
      <w:pPr>
        <w:spacing w:after="0" w:line="480" w:lineRule="auto"/>
        <w:jc w:val="both"/>
        <w:rPr>
          <w:rFonts w:ascii="Times New Roman" w:hAnsi="Times New Roman" w:cs="Times New Roman"/>
          <w:sz w:val="24"/>
          <w:szCs w:val="24"/>
        </w:rPr>
      </w:pPr>
      <w:proofErr w:type="spellStart"/>
      <w:r w:rsidRPr="007B7359">
        <w:rPr>
          <w:rFonts w:ascii="Times New Roman" w:hAnsi="Times New Roman" w:cs="Times New Roman"/>
          <w:sz w:val="24"/>
          <w:szCs w:val="24"/>
        </w:rPr>
        <w:t>Scaliotti</w:t>
      </w:r>
      <w:proofErr w:type="spellEnd"/>
      <w:r w:rsidRPr="007B7359">
        <w:rPr>
          <w:rFonts w:ascii="Times New Roman" w:hAnsi="Times New Roman" w:cs="Times New Roman"/>
          <w:sz w:val="24"/>
          <w:szCs w:val="24"/>
        </w:rPr>
        <w:t xml:space="preserve"> considers that the idea of imminence is of greater relevance to self-defence than duress,</w:t>
      </w:r>
      <w:r w:rsidRPr="007B7359">
        <w:rPr>
          <w:rStyle w:val="FootnoteReference"/>
          <w:rFonts w:ascii="Times New Roman" w:hAnsi="Times New Roman"/>
          <w:sz w:val="24"/>
          <w:szCs w:val="24"/>
        </w:rPr>
        <w:footnoteReference w:id="92"/>
      </w:r>
      <w:r w:rsidRPr="007B7359">
        <w:rPr>
          <w:rFonts w:ascii="Times New Roman" w:hAnsi="Times New Roman" w:cs="Times New Roman"/>
          <w:sz w:val="24"/>
          <w:szCs w:val="24"/>
        </w:rPr>
        <w:t xml:space="preserve"> and his view is reflected </w:t>
      </w:r>
      <w:r w:rsidRPr="007B7359">
        <w:rPr>
          <w:rFonts w:ascii="Times New Roman" w:hAnsi="Times New Roman" w:cs="Times New Roman"/>
          <w:sz w:val="24"/>
          <w:szCs w:val="24"/>
        </w:rPr>
        <w:lastRenderedPageBreak/>
        <w:t>accurately in the literature</w:t>
      </w:r>
      <w:r w:rsidRPr="007B7359">
        <w:rPr>
          <w:rStyle w:val="FootnoteReference"/>
          <w:rFonts w:ascii="Times New Roman" w:hAnsi="Times New Roman"/>
          <w:sz w:val="24"/>
          <w:szCs w:val="24"/>
        </w:rPr>
        <w:footnoteReference w:id="93"/>
      </w:r>
      <w:r w:rsidRPr="007B7359">
        <w:rPr>
          <w:rFonts w:ascii="Times New Roman" w:hAnsi="Times New Roman" w:cs="Times New Roman"/>
          <w:sz w:val="24"/>
          <w:szCs w:val="24"/>
        </w:rPr>
        <w:t xml:space="preserve"> on the condition of imminence for the applicability of self-defence. Among others, </w:t>
      </w:r>
      <w:r w:rsidR="00CB1578" w:rsidRPr="007B7359">
        <w:rPr>
          <w:rFonts w:ascii="Times New Roman" w:hAnsi="Times New Roman" w:cs="Times New Roman"/>
          <w:sz w:val="24"/>
          <w:szCs w:val="24"/>
        </w:rPr>
        <w:t xml:space="preserve">Clarkson notes </w:t>
      </w:r>
      <w:r w:rsidRPr="007B7359">
        <w:rPr>
          <w:rFonts w:ascii="Times New Roman" w:hAnsi="Times New Roman" w:cs="Times New Roman"/>
          <w:sz w:val="24"/>
          <w:szCs w:val="24"/>
        </w:rPr>
        <w:t xml:space="preserve">the idea of imminence relates to that which is </w:t>
      </w:r>
      <w:r w:rsidR="00CB1578" w:rsidRPr="007B7359">
        <w:rPr>
          <w:rFonts w:ascii="Times New Roman" w:hAnsi="Times New Roman" w:cs="Times New Roman"/>
          <w:sz w:val="24"/>
          <w:szCs w:val="24"/>
        </w:rPr>
        <w:t>‘impending threateningly, hanging over one’s head.’</w:t>
      </w:r>
      <w:r w:rsidR="00CB1578" w:rsidRPr="007B7359">
        <w:rPr>
          <w:rStyle w:val="FootnoteReference"/>
          <w:rFonts w:ascii="Times New Roman" w:hAnsi="Times New Roman"/>
          <w:sz w:val="24"/>
          <w:szCs w:val="24"/>
        </w:rPr>
        <w:footnoteReference w:id="94"/>
      </w:r>
      <w:r w:rsidR="00CB1578" w:rsidRPr="007B7359">
        <w:rPr>
          <w:rFonts w:ascii="Times New Roman" w:hAnsi="Times New Roman" w:cs="Times New Roman"/>
          <w:sz w:val="24"/>
          <w:szCs w:val="24"/>
        </w:rPr>
        <w:t xml:space="preserve"> </w:t>
      </w:r>
      <w:r w:rsidRPr="007B7359">
        <w:rPr>
          <w:rFonts w:ascii="Times New Roman" w:hAnsi="Times New Roman" w:cs="Times New Roman"/>
          <w:sz w:val="24"/>
          <w:szCs w:val="24"/>
        </w:rPr>
        <w:t>He is of the view that the function of imminence is to prove that the act of self-defence was necessary. Kaufman in particular notes the importance of the necessity of the reaction to the threat</w:t>
      </w:r>
      <w:r w:rsidRPr="007B7359">
        <w:rPr>
          <w:rStyle w:val="FootnoteReference"/>
          <w:rFonts w:ascii="Times New Roman" w:hAnsi="Times New Roman"/>
          <w:sz w:val="24"/>
          <w:szCs w:val="24"/>
        </w:rPr>
        <w:footnoteReference w:id="95"/>
      </w:r>
      <w:r w:rsidRPr="007B7359">
        <w:rPr>
          <w:rFonts w:ascii="Times New Roman" w:hAnsi="Times New Roman" w:cs="Times New Roman"/>
          <w:sz w:val="24"/>
          <w:szCs w:val="24"/>
        </w:rPr>
        <w:t xml:space="preserve"> in self-defence, and arguably the use of the concept of imminence is a means of proving this.  </w:t>
      </w:r>
      <w:r w:rsidR="00CB1578" w:rsidRPr="007B7359">
        <w:rPr>
          <w:rFonts w:ascii="Times New Roman" w:hAnsi="Times New Roman" w:cs="Times New Roman"/>
          <w:sz w:val="24"/>
          <w:szCs w:val="24"/>
        </w:rPr>
        <w:t>In this way, imminence can be seen as way of quantifying the necessity of the act.</w:t>
      </w:r>
      <w:r w:rsidR="005E405F" w:rsidRPr="007B7359">
        <w:rPr>
          <w:rStyle w:val="FootnoteReference"/>
          <w:rFonts w:ascii="Times New Roman" w:hAnsi="Times New Roman"/>
          <w:sz w:val="24"/>
          <w:szCs w:val="24"/>
        </w:rPr>
        <w:footnoteReference w:id="96"/>
      </w:r>
      <w:r w:rsidR="00CB1578" w:rsidRPr="007B7359">
        <w:rPr>
          <w:rFonts w:ascii="Times New Roman" w:hAnsi="Times New Roman" w:cs="Times New Roman"/>
          <w:sz w:val="24"/>
          <w:szCs w:val="24"/>
        </w:rPr>
        <w:t xml:space="preserve"> Other authors refer to imminence</w:t>
      </w:r>
      <w:r w:rsidRPr="007B7359">
        <w:rPr>
          <w:rFonts w:ascii="Times New Roman" w:hAnsi="Times New Roman" w:cs="Times New Roman"/>
          <w:sz w:val="24"/>
          <w:szCs w:val="24"/>
        </w:rPr>
        <w:t xml:space="preserve"> specifically</w:t>
      </w:r>
      <w:r w:rsidR="00CB1578" w:rsidRPr="007B7359">
        <w:rPr>
          <w:rFonts w:ascii="Times New Roman" w:hAnsi="Times New Roman" w:cs="Times New Roman"/>
          <w:sz w:val="24"/>
          <w:szCs w:val="24"/>
        </w:rPr>
        <w:t xml:space="preserve"> as a ‘translator for necessity,’</w:t>
      </w:r>
      <w:r w:rsidR="00CB1578" w:rsidRPr="007B7359">
        <w:rPr>
          <w:rStyle w:val="FootnoteReference"/>
          <w:rFonts w:ascii="Times New Roman" w:hAnsi="Times New Roman"/>
          <w:sz w:val="24"/>
          <w:szCs w:val="24"/>
        </w:rPr>
        <w:footnoteReference w:id="97"/>
      </w:r>
      <w:r w:rsidR="00CB1578" w:rsidRPr="007B7359">
        <w:rPr>
          <w:rFonts w:ascii="Times New Roman" w:hAnsi="Times New Roman" w:cs="Times New Roman"/>
          <w:sz w:val="24"/>
          <w:szCs w:val="24"/>
        </w:rPr>
        <w:t xml:space="preserve"> in that the necessity of an act is contingent on the imminence of the threat.</w:t>
      </w:r>
      <w:r w:rsidR="00CB1578" w:rsidRPr="007B7359">
        <w:rPr>
          <w:rStyle w:val="FootnoteReference"/>
          <w:rFonts w:ascii="Times New Roman" w:hAnsi="Times New Roman"/>
          <w:sz w:val="24"/>
          <w:szCs w:val="24"/>
        </w:rPr>
        <w:footnoteReference w:id="98"/>
      </w:r>
      <w:r w:rsidR="00CB1578" w:rsidRPr="007B7359">
        <w:rPr>
          <w:rFonts w:ascii="Times New Roman" w:hAnsi="Times New Roman" w:cs="Times New Roman"/>
          <w:sz w:val="24"/>
          <w:szCs w:val="24"/>
        </w:rPr>
        <w:t>. Rosen describes imminence as being a requirement to affirm the necessity of the action; Murdoch clarifies imminence as being a ‘condition precedent’</w:t>
      </w:r>
      <w:r w:rsidR="00CB1578" w:rsidRPr="007B7359">
        <w:rPr>
          <w:rStyle w:val="FootnoteReference"/>
          <w:rFonts w:ascii="Times New Roman" w:hAnsi="Times New Roman"/>
          <w:sz w:val="24"/>
          <w:szCs w:val="24"/>
        </w:rPr>
        <w:footnoteReference w:id="99"/>
      </w:r>
      <w:r w:rsidR="00CB1578" w:rsidRPr="007B7359">
        <w:rPr>
          <w:rFonts w:ascii="Times New Roman" w:hAnsi="Times New Roman" w:cs="Times New Roman"/>
          <w:sz w:val="24"/>
          <w:szCs w:val="24"/>
        </w:rPr>
        <w:t xml:space="preserve"> for the necessary action. </w:t>
      </w:r>
    </w:p>
    <w:p w:rsidR="00DF336D" w:rsidRPr="007B7359" w:rsidRDefault="00DF336D" w:rsidP="00FC34D9">
      <w:pPr>
        <w:spacing w:after="0" w:line="480" w:lineRule="auto"/>
        <w:jc w:val="both"/>
        <w:rPr>
          <w:rFonts w:ascii="Times New Roman" w:hAnsi="Times New Roman" w:cs="Times New Roman"/>
          <w:sz w:val="24"/>
          <w:szCs w:val="24"/>
        </w:rPr>
      </w:pPr>
    </w:p>
    <w:p w:rsidR="00E66A86" w:rsidRPr="007B7359" w:rsidRDefault="00CB1578"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This approach thus looks at the necessity of acting in the context of imminence, justifying the conduct: the individual was required to act at that particular moment because of the harm </w:t>
      </w:r>
      <w:r w:rsidRPr="007B7359">
        <w:rPr>
          <w:rFonts w:ascii="Times New Roman" w:hAnsi="Times New Roman" w:cs="Times New Roman"/>
          <w:sz w:val="24"/>
          <w:szCs w:val="24"/>
        </w:rPr>
        <w:lastRenderedPageBreak/>
        <w:t xml:space="preserve">which would otherwise be visited upon them. This approach rejects the significance of a temporal idea of imminence and values instead the necessity of acting, highlighting that imminence functions only as a means of determining the necessity of the threat. </w:t>
      </w:r>
      <w:r w:rsidR="00E66A86" w:rsidRPr="007B7359">
        <w:rPr>
          <w:rFonts w:ascii="Times New Roman" w:hAnsi="Times New Roman" w:cs="Times New Roman"/>
          <w:sz w:val="24"/>
          <w:szCs w:val="24"/>
        </w:rPr>
        <w:t xml:space="preserve">Viewed in this way, the criterion of imminence is simply a ‘translator for necessity.’ As </w:t>
      </w:r>
      <w:proofErr w:type="spellStart"/>
      <w:r w:rsidR="00E66A86" w:rsidRPr="007B7359">
        <w:rPr>
          <w:rFonts w:ascii="Times New Roman" w:hAnsi="Times New Roman" w:cs="Times New Roman"/>
          <w:sz w:val="24"/>
          <w:szCs w:val="24"/>
        </w:rPr>
        <w:t>Bakircioglu</w:t>
      </w:r>
      <w:proofErr w:type="spellEnd"/>
      <w:r w:rsidR="00E66A86" w:rsidRPr="007B7359">
        <w:rPr>
          <w:rFonts w:ascii="Times New Roman" w:hAnsi="Times New Roman" w:cs="Times New Roman"/>
          <w:sz w:val="24"/>
          <w:szCs w:val="24"/>
        </w:rPr>
        <w:t xml:space="preserve"> holds, imminence can be used to determine whether there was a reasonable alternative to committing the crime.</w:t>
      </w:r>
      <w:r w:rsidR="00E66A86" w:rsidRPr="007B7359">
        <w:rPr>
          <w:rStyle w:val="FootnoteReference"/>
          <w:rFonts w:ascii="Times New Roman" w:hAnsi="Times New Roman"/>
          <w:sz w:val="24"/>
          <w:szCs w:val="24"/>
        </w:rPr>
        <w:footnoteReference w:id="100"/>
      </w:r>
      <w:r w:rsidR="00E66A86" w:rsidRPr="007B7359">
        <w:rPr>
          <w:rFonts w:ascii="Times New Roman" w:hAnsi="Times New Roman" w:cs="Times New Roman"/>
          <w:sz w:val="24"/>
          <w:szCs w:val="24"/>
        </w:rPr>
        <w:t xml:space="preserve">  Despite appearances, the question is not when the threat would happen, but whether the act was necessary given that there was no alternative in the circumstances. The requirement that the threat be made in a timeframe relevant to the act has a deeper relationship with self-defence than duress precisely because it proves that the act was necessary in the circumstances. </w:t>
      </w:r>
    </w:p>
    <w:p w:rsidR="00E66A86" w:rsidRPr="007B7359" w:rsidRDefault="00E66A86" w:rsidP="00FC34D9">
      <w:pPr>
        <w:spacing w:after="0" w:line="480" w:lineRule="auto"/>
        <w:jc w:val="both"/>
        <w:rPr>
          <w:rFonts w:ascii="Times New Roman" w:hAnsi="Times New Roman" w:cs="Times New Roman"/>
          <w:sz w:val="24"/>
          <w:szCs w:val="24"/>
        </w:rPr>
      </w:pPr>
    </w:p>
    <w:p w:rsidR="00DF336D" w:rsidRPr="007B7359" w:rsidRDefault="00E66A86"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However, there have been problems cited with the idea that imminence creates the necessity for action in self-defence. Murdoch states that an </w:t>
      </w:r>
      <w:r w:rsidR="00DF336D" w:rsidRPr="007B7359">
        <w:rPr>
          <w:rFonts w:ascii="Times New Roman" w:hAnsi="Times New Roman" w:cs="Times New Roman"/>
          <w:sz w:val="24"/>
          <w:szCs w:val="24"/>
        </w:rPr>
        <w:t xml:space="preserve">‘imminence </w:t>
      </w:r>
      <w:r w:rsidRPr="007B7359">
        <w:rPr>
          <w:rFonts w:ascii="Times New Roman" w:hAnsi="Times New Roman" w:cs="Times New Roman"/>
          <w:sz w:val="24"/>
          <w:szCs w:val="24"/>
        </w:rPr>
        <w:t>based necessity analysis…</w:t>
      </w:r>
      <w:r w:rsidR="00DF336D" w:rsidRPr="007B7359">
        <w:rPr>
          <w:rFonts w:ascii="Times New Roman" w:hAnsi="Times New Roman" w:cs="Times New Roman"/>
          <w:sz w:val="24"/>
          <w:szCs w:val="24"/>
        </w:rPr>
        <w:t>focuses on the immediacy of the threat rather than the immediacy of the action necessary to avert the threat. If the harm cannot be avoided or the risk that the harm will occur will increase, one should be able to act without punishment.</w:t>
      </w:r>
      <w:r w:rsidR="00DF336D" w:rsidRPr="007B7359">
        <w:rPr>
          <w:rStyle w:val="FootnoteReference"/>
          <w:rFonts w:ascii="Times New Roman" w:hAnsi="Times New Roman"/>
          <w:sz w:val="24"/>
          <w:szCs w:val="24"/>
        </w:rPr>
        <w:footnoteReference w:id="101"/>
      </w:r>
      <w:r w:rsidR="00DF336D" w:rsidRPr="007B7359">
        <w:rPr>
          <w:rFonts w:ascii="Times New Roman" w:hAnsi="Times New Roman" w:cs="Times New Roman"/>
          <w:sz w:val="24"/>
          <w:szCs w:val="24"/>
        </w:rPr>
        <w:t xml:space="preserve"> He continues that the defendant’s action should be examined ‘in </w:t>
      </w:r>
      <w:r w:rsidR="00DF336D" w:rsidRPr="007B7359">
        <w:rPr>
          <w:rFonts w:ascii="Times New Roman" w:hAnsi="Times New Roman" w:cs="Times New Roman"/>
          <w:sz w:val="24"/>
          <w:szCs w:val="24"/>
        </w:rPr>
        <w:lastRenderedPageBreak/>
        <w:t xml:space="preserve">terms of necessity rather than imminence (to) allow (the jury) to acquit on a legal theory that is both consistent with morality and intuition.’ </w:t>
      </w:r>
    </w:p>
    <w:p w:rsidR="00E66A86" w:rsidRPr="007B7359" w:rsidRDefault="00E66A86" w:rsidP="00FC34D9">
      <w:pPr>
        <w:spacing w:after="0" w:line="480" w:lineRule="auto"/>
        <w:jc w:val="both"/>
        <w:rPr>
          <w:rFonts w:ascii="Times New Roman" w:hAnsi="Times New Roman" w:cs="Times New Roman"/>
          <w:sz w:val="24"/>
          <w:szCs w:val="24"/>
        </w:rPr>
      </w:pPr>
    </w:p>
    <w:p w:rsidR="000A13D1" w:rsidRPr="007B7359" w:rsidRDefault="00E66A86"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Murdoch’s point is that the threat must be imminent for the defence to be availability, rather than examining whether the act was necessary. This points further to the problems with imminence in self-defence, let alone necessity or duress. If the question of whether the criminal act was necessary is not the central consideration, particularly in the context of war crimes and crimes against humanity, the criterion of imminence becomes an arbitrary characteristic of an unthinking system,</w:t>
      </w:r>
      <w:r w:rsidR="009430DE" w:rsidRPr="007B7359">
        <w:rPr>
          <w:rStyle w:val="FootnoteReference"/>
          <w:rFonts w:ascii="Times New Roman" w:hAnsi="Times New Roman"/>
          <w:sz w:val="24"/>
          <w:szCs w:val="24"/>
        </w:rPr>
        <w:footnoteReference w:id="102"/>
      </w:r>
      <w:r w:rsidRPr="007B7359">
        <w:rPr>
          <w:rFonts w:ascii="Times New Roman" w:hAnsi="Times New Roman" w:cs="Times New Roman"/>
          <w:sz w:val="24"/>
          <w:szCs w:val="24"/>
        </w:rPr>
        <w:t xml:space="preserve"> robotically applying standards which may not consistently achieve the standards of fairness required of such </w:t>
      </w:r>
      <w:r w:rsidR="000A13D1" w:rsidRPr="007B7359">
        <w:rPr>
          <w:rFonts w:ascii="Times New Roman" w:hAnsi="Times New Roman" w:cs="Times New Roman"/>
          <w:sz w:val="24"/>
          <w:szCs w:val="24"/>
        </w:rPr>
        <w:t>situations</w:t>
      </w:r>
      <w:r w:rsidRPr="007B7359">
        <w:rPr>
          <w:rFonts w:ascii="Times New Roman" w:hAnsi="Times New Roman" w:cs="Times New Roman"/>
          <w:sz w:val="24"/>
          <w:szCs w:val="24"/>
        </w:rPr>
        <w:t>.</w:t>
      </w:r>
      <w:r w:rsidR="000A13D1" w:rsidRPr="007B7359">
        <w:rPr>
          <w:rFonts w:ascii="Times New Roman" w:hAnsi="Times New Roman" w:cs="Times New Roman"/>
          <w:sz w:val="24"/>
          <w:szCs w:val="24"/>
        </w:rPr>
        <w:t xml:space="preserve"> This issue arises typically in cases of self-defence concerning individuals who have suffered domestic abuse. The requirement of imminence in self-defence has meant that the defence has been unavailable to many individuals who did not kill immediately in response to an attack, regardless of the intensity or duration of the abuse they had suffered. Focusing on the freedom to choose that such individuals would have may yield a fairer outcome than including a temporal condition in the defence.</w:t>
      </w:r>
    </w:p>
    <w:p w:rsidR="000A13D1" w:rsidRPr="007B7359" w:rsidRDefault="000A13D1" w:rsidP="00FC34D9">
      <w:pPr>
        <w:spacing w:after="0" w:line="480" w:lineRule="auto"/>
        <w:jc w:val="both"/>
        <w:rPr>
          <w:rFonts w:ascii="Times New Roman" w:hAnsi="Times New Roman" w:cs="Times New Roman"/>
          <w:sz w:val="24"/>
          <w:szCs w:val="24"/>
        </w:rPr>
      </w:pPr>
    </w:p>
    <w:p w:rsidR="000123F7" w:rsidRPr="007B7359" w:rsidRDefault="000A13D1"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continuation of the requirement of imminence in self-defence has created problems and has restricted the availability of the defence to individuals who have proved that the threat to their lives or limbs was imminent, yielding on occasion an unfair outcome. For this reason, it is worth entertaining the conceptualisation of necessity, self-defence, and duress, which Clarkson perceives would lead to greater focus on the necessity and proportionality of the criminal act defended. He posits</w:t>
      </w:r>
      <w:r w:rsidR="00C03465" w:rsidRPr="007B7359">
        <w:rPr>
          <w:rFonts w:ascii="Times New Roman" w:hAnsi="Times New Roman" w:cs="Times New Roman"/>
          <w:sz w:val="24"/>
          <w:szCs w:val="24"/>
        </w:rPr>
        <w:t xml:space="preserve"> that the defences of necessity, duress, and self-defence are all </w:t>
      </w:r>
      <w:r w:rsidR="00735F63" w:rsidRPr="007B7359">
        <w:rPr>
          <w:rFonts w:ascii="Times New Roman" w:hAnsi="Times New Roman" w:cs="Times New Roman"/>
          <w:sz w:val="24"/>
          <w:szCs w:val="24"/>
        </w:rPr>
        <w:t>forms of the same basic principle,</w:t>
      </w:r>
      <w:r w:rsidR="00735F63" w:rsidRPr="007B7359">
        <w:rPr>
          <w:rStyle w:val="FootnoteReference"/>
          <w:rFonts w:ascii="Times New Roman" w:hAnsi="Times New Roman"/>
          <w:sz w:val="24"/>
          <w:szCs w:val="24"/>
        </w:rPr>
        <w:footnoteReference w:id="103"/>
      </w:r>
      <w:r w:rsidR="00735F63" w:rsidRPr="007B7359">
        <w:rPr>
          <w:rFonts w:ascii="Times New Roman" w:hAnsi="Times New Roman" w:cs="Times New Roman"/>
          <w:sz w:val="24"/>
          <w:szCs w:val="24"/>
        </w:rPr>
        <w:t xml:space="preserve"> and that each defence simply represents a different reason for acting that the person relies upon to relive themselves of criminal responsibility.</w:t>
      </w:r>
      <w:r w:rsidR="00735F63" w:rsidRPr="007B7359">
        <w:rPr>
          <w:rStyle w:val="FootnoteReference"/>
          <w:rFonts w:ascii="Times New Roman" w:hAnsi="Times New Roman"/>
          <w:sz w:val="24"/>
          <w:szCs w:val="24"/>
        </w:rPr>
        <w:footnoteReference w:id="104"/>
      </w:r>
      <w:r w:rsidR="000D6022" w:rsidRPr="007B7359">
        <w:rPr>
          <w:rFonts w:ascii="Times New Roman" w:hAnsi="Times New Roman" w:cs="Times New Roman"/>
          <w:sz w:val="24"/>
          <w:szCs w:val="24"/>
        </w:rPr>
        <w:t xml:space="preserve"> He argues that the investigation of the person’s state of mind in order to ascribe a justification or excuse to their behaviour is not really relevant, and that the most important consideration should be the reasonableness and proportionality of their actions.</w:t>
      </w:r>
      <w:r w:rsidR="000D6022" w:rsidRPr="007B7359">
        <w:rPr>
          <w:rStyle w:val="FootnoteReference"/>
          <w:rFonts w:ascii="Times New Roman" w:hAnsi="Times New Roman"/>
          <w:sz w:val="24"/>
          <w:szCs w:val="24"/>
        </w:rPr>
        <w:footnoteReference w:id="105"/>
      </w:r>
      <w:r w:rsidR="000D6022" w:rsidRPr="007B7359">
        <w:rPr>
          <w:rFonts w:ascii="Times New Roman" w:hAnsi="Times New Roman" w:cs="Times New Roman"/>
          <w:sz w:val="24"/>
          <w:szCs w:val="24"/>
        </w:rPr>
        <w:t xml:space="preserve"> Indeed, the focus he has on the outcome demonstrates greater consideration for the victims, and a more nuanced manner of approaching the problem.</w:t>
      </w:r>
      <w:r w:rsidR="000D6022" w:rsidRPr="007B7359">
        <w:rPr>
          <w:rStyle w:val="FootnoteReference"/>
          <w:rFonts w:ascii="Times New Roman" w:hAnsi="Times New Roman"/>
          <w:sz w:val="24"/>
          <w:szCs w:val="24"/>
        </w:rPr>
        <w:footnoteReference w:id="106"/>
      </w:r>
      <w:r w:rsidR="000D6022" w:rsidRPr="007B7359">
        <w:rPr>
          <w:rFonts w:ascii="Times New Roman" w:hAnsi="Times New Roman" w:cs="Times New Roman"/>
          <w:sz w:val="24"/>
          <w:szCs w:val="24"/>
        </w:rPr>
        <w:t xml:space="preserve"> </w:t>
      </w:r>
    </w:p>
    <w:p w:rsidR="000123F7" w:rsidRPr="007B7359" w:rsidRDefault="000123F7" w:rsidP="00FC34D9">
      <w:pPr>
        <w:spacing w:after="0" w:line="480" w:lineRule="auto"/>
        <w:jc w:val="both"/>
        <w:rPr>
          <w:rFonts w:ascii="Times New Roman" w:hAnsi="Times New Roman" w:cs="Times New Roman"/>
          <w:sz w:val="24"/>
          <w:szCs w:val="24"/>
        </w:rPr>
      </w:pPr>
    </w:p>
    <w:p w:rsidR="00315D0C" w:rsidRPr="007B7359" w:rsidRDefault="000D6022"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lastRenderedPageBreak/>
        <w:t xml:space="preserve">The discussion he </w:t>
      </w:r>
      <w:r w:rsidR="005E7CEE" w:rsidRPr="007B7359">
        <w:rPr>
          <w:rFonts w:ascii="Times New Roman" w:hAnsi="Times New Roman" w:cs="Times New Roman"/>
          <w:sz w:val="24"/>
          <w:szCs w:val="24"/>
        </w:rPr>
        <w:t>undertakes shows little regard for the idea of immi</w:t>
      </w:r>
      <w:r w:rsidR="00315D0C" w:rsidRPr="007B7359">
        <w:rPr>
          <w:rFonts w:ascii="Times New Roman" w:hAnsi="Times New Roman" w:cs="Times New Roman"/>
          <w:sz w:val="24"/>
          <w:szCs w:val="24"/>
        </w:rPr>
        <w:t xml:space="preserve">nence, and focuses instead of the necessity of the action. However, this approach </w:t>
      </w:r>
      <w:r w:rsidR="000A13D1" w:rsidRPr="007B7359">
        <w:rPr>
          <w:rFonts w:ascii="Times New Roman" w:hAnsi="Times New Roman" w:cs="Times New Roman"/>
          <w:sz w:val="24"/>
          <w:szCs w:val="24"/>
        </w:rPr>
        <w:t xml:space="preserve">pays little heed to the idea of imminence, and focuses instead on the significance of the necessity and proportionality of the act. This approach is of value because it addresses the above problem of the availability of such defences for victims of domestic violence, as well as confirming that the key element in each of the defences is the necessity and proportionality of the act. Requiring that the </w:t>
      </w:r>
      <w:r w:rsidR="000123F7" w:rsidRPr="007B7359">
        <w:rPr>
          <w:rFonts w:ascii="Times New Roman" w:hAnsi="Times New Roman" w:cs="Times New Roman"/>
          <w:sz w:val="24"/>
          <w:szCs w:val="24"/>
        </w:rPr>
        <w:t>focus of the court remains on the necessity and proportionality of the act, rather than the imminence of the threat, excludes the unfairness of denying the defence to an individual who acted under the significant pressure.</w:t>
      </w:r>
    </w:p>
    <w:p w:rsidR="00EF7F9A" w:rsidRPr="007B7359" w:rsidRDefault="00EF7F9A" w:rsidP="00FC34D9">
      <w:pPr>
        <w:spacing w:after="0" w:line="480" w:lineRule="auto"/>
        <w:jc w:val="both"/>
        <w:rPr>
          <w:rFonts w:ascii="Times New Roman" w:hAnsi="Times New Roman" w:cs="Times New Roman"/>
          <w:sz w:val="24"/>
          <w:szCs w:val="24"/>
        </w:rPr>
      </w:pPr>
    </w:p>
    <w:p w:rsidR="00EF7F9A" w:rsidRPr="007B7359" w:rsidRDefault="00CE0229"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Another reason for including imminence in the defences generally is put forward by </w:t>
      </w:r>
      <w:proofErr w:type="spellStart"/>
      <w:r w:rsidRPr="007B7359">
        <w:rPr>
          <w:rFonts w:ascii="Times New Roman" w:hAnsi="Times New Roman" w:cs="Times New Roman"/>
          <w:sz w:val="24"/>
          <w:szCs w:val="24"/>
        </w:rPr>
        <w:t>Kotecha</w:t>
      </w:r>
      <w:proofErr w:type="spellEnd"/>
      <w:r w:rsidRPr="007B7359">
        <w:rPr>
          <w:rFonts w:ascii="Times New Roman" w:hAnsi="Times New Roman" w:cs="Times New Roman"/>
          <w:sz w:val="24"/>
          <w:szCs w:val="24"/>
        </w:rPr>
        <w:t xml:space="preserve">, who focuses on the Canadian judgment of </w:t>
      </w:r>
      <w:proofErr w:type="spellStart"/>
      <w:r w:rsidRPr="007B7359">
        <w:rPr>
          <w:rFonts w:ascii="Times New Roman" w:hAnsi="Times New Roman" w:cs="Times New Roman"/>
          <w:i/>
          <w:sz w:val="24"/>
          <w:szCs w:val="24"/>
        </w:rPr>
        <w:t>Perka</w:t>
      </w:r>
      <w:proofErr w:type="spellEnd"/>
      <w:r w:rsidRPr="007B7359">
        <w:rPr>
          <w:rFonts w:ascii="Times New Roman" w:hAnsi="Times New Roman" w:cs="Times New Roman"/>
          <w:sz w:val="24"/>
          <w:szCs w:val="24"/>
        </w:rPr>
        <w:t>.</w:t>
      </w:r>
      <w:r w:rsidRPr="007B7359">
        <w:rPr>
          <w:rStyle w:val="FootnoteReference"/>
          <w:rFonts w:ascii="Times New Roman" w:hAnsi="Times New Roman"/>
          <w:sz w:val="24"/>
          <w:szCs w:val="24"/>
        </w:rPr>
        <w:footnoteReference w:id="107"/>
      </w:r>
      <w:r w:rsidR="00EF7F9A" w:rsidRPr="007B7359">
        <w:rPr>
          <w:rFonts w:ascii="Times New Roman" w:hAnsi="Times New Roman" w:cs="Times New Roman"/>
          <w:sz w:val="24"/>
          <w:szCs w:val="24"/>
        </w:rPr>
        <w:t xml:space="preserve"> </w:t>
      </w:r>
      <w:r w:rsidRPr="007B7359">
        <w:rPr>
          <w:rFonts w:ascii="Times New Roman" w:hAnsi="Times New Roman" w:cs="Times New Roman"/>
          <w:sz w:val="24"/>
          <w:szCs w:val="24"/>
        </w:rPr>
        <w:t xml:space="preserve">In </w:t>
      </w:r>
      <w:proofErr w:type="spellStart"/>
      <w:r w:rsidRPr="007B7359">
        <w:rPr>
          <w:rFonts w:ascii="Times New Roman" w:hAnsi="Times New Roman" w:cs="Times New Roman"/>
          <w:i/>
          <w:sz w:val="24"/>
          <w:szCs w:val="24"/>
        </w:rPr>
        <w:t>Perka</w:t>
      </w:r>
      <w:proofErr w:type="spellEnd"/>
      <w:r w:rsidRPr="007B7359">
        <w:rPr>
          <w:rFonts w:ascii="Times New Roman" w:hAnsi="Times New Roman" w:cs="Times New Roman"/>
          <w:sz w:val="24"/>
          <w:szCs w:val="24"/>
        </w:rPr>
        <w:t xml:space="preserve">, the court held that </w:t>
      </w:r>
      <w:r w:rsidR="00EF7F9A" w:rsidRPr="007B7359">
        <w:rPr>
          <w:rFonts w:ascii="Times New Roman" w:hAnsi="Times New Roman" w:cs="Times New Roman"/>
          <w:sz w:val="24"/>
          <w:szCs w:val="24"/>
        </w:rPr>
        <w:t>people cannot be expected to behave the same way in ‘emergency’ situations</w:t>
      </w:r>
      <w:r w:rsidR="001073AA" w:rsidRPr="007B7359">
        <w:rPr>
          <w:rFonts w:ascii="Times New Roman" w:hAnsi="Times New Roman" w:cs="Times New Roman"/>
          <w:sz w:val="24"/>
          <w:szCs w:val="24"/>
        </w:rPr>
        <w:t>.</w:t>
      </w:r>
      <w:r w:rsidR="00EF7F9A" w:rsidRPr="007B7359">
        <w:rPr>
          <w:rStyle w:val="FootnoteReference"/>
          <w:rFonts w:ascii="Times New Roman" w:hAnsi="Times New Roman"/>
          <w:sz w:val="24"/>
          <w:szCs w:val="24"/>
        </w:rPr>
        <w:footnoteReference w:id="108"/>
      </w:r>
      <w:r w:rsidR="001073AA" w:rsidRPr="007B7359">
        <w:rPr>
          <w:rFonts w:ascii="Times New Roman" w:hAnsi="Times New Roman" w:cs="Times New Roman"/>
          <w:sz w:val="24"/>
          <w:szCs w:val="24"/>
        </w:rPr>
        <w:t xml:space="preserve"> </w:t>
      </w:r>
      <w:r w:rsidRPr="007B7359">
        <w:rPr>
          <w:rFonts w:ascii="Times New Roman" w:hAnsi="Times New Roman" w:cs="Times New Roman"/>
          <w:sz w:val="24"/>
          <w:szCs w:val="24"/>
        </w:rPr>
        <w:t xml:space="preserve">His analysis of the judgment reveals that the function of </w:t>
      </w:r>
      <w:r w:rsidR="001073AA" w:rsidRPr="007B7359">
        <w:rPr>
          <w:rFonts w:ascii="Times New Roman" w:hAnsi="Times New Roman" w:cs="Times New Roman"/>
          <w:sz w:val="24"/>
          <w:szCs w:val="24"/>
        </w:rPr>
        <w:t>imminence is to restrict the availability of the defence in ordinary life, on account of the fact that it is easier to accept that the individual acted i</w:t>
      </w:r>
      <w:r w:rsidRPr="007B7359">
        <w:rPr>
          <w:rFonts w:ascii="Times New Roman" w:hAnsi="Times New Roman" w:cs="Times New Roman"/>
          <w:sz w:val="24"/>
          <w:szCs w:val="24"/>
        </w:rPr>
        <w:t>f they had little time to think.</w:t>
      </w:r>
      <w:r w:rsidR="001073AA" w:rsidRPr="007B7359">
        <w:rPr>
          <w:rStyle w:val="FootnoteReference"/>
          <w:rFonts w:ascii="Times New Roman" w:hAnsi="Times New Roman"/>
          <w:color w:val="000000"/>
          <w:sz w:val="24"/>
          <w:szCs w:val="24"/>
        </w:rPr>
        <w:t xml:space="preserve"> </w:t>
      </w:r>
      <w:r w:rsidR="001073AA" w:rsidRPr="007B7359">
        <w:rPr>
          <w:rStyle w:val="FootnoteReference"/>
          <w:rFonts w:ascii="Times New Roman" w:hAnsi="Times New Roman"/>
          <w:color w:val="000000"/>
          <w:sz w:val="24"/>
          <w:szCs w:val="24"/>
        </w:rPr>
        <w:footnoteReference w:id="109"/>
      </w:r>
      <w:r w:rsidRPr="007B7359">
        <w:rPr>
          <w:rFonts w:ascii="Times New Roman" w:hAnsi="Times New Roman" w:cs="Times New Roman"/>
          <w:sz w:val="24"/>
          <w:szCs w:val="24"/>
        </w:rPr>
        <w:t xml:space="preserve"> </w:t>
      </w:r>
      <w:proofErr w:type="spellStart"/>
      <w:r w:rsidR="001073AA" w:rsidRPr="007B7359">
        <w:rPr>
          <w:rFonts w:ascii="Times New Roman" w:hAnsi="Times New Roman" w:cs="Times New Roman"/>
          <w:sz w:val="24"/>
          <w:szCs w:val="24"/>
        </w:rPr>
        <w:t>Kotecha</w:t>
      </w:r>
      <w:proofErr w:type="spellEnd"/>
      <w:r w:rsidR="001073AA" w:rsidRPr="007B7359">
        <w:rPr>
          <w:rFonts w:ascii="Times New Roman" w:hAnsi="Times New Roman" w:cs="Times New Roman"/>
          <w:sz w:val="24"/>
          <w:szCs w:val="24"/>
        </w:rPr>
        <w:t xml:space="preserve"> concludes that the requirement of imminence is not  a </w:t>
      </w:r>
      <w:r w:rsidR="001073AA" w:rsidRPr="007B7359">
        <w:rPr>
          <w:rFonts w:ascii="Times New Roman" w:hAnsi="Times New Roman" w:cs="Times New Roman"/>
          <w:sz w:val="24"/>
          <w:szCs w:val="24"/>
        </w:rPr>
        <w:lastRenderedPageBreak/>
        <w:t>definitive part to necessity, but a public policy criterion.</w:t>
      </w:r>
      <w:r w:rsidR="001073AA" w:rsidRPr="007B7359">
        <w:rPr>
          <w:rStyle w:val="FootnoteReference"/>
          <w:rFonts w:ascii="Times New Roman" w:hAnsi="Times New Roman"/>
          <w:sz w:val="24"/>
          <w:szCs w:val="24"/>
        </w:rPr>
        <w:t xml:space="preserve"> </w:t>
      </w:r>
      <w:r w:rsidR="001073AA" w:rsidRPr="007B7359">
        <w:rPr>
          <w:rStyle w:val="FootnoteReference"/>
          <w:rFonts w:ascii="Times New Roman" w:hAnsi="Times New Roman"/>
          <w:sz w:val="24"/>
          <w:szCs w:val="24"/>
        </w:rPr>
        <w:footnoteReference w:id="110"/>
      </w:r>
      <w:r w:rsidRPr="007B7359">
        <w:rPr>
          <w:rFonts w:ascii="Times New Roman" w:hAnsi="Times New Roman" w:cs="Times New Roman"/>
          <w:sz w:val="24"/>
          <w:szCs w:val="24"/>
        </w:rPr>
        <w:t xml:space="preserve"> This analysis underscores the arbitrariness of the idea of imminence: focusing on the temporal nature of the threat and the restriction of the defence to those who can prove that the threat to their life was imminent creates an unnecessary barrier</w:t>
      </w:r>
      <w:r w:rsidR="003B00C7" w:rsidRPr="007B7359">
        <w:rPr>
          <w:rFonts w:ascii="Times New Roman" w:hAnsi="Times New Roman" w:cs="Times New Roman"/>
          <w:sz w:val="24"/>
          <w:szCs w:val="24"/>
        </w:rPr>
        <w:t>. It</w:t>
      </w:r>
      <w:r w:rsidRPr="007B7359">
        <w:rPr>
          <w:rFonts w:ascii="Times New Roman" w:hAnsi="Times New Roman" w:cs="Times New Roman"/>
          <w:sz w:val="24"/>
          <w:szCs w:val="24"/>
        </w:rPr>
        <w:t xml:space="preserve"> deflects from the more important questions: was it necessary for the individual to act in that way? Was their response proportionate?</w:t>
      </w:r>
      <w:r w:rsidR="003B00C7" w:rsidRPr="007B7359">
        <w:rPr>
          <w:rFonts w:ascii="Times New Roman" w:hAnsi="Times New Roman" w:cs="Times New Roman"/>
          <w:sz w:val="24"/>
          <w:szCs w:val="24"/>
        </w:rPr>
        <w:t xml:space="preserve"> The flexible and evolving nature of policy, and particularly its relationship with politics, disregards the grave impact that the availability of defences can have on the lives of individuals.</w:t>
      </w:r>
    </w:p>
    <w:p w:rsidR="00CE0229" w:rsidRPr="007B7359" w:rsidRDefault="00CE0229" w:rsidP="00FC34D9">
      <w:pPr>
        <w:spacing w:after="0" w:line="480" w:lineRule="auto"/>
        <w:jc w:val="both"/>
        <w:rPr>
          <w:rFonts w:ascii="Times New Roman" w:hAnsi="Times New Roman" w:cs="Times New Roman"/>
          <w:sz w:val="24"/>
          <w:szCs w:val="24"/>
        </w:rPr>
      </w:pPr>
    </w:p>
    <w:p w:rsidR="001F37B2" w:rsidRPr="007B7359" w:rsidRDefault="00CE0229"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In the South African context</w:t>
      </w:r>
      <w:r w:rsidR="000A13D1" w:rsidRPr="007B7359">
        <w:rPr>
          <w:rFonts w:ascii="Times New Roman" w:hAnsi="Times New Roman" w:cs="Times New Roman"/>
          <w:sz w:val="24"/>
          <w:szCs w:val="24"/>
        </w:rPr>
        <w:t>, Yeo goes further and fully rejects the inclusion of imminence as part of the definition of necessity or compulsion,</w:t>
      </w:r>
      <w:r w:rsidR="000A13D1" w:rsidRPr="007B7359">
        <w:rPr>
          <w:rStyle w:val="FootnoteReference"/>
          <w:rFonts w:ascii="Times New Roman" w:hAnsi="Times New Roman"/>
          <w:sz w:val="24"/>
          <w:szCs w:val="24"/>
        </w:rPr>
        <w:footnoteReference w:id="111"/>
      </w:r>
      <w:r w:rsidR="000A13D1" w:rsidRPr="007B7359">
        <w:rPr>
          <w:rFonts w:ascii="Times New Roman" w:hAnsi="Times New Roman" w:cs="Times New Roman"/>
          <w:sz w:val="24"/>
          <w:szCs w:val="24"/>
        </w:rPr>
        <w:t xml:space="preserve"> focusing the limits of the defence on the proportionality of the action and the necessity of carrying it out rather than as a response to an imminent threat. However, he does not countenance the idea that imminence may function as an assisting criterion to determine if the action was necessary, or the consequences of removing the test of imminence from duress, when harm is caused to an innocent victim. </w:t>
      </w:r>
      <w:r w:rsidR="00BF3400" w:rsidRPr="007B7359">
        <w:rPr>
          <w:rFonts w:ascii="Times New Roman" w:hAnsi="Times New Roman" w:cs="Times New Roman"/>
          <w:sz w:val="24"/>
          <w:szCs w:val="24"/>
        </w:rPr>
        <w:t xml:space="preserve">The resulting conclusion from this analysis is that </w:t>
      </w:r>
      <w:proofErr w:type="spellStart"/>
      <w:r w:rsidR="00BF3400" w:rsidRPr="007B7359">
        <w:rPr>
          <w:rFonts w:ascii="Times New Roman" w:hAnsi="Times New Roman" w:cs="Times New Roman"/>
          <w:sz w:val="24"/>
          <w:szCs w:val="24"/>
        </w:rPr>
        <w:t>Kotecha’</w:t>
      </w:r>
      <w:r w:rsidR="003B00C7" w:rsidRPr="007B7359">
        <w:rPr>
          <w:rFonts w:ascii="Times New Roman" w:hAnsi="Times New Roman" w:cs="Times New Roman"/>
          <w:sz w:val="24"/>
          <w:szCs w:val="24"/>
        </w:rPr>
        <w:t>s</w:t>
      </w:r>
      <w:proofErr w:type="spellEnd"/>
      <w:r w:rsidR="003B00C7" w:rsidRPr="007B7359">
        <w:rPr>
          <w:rFonts w:ascii="Times New Roman" w:hAnsi="Times New Roman" w:cs="Times New Roman"/>
          <w:sz w:val="24"/>
          <w:szCs w:val="24"/>
        </w:rPr>
        <w:t xml:space="preserve"> idea of the</w:t>
      </w:r>
      <w:r w:rsidR="00BF3400" w:rsidRPr="007B7359">
        <w:rPr>
          <w:rFonts w:ascii="Times New Roman" w:hAnsi="Times New Roman" w:cs="Times New Roman"/>
          <w:sz w:val="24"/>
          <w:szCs w:val="24"/>
        </w:rPr>
        <w:t xml:space="preserve"> ‘public policy’ or ‘moral’ function of imminence may be correct. </w:t>
      </w:r>
    </w:p>
    <w:p w:rsidR="00BF3400" w:rsidRPr="007B7359" w:rsidRDefault="00BF3400" w:rsidP="00FC34D9">
      <w:pPr>
        <w:spacing w:after="0" w:line="480" w:lineRule="auto"/>
        <w:jc w:val="both"/>
        <w:rPr>
          <w:rFonts w:ascii="Times New Roman" w:hAnsi="Times New Roman" w:cs="Times New Roman"/>
          <w:sz w:val="24"/>
          <w:szCs w:val="24"/>
        </w:rPr>
      </w:pPr>
    </w:p>
    <w:p w:rsidR="00BF3400" w:rsidRPr="007B7359" w:rsidRDefault="005E7CEE"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lastRenderedPageBreak/>
        <w:t xml:space="preserve">The issue thus appears to be one of </w:t>
      </w:r>
      <w:r w:rsidR="00BF3400" w:rsidRPr="007B7359">
        <w:rPr>
          <w:rFonts w:ascii="Times New Roman" w:hAnsi="Times New Roman" w:cs="Times New Roman"/>
          <w:sz w:val="24"/>
          <w:szCs w:val="24"/>
        </w:rPr>
        <w:t>morality, rather than doctrine.</w:t>
      </w:r>
      <w:r w:rsidR="00C16E93" w:rsidRPr="007B7359">
        <w:rPr>
          <w:rStyle w:val="FootnoteReference"/>
          <w:rFonts w:ascii="Times New Roman" w:hAnsi="Times New Roman"/>
          <w:sz w:val="24"/>
          <w:szCs w:val="24"/>
        </w:rPr>
        <w:footnoteReference w:id="112"/>
      </w:r>
      <w:r w:rsidR="00BF3400" w:rsidRPr="007B7359">
        <w:rPr>
          <w:rFonts w:ascii="Times New Roman" w:hAnsi="Times New Roman" w:cs="Times New Roman"/>
          <w:sz w:val="24"/>
          <w:szCs w:val="24"/>
        </w:rPr>
        <w:t xml:space="preserve"> In international criminal law, this is reflected well by the approach in </w:t>
      </w:r>
      <w:proofErr w:type="spellStart"/>
      <w:r w:rsidR="00BF3400" w:rsidRPr="007B7359">
        <w:rPr>
          <w:rFonts w:ascii="Times New Roman" w:hAnsi="Times New Roman" w:cs="Times New Roman"/>
          <w:i/>
          <w:sz w:val="24"/>
          <w:szCs w:val="24"/>
        </w:rPr>
        <w:t>Erdemovic</w:t>
      </w:r>
      <w:proofErr w:type="spellEnd"/>
      <w:r w:rsidR="00BF3400" w:rsidRPr="007B7359">
        <w:rPr>
          <w:rFonts w:ascii="Times New Roman" w:hAnsi="Times New Roman" w:cs="Times New Roman"/>
          <w:sz w:val="24"/>
          <w:szCs w:val="24"/>
        </w:rPr>
        <w:t>: there is a degree o</w:t>
      </w:r>
      <w:r w:rsidR="009674A5" w:rsidRPr="007B7359">
        <w:rPr>
          <w:rFonts w:ascii="Times New Roman" w:hAnsi="Times New Roman" w:cs="Times New Roman"/>
          <w:sz w:val="24"/>
          <w:szCs w:val="24"/>
        </w:rPr>
        <w:t xml:space="preserve">f reticence to apply </w:t>
      </w:r>
      <w:r w:rsidR="00BF3400" w:rsidRPr="007B7359">
        <w:rPr>
          <w:rFonts w:ascii="Times New Roman" w:hAnsi="Times New Roman" w:cs="Times New Roman"/>
          <w:sz w:val="24"/>
          <w:szCs w:val="24"/>
        </w:rPr>
        <w:t>duress</w:t>
      </w:r>
      <w:r w:rsidR="009674A5" w:rsidRPr="007B7359">
        <w:rPr>
          <w:rFonts w:ascii="Times New Roman" w:hAnsi="Times New Roman" w:cs="Times New Roman"/>
          <w:sz w:val="24"/>
          <w:szCs w:val="24"/>
        </w:rPr>
        <w:t xml:space="preserve"> where the crimes are serious and where the victims were innocent.</w:t>
      </w:r>
      <w:r w:rsidR="00AC7E2B" w:rsidRPr="007B7359">
        <w:rPr>
          <w:rStyle w:val="FootnoteReference"/>
          <w:rFonts w:ascii="Times New Roman" w:hAnsi="Times New Roman"/>
          <w:sz w:val="24"/>
          <w:szCs w:val="24"/>
        </w:rPr>
        <w:footnoteReference w:id="113"/>
      </w:r>
      <w:r w:rsidR="009674A5" w:rsidRPr="007B7359">
        <w:rPr>
          <w:rFonts w:ascii="Times New Roman" w:hAnsi="Times New Roman" w:cs="Times New Roman"/>
          <w:sz w:val="24"/>
          <w:szCs w:val="24"/>
        </w:rPr>
        <w:t xml:space="preserve"> This indicates a conflation of morality and law, which is particularly problematic in international criminal law. What may be condemned socially, religiously or culturally does not necessarily mirror what the law ought to condemn, as a generalised standard of behaviour.  The author Wall undertakes an interesting analysis of this very point, reviewing both the Dudley decision and comparing it to the Ridley expedition to the South Pole.</w:t>
      </w:r>
      <w:r w:rsidR="009674A5" w:rsidRPr="007B7359">
        <w:rPr>
          <w:rStyle w:val="FootnoteReference"/>
          <w:rFonts w:ascii="Times New Roman" w:hAnsi="Times New Roman"/>
          <w:sz w:val="24"/>
          <w:szCs w:val="24"/>
        </w:rPr>
        <w:t xml:space="preserve"> </w:t>
      </w:r>
      <w:r w:rsidR="009674A5" w:rsidRPr="007B7359">
        <w:rPr>
          <w:rStyle w:val="FootnoteReference"/>
          <w:rFonts w:ascii="Times New Roman" w:hAnsi="Times New Roman"/>
          <w:sz w:val="24"/>
          <w:szCs w:val="24"/>
        </w:rPr>
        <w:footnoteReference w:id="114"/>
      </w:r>
      <w:r w:rsidR="009674A5" w:rsidRPr="007B7359">
        <w:rPr>
          <w:rStyle w:val="FootnoteReference"/>
          <w:rFonts w:ascii="Times New Roman" w:hAnsi="Times New Roman"/>
          <w:sz w:val="24"/>
          <w:szCs w:val="24"/>
        </w:rPr>
        <w:t xml:space="preserve"> </w:t>
      </w:r>
      <w:r w:rsidR="009674A5" w:rsidRPr="007B7359">
        <w:rPr>
          <w:rStyle w:val="FootnoteReference"/>
          <w:rFonts w:ascii="Times New Roman" w:hAnsi="Times New Roman"/>
          <w:sz w:val="24"/>
          <w:szCs w:val="24"/>
          <w:vertAlign w:val="baseline"/>
        </w:rPr>
        <w:t>In doing so, he clearly articulates the problems with a moral approach to defences</w:t>
      </w:r>
      <w:r w:rsidR="009674A5" w:rsidRPr="007B7359">
        <w:rPr>
          <w:rFonts w:ascii="Times New Roman" w:hAnsi="Times New Roman" w:cs="Times New Roman"/>
          <w:sz w:val="24"/>
          <w:szCs w:val="24"/>
        </w:rPr>
        <w:t xml:space="preserve">, indicating that the court in Dudley enforced the mores of the period, rather than legal rules. </w:t>
      </w:r>
    </w:p>
    <w:p w:rsidR="00BF3400" w:rsidRPr="007B7359" w:rsidRDefault="00BF3400" w:rsidP="00FC34D9">
      <w:pPr>
        <w:spacing w:after="0" w:line="480" w:lineRule="auto"/>
        <w:jc w:val="both"/>
        <w:rPr>
          <w:rFonts w:ascii="Times New Roman" w:hAnsi="Times New Roman" w:cs="Times New Roman"/>
          <w:sz w:val="24"/>
          <w:szCs w:val="24"/>
        </w:rPr>
      </w:pPr>
    </w:p>
    <w:p w:rsidR="00EF7F9A" w:rsidRPr="007B7359" w:rsidRDefault="009674A5"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His further conclusion is that morality played too great a role in the </w:t>
      </w:r>
      <w:proofErr w:type="spellStart"/>
      <w:r w:rsidRPr="007B7359">
        <w:rPr>
          <w:rFonts w:ascii="Times New Roman" w:hAnsi="Times New Roman" w:cs="Times New Roman"/>
          <w:i/>
          <w:sz w:val="24"/>
          <w:szCs w:val="24"/>
        </w:rPr>
        <w:t>Erdemovic</w:t>
      </w:r>
      <w:proofErr w:type="spellEnd"/>
      <w:r w:rsidRPr="007B7359">
        <w:rPr>
          <w:rFonts w:ascii="Times New Roman" w:hAnsi="Times New Roman" w:cs="Times New Roman"/>
          <w:sz w:val="24"/>
          <w:szCs w:val="24"/>
        </w:rPr>
        <w:t xml:space="preserve"> decision: that the Tribunal based its conclusion on the morality of permitting the defence where innocent individuals had lost their lives.</w:t>
      </w:r>
      <w:r w:rsidRPr="007B7359">
        <w:rPr>
          <w:rStyle w:val="FootnoteReference"/>
          <w:rFonts w:ascii="Times New Roman" w:hAnsi="Times New Roman"/>
          <w:sz w:val="24"/>
          <w:szCs w:val="24"/>
        </w:rPr>
        <w:footnoteReference w:id="115"/>
      </w:r>
      <w:r w:rsidRPr="007B7359">
        <w:rPr>
          <w:rFonts w:ascii="Times New Roman" w:hAnsi="Times New Roman" w:cs="Times New Roman"/>
          <w:sz w:val="24"/>
          <w:szCs w:val="24"/>
        </w:rPr>
        <w:t xml:space="preserve"> Wall also argues cogently that the purpose of criminal law is not to set the seal of approval on certain acts, but to provide a baseline for behaviour below which individuals should not descend. The rules exist to condemn and </w:t>
      </w:r>
      <w:r w:rsidRPr="007B7359">
        <w:rPr>
          <w:rFonts w:ascii="Times New Roman" w:hAnsi="Times New Roman" w:cs="Times New Roman"/>
          <w:sz w:val="24"/>
          <w:szCs w:val="24"/>
        </w:rPr>
        <w:lastRenderedPageBreak/>
        <w:t>punish conduct, rather than identify how individual</w:t>
      </w:r>
      <w:r w:rsidR="00702FE2" w:rsidRPr="007B7359">
        <w:rPr>
          <w:rFonts w:ascii="Times New Roman" w:hAnsi="Times New Roman" w:cs="Times New Roman"/>
          <w:sz w:val="24"/>
          <w:szCs w:val="24"/>
        </w:rPr>
        <w:t>s ought to behave in society.</w:t>
      </w:r>
      <w:r w:rsidRPr="007B7359">
        <w:rPr>
          <w:rStyle w:val="FootnoteReference"/>
          <w:rFonts w:ascii="Times New Roman" w:hAnsi="Times New Roman"/>
          <w:sz w:val="24"/>
          <w:szCs w:val="24"/>
        </w:rPr>
        <w:footnoteReference w:id="116"/>
      </w:r>
      <w:r w:rsidR="00702FE2" w:rsidRPr="007B7359">
        <w:rPr>
          <w:rFonts w:ascii="Times New Roman" w:hAnsi="Times New Roman" w:cs="Times New Roman"/>
          <w:sz w:val="24"/>
          <w:szCs w:val="24"/>
        </w:rPr>
        <w:t xml:space="preserve"> The difficulty he does not note, however, is the fact that it is very difficult, more so than in domestic law, to draw the line between morality and law in the international sphere. The post-Second World War environment in which international criminal law flourished was one where morality and politics directly overlapped: indeed, the entire reason for the genesis of the discipline of international criminal law was the immorality of abusing and exterminating citizens. Because of the moral foundation of the law in this area, in particular, it can be difficult to avoid a recourse to morality where gaps in the law exist. </w:t>
      </w:r>
    </w:p>
    <w:p w:rsidR="003B00C7" w:rsidRPr="007B7359" w:rsidRDefault="003B00C7" w:rsidP="00FC34D9">
      <w:pPr>
        <w:spacing w:after="0" w:line="480" w:lineRule="auto"/>
        <w:jc w:val="both"/>
        <w:rPr>
          <w:rFonts w:ascii="Times New Roman" w:hAnsi="Times New Roman" w:cs="Times New Roman"/>
          <w:sz w:val="24"/>
          <w:szCs w:val="24"/>
        </w:rPr>
      </w:pPr>
    </w:p>
    <w:p w:rsidR="003B00C7" w:rsidRPr="007B7359" w:rsidRDefault="003B00C7"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failure to focus on the individual’s freedom to choose, which has a closer relationship with criminal liability than the idea of the defence being constrained to situations of an imminent threat, can lead to the unfairness outlined above. The importance of the freedom to choose in these situations is discussed in the following section, highlighting the prevailing importance of the freedom to act in relation to the defences.</w:t>
      </w:r>
    </w:p>
    <w:p w:rsidR="00C83019" w:rsidRDefault="00C83019" w:rsidP="00FC34D9">
      <w:pPr>
        <w:spacing w:after="0" w:line="480" w:lineRule="auto"/>
        <w:jc w:val="both"/>
        <w:rPr>
          <w:rFonts w:ascii="Times New Roman" w:hAnsi="Times New Roman" w:cs="Times New Roman"/>
          <w:b/>
          <w:sz w:val="24"/>
          <w:szCs w:val="24"/>
        </w:rPr>
      </w:pPr>
    </w:p>
    <w:p w:rsidR="004323AC" w:rsidRDefault="004323AC" w:rsidP="00FC34D9">
      <w:pPr>
        <w:spacing w:after="0" w:line="480" w:lineRule="auto"/>
        <w:jc w:val="both"/>
        <w:rPr>
          <w:rFonts w:ascii="Times New Roman" w:hAnsi="Times New Roman" w:cs="Times New Roman"/>
          <w:b/>
          <w:sz w:val="24"/>
          <w:szCs w:val="24"/>
        </w:rPr>
      </w:pPr>
    </w:p>
    <w:p w:rsidR="00744A08" w:rsidRDefault="00744A08" w:rsidP="00FC34D9">
      <w:pPr>
        <w:spacing w:after="0" w:line="480" w:lineRule="auto"/>
        <w:jc w:val="both"/>
        <w:rPr>
          <w:rFonts w:ascii="Times New Roman" w:hAnsi="Times New Roman" w:cs="Times New Roman"/>
          <w:b/>
          <w:sz w:val="24"/>
          <w:szCs w:val="24"/>
        </w:rPr>
      </w:pPr>
    </w:p>
    <w:p w:rsidR="004323AC" w:rsidRPr="007B7359" w:rsidRDefault="004323AC" w:rsidP="00FC34D9">
      <w:pPr>
        <w:spacing w:after="0" w:line="480" w:lineRule="auto"/>
        <w:jc w:val="both"/>
        <w:rPr>
          <w:rFonts w:ascii="Times New Roman" w:hAnsi="Times New Roman" w:cs="Times New Roman"/>
          <w:b/>
          <w:sz w:val="24"/>
          <w:szCs w:val="24"/>
        </w:rPr>
      </w:pPr>
    </w:p>
    <w:p w:rsidR="00C83019" w:rsidRPr="007B7359" w:rsidRDefault="007B7359" w:rsidP="007B735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0C1548" w:rsidRPr="007B7359">
        <w:rPr>
          <w:rFonts w:ascii="Times New Roman" w:hAnsi="Times New Roman" w:cs="Times New Roman"/>
          <w:b/>
          <w:sz w:val="24"/>
          <w:szCs w:val="24"/>
        </w:rPr>
        <w:t>Imminence versus</w:t>
      </w:r>
      <w:r w:rsidR="00C83019" w:rsidRPr="007B7359">
        <w:rPr>
          <w:rFonts w:ascii="Times New Roman" w:hAnsi="Times New Roman" w:cs="Times New Roman"/>
          <w:b/>
          <w:sz w:val="24"/>
          <w:szCs w:val="24"/>
        </w:rPr>
        <w:t xml:space="preserve"> the freedom to choose</w:t>
      </w:r>
    </w:p>
    <w:p w:rsidR="003B00C7" w:rsidRPr="007B7359" w:rsidRDefault="003B00C7" w:rsidP="00FC34D9">
      <w:pPr>
        <w:spacing w:after="0" w:line="480" w:lineRule="auto"/>
        <w:jc w:val="both"/>
        <w:rPr>
          <w:rFonts w:ascii="Times New Roman" w:hAnsi="Times New Roman" w:cs="Times New Roman"/>
          <w:sz w:val="24"/>
          <w:szCs w:val="24"/>
        </w:rPr>
      </w:pPr>
    </w:p>
    <w:p w:rsidR="00C27295" w:rsidRPr="007B7359" w:rsidRDefault="00C27295"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In international criminal law, the question of whether the defence of imminence in the Rome Statute presents a barrier rather than a threshold of tests is raised by the fact that there are several tests in its </w:t>
      </w:r>
      <w:r w:rsidR="003B00C7" w:rsidRPr="007B7359">
        <w:rPr>
          <w:rFonts w:ascii="Times New Roman" w:hAnsi="Times New Roman" w:cs="Times New Roman"/>
          <w:sz w:val="24"/>
          <w:szCs w:val="24"/>
        </w:rPr>
        <w:t xml:space="preserve">conception of duress. The international criminal law cases discussed </w:t>
      </w:r>
      <w:r w:rsidRPr="007B7359">
        <w:rPr>
          <w:rFonts w:ascii="Times New Roman" w:hAnsi="Times New Roman" w:cs="Times New Roman"/>
          <w:sz w:val="24"/>
          <w:szCs w:val="24"/>
        </w:rPr>
        <w:t xml:space="preserve">above demonstrate that the issue of the criteria has not often been central to the failure of the defence, but instead the problem typically falls into one of two categories: the defence either fails because the individual cannot prove that they are entitled to use it or, in cases concerning war crimes or crimes against humanity, the requirement of proportionality is not met. In </w:t>
      </w:r>
      <w:r w:rsidRPr="007B7359">
        <w:rPr>
          <w:rFonts w:ascii="Times New Roman" w:hAnsi="Times New Roman" w:cs="Times New Roman"/>
          <w:i/>
          <w:sz w:val="24"/>
          <w:szCs w:val="24"/>
        </w:rPr>
        <w:t>Priebke</w:t>
      </w:r>
      <w:r w:rsidRPr="007B7359">
        <w:rPr>
          <w:rFonts w:ascii="Times New Roman" w:hAnsi="Times New Roman" w:cs="Times New Roman"/>
          <w:sz w:val="24"/>
          <w:szCs w:val="24"/>
        </w:rPr>
        <w:t xml:space="preserve">, there was both too much evidence against the fact that he had acted unwillingly in carrying out the attacks, and the attacks he had carried out were held not to have been proportionate, in any case. </w:t>
      </w:r>
    </w:p>
    <w:p w:rsidR="00C27295" w:rsidRPr="007B7359" w:rsidRDefault="00C27295" w:rsidP="00FC34D9">
      <w:pPr>
        <w:spacing w:after="0" w:line="480" w:lineRule="auto"/>
        <w:jc w:val="both"/>
        <w:rPr>
          <w:rFonts w:ascii="Times New Roman" w:hAnsi="Times New Roman" w:cs="Times New Roman"/>
          <w:sz w:val="24"/>
          <w:szCs w:val="24"/>
        </w:rPr>
      </w:pPr>
    </w:p>
    <w:p w:rsidR="00C27295" w:rsidRPr="007B7359" w:rsidRDefault="00C27295"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Proof, and the lack of proportionality, equally affected </w:t>
      </w:r>
      <w:r w:rsidRPr="007B7359">
        <w:rPr>
          <w:rFonts w:ascii="Times New Roman" w:hAnsi="Times New Roman" w:cs="Times New Roman"/>
          <w:i/>
          <w:sz w:val="24"/>
          <w:szCs w:val="24"/>
        </w:rPr>
        <w:t>Flick</w:t>
      </w:r>
      <w:r w:rsidRPr="007B7359">
        <w:rPr>
          <w:rFonts w:ascii="Times New Roman" w:hAnsi="Times New Roman" w:cs="Times New Roman"/>
          <w:sz w:val="24"/>
          <w:szCs w:val="24"/>
        </w:rPr>
        <w:t xml:space="preserve"> and the </w:t>
      </w:r>
      <w:proofErr w:type="spellStart"/>
      <w:r w:rsidRPr="007B7359">
        <w:rPr>
          <w:rFonts w:ascii="Times New Roman" w:hAnsi="Times New Roman" w:cs="Times New Roman"/>
          <w:i/>
          <w:sz w:val="24"/>
          <w:szCs w:val="24"/>
        </w:rPr>
        <w:t>Ohlendorf</w:t>
      </w:r>
      <w:proofErr w:type="spellEnd"/>
      <w:r w:rsidRPr="007B7359">
        <w:rPr>
          <w:rStyle w:val="FootnoteReference"/>
          <w:rFonts w:ascii="Times New Roman" w:hAnsi="Times New Roman"/>
          <w:sz w:val="24"/>
          <w:szCs w:val="24"/>
        </w:rPr>
        <w:footnoteReference w:id="117"/>
      </w:r>
      <w:r w:rsidRPr="007B7359">
        <w:rPr>
          <w:rFonts w:ascii="Times New Roman" w:hAnsi="Times New Roman" w:cs="Times New Roman"/>
          <w:sz w:val="24"/>
          <w:szCs w:val="24"/>
        </w:rPr>
        <w:t xml:space="preserve"> case, in which neither could prove that they had acted proportionately to avoid the threat. The vigour with which the orders had been complied with in both cases equally demonstrated the unavailability of the defences, and the choice the individuals exercised in their actions. In </w:t>
      </w:r>
      <w:r w:rsidRPr="007B7359">
        <w:rPr>
          <w:rFonts w:ascii="Times New Roman" w:hAnsi="Times New Roman" w:cs="Times New Roman"/>
          <w:i/>
          <w:sz w:val="24"/>
          <w:szCs w:val="24"/>
        </w:rPr>
        <w:t xml:space="preserve">Von </w:t>
      </w:r>
      <w:proofErr w:type="spellStart"/>
      <w:r w:rsidRPr="007B7359">
        <w:rPr>
          <w:rFonts w:ascii="Times New Roman" w:hAnsi="Times New Roman" w:cs="Times New Roman"/>
          <w:i/>
          <w:sz w:val="24"/>
          <w:szCs w:val="24"/>
        </w:rPr>
        <w:t>Leeb</w:t>
      </w:r>
      <w:proofErr w:type="spellEnd"/>
      <w:r w:rsidRPr="007B7359">
        <w:rPr>
          <w:rFonts w:ascii="Times New Roman" w:hAnsi="Times New Roman" w:cs="Times New Roman"/>
          <w:sz w:val="24"/>
          <w:szCs w:val="24"/>
        </w:rPr>
        <w:t>,</w:t>
      </w:r>
      <w:r w:rsidRPr="007B7359">
        <w:rPr>
          <w:rStyle w:val="FootnoteReference"/>
          <w:rFonts w:ascii="Times New Roman" w:hAnsi="Times New Roman"/>
          <w:sz w:val="24"/>
          <w:szCs w:val="24"/>
        </w:rPr>
        <w:footnoteReference w:id="118"/>
      </w:r>
      <w:r w:rsidRPr="007B7359">
        <w:rPr>
          <w:rFonts w:ascii="Times New Roman" w:hAnsi="Times New Roman" w:cs="Times New Roman"/>
          <w:sz w:val="24"/>
          <w:szCs w:val="24"/>
        </w:rPr>
        <w:t xml:space="preserve"> the </w:t>
      </w:r>
      <w:r w:rsidRPr="007B7359">
        <w:rPr>
          <w:rFonts w:ascii="Times New Roman" w:hAnsi="Times New Roman" w:cs="Times New Roman"/>
          <w:sz w:val="24"/>
          <w:szCs w:val="24"/>
        </w:rPr>
        <w:lastRenderedPageBreak/>
        <w:t xml:space="preserve">requirement of imminence was key, but its instrumental use was to demonstrate the lack of freedom to choose that the individual had. Similarly, in </w:t>
      </w:r>
      <w:proofErr w:type="spellStart"/>
      <w:r w:rsidRPr="007B7359">
        <w:rPr>
          <w:rFonts w:ascii="Times New Roman" w:hAnsi="Times New Roman" w:cs="Times New Roman"/>
          <w:i/>
          <w:sz w:val="24"/>
          <w:szCs w:val="24"/>
        </w:rPr>
        <w:t>Erdemovic</w:t>
      </w:r>
      <w:proofErr w:type="spellEnd"/>
      <w:r w:rsidRPr="007B7359">
        <w:rPr>
          <w:rFonts w:ascii="Times New Roman" w:hAnsi="Times New Roman" w:cs="Times New Roman"/>
          <w:sz w:val="24"/>
          <w:szCs w:val="24"/>
        </w:rPr>
        <w:t>, the question of proportionality was more important than the imminence of the threat. In each case of the post-WW2 tribunals, the court could apply the criteria in a relatively straightforward manner and the defence invariably failed on the criterion of proportionality. However, in the case which stood the greatest chance of proving the application of duress, the court struggled with the perceived morality</w:t>
      </w:r>
      <w:r w:rsidRPr="007B7359">
        <w:rPr>
          <w:rStyle w:val="FootnoteReference"/>
          <w:rFonts w:ascii="Times New Roman" w:hAnsi="Times New Roman"/>
          <w:sz w:val="24"/>
          <w:szCs w:val="24"/>
        </w:rPr>
        <w:footnoteReference w:id="119"/>
      </w:r>
      <w:r w:rsidRPr="007B7359">
        <w:rPr>
          <w:rFonts w:ascii="Times New Roman" w:hAnsi="Times New Roman" w:cs="Times New Roman"/>
          <w:sz w:val="24"/>
          <w:szCs w:val="24"/>
        </w:rPr>
        <w:t xml:space="preserve"> of applying the defence of duress to war crimes and crimes against humanity. </w:t>
      </w:r>
    </w:p>
    <w:p w:rsidR="00C27295" w:rsidRPr="007B7359" w:rsidRDefault="00C27295" w:rsidP="00FC34D9">
      <w:pPr>
        <w:spacing w:after="0" w:line="480" w:lineRule="auto"/>
        <w:jc w:val="both"/>
        <w:rPr>
          <w:rFonts w:ascii="Times New Roman" w:hAnsi="Times New Roman" w:cs="Times New Roman"/>
          <w:sz w:val="24"/>
          <w:szCs w:val="24"/>
        </w:rPr>
      </w:pPr>
    </w:p>
    <w:p w:rsidR="00C83019" w:rsidRPr="007B7359" w:rsidRDefault="00C83019"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t>The difficulty of applying duress is evident, and the criterion of imminence makes it even more so in cases concerning war crimes and crimes against humanity. However, arguably the question is one of wording: when imminence is mentioned in duress, the question dealt with by the court or tribunal is really whether the individual had any freedom to choose. By constraining the availability of the defence to situations where imminent harm was threatened, as opposed to when the individual had no choice, the defence is restricted in a way that does not appear consistent with the majority comparative view, and without good reason.</w:t>
      </w:r>
    </w:p>
    <w:p w:rsidR="00C83019" w:rsidRPr="007B7359" w:rsidRDefault="00C83019" w:rsidP="00FC34D9">
      <w:pPr>
        <w:spacing w:after="0" w:line="480" w:lineRule="auto"/>
        <w:jc w:val="both"/>
        <w:rPr>
          <w:rFonts w:ascii="Times New Roman" w:hAnsi="Times New Roman" w:cs="Times New Roman"/>
          <w:sz w:val="24"/>
          <w:szCs w:val="24"/>
        </w:rPr>
      </w:pPr>
    </w:p>
    <w:p w:rsidR="00FA6D8D" w:rsidRPr="007B7359" w:rsidRDefault="00C83019" w:rsidP="00FC34D9">
      <w:pPr>
        <w:spacing w:after="0" w:line="480" w:lineRule="auto"/>
        <w:jc w:val="both"/>
        <w:rPr>
          <w:rFonts w:ascii="Times New Roman" w:hAnsi="Times New Roman" w:cs="Times New Roman"/>
          <w:sz w:val="24"/>
          <w:szCs w:val="24"/>
        </w:rPr>
      </w:pPr>
      <w:r w:rsidRPr="007B7359">
        <w:rPr>
          <w:rFonts w:ascii="Times New Roman" w:hAnsi="Times New Roman" w:cs="Times New Roman"/>
          <w:sz w:val="24"/>
          <w:szCs w:val="24"/>
        </w:rPr>
        <w:lastRenderedPageBreak/>
        <w:t xml:space="preserve">An imminent threat demonstrates the lack of choice well, which </w:t>
      </w:r>
      <w:proofErr w:type="spellStart"/>
      <w:r w:rsidRPr="007B7359">
        <w:rPr>
          <w:rFonts w:ascii="Times New Roman" w:hAnsi="Times New Roman" w:cs="Times New Roman"/>
          <w:sz w:val="24"/>
          <w:szCs w:val="24"/>
        </w:rPr>
        <w:t>Dinstein</w:t>
      </w:r>
      <w:proofErr w:type="spellEnd"/>
      <w:r w:rsidRPr="007B7359">
        <w:rPr>
          <w:rFonts w:ascii="Times New Roman" w:hAnsi="Times New Roman" w:cs="Times New Roman"/>
          <w:sz w:val="24"/>
          <w:szCs w:val="24"/>
        </w:rPr>
        <w:t xml:space="preserve"> holds as the main reason for the removal of criminal responsibility.</w:t>
      </w:r>
      <w:r w:rsidRPr="007B7359">
        <w:rPr>
          <w:rStyle w:val="FootnoteReference"/>
          <w:rFonts w:ascii="Times New Roman" w:hAnsi="Times New Roman"/>
          <w:sz w:val="24"/>
          <w:szCs w:val="24"/>
        </w:rPr>
        <w:footnoteReference w:id="120"/>
      </w:r>
      <w:r w:rsidRPr="007B7359">
        <w:rPr>
          <w:rFonts w:ascii="Times New Roman" w:hAnsi="Times New Roman" w:cs="Times New Roman"/>
          <w:sz w:val="24"/>
          <w:szCs w:val="24"/>
        </w:rPr>
        <w:t xml:space="preserve"> However, the removal of the ability to choose has been obscured, as demonstrated above, by the </w:t>
      </w:r>
      <w:r w:rsidR="003B00C7" w:rsidRPr="007B7359">
        <w:rPr>
          <w:rFonts w:ascii="Times New Roman" w:hAnsi="Times New Roman" w:cs="Times New Roman"/>
          <w:sz w:val="24"/>
          <w:szCs w:val="24"/>
        </w:rPr>
        <w:t xml:space="preserve">focus on the idea of an imminent threat. It has been demonstrated above that self-defence has limited applicability in situations of domestic violence, particularly where the individual did not react immediately to the threatened harm. This gives little regard to the situation in which may victims of domestic violence find themselves, and has yielded an unfair conclusion: that those who have attacked or killed their abusers have not done so in self-defence because they have not had an immediate reaction </w:t>
      </w:r>
      <w:r w:rsidR="00FA6D8D" w:rsidRPr="007B7359">
        <w:rPr>
          <w:rFonts w:ascii="Times New Roman" w:hAnsi="Times New Roman" w:cs="Times New Roman"/>
          <w:sz w:val="24"/>
          <w:szCs w:val="24"/>
        </w:rPr>
        <w:t>to the violence.</w:t>
      </w:r>
    </w:p>
    <w:p w:rsidR="00FA6D8D" w:rsidRPr="007B7359" w:rsidRDefault="00FA6D8D" w:rsidP="00FC34D9">
      <w:pPr>
        <w:spacing w:after="0" w:line="480" w:lineRule="auto"/>
        <w:jc w:val="both"/>
        <w:rPr>
          <w:rFonts w:ascii="Times New Roman" w:hAnsi="Times New Roman" w:cs="Times New Roman"/>
          <w:sz w:val="24"/>
          <w:szCs w:val="24"/>
        </w:rPr>
      </w:pPr>
    </w:p>
    <w:p w:rsidR="00FA6D8D" w:rsidRPr="007B7359" w:rsidRDefault="00FA6D8D" w:rsidP="00FC34D9">
      <w:pPr>
        <w:spacing w:after="0" w:line="480" w:lineRule="auto"/>
        <w:jc w:val="both"/>
        <w:rPr>
          <w:rFonts w:ascii="Times New Roman" w:hAnsi="Times New Roman" w:cs="Times New Roman"/>
          <w:b/>
          <w:sz w:val="24"/>
          <w:szCs w:val="24"/>
          <w:u w:val="single"/>
        </w:rPr>
      </w:pPr>
      <w:r w:rsidRPr="007B7359">
        <w:rPr>
          <w:rFonts w:ascii="Times New Roman" w:hAnsi="Times New Roman" w:cs="Times New Roman"/>
          <w:sz w:val="24"/>
          <w:szCs w:val="24"/>
        </w:rPr>
        <w:t>In the case of duress, the continued use of imminence appears to be on the basis that a removal of the idea of imminence would lead to an unwarranted, broader application of the defence. However, it is disputed that this is the case. Imminence, as demonstrate above, appears to be a byword for the removal of the freedom to choose. A failure to focu</w:t>
      </w:r>
      <w:r w:rsidR="00914D93" w:rsidRPr="007B7359">
        <w:rPr>
          <w:rFonts w:ascii="Times New Roman" w:hAnsi="Times New Roman" w:cs="Times New Roman"/>
          <w:sz w:val="24"/>
          <w:szCs w:val="24"/>
        </w:rPr>
        <w:t>s on this removal of freedom to choose one’</w:t>
      </w:r>
      <w:r w:rsidR="006C7C4B" w:rsidRPr="007B7359">
        <w:rPr>
          <w:rFonts w:ascii="Times New Roman" w:hAnsi="Times New Roman" w:cs="Times New Roman"/>
          <w:sz w:val="24"/>
          <w:szCs w:val="24"/>
        </w:rPr>
        <w:t>s actions could</w:t>
      </w:r>
      <w:r w:rsidR="00914D93" w:rsidRPr="007B7359">
        <w:rPr>
          <w:rFonts w:ascii="Times New Roman" w:hAnsi="Times New Roman" w:cs="Times New Roman"/>
          <w:sz w:val="24"/>
          <w:szCs w:val="24"/>
        </w:rPr>
        <w:t xml:space="preserve"> lead to a general inconsistency in the application of the defence, and a technical </w:t>
      </w:r>
      <w:r w:rsidR="00914D93" w:rsidRPr="007B7359">
        <w:rPr>
          <w:rFonts w:ascii="Times New Roman" w:hAnsi="Times New Roman" w:cs="Times New Roman"/>
          <w:sz w:val="24"/>
          <w:szCs w:val="24"/>
        </w:rPr>
        <w:lastRenderedPageBreak/>
        <w:t xml:space="preserve">focus on the immediacy of the threat, rather than the requirement of acting in the way the accused is attempting to defend. </w:t>
      </w:r>
    </w:p>
    <w:p w:rsidR="00EF7F9A" w:rsidRPr="007B7359" w:rsidRDefault="00EF7F9A" w:rsidP="00FC34D9">
      <w:pPr>
        <w:spacing w:line="480" w:lineRule="auto"/>
        <w:jc w:val="both"/>
        <w:rPr>
          <w:rFonts w:ascii="Times New Roman" w:hAnsi="Times New Roman" w:cs="Times New Roman"/>
          <w:sz w:val="24"/>
          <w:szCs w:val="24"/>
        </w:rPr>
      </w:pPr>
    </w:p>
    <w:p w:rsidR="006C7C4B" w:rsidRPr="007B7359" w:rsidRDefault="006C7C4B" w:rsidP="00FC34D9">
      <w:pPr>
        <w:spacing w:line="480" w:lineRule="auto"/>
        <w:jc w:val="both"/>
        <w:rPr>
          <w:rFonts w:ascii="Times New Roman" w:hAnsi="Times New Roman" w:cs="Times New Roman"/>
          <w:sz w:val="24"/>
          <w:szCs w:val="24"/>
        </w:rPr>
      </w:pPr>
      <w:r w:rsidRPr="007B7359">
        <w:rPr>
          <w:rFonts w:ascii="Times New Roman" w:hAnsi="Times New Roman" w:cs="Times New Roman"/>
          <w:sz w:val="24"/>
          <w:szCs w:val="24"/>
        </w:rPr>
        <w:t>A reformulation of the defence of duress in the Rome Statute, focusing on the removal of freedom of choice in situations of duress, would remedy this issue. It would also make clearer the understanding of the defence, developing</w:t>
      </w:r>
      <w:r w:rsidR="00AC7E2B" w:rsidRPr="007B7359">
        <w:rPr>
          <w:rStyle w:val="FootnoteReference"/>
          <w:rFonts w:ascii="Times New Roman" w:hAnsi="Times New Roman"/>
          <w:sz w:val="24"/>
          <w:szCs w:val="24"/>
        </w:rPr>
        <w:footnoteReference w:id="121"/>
      </w:r>
      <w:r w:rsidRPr="007B7359">
        <w:rPr>
          <w:rFonts w:ascii="Times New Roman" w:hAnsi="Times New Roman" w:cs="Times New Roman"/>
          <w:sz w:val="24"/>
          <w:szCs w:val="24"/>
        </w:rPr>
        <w:t xml:space="preserve"> its application from the international criminal tribunals and making it fit for purpose in a Statute which has been created to prosecute serious violations of international criminal law.</w:t>
      </w:r>
    </w:p>
    <w:p w:rsidR="006C7C4B" w:rsidRPr="007B7359" w:rsidRDefault="006C7C4B" w:rsidP="00FC34D9">
      <w:pPr>
        <w:spacing w:line="480" w:lineRule="auto"/>
        <w:jc w:val="both"/>
        <w:rPr>
          <w:rFonts w:ascii="Times New Roman" w:hAnsi="Times New Roman" w:cs="Times New Roman"/>
          <w:sz w:val="24"/>
          <w:szCs w:val="24"/>
        </w:rPr>
      </w:pPr>
    </w:p>
    <w:p w:rsidR="000C1548" w:rsidRDefault="000C1548" w:rsidP="00FC34D9">
      <w:pPr>
        <w:spacing w:line="480" w:lineRule="auto"/>
        <w:jc w:val="both"/>
        <w:rPr>
          <w:rFonts w:ascii="Times New Roman" w:hAnsi="Times New Roman" w:cs="Times New Roman"/>
          <w:sz w:val="24"/>
          <w:szCs w:val="24"/>
        </w:rPr>
      </w:pPr>
    </w:p>
    <w:p w:rsidR="00744A08" w:rsidRPr="007B7359" w:rsidRDefault="00744A08" w:rsidP="00FC34D9">
      <w:pPr>
        <w:spacing w:line="480" w:lineRule="auto"/>
        <w:jc w:val="both"/>
        <w:rPr>
          <w:rFonts w:ascii="Times New Roman" w:hAnsi="Times New Roman" w:cs="Times New Roman"/>
          <w:sz w:val="24"/>
          <w:szCs w:val="24"/>
        </w:rPr>
      </w:pPr>
    </w:p>
    <w:p w:rsidR="000C1548" w:rsidRDefault="000C1548" w:rsidP="00FC34D9">
      <w:pPr>
        <w:spacing w:line="480" w:lineRule="auto"/>
        <w:jc w:val="both"/>
        <w:rPr>
          <w:rFonts w:ascii="Times New Roman" w:hAnsi="Times New Roman" w:cs="Times New Roman"/>
          <w:sz w:val="24"/>
          <w:szCs w:val="24"/>
        </w:rPr>
      </w:pPr>
    </w:p>
    <w:p w:rsidR="004323AC" w:rsidRDefault="004323AC" w:rsidP="00FC34D9">
      <w:pPr>
        <w:spacing w:line="480" w:lineRule="auto"/>
        <w:jc w:val="both"/>
        <w:rPr>
          <w:rFonts w:ascii="Times New Roman" w:hAnsi="Times New Roman" w:cs="Times New Roman"/>
          <w:sz w:val="24"/>
          <w:szCs w:val="24"/>
        </w:rPr>
      </w:pPr>
    </w:p>
    <w:p w:rsidR="004323AC" w:rsidRPr="007B7359" w:rsidRDefault="004323AC" w:rsidP="00FC34D9">
      <w:pPr>
        <w:spacing w:line="480" w:lineRule="auto"/>
        <w:jc w:val="both"/>
        <w:rPr>
          <w:rFonts w:ascii="Times New Roman" w:hAnsi="Times New Roman" w:cs="Times New Roman"/>
          <w:sz w:val="24"/>
          <w:szCs w:val="24"/>
        </w:rPr>
      </w:pPr>
    </w:p>
    <w:p w:rsidR="000C1548" w:rsidRPr="007B7359" w:rsidRDefault="000C1548" w:rsidP="00FC34D9">
      <w:pPr>
        <w:spacing w:line="480" w:lineRule="auto"/>
        <w:jc w:val="both"/>
        <w:rPr>
          <w:rFonts w:ascii="Times New Roman" w:hAnsi="Times New Roman" w:cs="Times New Roman"/>
          <w:sz w:val="24"/>
          <w:szCs w:val="24"/>
        </w:rPr>
      </w:pPr>
    </w:p>
    <w:p w:rsidR="000C1548" w:rsidRPr="007B7359" w:rsidRDefault="000C1548" w:rsidP="00FC34D9">
      <w:pPr>
        <w:spacing w:line="480" w:lineRule="auto"/>
        <w:jc w:val="both"/>
        <w:rPr>
          <w:rFonts w:ascii="Times New Roman" w:hAnsi="Times New Roman" w:cs="Times New Roman"/>
          <w:sz w:val="24"/>
          <w:szCs w:val="24"/>
        </w:rPr>
      </w:pPr>
    </w:p>
    <w:p w:rsidR="000C1548" w:rsidRDefault="000C1548" w:rsidP="00FC34D9">
      <w:pPr>
        <w:spacing w:line="480" w:lineRule="auto"/>
        <w:jc w:val="both"/>
        <w:rPr>
          <w:rFonts w:ascii="Times New Roman" w:hAnsi="Times New Roman" w:cs="Times New Roman"/>
          <w:sz w:val="24"/>
          <w:szCs w:val="24"/>
        </w:rPr>
      </w:pPr>
    </w:p>
    <w:p w:rsidR="007B7359" w:rsidRPr="007B7359" w:rsidRDefault="007B7359" w:rsidP="00FC34D9">
      <w:pPr>
        <w:spacing w:line="480" w:lineRule="auto"/>
        <w:jc w:val="both"/>
        <w:rPr>
          <w:rFonts w:ascii="Times New Roman" w:hAnsi="Times New Roman" w:cs="Times New Roman"/>
          <w:sz w:val="24"/>
          <w:szCs w:val="24"/>
        </w:rPr>
      </w:pPr>
    </w:p>
    <w:p w:rsidR="001073AA" w:rsidRPr="007B7359" w:rsidRDefault="007B7359" w:rsidP="007B7359">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5           </w:t>
      </w:r>
      <w:r w:rsidR="000C1548" w:rsidRPr="007B7359">
        <w:rPr>
          <w:rFonts w:ascii="Times New Roman" w:hAnsi="Times New Roman" w:cs="Times New Roman"/>
          <w:b/>
          <w:sz w:val="24"/>
          <w:szCs w:val="24"/>
        </w:rPr>
        <w:t>Conclusion</w:t>
      </w:r>
    </w:p>
    <w:p w:rsidR="006259E6" w:rsidRPr="007B7359" w:rsidRDefault="00BD4F56" w:rsidP="00FC34D9">
      <w:pPr>
        <w:spacing w:line="480" w:lineRule="auto"/>
        <w:jc w:val="both"/>
        <w:rPr>
          <w:rFonts w:ascii="Times New Roman" w:hAnsi="Times New Roman" w:cs="Times New Roman"/>
          <w:sz w:val="24"/>
          <w:szCs w:val="24"/>
        </w:rPr>
      </w:pPr>
      <w:r w:rsidRPr="007B7359">
        <w:rPr>
          <w:rFonts w:ascii="Times New Roman" w:hAnsi="Times New Roman" w:cs="Times New Roman"/>
          <w:sz w:val="24"/>
          <w:szCs w:val="24"/>
        </w:rPr>
        <w:t xml:space="preserve">This work has sought to demonstrate that the progressive approach espoused by the drafters of the Rome Statute has done little to enhance the availability of the defence of duress for those accused before the International Criminal Court. The inclusion of the idea of imminence has made the defence too cumbersome and impossible to ever be applied, without having regard to what really matters as part of the defence. The seriousness of the threat, and the likelihood that serious injury would be caused to the person, is of far greater importance to the use of the defence than whether the individual was threatened with imminent harm. Coupled with the requirements of reasonable and necessary action, the defence demonstrates a veil of progression concealing a lack of proper reasoning. The drafters of the Rome Statute could have elected to be clearer and more consistent with the existing international criminal law approach by acknowledging that the defence has a very poor chance of ever being applied by the International Criminal Court. They could also remedy the issue by reforming the defence, and Article 31 in general, to make duress clearer and </w:t>
      </w:r>
      <w:r w:rsidR="006259E6" w:rsidRPr="007B7359">
        <w:rPr>
          <w:rFonts w:ascii="Times New Roman" w:hAnsi="Times New Roman" w:cs="Times New Roman"/>
          <w:sz w:val="24"/>
          <w:szCs w:val="24"/>
        </w:rPr>
        <w:t xml:space="preserve">to identify the conditions that really matter in the defence of duress. The idea of imminence has been shown above to have greater relevance to self-defence, rather than duress. </w:t>
      </w:r>
      <w:r w:rsidR="006C7C4B" w:rsidRPr="007B7359">
        <w:rPr>
          <w:rFonts w:ascii="Times New Roman" w:hAnsi="Times New Roman" w:cs="Times New Roman"/>
          <w:sz w:val="24"/>
          <w:szCs w:val="24"/>
        </w:rPr>
        <w:t xml:space="preserve">The issue of freedom of choice is of far greater import to the defence of duress than the criterion of imminence, and the drafters of the Rome Statute missed a golden opportunity </w:t>
      </w:r>
      <w:r w:rsidR="006C7C4B" w:rsidRPr="007B7359">
        <w:rPr>
          <w:rFonts w:ascii="Times New Roman" w:hAnsi="Times New Roman" w:cs="Times New Roman"/>
          <w:sz w:val="24"/>
          <w:szCs w:val="24"/>
        </w:rPr>
        <w:lastRenderedPageBreak/>
        <w:t xml:space="preserve">to draft a fair, reasonable version of the defence. The </w:t>
      </w:r>
      <w:r w:rsidR="009E6B13" w:rsidRPr="007B7359">
        <w:rPr>
          <w:rFonts w:ascii="Times New Roman" w:hAnsi="Times New Roman" w:cs="Times New Roman"/>
          <w:sz w:val="24"/>
          <w:szCs w:val="24"/>
        </w:rPr>
        <w:t>retention of the condition</w:t>
      </w:r>
      <w:r w:rsidR="006C7C4B" w:rsidRPr="007B7359">
        <w:rPr>
          <w:rFonts w:ascii="Times New Roman" w:hAnsi="Times New Roman" w:cs="Times New Roman"/>
          <w:sz w:val="24"/>
          <w:szCs w:val="24"/>
        </w:rPr>
        <w:t xml:space="preserve"> imminence obscures the relevance of the freedom to choose one’s actions, and ignores the relationship between freedom of choice and criminal liability. Criminal liability, after all, should only be ascribed where the individual possessed a degree of in</w:t>
      </w:r>
      <w:r w:rsidR="008C1E34" w:rsidRPr="007B7359">
        <w:rPr>
          <w:rFonts w:ascii="Times New Roman" w:hAnsi="Times New Roman" w:cs="Times New Roman"/>
          <w:sz w:val="24"/>
          <w:szCs w:val="24"/>
        </w:rPr>
        <w:t>tention: compulsion does not demonstrate intention.</w:t>
      </w:r>
    </w:p>
    <w:p w:rsidR="00315CEC" w:rsidRPr="007B7359" w:rsidRDefault="00315CEC" w:rsidP="00FC34D9">
      <w:pPr>
        <w:spacing w:line="480" w:lineRule="auto"/>
        <w:rPr>
          <w:rFonts w:ascii="Times New Roman" w:hAnsi="Times New Roman" w:cs="Times New Roman"/>
          <w:sz w:val="24"/>
          <w:szCs w:val="24"/>
        </w:rPr>
      </w:pPr>
    </w:p>
    <w:sectPr w:rsidR="00315CEC" w:rsidRPr="007B7359" w:rsidSect="007B7359">
      <w:footerReference w:type="default" r:id="rId8"/>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BB" w:rsidRDefault="004015BB" w:rsidP="005A126E">
      <w:pPr>
        <w:spacing w:after="0" w:line="240" w:lineRule="auto"/>
      </w:pPr>
      <w:r>
        <w:separator/>
      </w:r>
    </w:p>
  </w:endnote>
  <w:endnote w:type="continuationSeparator" w:id="0">
    <w:p w:rsidR="004015BB" w:rsidRDefault="004015BB" w:rsidP="005A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BB" w:rsidRDefault="004015B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30F17">
      <w:rPr>
        <w:caps/>
        <w:noProof/>
        <w:color w:val="4472C4" w:themeColor="accent1"/>
      </w:rPr>
      <w:t>4</w:t>
    </w:r>
    <w:r>
      <w:rPr>
        <w:caps/>
        <w:noProof/>
        <w:color w:val="4472C4" w:themeColor="accent1"/>
      </w:rPr>
      <w:fldChar w:fldCharType="end"/>
    </w:r>
  </w:p>
  <w:p w:rsidR="004015BB" w:rsidRDefault="00401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BB" w:rsidRDefault="004015BB" w:rsidP="005A126E">
      <w:pPr>
        <w:spacing w:after="0" w:line="240" w:lineRule="auto"/>
      </w:pPr>
      <w:r>
        <w:separator/>
      </w:r>
    </w:p>
  </w:footnote>
  <w:footnote w:type="continuationSeparator" w:id="0">
    <w:p w:rsidR="004015BB" w:rsidRDefault="004015BB" w:rsidP="005A126E">
      <w:pPr>
        <w:spacing w:after="0" w:line="240" w:lineRule="auto"/>
      </w:pPr>
      <w:r>
        <w:continuationSeparator/>
      </w:r>
    </w:p>
  </w:footnote>
  <w:footnote w:id="1">
    <w:p w:rsidR="004015BB" w:rsidRPr="007B7359" w:rsidRDefault="004015BB" w:rsidP="005A126E">
      <w:pPr>
        <w:pStyle w:val="FootnoteText"/>
      </w:pPr>
      <w:r w:rsidRPr="007B7359">
        <w:rPr>
          <w:rStyle w:val="FootnoteReference"/>
        </w:rPr>
        <w:footnoteRef/>
      </w:r>
      <w:r w:rsidRPr="007B7359">
        <w:t xml:space="preserve"> Articles 31-33, Rome Statute of the International Criminal Court 1998.</w:t>
      </w:r>
    </w:p>
  </w:footnote>
  <w:footnote w:id="2">
    <w:p w:rsidR="004015BB" w:rsidRPr="005A02DC" w:rsidRDefault="004015BB" w:rsidP="005A126E">
      <w:pPr>
        <w:pStyle w:val="FootnoteText"/>
      </w:pPr>
      <w:r w:rsidRPr="005A02DC">
        <w:rPr>
          <w:rStyle w:val="FootnoteReference"/>
        </w:rPr>
        <w:footnoteRef/>
      </w:r>
      <w:r w:rsidRPr="005A02DC">
        <w:t xml:space="preserve"> Hereafter, ‘Rome Statute.’</w:t>
      </w:r>
    </w:p>
  </w:footnote>
  <w:footnote w:id="3">
    <w:p w:rsidR="004015BB" w:rsidRPr="007B7359" w:rsidRDefault="004015BB">
      <w:pPr>
        <w:pStyle w:val="FootnoteText"/>
      </w:pPr>
      <w:r w:rsidRPr="005A02DC">
        <w:rPr>
          <w:rStyle w:val="FootnoteReference"/>
        </w:rPr>
        <w:footnoteRef/>
      </w:r>
      <w:r w:rsidRPr="005A02DC">
        <w:t xml:space="preserve"> Article 8, Charter of the International Military Tribunal at Nuremberg 1945, article 6, Charter of the International Military Tribunal for the Far East 1946, article 7(4), Statute of the International Criminal Tribunal for the former Yugoslavia 2009 and article 6(4), Statute of the International Cr</w:t>
      </w:r>
      <w:r w:rsidR="005738B9" w:rsidRPr="005A02DC">
        <w:t>iminal Tribunal for Rwanda 2010</w:t>
      </w:r>
      <w:r w:rsidRPr="005A02DC">
        <w:t>; see</w:t>
      </w:r>
      <w:r w:rsidRPr="007B7359">
        <w:t xml:space="preserve"> Kai Ambos, ‘Establishing an International Criminal Court and an International Criminal Code: Observations from an International Criminal Law viewpoint’ 7 </w:t>
      </w:r>
      <w:proofErr w:type="spellStart"/>
      <w:r w:rsidRPr="005738B9">
        <w:rPr>
          <w:i/>
        </w:rPr>
        <w:t>E</w:t>
      </w:r>
      <w:r w:rsidR="005738B9">
        <w:rPr>
          <w:i/>
        </w:rPr>
        <w:t>ur.</w:t>
      </w:r>
      <w:r w:rsidRPr="005738B9">
        <w:rPr>
          <w:i/>
        </w:rPr>
        <w:t>J</w:t>
      </w:r>
      <w:r w:rsidR="005738B9">
        <w:rPr>
          <w:i/>
        </w:rPr>
        <w:t>.</w:t>
      </w:r>
      <w:r w:rsidRPr="005738B9">
        <w:rPr>
          <w:i/>
        </w:rPr>
        <w:t>I</w:t>
      </w:r>
      <w:r w:rsidR="005738B9">
        <w:rPr>
          <w:i/>
        </w:rPr>
        <w:t>nt’l.</w:t>
      </w:r>
      <w:r w:rsidRPr="005738B9">
        <w:rPr>
          <w:i/>
        </w:rPr>
        <w:t>L</w:t>
      </w:r>
      <w:proofErr w:type="spellEnd"/>
      <w:r w:rsidR="005738B9">
        <w:rPr>
          <w:i/>
        </w:rPr>
        <w:t>.</w:t>
      </w:r>
      <w:r w:rsidRPr="007B7359">
        <w:t xml:space="preserve"> (1996) 519-544</w:t>
      </w:r>
      <w:r w:rsidR="005738B9">
        <w:t>.</w:t>
      </w:r>
    </w:p>
  </w:footnote>
  <w:footnote w:id="4">
    <w:p w:rsidR="004015BB" w:rsidRPr="007B7359" w:rsidRDefault="004015BB" w:rsidP="001F7CBE">
      <w:pPr>
        <w:autoSpaceDE w:val="0"/>
        <w:autoSpaceDN w:val="0"/>
        <w:adjustRightInd w:val="0"/>
        <w:spacing w:after="0" w:line="240" w:lineRule="auto"/>
        <w:rPr>
          <w:rFonts w:ascii="Times New Roman" w:hAnsi="Times New Roman" w:cs="Times New Roman"/>
          <w:b/>
          <w:sz w:val="20"/>
          <w:szCs w:val="20"/>
          <w:u w:val="single"/>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Claus Kress, ‘</w:t>
      </w:r>
      <w:r w:rsidRPr="007B7359">
        <w:rPr>
          <w:rFonts w:ascii="Times New Roman" w:hAnsi="Times New Roman" w:cs="Times New Roman"/>
          <w:bCs/>
          <w:sz w:val="20"/>
          <w:szCs w:val="20"/>
        </w:rPr>
        <w:t>The Procedural Law of the International Criminal Court in Outline: Anatomy of a Unique Compromise</w:t>
      </w:r>
      <w:r w:rsidR="005738B9">
        <w:rPr>
          <w:rFonts w:ascii="Times New Roman" w:hAnsi="Times New Roman" w:cs="Times New Roman"/>
          <w:sz w:val="20"/>
          <w:szCs w:val="20"/>
        </w:rPr>
        <w:t xml:space="preserve">’ 1 </w:t>
      </w:r>
      <w:proofErr w:type="spellStart"/>
      <w:r w:rsidR="005738B9" w:rsidRPr="005738B9">
        <w:rPr>
          <w:rFonts w:ascii="Times New Roman" w:hAnsi="Times New Roman" w:cs="Times New Roman"/>
          <w:i/>
          <w:sz w:val="20"/>
          <w:szCs w:val="20"/>
        </w:rPr>
        <w:t>J.Int'l.Crim.</w:t>
      </w:r>
      <w:r w:rsidRPr="005738B9">
        <w:rPr>
          <w:rFonts w:ascii="Times New Roman" w:hAnsi="Times New Roman" w:cs="Times New Roman"/>
          <w:i/>
          <w:sz w:val="20"/>
          <w:szCs w:val="20"/>
        </w:rPr>
        <w:t>Just</w:t>
      </w:r>
      <w:proofErr w:type="spellEnd"/>
      <w:r w:rsidRPr="005738B9">
        <w:rPr>
          <w:rFonts w:ascii="Times New Roman" w:hAnsi="Times New Roman" w:cs="Times New Roman"/>
          <w:i/>
          <w:sz w:val="20"/>
          <w:szCs w:val="20"/>
        </w:rPr>
        <w:t xml:space="preserve">. </w:t>
      </w:r>
      <w:r w:rsidRPr="007B7359">
        <w:rPr>
          <w:rFonts w:ascii="Times New Roman" w:hAnsi="Times New Roman" w:cs="Times New Roman"/>
          <w:sz w:val="20"/>
          <w:szCs w:val="20"/>
        </w:rPr>
        <w:t xml:space="preserve">(2003) 603-617; Benjamin </w:t>
      </w:r>
      <w:proofErr w:type="spellStart"/>
      <w:r w:rsidRPr="007B7359">
        <w:rPr>
          <w:rFonts w:ascii="Times New Roman" w:hAnsi="Times New Roman" w:cs="Times New Roman"/>
          <w:sz w:val="20"/>
          <w:szCs w:val="20"/>
        </w:rPr>
        <w:t>Risacher</w:t>
      </w:r>
      <w:proofErr w:type="spellEnd"/>
      <w:r w:rsidRPr="007B7359">
        <w:rPr>
          <w:rFonts w:ascii="Times New Roman" w:hAnsi="Times New Roman" w:cs="Times New Roman"/>
          <w:sz w:val="20"/>
          <w:szCs w:val="20"/>
        </w:rPr>
        <w:t xml:space="preserve">, ‘No excuse: The failure of the ICC’s article 31 “duress” definition’ 89 </w:t>
      </w:r>
      <w:r w:rsidRPr="00E617DC">
        <w:rPr>
          <w:rFonts w:ascii="Times New Roman" w:hAnsi="Times New Roman" w:cs="Times New Roman"/>
          <w:i/>
          <w:sz w:val="20"/>
          <w:szCs w:val="20"/>
        </w:rPr>
        <w:t>N</w:t>
      </w:r>
      <w:r w:rsidR="00E617DC">
        <w:rPr>
          <w:rFonts w:ascii="Times New Roman" w:hAnsi="Times New Roman" w:cs="Times New Roman"/>
          <w:i/>
          <w:sz w:val="20"/>
          <w:szCs w:val="20"/>
        </w:rPr>
        <w:t xml:space="preserve">otre </w:t>
      </w:r>
      <w:r w:rsidRPr="00E617DC">
        <w:rPr>
          <w:rFonts w:ascii="Times New Roman" w:hAnsi="Times New Roman" w:cs="Times New Roman"/>
          <w:i/>
          <w:sz w:val="20"/>
          <w:szCs w:val="20"/>
        </w:rPr>
        <w:t>D</w:t>
      </w:r>
      <w:r w:rsidR="00E617DC">
        <w:rPr>
          <w:rFonts w:ascii="Times New Roman" w:hAnsi="Times New Roman" w:cs="Times New Roman"/>
          <w:i/>
          <w:sz w:val="20"/>
          <w:szCs w:val="20"/>
        </w:rPr>
        <w:t xml:space="preserve">ame </w:t>
      </w:r>
      <w:proofErr w:type="spellStart"/>
      <w:r w:rsidR="00E617DC">
        <w:rPr>
          <w:rFonts w:ascii="Times New Roman" w:hAnsi="Times New Roman" w:cs="Times New Roman"/>
          <w:i/>
          <w:sz w:val="20"/>
          <w:szCs w:val="20"/>
        </w:rPr>
        <w:t>L.Rev</w:t>
      </w:r>
      <w:proofErr w:type="spellEnd"/>
      <w:r w:rsidR="00E617DC">
        <w:rPr>
          <w:rFonts w:ascii="Times New Roman" w:hAnsi="Times New Roman" w:cs="Times New Roman"/>
          <w:i/>
          <w:sz w:val="20"/>
          <w:szCs w:val="20"/>
        </w:rPr>
        <w:t>.</w:t>
      </w:r>
      <w:r w:rsidRPr="007B7359">
        <w:rPr>
          <w:rFonts w:ascii="Times New Roman" w:hAnsi="Times New Roman" w:cs="Times New Roman"/>
          <w:sz w:val="20"/>
          <w:szCs w:val="20"/>
        </w:rPr>
        <w:t xml:space="preserve"> (2014) 1403-1426; Thomas </w:t>
      </w:r>
      <w:proofErr w:type="spellStart"/>
      <w:r w:rsidRPr="007B7359">
        <w:rPr>
          <w:rFonts w:ascii="Times New Roman" w:hAnsi="Times New Roman" w:cs="Times New Roman"/>
          <w:sz w:val="20"/>
          <w:szCs w:val="20"/>
        </w:rPr>
        <w:t>Weigend</w:t>
      </w:r>
      <w:proofErr w:type="spellEnd"/>
      <w:r w:rsidRPr="007B7359">
        <w:rPr>
          <w:rFonts w:ascii="Times New Roman" w:hAnsi="Times New Roman" w:cs="Times New Roman"/>
          <w:sz w:val="20"/>
          <w:szCs w:val="20"/>
        </w:rPr>
        <w:t xml:space="preserve">, ‘Kill or be killed – Another look at </w:t>
      </w:r>
      <w:proofErr w:type="spellStart"/>
      <w:r w:rsidRPr="004D101A">
        <w:rPr>
          <w:rFonts w:ascii="Times New Roman" w:hAnsi="Times New Roman" w:cs="Times New Roman"/>
          <w:i/>
          <w:sz w:val="20"/>
          <w:szCs w:val="20"/>
        </w:rPr>
        <w:t>Erdemovic</w:t>
      </w:r>
      <w:proofErr w:type="spellEnd"/>
      <w:r w:rsidRPr="007B7359">
        <w:rPr>
          <w:rFonts w:ascii="Times New Roman" w:hAnsi="Times New Roman" w:cs="Times New Roman"/>
          <w:sz w:val="20"/>
          <w:szCs w:val="20"/>
        </w:rPr>
        <w:t xml:space="preserve">’ 10 </w:t>
      </w:r>
      <w:proofErr w:type="spellStart"/>
      <w:r w:rsidR="00E617DC" w:rsidRPr="005738B9">
        <w:rPr>
          <w:rFonts w:ascii="Times New Roman" w:hAnsi="Times New Roman" w:cs="Times New Roman"/>
          <w:i/>
          <w:sz w:val="20"/>
          <w:szCs w:val="20"/>
        </w:rPr>
        <w:t>J.Int'l.Crim.</w:t>
      </w:r>
      <w:r w:rsidR="00E617DC">
        <w:rPr>
          <w:rFonts w:ascii="Times New Roman" w:hAnsi="Times New Roman" w:cs="Times New Roman"/>
          <w:i/>
          <w:sz w:val="20"/>
          <w:szCs w:val="20"/>
        </w:rPr>
        <w:t>Just</w:t>
      </w:r>
      <w:proofErr w:type="spellEnd"/>
      <w:r w:rsidR="00E617DC">
        <w:rPr>
          <w:rFonts w:ascii="Times New Roman" w:hAnsi="Times New Roman" w:cs="Times New Roman"/>
          <w:i/>
          <w:sz w:val="20"/>
          <w:szCs w:val="20"/>
        </w:rPr>
        <w:t>.</w:t>
      </w:r>
      <w:r w:rsidRPr="007B7359">
        <w:rPr>
          <w:rFonts w:ascii="Times New Roman" w:hAnsi="Times New Roman" w:cs="Times New Roman"/>
          <w:sz w:val="20"/>
          <w:szCs w:val="20"/>
        </w:rPr>
        <w:t xml:space="preserve"> (2012) 1219-1237.</w:t>
      </w:r>
    </w:p>
  </w:footnote>
  <w:footnote w:id="5">
    <w:p w:rsidR="004015BB" w:rsidRPr="007B7359" w:rsidRDefault="004015BB" w:rsidP="005A126E">
      <w:pPr>
        <w:pStyle w:val="FootnoteText"/>
      </w:pPr>
      <w:r w:rsidRPr="007B7359">
        <w:rPr>
          <w:rStyle w:val="FootnoteReference"/>
        </w:rPr>
        <w:footnoteRef/>
      </w:r>
      <w:r w:rsidRPr="007B7359">
        <w:t xml:space="preserve"> Jens David Ohlin, ‘The bounds of necessity’ 6 </w:t>
      </w:r>
      <w:proofErr w:type="spellStart"/>
      <w:r w:rsidR="00E617DC" w:rsidRPr="005738B9">
        <w:rPr>
          <w:i/>
        </w:rPr>
        <w:t>J.Int'l.Crim.</w:t>
      </w:r>
      <w:r w:rsidR="00E617DC">
        <w:rPr>
          <w:i/>
        </w:rPr>
        <w:t>Just</w:t>
      </w:r>
      <w:proofErr w:type="spellEnd"/>
      <w:r w:rsidR="00E617DC">
        <w:rPr>
          <w:i/>
        </w:rPr>
        <w:t>.</w:t>
      </w:r>
      <w:r w:rsidRPr="007B7359">
        <w:t xml:space="preserve"> (2008) 289-308.</w:t>
      </w:r>
    </w:p>
  </w:footnote>
  <w:footnote w:id="6">
    <w:p w:rsidR="004015BB" w:rsidRPr="007B7359" w:rsidRDefault="004015BB" w:rsidP="005A126E">
      <w:pPr>
        <w:pStyle w:val="FootnoteText"/>
      </w:pPr>
      <w:r w:rsidRPr="007B7359">
        <w:rPr>
          <w:rStyle w:val="FootnoteReference"/>
        </w:rPr>
        <w:footnoteRef/>
      </w:r>
      <w:r w:rsidRPr="007B7359">
        <w:t xml:space="preserve"> </w:t>
      </w:r>
      <w:r w:rsidRPr="003C39CF">
        <w:t>Article 31(1</w:t>
      </w:r>
      <w:proofErr w:type="gramStart"/>
      <w:r w:rsidRPr="003C39CF">
        <w:t>)(</w:t>
      </w:r>
      <w:proofErr w:type="gramEnd"/>
      <w:r w:rsidRPr="003C39CF">
        <w:t>d), Rome Statute</w:t>
      </w:r>
      <w:r w:rsidR="003C39CF" w:rsidRPr="003C39CF">
        <w:t>.</w:t>
      </w:r>
    </w:p>
  </w:footnote>
  <w:footnote w:id="7">
    <w:p w:rsidR="004015BB" w:rsidRPr="007B7359" w:rsidRDefault="004015BB" w:rsidP="001F7CBE">
      <w:pPr>
        <w:autoSpaceDE w:val="0"/>
        <w:autoSpaceDN w:val="0"/>
        <w:adjustRightInd w:val="0"/>
        <w:spacing w:after="0" w:line="240" w:lineRule="auto"/>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See, among others, Steve Coughlan, ‘The rise and fall of duress: How duress changed necessity before being excluded by self-defence’ 39 </w:t>
      </w:r>
      <w:r w:rsidRPr="00E617DC">
        <w:rPr>
          <w:rFonts w:ascii="Times New Roman" w:hAnsi="Times New Roman" w:cs="Times New Roman"/>
          <w:i/>
          <w:sz w:val="20"/>
          <w:szCs w:val="20"/>
        </w:rPr>
        <w:t>Queen’s LJ</w:t>
      </w:r>
      <w:r w:rsidRPr="007B7359">
        <w:rPr>
          <w:rFonts w:ascii="Times New Roman" w:hAnsi="Times New Roman" w:cs="Times New Roman"/>
          <w:sz w:val="20"/>
          <w:szCs w:val="20"/>
        </w:rPr>
        <w:t xml:space="preserve"> (2013) 83-125; </w:t>
      </w:r>
      <w:r w:rsidRPr="00E617DC">
        <w:rPr>
          <w:rFonts w:ascii="Times New Roman" w:hAnsi="Times New Roman" w:cs="Times New Roman"/>
          <w:sz w:val="20"/>
          <w:szCs w:val="20"/>
        </w:rPr>
        <w:t xml:space="preserve">William Schabas, </w:t>
      </w:r>
      <w:r w:rsidRPr="00E617DC">
        <w:rPr>
          <w:rFonts w:ascii="Times New Roman" w:hAnsi="Times New Roman" w:cs="Times New Roman"/>
          <w:i/>
          <w:sz w:val="20"/>
          <w:szCs w:val="20"/>
        </w:rPr>
        <w:t>The International Criminal Court: A Commentary on the Rome Statute</w:t>
      </w:r>
      <w:r w:rsidRPr="00E617DC">
        <w:rPr>
          <w:rFonts w:ascii="Times New Roman" w:hAnsi="Times New Roman" w:cs="Times New Roman"/>
          <w:sz w:val="20"/>
          <w:szCs w:val="20"/>
        </w:rPr>
        <w:t xml:space="preserve"> (Oxford University Press, Oxford, 2010);</w:t>
      </w:r>
      <w:r w:rsidRPr="007B7359">
        <w:rPr>
          <w:rFonts w:ascii="Times New Roman" w:hAnsi="Times New Roman" w:cs="Times New Roman"/>
          <w:sz w:val="20"/>
          <w:szCs w:val="20"/>
        </w:rPr>
        <w:t xml:space="preserve"> </w:t>
      </w:r>
      <w:proofErr w:type="spellStart"/>
      <w:r w:rsidRPr="007B7359">
        <w:rPr>
          <w:rFonts w:ascii="Times New Roman" w:hAnsi="Times New Roman" w:cs="Times New Roman"/>
          <w:sz w:val="20"/>
          <w:szCs w:val="20"/>
        </w:rPr>
        <w:t>Risacher</w:t>
      </w:r>
      <w:proofErr w:type="spellEnd"/>
      <w:r>
        <w:rPr>
          <w:rFonts w:ascii="Times New Roman" w:hAnsi="Times New Roman" w:cs="Times New Roman"/>
          <w:sz w:val="20"/>
          <w:szCs w:val="20"/>
        </w:rPr>
        <w:t xml:space="preserve"> </w:t>
      </w:r>
      <w:r w:rsidRPr="00145D3A">
        <w:rPr>
          <w:rFonts w:ascii="Times New Roman" w:hAnsi="Times New Roman" w:cs="Times New Roman"/>
          <w:i/>
          <w:sz w:val="20"/>
          <w:szCs w:val="20"/>
        </w:rPr>
        <w:t>supra</w:t>
      </w:r>
      <w:r>
        <w:rPr>
          <w:rFonts w:ascii="Times New Roman" w:hAnsi="Times New Roman" w:cs="Times New Roman"/>
          <w:sz w:val="20"/>
          <w:szCs w:val="20"/>
        </w:rPr>
        <w:t xml:space="preserve"> note 2</w:t>
      </w:r>
      <w:r w:rsidRPr="003C39CF">
        <w:rPr>
          <w:rFonts w:ascii="Times New Roman" w:hAnsi="Times New Roman" w:cs="Times New Roman"/>
          <w:sz w:val="20"/>
          <w:szCs w:val="20"/>
        </w:rPr>
        <w:t>, p.2;</w:t>
      </w:r>
      <w:r w:rsidRPr="00E617DC">
        <w:rPr>
          <w:rFonts w:ascii="Times New Roman" w:hAnsi="Times New Roman" w:cs="Times New Roman"/>
          <w:sz w:val="20"/>
          <w:szCs w:val="20"/>
        </w:rPr>
        <w:t xml:space="preserve"> Shane Darcy, ‘Defences to international crimes’ in William Schabas and Nadia </w:t>
      </w:r>
      <w:proofErr w:type="spellStart"/>
      <w:r w:rsidRPr="00E617DC">
        <w:rPr>
          <w:rFonts w:ascii="Times New Roman" w:hAnsi="Times New Roman" w:cs="Times New Roman"/>
          <w:sz w:val="20"/>
          <w:szCs w:val="20"/>
        </w:rPr>
        <w:t>Bernaz</w:t>
      </w:r>
      <w:proofErr w:type="spellEnd"/>
      <w:r w:rsidR="00E617DC" w:rsidRPr="00E617DC">
        <w:rPr>
          <w:rFonts w:ascii="Times New Roman" w:hAnsi="Times New Roman" w:cs="Times New Roman"/>
          <w:sz w:val="20"/>
          <w:szCs w:val="20"/>
        </w:rPr>
        <w:t xml:space="preserve"> (</w:t>
      </w:r>
      <w:proofErr w:type="spellStart"/>
      <w:r w:rsidR="00E617DC" w:rsidRPr="00E617DC">
        <w:rPr>
          <w:rFonts w:ascii="Times New Roman" w:hAnsi="Times New Roman" w:cs="Times New Roman"/>
          <w:sz w:val="20"/>
          <w:szCs w:val="20"/>
        </w:rPr>
        <w:t>eds</w:t>
      </w:r>
      <w:proofErr w:type="spellEnd"/>
      <w:r w:rsidR="00E617DC" w:rsidRPr="00E617DC">
        <w:rPr>
          <w:rFonts w:ascii="Times New Roman" w:hAnsi="Times New Roman" w:cs="Times New Roman"/>
          <w:sz w:val="20"/>
          <w:szCs w:val="20"/>
        </w:rPr>
        <w:t>)</w:t>
      </w:r>
      <w:r w:rsidRPr="00E617DC">
        <w:rPr>
          <w:rFonts w:ascii="Times New Roman" w:hAnsi="Times New Roman" w:cs="Times New Roman"/>
          <w:sz w:val="20"/>
          <w:szCs w:val="20"/>
        </w:rPr>
        <w:t xml:space="preserve">, </w:t>
      </w:r>
      <w:r w:rsidRPr="00E617DC">
        <w:rPr>
          <w:rFonts w:ascii="Times New Roman" w:hAnsi="Times New Roman" w:cs="Times New Roman"/>
          <w:i/>
          <w:iCs/>
          <w:sz w:val="20"/>
          <w:szCs w:val="20"/>
        </w:rPr>
        <w:t>Routledge Handbook of International Criminal Law</w:t>
      </w:r>
      <w:r w:rsidRPr="00E617DC">
        <w:rPr>
          <w:rFonts w:ascii="Times New Roman" w:hAnsi="Times New Roman" w:cs="Times New Roman"/>
          <w:sz w:val="20"/>
          <w:szCs w:val="20"/>
        </w:rPr>
        <w:t xml:space="preserve"> (Routledge, Abington, 2011).</w:t>
      </w:r>
    </w:p>
  </w:footnote>
  <w:footnote w:id="8">
    <w:p w:rsidR="004015BB" w:rsidRPr="007B7359" w:rsidRDefault="004015BB">
      <w:pPr>
        <w:pStyle w:val="FootnoteText"/>
      </w:pPr>
      <w:r w:rsidRPr="007B7359">
        <w:rPr>
          <w:rStyle w:val="FootnoteReference"/>
        </w:rPr>
        <w:footnoteRef/>
      </w:r>
      <w:r w:rsidRPr="007B7359">
        <w:t xml:space="preserve"> Schabas,</w:t>
      </w:r>
      <w:r>
        <w:t xml:space="preserve"> </w:t>
      </w:r>
      <w:r w:rsidRPr="00145D3A">
        <w:rPr>
          <w:i/>
        </w:rPr>
        <w:t>supra</w:t>
      </w:r>
      <w:r>
        <w:t xml:space="preserve"> note 7;</w:t>
      </w:r>
      <w:r w:rsidRPr="007B7359">
        <w:t xml:space="preserve"> Geert-Jan </w:t>
      </w:r>
      <w:proofErr w:type="spellStart"/>
      <w:r w:rsidRPr="007B7359">
        <w:t>Knoops</w:t>
      </w:r>
      <w:proofErr w:type="spellEnd"/>
      <w:r w:rsidRPr="007B7359">
        <w:t xml:space="preserve">, </w:t>
      </w:r>
      <w:proofErr w:type="spellStart"/>
      <w:r w:rsidRPr="007B7359">
        <w:rPr>
          <w:i/>
        </w:rPr>
        <w:t>Defenses</w:t>
      </w:r>
      <w:proofErr w:type="spellEnd"/>
      <w:r w:rsidRPr="007B7359">
        <w:rPr>
          <w:i/>
        </w:rPr>
        <w:t xml:space="preserve"> in contemporary international criminal law</w:t>
      </w:r>
      <w:r w:rsidRPr="007B7359">
        <w:t xml:space="preserve"> (</w:t>
      </w:r>
      <w:proofErr w:type="spellStart"/>
      <w:r w:rsidRPr="007B7359">
        <w:t>Martinus</w:t>
      </w:r>
      <w:proofErr w:type="spellEnd"/>
      <w:r w:rsidRPr="007B7359">
        <w:t xml:space="preserve"> </w:t>
      </w:r>
      <w:proofErr w:type="spellStart"/>
      <w:r w:rsidRPr="007B7359">
        <w:t>Nijhoff</w:t>
      </w:r>
      <w:proofErr w:type="spellEnd"/>
      <w:r w:rsidRPr="007B7359">
        <w:t xml:space="preserve">, Leiden, 2008), and </w:t>
      </w:r>
      <w:proofErr w:type="spellStart"/>
      <w:r w:rsidRPr="007B7359">
        <w:t>M.Cherif</w:t>
      </w:r>
      <w:proofErr w:type="spellEnd"/>
      <w:r w:rsidRPr="007B7359">
        <w:t xml:space="preserve"> </w:t>
      </w:r>
      <w:proofErr w:type="spellStart"/>
      <w:r w:rsidRPr="007B7359">
        <w:t>Bassiouni</w:t>
      </w:r>
      <w:proofErr w:type="spellEnd"/>
      <w:r w:rsidRPr="007B7359">
        <w:t xml:space="preserve">, </w:t>
      </w:r>
      <w:r w:rsidRPr="007B7359">
        <w:rPr>
          <w:i/>
        </w:rPr>
        <w:t>A draft international criminal code and draft Statute for an International Criminal Tribunal</w:t>
      </w:r>
      <w:r w:rsidRPr="007B7359">
        <w:t xml:space="preserve"> (</w:t>
      </w:r>
      <w:proofErr w:type="spellStart"/>
      <w:r w:rsidRPr="007B7359">
        <w:t>Martinus</w:t>
      </w:r>
      <w:proofErr w:type="spellEnd"/>
      <w:r w:rsidRPr="007B7359">
        <w:t xml:space="preserve"> </w:t>
      </w:r>
      <w:proofErr w:type="spellStart"/>
      <w:r w:rsidRPr="007B7359">
        <w:t>Nijhoff</w:t>
      </w:r>
      <w:proofErr w:type="spellEnd"/>
      <w:r w:rsidRPr="007B7359">
        <w:t>, Leiden, 1987) where the availability of defences was doubted for serious violations of international criminal law.</w:t>
      </w:r>
    </w:p>
  </w:footnote>
  <w:footnote w:id="9">
    <w:p w:rsidR="004015BB" w:rsidRPr="007B7359" w:rsidRDefault="004015BB" w:rsidP="005A126E">
      <w:pPr>
        <w:autoSpaceDE w:val="0"/>
        <w:autoSpaceDN w:val="0"/>
        <w:adjustRightInd w:val="0"/>
        <w:spacing w:after="0" w:line="240" w:lineRule="auto"/>
        <w:rPr>
          <w:rFonts w:ascii="Times New Roman" w:hAnsi="Times New Roman" w:cs="Times New Roman"/>
          <w:b/>
          <w:sz w:val="20"/>
          <w:szCs w:val="20"/>
          <w:u w:val="single"/>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For example, Whitley Kaufman, ‘Self-</w:t>
      </w:r>
      <w:proofErr w:type="spellStart"/>
      <w:r w:rsidRPr="007B7359">
        <w:rPr>
          <w:rFonts w:ascii="Times New Roman" w:hAnsi="Times New Roman" w:cs="Times New Roman"/>
          <w:sz w:val="20"/>
          <w:szCs w:val="20"/>
        </w:rPr>
        <w:t>defense</w:t>
      </w:r>
      <w:proofErr w:type="spellEnd"/>
      <w:r w:rsidRPr="007B7359">
        <w:rPr>
          <w:rFonts w:ascii="Times New Roman" w:hAnsi="Times New Roman" w:cs="Times New Roman"/>
          <w:sz w:val="20"/>
          <w:szCs w:val="20"/>
        </w:rPr>
        <w:t xml:space="preserve">, imminence, and the battered woman’ 10 </w:t>
      </w:r>
      <w:r w:rsidRPr="00E617DC">
        <w:rPr>
          <w:rFonts w:ascii="Times New Roman" w:hAnsi="Times New Roman" w:cs="Times New Roman"/>
          <w:i/>
          <w:sz w:val="20"/>
          <w:szCs w:val="20"/>
        </w:rPr>
        <w:t xml:space="preserve">New </w:t>
      </w:r>
      <w:proofErr w:type="spellStart"/>
      <w:r w:rsidRPr="00E617DC">
        <w:rPr>
          <w:rFonts w:ascii="Times New Roman" w:hAnsi="Times New Roman" w:cs="Times New Roman"/>
          <w:i/>
          <w:sz w:val="20"/>
          <w:szCs w:val="20"/>
        </w:rPr>
        <w:t>Crim</w:t>
      </w:r>
      <w:r w:rsidR="00E617DC">
        <w:rPr>
          <w:rFonts w:ascii="Times New Roman" w:hAnsi="Times New Roman" w:cs="Times New Roman"/>
          <w:i/>
          <w:sz w:val="20"/>
          <w:szCs w:val="20"/>
        </w:rPr>
        <w:t>.</w:t>
      </w:r>
      <w:r w:rsidRPr="00E617DC">
        <w:rPr>
          <w:rFonts w:ascii="Times New Roman" w:hAnsi="Times New Roman" w:cs="Times New Roman"/>
          <w:i/>
          <w:sz w:val="20"/>
          <w:szCs w:val="20"/>
        </w:rPr>
        <w:t>L</w:t>
      </w:r>
      <w:r w:rsidR="00E617DC">
        <w:rPr>
          <w:rFonts w:ascii="Times New Roman" w:hAnsi="Times New Roman" w:cs="Times New Roman"/>
          <w:i/>
          <w:sz w:val="20"/>
          <w:szCs w:val="20"/>
        </w:rPr>
        <w:t>.</w:t>
      </w:r>
      <w:r w:rsidRPr="00E617DC">
        <w:rPr>
          <w:rFonts w:ascii="Times New Roman" w:hAnsi="Times New Roman" w:cs="Times New Roman"/>
          <w:i/>
          <w:sz w:val="20"/>
          <w:szCs w:val="20"/>
        </w:rPr>
        <w:t>Rev</w:t>
      </w:r>
      <w:proofErr w:type="spellEnd"/>
      <w:r w:rsidR="00E617DC">
        <w:rPr>
          <w:rFonts w:ascii="Times New Roman" w:hAnsi="Times New Roman" w:cs="Times New Roman"/>
          <w:i/>
          <w:sz w:val="20"/>
          <w:szCs w:val="20"/>
        </w:rPr>
        <w:t>.</w:t>
      </w:r>
      <w:r w:rsidRPr="007B7359">
        <w:rPr>
          <w:rFonts w:ascii="Times New Roman" w:hAnsi="Times New Roman" w:cs="Times New Roman"/>
          <w:sz w:val="20"/>
          <w:szCs w:val="20"/>
        </w:rPr>
        <w:t xml:space="preserve"> (2007) 342-369; Jeffrey Murdoch, ‘Is imminence really necessity? Reconciling the traditional </w:t>
      </w:r>
      <w:proofErr w:type="spellStart"/>
      <w:r w:rsidRPr="007B7359">
        <w:rPr>
          <w:rFonts w:ascii="Times New Roman" w:hAnsi="Times New Roman" w:cs="Times New Roman"/>
          <w:sz w:val="20"/>
          <w:szCs w:val="20"/>
        </w:rPr>
        <w:t>self-defense</w:t>
      </w:r>
      <w:proofErr w:type="spellEnd"/>
      <w:r w:rsidRPr="007B7359">
        <w:rPr>
          <w:rFonts w:ascii="Times New Roman" w:hAnsi="Times New Roman" w:cs="Times New Roman"/>
          <w:sz w:val="20"/>
          <w:szCs w:val="20"/>
        </w:rPr>
        <w:t xml:space="preserve"> doctrine with the battered woman syndrome’</w:t>
      </w:r>
      <w:r w:rsidRPr="007B7359">
        <w:rPr>
          <w:rFonts w:ascii="Times New Roman" w:hAnsi="Times New Roman" w:cs="Times New Roman"/>
          <w:i/>
          <w:sz w:val="20"/>
          <w:szCs w:val="20"/>
        </w:rPr>
        <w:t xml:space="preserve"> </w:t>
      </w:r>
      <w:r w:rsidRPr="007B7359">
        <w:rPr>
          <w:rFonts w:ascii="Times New Roman" w:hAnsi="Times New Roman" w:cs="Times New Roman"/>
          <w:sz w:val="20"/>
          <w:szCs w:val="20"/>
        </w:rPr>
        <w:t xml:space="preserve">20 </w:t>
      </w:r>
      <w:r w:rsidR="00E617DC">
        <w:rPr>
          <w:rFonts w:ascii="Times New Roman" w:hAnsi="Times New Roman" w:cs="Times New Roman"/>
          <w:i/>
          <w:sz w:val="20"/>
          <w:szCs w:val="20"/>
        </w:rPr>
        <w:t xml:space="preserve">N Ill </w:t>
      </w:r>
      <w:proofErr w:type="spellStart"/>
      <w:r w:rsidR="00E617DC">
        <w:rPr>
          <w:rFonts w:ascii="Times New Roman" w:hAnsi="Times New Roman" w:cs="Times New Roman"/>
          <w:i/>
          <w:sz w:val="20"/>
          <w:szCs w:val="20"/>
        </w:rPr>
        <w:t>U.L.</w:t>
      </w:r>
      <w:r w:rsidRPr="00E617DC">
        <w:rPr>
          <w:rFonts w:ascii="Times New Roman" w:hAnsi="Times New Roman" w:cs="Times New Roman"/>
          <w:i/>
          <w:sz w:val="20"/>
          <w:szCs w:val="20"/>
        </w:rPr>
        <w:t>Rev</w:t>
      </w:r>
      <w:proofErr w:type="spellEnd"/>
      <w:r w:rsidR="00E617DC">
        <w:rPr>
          <w:rFonts w:ascii="Times New Roman" w:hAnsi="Times New Roman" w:cs="Times New Roman"/>
          <w:i/>
          <w:sz w:val="20"/>
          <w:szCs w:val="20"/>
        </w:rPr>
        <w:t>,</w:t>
      </w:r>
      <w:r w:rsidRPr="007B7359">
        <w:rPr>
          <w:rFonts w:ascii="Times New Roman" w:hAnsi="Times New Roman" w:cs="Times New Roman"/>
          <w:sz w:val="20"/>
          <w:szCs w:val="20"/>
        </w:rPr>
        <w:t xml:space="preserve"> (2000) 191-218; David Gauthier, ‘Self-</w:t>
      </w:r>
      <w:proofErr w:type="spellStart"/>
      <w:r w:rsidRPr="007B7359">
        <w:rPr>
          <w:rFonts w:ascii="Times New Roman" w:hAnsi="Times New Roman" w:cs="Times New Roman"/>
          <w:sz w:val="20"/>
          <w:szCs w:val="20"/>
        </w:rPr>
        <w:t>defense</w:t>
      </w:r>
      <w:proofErr w:type="spellEnd"/>
      <w:r w:rsidRPr="007B7359">
        <w:rPr>
          <w:rFonts w:ascii="Times New Roman" w:hAnsi="Times New Roman" w:cs="Times New Roman"/>
          <w:sz w:val="20"/>
          <w:szCs w:val="20"/>
        </w:rPr>
        <w:t xml:space="preserve"> and the requirement of imminence: Comments on George Fletcher’s domination in the theory of justification and excuse’</w:t>
      </w:r>
      <w:r w:rsidRPr="007B7359">
        <w:rPr>
          <w:rFonts w:ascii="Times New Roman" w:hAnsi="Times New Roman" w:cs="Times New Roman"/>
          <w:i/>
          <w:sz w:val="20"/>
          <w:szCs w:val="20"/>
        </w:rPr>
        <w:t xml:space="preserve"> </w:t>
      </w:r>
      <w:r w:rsidRPr="007B7359">
        <w:rPr>
          <w:rFonts w:ascii="Times New Roman" w:hAnsi="Times New Roman" w:cs="Times New Roman"/>
          <w:sz w:val="20"/>
          <w:szCs w:val="20"/>
        </w:rPr>
        <w:t xml:space="preserve">57 </w:t>
      </w:r>
      <w:r w:rsidRPr="00E617DC">
        <w:rPr>
          <w:rFonts w:ascii="Times New Roman" w:hAnsi="Times New Roman" w:cs="Times New Roman"/>
          <w:i/>
          <w:sz w:val="20"/>
          <w:szCs w:val="20"/>
        </w:rPr>
        <w:t>U Pitt L Rev</w:t>
      </w:r>
      <w:r w:rsidRPr="007B7359">
        <w:rPr>
          <w:rFonts w:ascii="Times New Roman" w:hAnsi="Times New Roman" w:cs="Times New Roman"/>
          <w:sz w:val="20"/>
          <w:szCs w:val="20"/>
        </w:rPr>
        <w:t xml:space="preserve"> (1996) 615-620; Shana Wallace, ‘Beyond imminence: Evolving international law and battered women’s right to </w:t>
      </w:r>
      <w:proofErr w:type="spellStart"/>
      <w:r w:rsidRPr="007B7359">
        <w:rPr>
          <w:rFonts w:ascii="Times New Roman" w:hAnsi="Times New Roman" w:cs="Times New Roman"/>
          <w:sz w:val="20"/>
          <w:szCs w:val="20"/>
        </w:rPr>
        <w:t>self-defense</w:t>
      </w:r>
      <w:proofErr w:type="spellEnd"/>
      <w:r w:rsidRPr="007B7359">
        <w:rPr>
          <w:rFonts w:ascii="Times New Roman" w:hAnsi="Times New Roman" w:cs="Times New Roman"/>
          <w:sz w:val="20"/>
          <w:szCs w:val="20"/>
        </w:rPr>
        <w:t xml:space="preserve">’ 71 </w:t>
      </w:r>
      <w:r w:rsidRPr="00E617DC">
        <w:rPr>
          <w:rFonts w:ascii="Times New Roman" w:hAnsi="Times New Roman" w:cs="Times New Roman"/>
          <w:i/>
          <w:sz w:val="20"/>
          <w:szCs w:val="20"/>
        </w:rPr>
        <w:t xml:space="preserve">U </w:t>
      </w:r>
      <w:proofErr w:type="spellStart"/>
      <w:r w:rsidRPr="00E617DC">
        <w:rPr>
          <w:rFonts w:ascii="Times New Roman" w:hAnsi="Times New Roman" w:cs="Times New Roman"/>
          <w:i/>
          <w:sz w:val="20"/>
          <w:szCs w:val="20"/>
        </w:rPr>
        <w:t>Ch</w:t>
      </w:r>
      <w:proofErr w:type="spellEnd"/>
      <w:r w:rsidRPr="00E617DC">
        <w:rPr>
          <w:rFonts w:ascii="Times New Roman" w:hAnsi="Times New Roman" w:cs="Times New Roman"/>
          <w:i/>
          <w:sz w:val="20"/>
          <w:szCs w:val="20"/>
        </w:rPr>
        <w:t xml:space="preserve"> L Rev</w:t>
      </w:r>
      <w:r w:rsidRPr="007B7359">
        <w:rPr>
          <w:rFonts w:ascii="Times New Roman" w:hAnsi="Times New Roman" w:cs="Times New Roman"/>
          <w:sz w:val="20"/>
          <w:szCs w:val="20"/>
        </w:rPr>
        <w:t xml:space="preserve"> (2004) 1749-1871, Angelica </w:t>
      </w:r>
      <w:proofErr w:type="spellStart"/>
      <w:r w:rsidRPr="007B7359">
        <w:rPr>
          <w:rFonts w:ascii="Times New Roman" w:hAnsi="Times New Roman" w:cs="Times New Roman"/>
          <w:sz w:val="20"/>
          <w:szCs w:val="20"/>
        </w:rPr>
        <w:t>Guz</w:t>
      </w:r>
      <w:proofErr w:type="spellEnd"/>
      <w:r w:rsidRPr="007B7359">
        <w:rPr>
          <w:rFonts w:ascii="Times New Roman" w:hAnsi="Times New Roman" w:cs="Times New Roman"/>
          <w:sz w:val="20"/>
          <w:szCs w:val="20"/>
        </w:rPr>
        <w:t xml:space="preserve"> and Marilyn McMahon, ‘Is imminence still necessary? Current approaches to imminence in the laws governing self-defence in Australia’ 13 </w:t>
      </w:r>
      <w:r w:rsidRPr="00E617DC">
        <w:rPr>
          <w:rFonts w:ascii="Times New Roman" w:hAnsi="Times New Roman" w:cs="Times New Roman"/>
          <w:i/>
          <w:sz w:val="20"/>
          <w:szCs w:val="20"/>
        </w:rPr>
        <w:t>Flinders LJ</w:t>
      </w:r>
      <w:r w:rsidRPr="007B7359">
        <w:rPr>
          <w:rFonts w:ascii="Times New Roman" w:hAnsi="Times New Roman" w:cs="Times New Roman"/>
          <w:sz w:val="20"/>
          <w:szCs w:val="20"/>
        </w:rPr>
        <w:t xml:space="preserve"> (2011) 79-124.</w:t>
      </w:r>
    </w:p>
  </w:footnote>
  <w:footnote w:id="10">
    <w:p w:rsidR="004015BB" w:rsidRPr="007B7359" w:rsidRDefault="004015BB">
      <w:pPr>
        <w:pStyle w:val="FootnoteText"/>
      </w:pPr>
      <w:r w:rsidRPr="007B7359">
        <w:rPr>
          <w:rStyle w:val="FootnoteReference"/>
        </w:rPr>
        <w:footnoteRef/>
      </w:r>
      <w:r w:rsidRPr="007B7359">
        <w:t xml:space="preserve"> Luis Chiesa, ‘Duress, demanding heroism, and proportionality’ 41 </w:t>
      </w:r>
      <w:proofErr w:type="spellStart"/>
      <w:r w:rsidRPr="00E617DC">
        <w:rPr>
          <w:i/>
        </w:rPr>
        <w:t>Vand</w:t>
      </w:r>
      <w:proofErr w:type="spellEnd"/>
      <w:r w:rsidRPr="00E617DC">
        <w:rPr>
          <w:i/>
        </w:rPr>
        <w:t xml:space="preserve">. J. </w:t>
      </w:r>
      <w:proofErr w:type="spellStart"/>
      <w:r w:rsidRPr="00E617DC">
        <w:rPr>
          <w:i/>
        </w:rPr>
        <w:t>Transnat'l</w:t>
      </w:r>
      <w:proofErr w:type="spellEnd"/>
      <w:r w:rsidRPr="00E617DC">
        <w:rPr>
          <w:i/>
        </w:rPr>
        <w:t xml:space="preserve"> L. </w:t>
      </w:r>
      <w:r w:rsidRPr="007B7359">
        <w:t>(2008) 741-773.</w:t>
      </w:r>
    </w:p>
  </w:footnote>
  <w:footnote w:id="11">
    <w:p w:rsidR="004015BB" w:rsidRPr="007B7359" w:rsidRDefault="004015BB" w:rsidP="00122938">
      <w:pPr>
        <w:pStyle w:val="Heading1"/>
        <w:shd w:val="clear" w:color="auto" w:fill="FFFFFF"/>
        <w:spacing w:before="0" w:beforeAutospacing="0" w:after="0" w:afterAutospacing="0"/>
        <w:rPr>
          <w:b w:val="0"/>
          <w:color w:val="222222"/>
          <w:sz w:val="20"/>
          <w:szCs w:val="20"/>
        </w:rPr>
      </w:pPr>
      <w:r w:rsidRPr="007B7359">
        <w:rPr>
          <w:rStyle w:val="FootnoteReference"/>
          <w:b w:val="0"/>
          <w:sz w:val="20"/>
          <w:szCs w:val="20"/>
        </w:rPr>
        <w:footnoteRef/>
      </w:r>
      <w:r w:rsidRPr="007B7359">
        <w:rPr>
          <w:b w:val="0"/>
          <w:sz w:val="20"/>
          <w:szCs w:val="20"/>
        </w:rPr>
        <w:t xml:space="preserve"> See, for example, </w:t>
      </w:r>
      <w:r w:rsidRPr="007B7359">
        <w:rPr>
          <w:b w:val="0"/>
          <w:i/>
          <w:sz w:val="20"/>
          <w:szCs w:val="20"/>
        </w:rPr>
        <w:t xml:space="preserve">Dixon </w:t>
      </w:r>
      <w:r w:rsidRPr="00C0469F">
        <w:rPr>
          <w:b w:val="0"/>
          <w:sz w:val="20"/>
          <w:szCs w:val="20"/>
        </w:rPr>
        <w:t>v.</w:t>
      </w:r>
      <w:r w:rsidRPr="007B7359">
        <w:rPr>
          <w:b w:val="0"/>
          <w:i/>
          <w:sz w:val="20"/>
          <w:szCs w:val="20"/>
        </w:rPr>
        <w:t> United States</w:t>
      </w:r>
      <w:r w:rsidRPr="007B7359">
        <w:rPr>
          <w:b w:val="0"/>
          <w:sz w:val="20"/>
          <w:szCs w:val="20"/>
        </w:rPr>
        <w:t xml:space="preserve">, 548 U.S. 1 (2006), Paul Robinson and Markus </w:t>
      </w:r>
      <w:proofErr w:type="spellStart"/>
      <w:r w:rsidRPr="007B7359">
        <w:rPr>
          <w:b w:val="0"/>
          <w:sz w:val="20"/>
          <w:szCs w:val="20"/>
        </w:rPr>
        <w:t>Dubber</w:t>
      </w:r>
      <w:proofErr w:type="spellEnd"/>
      <w:r w:rsidRPr="007B7359">
        <w:rPr>
          <w:b w:val="0"/>
          <w:sz w:val="20"/>
          <w:szCs w:val="20"/>
        </w:rPr>
        <w:t>, ‘The American Model Penal Code: A brief overview’</w:t>
      </w:r>
      <w:r w:rsidRPr="007B7359">
        <w:rPr>
          <w:b w:val="0"/>
          <w:i/>
          <w:sz w:val="20"/>
          <w:szCs w:val="20"/>
        </w:rPr>
        <w:t xml:space="preserve"> </w:t>
      </w:r>
      <w:r w:rsidRPr="007B7359">
        <w:rPr>
          <w:b w:val="0"/>
          <w:sz w:val="20"/>
          <w:szCs w:val="20"/>
        </w:rPr>
        <w:t xml:space="preserve">10 </w:t>
      </w:r>
      <w:r w:rsidRPr="00E617DC">
        <w:rPr>
          <w:b w:val="0"/>
          <w:i/>
          <w:sz w:val="20"/>
          <w:szCs w:val="20"/>
        </w:rPr>
        <w:t>New Crim. L. Rev</w:t>
      </w:r>
      <w:r w:rsidRPr="007B7359">
        <w:rPr>
          <w:b w:val="0"/>
          <w:sz w:val="20"/>
          <w:szCs w:val="20"/>
        </w:rPr>
        <w:t>. (2007) 319-341; Ar</w:t>
      </w:r>
      <w:r w:rsidR="00E617DC">
        <w:rPr>
          <w:b w:val="0"/>
          <w:sz w:val="20"/>
          <w:szCs w:val="20"/>
        </w:rPr>
        <w:t>ticle 122, French Criminal Code;</w:t>
      </w:r>
      <w:r w:rsidRPr="007B7359">
        <w:rPr>
          <w:b w:val="0"/>
          <w:sz w:val="20"/>
          <w:szCs w:val="20"/>
        </w:rPr>
        <w:t xml:space="preserve"> Caroline Elliott, ‘</w:t>
      </w:r>
      <w:r w:rsidRPr="007B7359">
        <w:rPr>
          <w:b w:val="0"/>
          <w:iCs/>
          <w:sz w:val="20"/>
          <w:szCs w:val="20"/>
        </w:rPr>
        <w:t>A comparative analysis of defences in English and French criminal law’</w:t>
      </w:r>
      <w:r w:rsidRPr="007B7359">
        <w:rPr>
          <w:b w:val="0"/>
          <w:sz w:val="20"/>
          <w:szCs w:val="20"/>
        </w:rPr>
        <w:t xml:space="preserve"> 8 </w:t>
      </w:r>
      <w:r w:rsidRPr="00E617DC">
        <w:rPr>
          <w:b w:val="0"/>
          <w:i/>
          <w:sz w:val="20"/>
          <w:szCs w:val="20"/>
        </w:rPr>
        <w:t>Eur. J. Crime, Crim. L. and Crim. Just.</w:t>
      </w:r>
      <w:r w:rsidRPr="007B7359">
        <w:rPr>
          <w:b w:val="0"/>
          <w:sz w:val="20"/>
          <w:szCs w:val="20"/>
        </w:rPr>
        <w:t xml:space="preserve"> (2000) 319-326; s34, German Criminal Code 1998 and Michael </w:t>
      </w:r>
      <w:proofErr w:type="spellStart"/>
      <w:r w:rsidRPr="007B7359">
        <w:rPr>
          <w:b w:val="0"/>
          <w:sz w:val="20"/>
          <w:szCs w:val="20"/>
        </w:rPr>
        <w:t>Bohlander</w:t>
      </w:r>
      <w:proofErr w:type="spellEnd"/>
      <w:r w:rsidRPr="007B7359">
        <w:rPr>
          <w:b w:val="0"/>
          <w:sz w:val="20"/>
          <w:szCs w:val="20"/>
        </w:rPr>
        <w:t xml:space="preserve">, </w:t>
      </w:r>
      <w:r w:rsidRPr="007B7359">
        <w:rPr>
          <w:b w:val="0"/>
          <w:i/>
          <w:iCs/>
          <w:sz w:val="20"/>
          <w:szCs w:val="20"/>
        </w:rPr>
        <w:t xml:space="preserve">Principles of German criminal law </w:t>
      </w:r>
      <w:r w:rsidRPr="007B7359">
        <w:rPr>
          <w:b w:val="0"/>
          <w:iCs/>
          <w:sz w:val="20"/>
          <w:szCs w:val="20"/>
        </w:rPr>
        <w:t>(</w:t>
      </w:r>
      <w:r w:rsidRPr="007B7359">
        <w:rPr>
          <w:b w:val="0"/>
          <w:sz w:val="20"/>
          <w:szCs w:val="20"/>
        </w:rPr>
        <w:t>Hart, Oxford 2008).</w:t>
      </w:r>
    </w:p>
  </w:footnote>
  <w:footnote w:id="12">
    <w:p w:rsidR="004015BB" w:rsidRPr="007B7359" w:rsidRDefault="004015BB" w:rsidP="00122938">
      <w:pPr>
        <w:pStyle w:val="FootnoteText"/>
        <w:tabs>
          <w:tab w:val="left" w:pos="5087"/>
        </w:tabs>
      </w:pPr>
      <w:r w:rsidRPr="007B7359">
        <w:rPr>
          <w:rStyle w:val="FootnoteReference"/>
        </w:rPr>
        <w:footnoteRef/>
      </w:r>
      <w:r w:rsidRPr="007B7359">
        <w:t xml:space="preserve"> See </w:t>
      </w:r>
      <w:r w:rsidRPr="007B7359">
        <w:rPr>
          <w:i/>
        </w:rPr>
        <w:t>US</w:t>
      </w:r>
      <w:r w:rsidRPr="00711748">
        <w:t xml:space="preserve"> v</w:t>
      </w:r>
      <w:r>
        <w:t>.</w:t>
      </w:r>
      <w:r w:rsidRPr="007B7359">
        <w:rPr>
          <w:i/>
        </w:rPr>
        <w:t xml:space="preserve"> </w:t>
      </w:r>
      <w:proofErr w:type="spellStart"/>
      <w:r w:rsidRPr="007B7359">
        <w:rPr>
          <w:i/>
        </w:rPr>
        <w:t>Ohlendorf</w:t>
      </w:r>
      <w:proofErr w:type="spellEnd"/>
      <w:r w:rsidRPr="007B7359">
        <w:t xml:space="preserve"> et al</w:t>
      </w:r>
      <w:r w:rsidR="003C39CF">
        <w:t>,</w:t>
      </w:r>
      <w:r w:rsidRPr="007B7359">
        <w:t xml:space="preserve"> </w:t>
      </w:r>
      <w:r w:rsidR="003C39CF">
        <w:t xml:space="preserve">8-9 April 1948, </w:t>
      </w:r>
      <w:r w:rsidRPr="007B7359">
        <w:t>U</w:t>
      </w:r>
      <w:r w:rsidR="003C39CF">
        <w:t>.S. Military Tribunal Nuremberg</w:t>
      </w:r>
      <w:r w:rsidR="00E617DC">
        <w:t>;</w:t>
      </w:r>
      <w:r w:rsidRPr="007B7359">
        <w:t xml:space="preserve"> </w:t>
      </w:r>
      <w:r w:rsidRPr="007B7359">
        <w:rPr>
          <w:i/>
        </w:rPr>
        <w:t xml:space="preserve">Prosecutor </w:t>
      </w:r>
      <w:r w:rsidRPr="00711748">
        <w:t>v</w:t>
      </w:r>
      <w:r>
        <w:t>.</w:t>
      </w:r>
      <w:r w:rsidRPr="007B7359">
        <w:rPr>
          <w:i/>
        </w:rPr>
        <w:t xml:space="preserve"> </w:t>
      </w:r>
      <w:proofErr w:type="spellStart"/>
      <w:r w:rsidRPr="007B7359">
        <w:rPr>
          <w:i/>
        </w:rPr>
        <w:t>Erdemović</w:t>
      </w:r>
      <w:proofErr w:type="spellEnd"/>
      <w:r w:rsidRPr="007B7359">
        <w:t xml:space="preserve"> I</w:t>
      </w:r>
      <w:r w:rsidR="003C39CF">
        <w:t xml:space="preserve">nternational Criminal Tribunal for the former Yugoslavia, </w:t>
      </w:r>
      <w:r w:rsidRPr="007B7359">
        <w:t>T-96-22- T/A 1996</w:t>
      </w:r>
      <w:r w:rsidR="00E617DC">
        <w:t>;</w:t>
      </w:r>
      <w:r w:rsidRPr="007B7359">
        <w:t xml:space="preserve"> and </w:t>
      </w:r>
      <w:r w:rsidR="003C39CF" w:rsidRPr="00711748">
        <w:rPr>
          <w:i/>
        </w:rPr>
        <w:t>Hass and Priebke</w:t>
      </w:r>
      <w:r w:rsidR="003C39CF" w:rsidRPr="007B7359">
        <w:t xml:space="preserve">, </w:t>
      </w:r>
      <w:r w:rsidR="003C39CF">
        <w:t xml:space="preserve">22 July 1997, </w:t>
      </w:r>
      <w:r w:rsidRPr="007B7359">
        <w:t>Mil</w:t>
      </w:r>
      <w:r w:rsidR="003C39CF">
        <w:t>itary Tribunal of Rome.</w:t>
      </w:r>
    </w:p>
  </w:footnote>
  <w:footnote w:id="13">
    <w:p w:rsidR="004015BB" w:rsidRPr="007B7359" w:rsidRDefault="004015BB">
      <w:pPr>
        <w:pStyle w:val="FootnoteText"/>
      </w:pPr>
      <w:r w:rsidRPr="007B7359">
        <w:rPr>
          <w:rStyle w:val="FootnoteReference"/>
        </w:rPr>
        <w:footnoteRef/>
      </w:r>
      <w:r w:rsidRPr="007B7359">
        <w:t xml:space="preserve"> See Khaled </w:t>
      </w:r>
      <w:proofErr w:type="spellStart"/>
      <w:r w:rsidRPr="007B7359">
        <w:t>Abou</w:t>
      </w:r>
      <w:proofErr w:type="spellEnd"/>
      <w:r w:rsidRPr="007B7359">
        <w:t xml:space="preserve"> El </w:t>
      </w:r>
      <w:proofErr w:type="spellStart"/>
      <w:r w:rsidRPr="007B7359">
        <w:t>Fadl</w:t>
      </w:r>
      <w:proofErr w:type="spellEnd"/>
      <w:r w:rsidRPr="007B7359">
        <w:t>, ‘Law of duress in Islamic law and common law: A comparative study’ (1991) 30 Islamic Study 305-350 and Clare Frances Moran ‘A comparative exploration of the defence of duress’ (2017) GJCL 6(1) 51-76.</w:t>
      </w:r>
    </w:p>
  </w:footnote>
  <w:footnote w:id="14">
    <w:p w:rsidR="004015BB" w:rsidRPr="007B7359" w:rsidRDefault="004015BB">
      <w:pPr>
        <w:pStyle w:val="FootnoteText"/>
      </w:pPr>
      <w:r w:rsidRPr="007B7359">
        <w:rPr>
          <w:rStyle w:val="FootnoteReference"/>
        </w:rPr>
        <w:footnoteRef/>
      </w:r>
      <w:r w:rsidRPr="007B7359">
        <w:t xml:space="preserve"> It should be noted that some of this influence stems from colonisation.</w:t>
      </w:r>
    </w:p>
  </w:footnote>
  <w:footnote w:id="15">
    <w:p w:rsidR="004015BB" w:rsidRPr="007B7359" w:rsidRDefault="004015BB" w:rsidP="00B16E39">
      <w:pPr>
        <w:pStyle w:val="FootnoteText"/>
      </w:pPr>
      <w:r w:rsidRPr="007B7359">
        <w:rPr>
          <w:rStyle w:val="FootnoteReference"/>
        </w:rPr>
        <w:footnoteRef/>
      </w:r>
      <w:r w:rsidR="00E617DC">
        <w:t xml:space="preserve"> Jonathan W.</w:t>
      </w:r>
      <w:r w:rsidRPr="007B7359">
        <w:t xml:space="preserve"> Herring, </w:t>
      </w:r>
      <w:r w:rsidRPr="007B7359">
        <w:rPr>
          <w:i/>
        </w:rPr>
        <w:t xml:space="preserve">Criminal law: text, cases and materials </w:t>
      </w:r>
      <w:r w:rsidR="00E617DC" w:rsidRPr="00E617DC">
        <w:t>(</w:t>
      </w:r>
      <w:r w:rsidRPr="00E617DC">
        <w:t>Oxford</w:t>
      </w:r>
      <w:r w:rsidRPr="007B7359">
        <w:t xml:space="preserve"> Un</w:t>
      </w:r>
      <w:r w:rsidR="00E617DC">
        <w:t>iversity Press, Oxford, 2012) p.664 and Nicola</w:t>
      </w:r>
      <w:r w:rsidRPr="007B7359">
        <w:t xml:space="preserve"> Padfield, </w:t>
      </w:r>
      <w:r w:rsidRPr="007B7359">
        <w:rPr>
          <w:i/>
        </w:rPr>
        <w:t xml:space="preserve">Criminal law, </w:t>
      </w:r>
      <w:r w:rsidR="00E617DC">
        <w:t>(</w:t>
      </w:r>
      <w:r w:rsidRPr="007B7359">
        <w:t>Oxford University Press</w:t>
      </w:r>
      <w:r w:rsidR="00E617DC">
        <w:t>, Oxford,</w:t>
      </w:r>
      <w:r w:rsidRPr="007B7359">
        <w:t xml:space="preserve"> 2008</w:t>
      </w:r>
      <w:r w:rsidR="00E617DC">
        <w:t>)</w:t>
      </w:r>
      <w:r w:rsidRPr="007B7359">
        <w:t xml:space="preserve"> </w:t>
      </w:r>
      <w:r w:rsidR="00E617DC">
        <w:t>p.</w:t>
      </w:r>
      <w:r w:rsidRPr="007B7359">
        <w:t>111.</w:t>
      </w:r>
    </w:p>
  </w:footnote>
  <w:footnote w:id="16">
    <w:p w:rsidR="004015BB" w:rsidRPr="007B7359" w:rsidRDefault="004015BB" w:rsidP="005C189A">
      <w:pPr>
        <w:pStyle w:val="FootnoteText"/>
      </w:pPr>
      <w:r w:rsidRPr="007B7359">
        <w:rPr>
          <w:rStyle w:val="FootnoteReference"/>
        </w:rPr>
        <w:footnoteRef/>
      </w:r>
      <w:r w:rsidRPr="007B7359">
        <w:t xml:space="preserve"> </w:t>
      </w:r>
      <w:r w:rsidRPr="007B7359">
        <w:rPr>
          <w:i/>
          <w:iCs/>
          <w:color w:val="222222"/>
          <w:shd w:val="clear" w:color="auto" w:fill="FFFFFF"/>
        </w:rPr>
        <w:t>R</w:t>
      </w:r>
      <w:r w:rsidRPr="007B7359">
        <w:rPr>
          <w:rStyle w:val="apple-converted-space"/>
          <w:color w:val="222222"/>
          <w:shd w:val="clear" w:color="auto" w:fill="FFFFFF"/>
        </w:rPr>
        <w:t> </w:t>
      </w:r>
      <w:r w:rsidRPr="00711748">
        <w:rPr>
          <w:rStyle w:val="Emphasis"/>
          <w:i w:val="0"/>
          <w:color w:val="000000"/>
          <w:shd w:val="clear" w:color="auto" w:fill="FFFFFF"/>
        </w:rPr>
        <w:t>v</w:t>
      </w:r>
      <w:r>
        <w:rPr>
          <w:rStyle w:val="Emphasis"/>
          <w:i w:val="0"/>
          <w:color w:val="000000"/>
          <w:shd w:val="clear" w:color="auto" w:fill="FFFFFF"/>
        </w:rPr>
        <w:t>.</w:t>
      </w:r>
      <w:r w:rsidRPr="007B7359">
        <w:rPr>
          <w:rStyle w:val="Emphasis"/>
          <w:color w:val="000000"/>
          <w:shd w:val="clear" w:color="auto" w:fill="FFFFFF"/>
        </w:rPr>
        <w:t xml:space="preserve"> Dudley</w:t>
      </w:r>
      <w:r w:rsidRPr="007B7359">
        <w:rPr>
          <w:rStyle w:val="apple-converted-space"/>
          <w:color w:val="222222"/>
          <w:shd w:val="clear" w:color="auto" w:fill="FFFFFF"/>
        </w:rPr>
        <w:t> </w:t>
      </w:r>
      <w:r w:rsidRPr="007B7359">
        <w:rPr>
          <w:i/>
          <w:iCs/>
          <w:color w:val="222222"/>
          <w:shd w:val="clear" w:color="auto" w:fill="FFFFFF"/>
        </w:rPr>
        <w:t>and</w:t>
      </w:r>
      <w:r w:rsidRPr="007B7359">
        <w:rPr>
          <w:rStyle w:val="apple-converted-space"/>
          <w:color w:val="222222"/>
          <w:shd w:val="clear" w:color="auto" w:fill="FFFFFF"/>
        </w:rPr>
        <w:t> </w:t>
      </w:r>
      <w:r w:rsidRPr="007B7359">
        <w:rPr>
          <w:rStyle w:val="Emphasis"/>
          <w:color w:val="000000"/>
          <w:shd w:val="clear" w:color="auto" w:fill="FFFFFF"/>
        </w:rPr>
        <w:t>Stephens</w:t>
      </w:r>
      <w:r w:rsidRPr="007B7359">
        <w:rPr>
          <w:rStyle w:val="apple-converted-space"/>
          <w:color w:val="222222"/>
          <w:shd w:val="clear" w:color="auto" w:fill="FFFFFF"/>
        </w:rPr>
        <w:t> </w:t>
      </w:r>
      <w:r w:rsidRPr="007B7359">
        <w:rPr>
          <w:color w:val="222222"/>
          <w:shd w:val="clear" w:color="auto" w:fill="FFFFFF"/>
        </w:rPr>
        <w:t>[1884] 14 Q</w:t>
      </w:r>
      <w:r w:rsidR="004D101A">
        <w:rPr>
          <w:color w:val="222222"/>
          <w:shd w:val="clear" w:color="auto" w:fill="FFFFFF"/>
        </w:rPr>
        <w:t>.</w:t>
      </w:r>
      <w:r w:rsidRPr="007B7359">
        <w:rPr>
          <w:color w:val="222222"/>
          <w:shd w:val="clear" w:color="auto" w:fill="FFFFFF"/>
        </w:rPr>
        <w:t>B</w:t>
      </w:r>
      <w:r w:rsidR="004D101A">
        <w:rPr>
          <w:color w:val="222222"/>
          <w:shd w:val="clear" w:color="auto" w:fill="FFFFFF"/>
        </w:rPr>
        <w:t>.</w:t>
      </w:r>
      <w:r w:rsidRPr="007B7359">
        <w:rPr>
          <w:color w:val="222222"/>
          <w:shd w:val="clear" w:color="auto" w:fill="FFFFFF"/>
        </w:rPr>
        <w:t>D</w:t>
      </w:r>
      <w:r w:rsidR="004D101A">
        <w:rPr>
          <w:color w:val="222222"/>
          <w:shd w:val="clear" w:color="auto" w:fill="FFFFFF"/>
        </w:rPr>
        <w:t>.</w:t>
      </w:r>
      <w:r w:rsidRPr="007B7359">
        <w:rPr>
          <w:color w:val="222222"/>
          <w:shd w:val="clear" w:color="auto" w:fill="FFFFFF"/>
        </w:rPr>
        <w:t xml:space="preserve"> 273.</w:t>
      </w:r>
    </w:p>
  </w:footnote>
  <w:footnote w:id="17">
    <w:p w:rsidR="004015BB" w:rsidRPr="007B7359" w:rsidRDefault="004015BB" w:rsidP="005C189A">
      <w:pPr>
        <w:pStyle w:val="FootnoteText"/>
      </w:pPr>
      <w:r w:rsidRPr="007B7359">
        <w:rPr>
          <w:rStyle w:val="FootnoteReference"/>
        </w:rPr>
        <w:footnoteRef/>
      </w:r>
      <w:r w:rsidR="00E617DC">
        <w:t xml:space="preserve"> James</w:t>
      </w:r>
      <w:r w:rsidRPr="007B7359">
        <w:t xml:space="preserve"> Stephen, </w:t>
      </w:r>
      <w:r w:rsidRPr="007B7359">
        <w:rPr>
          <w:i/>
        </w:rPr>
        <w:t xml:space="preserve">History of the criminal law of England, </w:t>
      </w:r>
      <w:r w:rsidRPr="007B7359">
        <w:t>1883, 108.</w:t>
      </w:r>
    </w:p>
  </w:footnote>
  <w:footnote w:id="18">
    <w:p w:rsidR="004015BB" w:rsidRPr="007B7359" w:rsidRDefault="004015BB" w:rsidP="005C189A">
      <w:pPr>
        <w:pStyle w:val="FootnoteText"/>
      </w:pPr>
      <w:r w:rsidRPr="007B7359">
        <w:rPr>
          <w:rStyle w:val="FootnoteReference"/>
        </w:rPr>
        <w:footnoteRef/>
      </w:r>
      <w:r w:rsidRPr="007B7359">
        <w:t xml:space="preserve"> </w:t>
      </w:r>
      <w:r w:rsidRPr="004015BB">
        <w:rPr>
          <w:i/>
        </w:rPr>
        <w:t>Dudley</w:t>
      </w:r>
      <w:r>
        <w:t xml:space="preserve"> s</w:t>
      </w:r>
      <w:r>
        <w:rPr>
          <w:i/>
          <w:iCs/>
          <w:color w:val="222222"/>
          <w:shd w:val="clear" w:color="auto" w:fill="FFFFFF"/>
        </w:rPr>
        <w:t xml:space="preserve">upra </w:t>
      </w:r>
      <w:r w:rsidRPr="00B31144">
        <w:rPr>
          <w:iCs/>
          <w:color w:val="222222"/>
          <w:shd w:val="clear" w:color="auto" w:fill="FFFFFF"/>
        </w:rPr>
        <w:t>note 16</w:t>
      </w:r>
      <w:r w:rsidRPr="00B31144">
        <w:rPr>
          <w:color w:val="222222"/>
          <w:shd w:val="clear" w:color="auto" w:fill="FFFFFF"/>
        </w:rPr>
        <w:t>.</w:t>
      </w:r>
    </w:p>
  </w:footnote>
  <w:footnote w:id="19">
    <w:p w:rsidR="004015BB" w:rsidRPr="007B7359" w:rsidRDefault="004015BB" w:rsidP="00447141">
      <w:pPr>
        <w:spacing w:after="0"/>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r w:rsidRPr="007B7359">
        <w:rPr>
          <w:rFonts w:ascii="Times New Roman" w:hAnsi="Times New Roman" w:cs="Times New Roman"/>
          <w:i/>
          <w:sz w:val="20"/>
          <w:szCs w:val="20"/>
        </w:rPr>
        <w:t>Re A (Children) (Conjoined Twins: Surgical Separation)</w:t>
      </w:r>
      <w:r w:rsidRPr="007B7359">
        <w:rPr>
          <w:rFonts w:ascii="Times New Roman" w:hAnsi="Times New Roman" w:cs="Times New Roman"/>
          <w:sz w:val="20"/>
          <w:szCs w:val="20"/>
        </w:rPr>
        <w:t xml:space="preserve"> </w:t>
      </w:r>
      <w:r w:rsidRPr="007B7359">
        <w:rPr>
          <w:rFonts w:ascii="Times New Roman" w:hAnsi="Times New Roman" w:cs="Times New Roman"/>
          <w:color w:val="000000"/>
          <w:sz w:val="20"/>
          <w:szCs w:val="20"/>
          <w:shd w:val="clear" w:color="auto" w:fill="FFFFFF"/>
        </w:rPr>
        <w:t>[2001] Fam. 147.</w:t>
      </w:r>
    </w:p>
  </w:footnote>
  <w:footnote w:id="20">
    <w:p w:rsidR="004015BB" w:rsidRPr="007B7359" w:rsidRDefault="004015BB">
      <w:pPr>
        <w:pStyle w:val="FootnoteText"/>
      </w:pPr>
      <w:r w:rsidRPr="007B7359">
        <w:rPr>
          <w:rStyle w:val="FootnoteReference"/>
        </w:rPr>
        <w:footnoteRef/>
      </w:r>
      <w:r w:rsidRPr="007B7359">
        <w:t xml:space="preserve"> </w:t>
      </w:r>
      <w:r w:rsidRPr="007B7359">
        <w:rPr>
          <w:i/>
          <w:shd w:val="clear" w:color="auto" w:fill="FFFFFF"/>
        </w:rPr>
        <w:t xml:space="preserve">R </w:t>
      </w:r>
      <w:r w:rsidRPr="00711748">
        <w:rPr>
          <w:shd w:val="clear" w:color="auto" w:fill="FFFFFF"/>
        </w:rPr>
        <w:t>v</w:t>
      </w:r>
      <w:r>
        <w:rPr>
          <w:shd w:val="clear" w:color="auto" w:fill="FFFFFF"/>
        </w:rPr>
        <w:t>.</w:t>
      </w:r>
      <w:r w:rsidRPr="007B7359">
        <w:rPr>
          <w:i/>
          <w:shd w:val="clear" w:color="auto" w:fill="FFFFFF"/>
        </w:rPr>
        <w:t xml:space="preserve"> Howe</w:t>
      </w:r>
      <w:r w:rsidRPr="007B7359">
        <w:rPr>
          <w:shd w:val="clear" w:color="auto" w:fill="FFFFFF"/>
        </w:rPr>
        <w:t xml:space="preserve"> [1987] A.C. 417, 453.</w:t>
      </w:r>
    </w:p>
  </w:footnote>
  <w:footnote w:id="21">
    <w:p w:rsidR="004015BB" w:rsidRPr="007B7359" w:rsidRDefault="004015BB">
      <w:pPr>
        <w:pStyle w:val="FootnoteText"/>
      </w:pPr>
      <w:r w:rsidRPr="007B7359">
        <w:rPr>
          <w:rStyle w:val="FootnoteReference"/>
        </w:rPr>
        <w:footnoteRef/>
      </w:r>
      <w:r w:rsidRPr="007B7359">
        <w:t xml:space="preserve"> </w:t>
      </w:r>
      <w:r w:rsidRPr="007B7359">
        <w:rPr>
          <w:i/>
        </w:rPr>
        <w:t xml:space="preserve">R </w:t>
      </w:r>
      <w:r w:rsidRPr="00711748">
        <w:t>v</w:t>
      </w:r>
      <w:r>
        <w:t>.</w:t>
      </w:r>
      <w:r w:rsidRPr="007B7359">
        <w:rPr>
          <w:i/>
        </w:rPr>
        <w:t xml:space="preserve"> Hudson</w:t>
      </w:r>
      <w:r>
        <w:rPr>
          <w:i/>
        </w:rPr>
        <w:t xml:space="preserve"> </w:t>
      </w:r>
      <w:r w:rsidRPr="007B7359">
        <w:rPr>
          <w:shd w:val="clear" w:color="auto" w:fill="FFFFFF"/>
        </w:rPr>
        <w:t>[1971] 2 Q.B. 202, 206.</w:t>
      </w:r>
    </w:p>
  </w:footnote>
  <w:footnote w:id="22">
    <w:p w:rsidR="004015BB" w:rsidRPr="007B7359" w:rsidRDefault="004015BB" w:rsidP="00B16E39">
      <w:pPr>
        <w:pStyle w:val="FootnoteText"/>
        <w:rPr>
          <w:i/>
        </w:rPr>
      </w:pPr>
      <w:r w:rsidRPr="007B7359">
        <w:rPr>
          <w:rStyle w:val="FootnoteReference"/>
        </w:rPr>
        <w:footnoteRef/>
      </w:r>
      <w:r w:rsidRPr="007B7359">
        <w:t xml:space="preserve"> </w:t>
      </w:r>
      <w:r w:rsidRPr="007B7359">
        <w:rPr>
          <w:i/>
          <w:shd w:val="clear" w:color="auto" w:fill="FFFFFF"/>
        </w:rPr>
        <w:t>Howe</w:t>
      </w:r>
      <w:r w:rsidRPr="007B7359">
        <w:rPr>
          <w:shd w:val="clear" w:color="auto" w:fill="FFFFFF"/>
        </w:rPr>
        <w:t xml:space="preserve"> </w:t>
      </w:r>
      <w:r w:rsidRPr="004015BB">
        <w:rPr>
          <w:i/>
          <w:shd w:val="clear" w:color="auto" w:fill="FFFFFF"/>
        </w:rPr>
        <w:t xml:space="preserve">supra </w:t>
      </w:r>
      <w:r>
        <w:rPr>
          <w:shd w:val="clear" w:color="auto" w:fill="FFFFFF"/>
        </w:rPr>
        <w:t>note 20.</w:t>
      </w:r>
    </w:p>
  </w:footnote>
  <w:footnote w:id="23">
    <w:p w:rsidR="004015BB" w:rsidRPr="007B7359" w:rsidRDefault="004015BB" w:rsidP="00B16E39">
      <w:pPr>
        <w:pStyle w:val="FootnoteText"/>
      </w:pPr>
      <w:r w:rsidRPr="007B7359">
        <w:rPr>
          <w:rStyle w:val="FootnoteReference"/>
        </w:rPr>
        <w:footnoteRef/>
      </w:r>
      <w:r w:rsidRPr="007B7359">
        <w:t xml:space="preserve"> </w:t>
      </w:r>
      <w:r>
        <w:rPr>
          <w:i/>
          <w:shd w:val="clear" w:color="auto" w:fill="FFFFFF"/>
        </w:rPr>
        <w:t>Ibid.</w:t>
      </w:r>
      <w:r w:rsidRPr="007B7359">
        <w:rPr>
          <w:shd w:val="clear" w:color="auto" w:fill="FFFFFF"/>
        </w:rPr>
        <w:t xml:space="preserve">, Opinion of </w:t>
      </w:r>
      <w:r w:rsidRPr="007B7359">
        <w:t xml:space="preserve">Lord </w:t>
      </w:r>
      <w:proofErr w:type="spellStart"/>
      <w:r w:rsidRPr="007B7359">
        <w:t>Hailshaw</w:t>
      </w:r>
      <w:proofErr w:type="spellEnd"/>
      <w:r w:rsidRPr="007B7359">
        <w:t xml:space="preserve">, </w:t>
      </w:r>
      <w:r>
        <w:t>p.</w:t>
      </w:r>
      <w:r w:rsidRPr="007B7359">
        <w:t>427.</w:t>
      </w:r>
    </w:p>
  </w:footnote>
  <w:footnote w:id="24">
    <w:p w:rsidR="004015BB" w:rsidRPr="007B7359" w:rsidRDefault="004015BB" w:rsidP="00B16E39">
      <w:pPr>
        <w:pStyle w:val="FootnoteText"/>
        <w:rPr>
          <w:i/>
        </w:rPr>
      </w:pPr>
      <w:r w:rsidRPr="007B7359">
        <w:rPr>
          <w:rStyle w:val="FootnoteReference"/>
        </w:rPr>
        <w:footnoteRef/>
      </w:r>
      <w:r w:rsidRPr="007B7359">
        <w:t xml:space="preserve"> </w:t>
      </w:r>
      <w:r w:rsidRPr="004015BB">
        <w:rPr>
          <w:i/>
          <w:shd w:val="clear" w:color="auto" w:fill="FFFFFF"/>
        </w:rPr>
        <w:t xml:space="preserve">Supra </w:t>
      </w:r>
      <w:r>
        <w:rPr>
          <w:shd w:val="clear" w:color="auto" w:fill="FFFFFF"/>
        </w:rPr>
        <w:t xml:space="preserve">note </w:t>
      </w:r>
      <w:r w:rsidRPr="003C39CF">
        <w:rPr>
          <w:shd w:val="clear" w:color="auto" w:fill="FFFFFF"/>
        </w:rPr>
        <w:t>21, p.</w:t>
      </w:r>
      <w:r w:rsidR="003C39CF" w:rsidRPr="003C39CF">
        <w:rPr>
          <w:shd w:val="clear" w:color="auto" w:fill="FFFFFF"/>
        </w:rPr>
        <w:t>7</w:t>
      </w:r>
      <w:r w:rsidRPr="003C39CF">
        <w:rPr>
          <w:shd w:val="clear" w:color="auto" w:fill="FFFFFF"/>
        </w:rPr>
        <w:t>.</w:t>
      </w:r>
    </w:p>
  </w:footnote>
  <w:footnote w:id="25">
    <w:p w:rsidR="004015BB" w:rsidRPr="007B7359" w:rsidRDefault="004015BB">
      <w:pPr>
        <w:pStyle w:val="FootnoteText"/>
      </w:pPr>
      <w:r w:rsidRPr="007B7359">
        <w:rPr>
          <w:rStyle w:val="FootnoteReference"/>
        </w:rPr>
        <w:footnoteRef/>
      </w:r>
      <w:r w:rsidRPr="007B7359">
        <w:t xml:space="preserve"> </w:t>
      </w:r>
      <w:r w:rsidRPr="007B7359">
        <w:rPr>
          <w:i/>
          <w:iCs/>
        </w:rPr>
        <w:t xml:space="preserve">Criminal law report on defences of general application, </w:t>
      </w:r>
      <w:r w:rsidRPr="007B7359">
        <w:rPr>
          <w:iCs/>
        </w:rPr>
        <w:t>Law Com. No. 83, Law Commission of England and Wales, 28 July 1977.</w:t>
      </w:r>
    </w:p>
  </w:footnote>
  <w:footnote w:id="26">
    <w:p w:rsidR="004015BB" w:rsidRPr="007B7359" w:rsidRDefault="004015BB" w:rsidP="00A17F2F">
      <w:pPr>
        <w:pStyle w:val="FootnoteText"/>
      </w:pPr>
      <w:r w:rsidRPr="007B7359">
        <w:rPr>
          <w:rStyle w:val="FootnoteReference"/>
        </w:rPr>
        <w:footnoteRef/>
      </w:r>
      <w:r w:rsidRPr="007B7359">
        <w:t xml:space="preserve"> </w:t>
      </w:r>
      <w:r w:rsidRPr="007B7359">
        <w:rPr>
          <w:iCs/>
        </w:rPr>
        <w:t>A 2005 Law Commission report on Partial Defences to Murder declined to discuss duress as the last set of recommendations had not been implemented by Parliament.</w:t>
      </w:r>
    </w:p>
  </w:footnote>
  <w:footnote w:id="27">
    <w:p w:rsidR="004015BB" w:rsidRPr="007B7359" w:rsidRDefault="004015BB" w:rsidP="00A17F2F">
      <w:pPr>
        <w:pStyle w:val="FootnoteText"/>
      </w:pPr>
      <w:r w:rsidRPr="007B7359">
        <w:rPr>
          <w:rStyle w:val="FootnoteReference"/>
        </w:rPr>
        <w:footnoteRef/>
      </w:r>
      <w:r w:rsidRPr="007B7359">
        <w:t xml:space="preserve"> Drafted in 1962 by the American Law Institute</w:t>
      </w:r>
      <w:r>
        <w:t>.</w:t>
      </w:r>
      <w:r w:rsidRPr="007B7359">
        <w:t xml:space="preserve"> See </w:t>
      </w:r>
      <w:r>
        <w:t xml:space="preserve">Robinson and </w:t>
      </w:r>
      <w:proofErr w:type="spellStart"/>
      <w:r>
        <w:t>Dubber</w:t>
      </w:r>
      <w:proofErr w:type="spellEnd"/>
      <w:r>
        <w:t xml:space="preserve">, </w:t>
      </w:r>
      <w:r w:rsidRPr="006E0052">
        <w:rPr>
          <w:i/>
        </w:rPr>
        <w:t>supra</w:t>
      </w:r>
      <w:r>
        <w:t xml:space="preserve"> </w:t>
      </w:r>
      <w:r w:rsidRPr="003C39CF">
        <w:t>note 11, p.6.</w:t>
      </w:r>
    </w:p>
  </w:footnote>
  <w:footnote w:id="28">
    <w:p w:rsidR="004015BB" w:rsidRPr="007B7359" w:rsidRDefault="004015BB" w:rsidP="008F5162">
      <w:pPr>
        <w:pStyle w:val="FootnoteText"/>
      </w:pPr>
      <w:r w:rsidRPr="007B7359">
        <w:rPr>
          <w:rStyle w:val="FootnoteReference"/>
        </w:rPr>
        <w:footnoteRef/>
      </w:r>
      <w:r w:rsidRPr="007B7359">
        <w:rPr>
          <w:i/>
          <w:iCs/>
        </w:rPr>
        <w:t xml:space="preserve"> </w:t>
      </w:r>
      <w:r w:rsidRPr="007B7359">
        <w:rPr>
          <w:iCs/>
        </w:rPr>
        <w:t>American Model Penal Code</w:t>
      </w:r>
      <w:r w:rsidRPr="007B7359">
        <w:rPr>
          <w:i/>
          <w:iCs/>
        </w:rPr>
        <w:t>,</w:t>
      </w:r>
      <w:r w:rsidRPr="007B7359">
        <w:t xml:space="preserve"> 2.09 (1).</w:t>
      </w:r>
    </w:p>
  </w:footnote>
  <w:footnote w:id="29">
    <w:p w:rsidR="004015BB" w:rsidRPr="007B7359" w:rsidRDefault="004015BB" w:rsidP="008F5162">
      <w:pPr>
        <w:pStyle w:val="FootnoteText"/>
      </w:pPr>
      <w:r w:rsidRPr="007B7359">
        <w:rPr>
          <w:rStyle w:val="FootnoteReference"/>
        </w:rPr>
        <w:footnoteRef/>
      </w:r>
      <w:r w:rsidRPr="007B7359">
        <w:t xml:space="preserve"> </w:t>
      </w:r>
      <w:r w:rsidRPr="00813D01">
        <w:rPr>
          <w:i/>
          <w:iCs/>
        </w:rPr>
        <w:t>Ibid.</w:t>
      </w:r>
    </w:p>
  </w:footnote>
  <w:footnote w:id="30">
    <w:p w:rsidR="004015BB" w:rsidRPr="007B7359" w:rsidRDefault="004015BB" w:rsidP="008F5162">
      <w:pPr>
        <w:pStyle w:val="FootnoteText"/>
      </w:pPr>
      <w:r w:rsidRPr="007B7359">
        <w:rPr>
          <w:rStyle w:val="FootnoteReference"/>
        </w:rPr>
        <w:footnoteRef/>
      </w:r>
      <w:r w:rsidRPr="007B7359">
        <w:t xml:space="preserve"> </w:t>
      </w:r>
      <w:r w:rsidRPr="007E78BE">
        <w:rPr>
          <w:i/>
        </w:rPr>
        <w:t>Ibid</w:t>
      </w:r>
      <w:r>
        <w:t xml:space="preserve">., </w:t>
      </w:r>
      <w:r w:rsidRPr="007B7359">
        <w:t>3.02 (1).</w:t>
      </w:r>
    </w:p>
  </w:footnote>
  <w:footnote w:id="31">
    <w:p w:rsidR="004015BB" w:rsidRPr="004D101A" w:rsidRDefault="004015BB" w:rsidP="005F2CE6">
      <w:pPr>
        <w:pStyle w:val="FootnoteText"/>
        <w:rPr>
          <w:lang w:val="fr-FR"/>
        </w:rPr>
      </w:pPr>
      <w:r w:rsidRPr="003C39CF">
        <w:rPr>
          <w:rStyle w:val="FootnoteReference"/>
        </w:rPr>
        <w:footnoteRef/>
      </w:r>
      <w:r w:rsidRPr="003C39CF">
        <w:rPr>
          <w:lang w:val="fr-FR"/>
        </w:rPr>
        <w:t xml:space="preserve"> Article 122-2, French Criminal Code 1994.</w:t>
      </w:r>
    </w:p>
  </w:footnote>
  <w:footnote w:id="32">
    <w:p w:rsidR="004015BB" w:rsidRPr="007B7359" w:rsidRDefault="004015BB" w:rsidP="005F2CE6">
      <w:pPr>
        <w:pStyle w:val="FootnoteText"/>
      </w:pPr>
      <w:r w:rsidRPr="007B7359">
        <w:rPr>
          <w:rStyle w:val="FootnoteReference"/>
        </w:rPr>
        <w:footnoteRef/>
      </w:r>
      <w:r w:rsidRPr="007B7359">
        <w:t xml:space="preserve"> </w:t>
      </w:r>
      <w:r w:rsidR="005A02DC" w:rsidRPr="007E78BE">
        <w:rPr>
          <w:i/>
        </w:rPr>
        <w:t>Ibid</w:t>
      </w:r>
      <w:r w:rsidR="005A02DC">
        <w:t>.,</w:t>
      </w:r>
      <w:r>
        <w:t xml:space="preserve"> Article 122-7.</w:t>
      </w:r>
    </w:p>
  </w:footnote>
  <w:footnote w:id="33">
    <w:p w:rsidR="004015BB" w:rsidRPr="007B7359" w:rsidRDefault="004015BB" w:rsidP="005F2CE6">
      <w:pPr>
        <w:spacing w:after="0"/>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r w:rsidRPr="007E78BE">
        <w:rPr>
          <w:rFonts w:ascii="Times New Roman" w:hAnsi="Times New Roman" w:cs="Times New Roman"/>
          <w:i/>
          <w:sz w:val="20"/>
          <w:szCs w:val="20"/>
        </w:rPr>
        <w:t>Ibid.</w:t>
      </w:r>
      <w:r w:rsidR="005A02DC">
        <w:rPr>
          <w:rFonts w:ascii="Times New Roman" w:hAnsi="Times New Roman" w:cs="Times New Roman"/>
          <w:sz w:val="20"/>
          <w:szCs w:val="20"/>
        </w:rPr>
        <w:t>,</w:t>
      </w:r>
      <w:r w:rsidRPr="007E78BE">
        <w:rPr>
          <w:rFonts w:ascii="Times New Roman" w:hAnsi="Times New Roman" w:cs="Times New Roman"/>
          <w:sz w:val="20"/>
          <w:szCs w:val="20"/>
        </w:rPr>
        <w:t xml:space="preserve"> </w:t>
      </w:r>
      <w:r w:rsidRPr="007E78BE">
        <w:rPr>
          <w:rFonts w:ascii="Times New Roman" w:hAnsi="Times New Roman" w:cs="Times New Roman"/>
          <w:sz w:val="20"/>
          <w:szCs w:val="20"/>
          <w:shd w:val="clear" w:color="auto" w:fill="FFFFFF"/>
        </w:rPr>
        <w:t>Article</w:t>
      </w:r>
      <w:r w:rsidRPr="007B7359">
        <w:rPr>
          <w:rFonts w:ascii="Times New Roman" w:hAnsi="Times New Roman" w:cs="Times New Roman"/>
          <w:sz w:val="20"/>
          <w:szCs w:val="20"/>
          <w:shd w:val="clear" w:color="auto" w:fill="FFFFFF"/>
        </w:rPr>
        <w:t xml:space="preserve"> 122-2</w:t>
      </w:r>
      <w:r>
        <w:rPr>
          <w:rFonts w:ascii="Times New Roman" w:hAnsi="Times New Roman" w:cs="Times New Roman"/>
          <w:sz w:val="20"/>
          <w:szCs w:val="20"/>
          <w:shd w:val="clear" w:color="auto" w:fill="FFFFFF"/>
        </w:rPr>
        <w:t>.</w:t>
      </w:r>
    </w:p>
  </w:footnote>
  <w:footnote w:id="34">
    <w:p w:rsidR="004015BB" w:rsidRPr="003C39CF" w:rsidRDefault="004015BB" w:rsidP="00242417">
      <w:pPr>
        <w:pStyle w:val="FootnoteText"/>
      </w:pPr>
      <w:r w:rsidRPr="007B7359">
        <w:rPr>
          <w:rStyle w:val="FootnoteReference"/>
        </w:rPr>
        <w:footnoteRef/>
      </w:r>
      <w:r w:rsidRPr="007B7359">
        <w:t xml:space="preserve"> J</w:t>
      </w:r>
      <w:r w:rsidR="00E617DC">
        <w:t>ohn</w:t>
      </w:r>
      <w:r w:rsidRPr="007B7359">
        <w:t xml:space="preserve"> Bell </w:t>
      </w:r>
      <w:r w:rsidRPr="004165B2">
        <w:rPr>
          <w:i/>
        </w:rPr>
        <w:t>et al</w:t>
      </w:r>
      <w:r w:rsidRPr="007B7359">
        <w:t xml:space="preserve">., </w:t>
      </w:r>
      <w:r w:rsidR="00E617DC">
        <w:rPr>
          <w:i/>
          <w:iCs/>
        </w:rPr>
        <w:t>Principles of French law</w:t>
      </w:r>
      <w:r w:rsidRPr="007B7359">
        <w:rPr>
          <w:i/>
          <w:iCs/>
        </w:rPr>
        <w:t xml:space="preserve"> </w:t>
      </w:r>
      <w:r w:rsidR="00E617DC">
        <w:t>(O</w:t>
      </w:r>
      <w:r w:rsidRPr="007B7359">
        <w:t>xford University Press,</w:t>
      </w:r>
      <w:r w:rsidR="00E617DC">
        <w:t xml:space="preserve"> </w:t>
      </w:r>
      <w:r w:rsidR="00E617DC" w:rsidRPr="003C39CF">
        <w:t>Oxford, 2007), p.</w:t>
      </w:r>
      <w:r w:rsidRPr="003C39CF">
        <w:t>210.</w:t>
      </w:r>
    </w:p>
  </w:footnote>
  <w:footnote w:id="35">
    <w:p w:rsidR="004015BB" w:rsidRPr="007B7359" w:rsidRDefault="004015BB" w:rsidP="00C94801">
      <w:pPr>
        <w:pStyle w:val="FootnoteText"/>
      </w:pPr>
      <w:r w:rsidRPr="003C39CF">
        <w:rPr>
          <w:rStyle w:val="FootnoteReference"/>
        </w:rPr>
        <w:footnoteRef/>
      </w:r>
      <w:r w:rsidRPr="003C39CF">
        <w:t xml:space="preserve"> s34-35, German Criminal Code 1994.</w:t>
      </w:r>
    </w:p>
  </w:footnote>
  <w:footnote w:id="36">
    <w:p w:rsidR="004015BB" w:rsidRPr="007B7359" w:rsidRDefault="004015BB" w:rsidP="00392F1C">
      <w:pPr>
        <w:autoSpaceDE w:val="0"/>
        <w:autoSpaceDN w:val="0"/>
        <w:adjustRightInd w:val="0"/>
        <w:spacing w:after="0"/>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r w:rsidRPr="007E78BE">
        <w:rPr>
          <w:rFonts w:ascii="Times New Roman" w:hAnsi="Times New Roman" w:cs="Times New Roman"/>
          <w:i/>
          <w:sz w:val="20"/>
          <w:szCs w:val="20"/>
        </w:rPr>
        <w:t>Ibid</w:t>
      </w:r>
      <w:r w:rsidRPr="007E78BE">
        <w:rPr>
          <w:rFonts w:ascii="Times New Roman" w:hAnsi="Times New Roman" w:cs="Times New Roman"/>
          <w:sz w:val="20"/>
          <w:szCs w:val="20"/>
        </w:rPr>
        <w:t>.,</w:t>
      </w:r>
      <w:r>
        <w:t xml:space="preserve"> </w:t>
      </w:r>
      <w:r w:rsidRPr="007B7359">
        <w:rPr>
          <w:rFonts w:ascii="Times New Roman" w:hAnsi="Times New Roman" w:cs="Times New Roman"/>
          <w:sz w:val="20"/>
          <w:szCs w:val="20"/>
        </w:rPr>
        <w:t>s34</w:t>
      </w:r>
      <w:r>
        <w:rPr>
          <w:rFonts w:ascii="Times New Roman" w:hAnsi="Times New Roman" w:cs="Times New Roman"/>
          <w:sz w:val="20"/>
          <w:szCs w:val="20"/>
        </w:rPr>
        <w:t xml:space="preserve"> </w:t>
      </w:r>
      <w:r w:rsidRPr="007B7359">
        <w:rPr>
          <w:rFonts w:ascii="Times New Roman" w:hAnsi="Times New Roman" w:cs="Times New Roman"/>
          <w:sz w:val="20"/>
          <w:szCs w:val="20"/>
        </w:rPr>
        <w:t>and s35(1)</w:t>
      </w:r>
      <w:r>
        <w:rPr>
          <w:rFonts w:ascii="Times New Roman" w:hAnsi="Times New Roman" w:cs="Times New Roman"/>
          <w:sz w:val="20"/>
          <w:szCs w:val="20"/>
        </w:rPr>
        <w:t>;</w:t>
      </w:r>
      <w:r w:rsidRPr="007B7359">
        <w:rPr>
          <w:rFonts w:ascii="Times New Roman" w:hAnsi="Times New Roman" w:cs="Times New Roman"/>
          <w:sz w:val="20"/>
          <w:szCs w:val="20"/>
        </w:rPr>
        <w:t xml:space="preserve"> see </w:t>
      </w:r>
      <w:proofErr w:type="spellStart"/>
      <w:r w:rsidRPr="007B7359">
        <w:rPr>
          <w:rFonts w:ascii="Times New Roman" w:hAnsi="Times New Roman" w:cs="Times New Roman"/>
          <w:sz w:val="20"/>
          <w:szCs w:val="20"/>
        </w:rPr>
        <w:t>Bohlander</w:t>
      </w:r>
      <w:proofErr w:type="spellEnd"/>
      <w:r w:rsidRPr="007B7359">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 xml:space="preserve">note </w:t>
      </w:r>
      <w:r w:rsidRPr="003C39CF">
        <w:rPr>
          <w:rFonts w:ascii="Times New Roman" w:hAnsi="Times New Roman" w:cs="Times New Roman"/>
          <w:sz w:val="20"/>
          <w:szCs w:val="20"/>
        </w:rPr>
        <w:t>11, p.6, p.</w:t>
      </w:r>
      <w:r w:rsidRPr="007B7359">
        <w:rPr>
          <w:rFonts w:ascii="Times New Roman" w:hAnsi="Times New Roman" w:cs="Times New Roman"/>
          <w:sz w:val="20"/>
          <w:szCs w:val="20"/>
        </w:rPr>
        <w:t xml:space="preserve">101 and </w:t>
      </w:r>
      <w:r>
        <w:rPr>
          <w:rFonts w:ascii="Times New Roman" w:hAnsi="Times New Roman" w:cs="Times New Roman"/>
          <w:sz w:val="20"/>
          <w:szCs w:val="20"/>
        </w:rPr>
        <w:t>p.</w:t>
      </w:r>
      <w:r w:rsidRPr="007B7359">
        <w:rPr>
          <w:rFonts w:ascii="Times New Roman" w:hAnsi="Times New Roman" w:cs="Times New Roman"/>
          <w:sz w:val="20"/>
          <w:szCs w:val="20"/>
        </w:rPr>
        <w:t>108.</w:t>
      </w:r>
    </w:p>
  </w:footnote>
  <w:footnote w:id="37">
    <w:p w:rsidR="004015BB" w:rsidRPr="007B7359" w:rsidRDefault="004015BB" w:rsidP="00B16E39">
      <w:pPr>
        <w:pStyle w:val="FootnoteText"/>
      </w:pPr>
      <w:r w:rsidRPr="003C39CF">
        <w:rPr>
          <w:rStyle w:val="FootnoteReference"/>
        </w:rPr>
        <w:footnoteRef/>
      </w:r>
      <w:r w:rsidRPr="003C39CF">
        <w:t xml:space="preserve"> Judgment of 20 December 2004, District Court of Frankfurt am Main; </w:t>
      </w:r>
      <w:r w:rsidRPr="003C39CF">
        <w:rPr>
          <w:i/>
        </w:rPr>
        <w:t>see</w:t>
      </w:r>
      <w:r>
        <w:t xml:space="preserve"> </w:t>
      </w:r>
      <w:r w:rsidRPr="007B7359">
        <w:t xml:space="preserve">F. </w:t>
      </w:r>
      <w:proofErr w:type="spellStart"/>
      <w:r w:rsidRPr="007B7359">
        <w:t>Jessberger</w:t>
      </w:r>
      <w:proofErr w:type="spellEnd"/>
      <w:r w:rsidRPr="007B7359">
        <w:t xml:space="preserve">, </w:t>
      </w:r>
      <w:r w:rsidRPr="007B7359">
        <w:rPr>
          <w:i/>
        </w:rPr>
        <w:t xml:space="preserve">Bad torture – good torture, </w:t>
      </w:r>
      <w:r w:rsidRPr="007B7359">
        <w:t xml:space="preserve">J.I.C.J. 3 (2005), 1059-1073, </w:t>
      </w:r>
      <w:r>
        <w:t>p.</w:t>
      </w:r>
      <w:r w:rsidRPr="007B7359">
        <w:t>1064.</w:t>
      </w:r>
    </w:p>
  </w:footnote>
  <w:footnote w:id="38">
    <w:p w:rsidR="004015BB" w:rsidRPr="007B7359" w:rsidRDefault="004015BB">
      <w:pPr>
        <w:pStyle w:val="FootnoteText"/>
      </w:pPr>
      <w:r w:rsidRPr="007B7359">
        <w:rPr>
          <w:rStyle w:val="FootnoteReference"/>
        </w:rPr>
        <w:footnoteRef/>
      </w:r>
      <w:r w:rsidRPr="007B7359">
        <w:t xml:space="preserve"> </w:t>
      </w:r>
      <w:r w:rsidRPr="007B7359">
        <w:rPr>
          <w:i/>
        </w:rPr>
        <w:t xml:space="preserve">U.S. </w:t>
      </w:r>
      <w:r w:rsidRPr="00711748">
        <w:t>v</w:t>
      </w:r>
      <w:r>
        <w:t>.</w:t>
      </w:r>
      <w:r w:rsidRPr="007B7359">
        <w:rPr>
          <w:i/>
        </w:rPr>
        <w:t xml:space="preserve"> Flick et al</w:t>
      </w:r>
      <w:r w:rsidRPr="007B7359">
        <w:t xml:space="preserve">., </w:t>
      </w:r>
      <w:r w:rsidR="004D101A">
        <w:t>22</w:t>
      </w:r>
      <w:r w:rsidR="004D101A">
        <w:rPr>
          <w:vertAlign w:val="superscript"/>
        </w:rPr>
        <w:t xml:space="preserve"> </w:t>
      </w:r>
      <w:r w:rsidR="004D101A">
        <w:t xml:space="preserve">December 1947, </w:t>
      </w:r>
      <w:r w:rsidRPr="007B7359">
        <w:t>Judgment of the United States Military Tribunal Nuremberg.</w:t>
      </w:r>
    </w:p>
  </w:footnote>
  <w:footnote w:id="39">
    <w:p w:rsidR="004015BB" w:rsidRPr="007B7359" w:rsidRDefault="004015BB" w:rsidP="008C1E6D">
      <w:pPr>
        <w:pStyle w:val="FootnoteText"/>
        <w:rPr>
          <w:highlight w:val="yellow"/>
        </w:rPr>
      </w:pPr>
      <w:r w:rsidRPr="007B7359">
        <w:rPr>
          <w:rStyle w:val="FootnoteReference"/>
        </w:rPr>
        <w:footnoteRef/>
      </w:r>
      <w:r w:rsidRPr="007B7359">
        <w:t xml:space="preserve"> </w:t>
      </w:r>
      <w:r>
        <w:rPr>
          <w:i/>
        </w:rPr>
        <w:t>Ibid</w:t>
      </w:r>
      <w:r>
        <w:t xml:space="preserve">., para 1188: </w:t>
      </w:r>
      <w:r w:rsidRPr="007B7359">
        <w:t>The court was “a special tribunal constituted pursuant to a four-power agreement administe</w:t>
      </w:r>
      <w:r>
        <w:t>ring public international law.”</w:t>
      </w:r>
    </w:p>
  </w:footnote>
  <w:footnote w:id="40">
    <w:p w:rsidR="004015BB" w:rsidRPr="007B7359" w:rsidRDefault="004015BB">
      <w:pPr>
        <w:pStyle w:val="FootnoteText"/>
      </w:pPr>
      <w:r w:rsidRPr="007B7359">
        <w:rPr>
          <w:rStyle w:val="FootnoteReference"/>
        </w:rPr>
        <w:footnoteRef/>
      </w:r>
      <w:r w:rsidRPr="007B7359">
        <w:t xml:space="preserve"> </w:t>
      </w:r>
      <w:r>
        <w:rPr>
          <w:i/>
        </w:rPr>
        <w:t>Ibid.</w:t>
      </w:r>
      <w:r w:rsidRPr="007B7359">
        <w:t>, para 1199.</w:t>
      </w:r>
    </w:p>
  </w:footnote>
  <w:footnote w:id="41">
    <w:p w:rsidR="004015BB" w:rsidRPr="007B7359" w:rsidRDefault="004015BB" w:rsidP="008C1E6D">
      <w:pPr>
        <w:pStyle w:val="FootnoteText"/>
      </w:pPr>
      <w:r w:rsidRPr="007B7359">
        <w:rPr>
          <w:rStyle w:val="FootnoteReference"/>
        </w:rPr>
        <w:footnoteRef/>
      </w:r>
      <w:r w:rsidRPr="007B7359">
        <w:t xml:space="preserve"> </w:t>
      </w:r>
      <w:r>
        <w:rPr>
          <w:i/>
        </w:rPr>
        <w:t>Ibid.</w:t>
      </w:r>
    </w:p>
  </w:footnote>
  <w:footnote w:id="42">
    <w:p w:rsidR="004015BB" w:rsidRPr="007B7359" w:rsidRDefault="004015BB">
      <w:pPr>
        <w:pStyle w:val="FootnoteText"/>
      </w:pPr>
      <w:r w:rsidRPr="007B7359">
        <w:rPr>
          <w:rStyle w:val="FootnoteReference"/>
        </w:rPr>
        <w:footnoteRef/>
      </w:r>
      <w:r w:rsidRPr="007B7359">
        <w:t xml:space="preserve"> Francis Wharton, </w:t>
      </w:r>
      <w:r w:rsidRPr="007B7359">
        <w:rPr>
          <w:i/>
        </w:rPr>
        <w:t>Wharton's Criminal Law</w:t>
      </w:r>
      <w:r w:rsidRPr="007B7359">
        <w:t>, vol. I.</w:t>
      </w:r>
    </w:p>
  </w:footnote>
  <w:footnote w:id="43">
    <w:p w:rsidR="004015BB" w:rsidRPr="007B7359" w:rsidRDefault="004015BB" w:rsidP="000E7875">
      <w:pPr>
        <w:pStyle w:val="FootnoteText"/>
      </w:pPr>
      <w:r w:rsidRPr="007B7359">
        <w:rPr>
          <w:rStyle w:val="FootnoteReference"/>
        </w:rPr>
        <w:footnoteRef/>
      </w:r>
      <w:r w:rsidRPr="007B7359">
        <w:t xml:space="preserve"> </w:t>
      </w:r>
      <w:r w:rsidRPr="007B7359">
        <w:rPr>
          <w:i/>
        </w:rPr>
        <w:t xml:space="preserve">Flick </w:t>
      </w:r>
      <w:r w:rsidR="00BD471F">
        <w:rPr>
          <w:i/>
        </w:rPr>
        <w:t xml:space="preserve">supra </w:t>
      </w:r>
      <w:r w:rsidR="00BD471F" w:rsidRPr="00BD471F">
        <w:t xml:space="preserve">note </w:t>
      </w:r>
      <w:r w:rsidR="00BD471F" w:rsidRPr="003C39CF">
        <w:t>38, p.13</w:t>
      </w:r>
      <w:r w:rsidRPr="003C39CF">
        <w:t>,</w:t>
      </w:r>
      <w:r w:rsidRPr="003C39CF">
        <w:rPr>
          <w:i/>
        </w:rPr>
        <w:t xml:space="preserve"> </w:t>
      </w:r>
      <w:r w:rsidRPr="003C39CF">
        <w:t>para</w:t>
      </w:r>
      <w:r w:rsidRPr="007B7359">
        <w:rPr>
          <w:i/>
        </w:rPr>
        <w:t xml:space="preserve"> </w:t>
      </w:r>
      <w:r w:rsidRPr="007B7359">
        <w:t>1209.</w:t>
      </w:r>
    </w:p>
  </w:footnote>
  <w:footnote w:id="44">
    <w:p w:rsidR="004015BB" w:rsidRPr="007B7359" w:rsidRDefault="004015BB">
      <w:pPr>
        <w:pStyle w:val="FootnoteText"/>
      </w:pPr>
      <w:r w:rsidRPr="007B7359">
        <w:rPr>
          <w:rStyle w:val="FootnoteReference"/>
        </w:rPr>
        <w:footnoteRef/>
      </w:r>
      <w:r w:rsidRPr="007B7359">
        <w:t xml:space="preserve"> </w:t>
      </w:r>
      <w:r w:rsidR="00BD471F">
        <w:rPr>
          <w:i/>
        </w:rPr>
        <w:t xml:space="preserve">Ibid., </w:t>
      </w:r>
      <w:r w:rsidRPr="007B7359">
        <w:t xml:space="preserve">para 1199. See also M. </w:t>
      </w:r>
      <w:proofErr w:type="spellStart"/>
      <w:r w:rsidRPr="007B7359">
        <w:t>Cherif</w:t>
      </w:r>
      <w:proofErr w:type="spellEnd"/>
      <w:r w:rsidRPr="007B7359">
        <w:t xml:space="preserve"> </w:t>
      </w:r>
      <w:proofErr w:type="spellStart"/>
      <w:r w:rsidRPr="007B7359">
        <w:t>Bassiouni</w:t>
      </w:r>
      <w:proofErr w:type="spellEnd"/>
      <w:r w:rsidRPr="00E617DC">
        <w:rPr>
          <w:i/>
        </w:rPr>
        <w:t>, Crimes against humanity: Historical evolution and contemporary application</w:t>
      </w:r>
      <w:r w:rsidRPr="007B7359">
        <w:t xml:space="preserve"> (Cambridge University Press, Cambridge, 2011).</w:t>
      </w:r>
    </w:p>
  </w:footnote>
  <w:footnote w:id="45">
    <w:p w:rsidR="004015BB" w:rsidRPr="007B7359" w:rsidRDefault="004015BB">
      <w:pPr>
        <w:pStyle w:val="FootnoteText"/>
      </w:pPr>
      <w:r w:rsidRPr="007B7359">
        <w:rPr>
          <w:rStyle w:val="FootnoteReference"/>
        </w:rPr>
        <w:footnoteRef/>
      </w:r>
      <w:r w:rsidRPr="007B7359">
        <w:t xml:space="preserve"> </w:t>
      </w:r>
      <w:r w:rsidR="00BD471F" w:rsidRPr="00BD471F">
        <w:rPr>
          <w:i/>
        </w:rPr>
        <w:t>Ibid.</w:t>
      </w:r>
      <w:r w:rsidRPr="00BD471F">
        <w:rPr>
          <w:i/>
        </w:rPr>
        <w:t>,</w:t>
      </w:r>
      <w:r w:rsidR="00BD471F" w:rsidRPr="00BD471F">
        <w:rPr>
          <w:i/>
        </w:rPr>
        <w:t xml:space="preserve"> Flick,</w:t>
      </w:r>
      <w:r w:rsidRPr="007B7359">
        <w:t xml:space="preserve"> para 1201.</w:t>
      </w:r>
    </w:p>
  </w:footnote>
  <w:footnote w:id="46">
    <w:p w:rsidR="004015BB" w:rsidRPr="005A02DC" w:rsidRDefault="004015BB">
      <w:pPr>
        <w:pStyle w:val="FootnoteText"/>
      </w:pPr>
      <w:r w:rsidRPr="007B7359">
        <w:rPr>
          <w:rStyle w:val="FootnoteReference"/>
        </w:rPr>
        <w:footnoteRef/>
      </w:r>
      <w:r w:rsidRPr="007B7359">
        <w:t xml:space="preserve"> </w:t>
      </w:r>
      <w:r w:rsidR="00BD471F" w:rsidRPr="007B7359">
        <w:rPr>
          <w:i/>
        </w:rPr>
        <w:t>Flick</w:t>
      </w:r>
      <w:r w:rsidR="00BD471F">
        <w:rPr>
          <w:i/>
        </w:rPr>
        <w:t>,</w:t>
      </w:r>
      <w:r w:rsidR="00BD471F" w:rsidRPr="007B7359">
        <w:rPr>
          <w:i/>
        </w:rPr>
        <w:t xml:space="preserve"> </w:t>
      </w:r>
      <w:r w:rsidR="00BD471F" w:rsidRPr="005A02DC">
        <w:rPr>
          <w:i/>
        </w:rPr>
        <w:t xml:space="preserve">supra </w:t>
      </w:r>
      <w:r w:rsidR="00BD471F" w:rsidRPr="005A02DC">
        <w:t>note 38, p.13</w:t>
      </w:r>
      <w:r w:rsidRPr="005A02DC">
        <w:t>, para 1200.</w:t>
      </w:r>
    </w:p>
  </w:footnote>
  <w:footnote w:id="47">
    <w:p w:rsidR="004015BB" w:rsidRPr="005A02DC" w:rsidRDefault="004015BB" w:rsidP="00CC652A">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w:t>
      </w:r>
    </w:p>
  </w:footnote>
  <w:footnote w:id="48">
    <w:p w:rsidR="004015BB" w:rsidRPr="005A02DC" w:rsidRDefault="004015BB" w:rsidP="00CD7DD3">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 p.57. The Tribunal highlighted the inconsistency of the use of Soviet Union law where the Nazi regime had repeatedly denounced the Soviets, and openly considered them inferior, at 463.</w:t>
      </w:r>
    </w:p>
  </w:footnote>
  <w:footnote w:id="49">
    <w:p w:rsidR="004015BB" w:rsidRPr="005A02DC" w:rsidRDefault="004015BB" w:rsidP="000466B6">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 p.57.</w:t>
      </w:r>
    </w:p>
  </w:footnote>
  <w:footnote w:id="50">
    <w:p w:rsidR="004015BB" w:rsidRPr="007B7359" w:rsidRDefault="004015BB" w:rsidP="000466B6">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 p.56.</w:t>
      </w:r>
    </w:p>
  </w:footnote>
  <w:footnote w:id="51">
    <w:p w:rsidR="004015BB" w:rsidRPr="005A02DC" w:rsidRDefault="004015BB">
      <w:pPr>
        <w:pStyle w:val="FootnoteText"/>
      </w:pPr>
      <w:r w:rsidRPr="007B7359">
        <w:rPr>
          <w:rStyle w:val="FootnoteReference"/>
        </w:rPr>
        <w:footnoteRef/>
      </w:r>
      <w:r w:rsidRPr="007B7359">
        <w:t xml:space="preserve"> Who had been </w:t>
      </w:r>
      <w:r w:rsidRPr="005A02DC">
        <w:t xml:space="preserve">instructed by </w:t>
      </w:r>
      <w:proofErr w:type="spellStart"/>
      <w:r w:rsidRPr="005A02DC">
        <w:t>Ohlendorf</w:t>
      </w:r>
      <w:proofErr w:type="spellEnd"/>
      <w:r w:rsidRPr="005A02DC">
        <w:t xml:space="preserve"> to support his argument that he acted in self-defence.</w:t>
      </w:r>
    </w:p>
  </w:footnote>
  <w:footnote w:id="52">
    <w:p w:rsidR="004015BB" w:rsidRPr="005A02DC" w:rsidRDefault="004015BB" w:rsidP="000466B6">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 463-4.</w:t>
      </w:r>
    </w:p>
  </w:footnote>
  <w:footnote w:id="53">
    <w:p w:rsidR="004015BB" w:rsidRPr="005A02DC" w:rsidRDefault="004015BB" w:rsidP="00273A7B">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 </w:t>
      </w:r>
      <w:r w:rsidR="00D21707">
        <w:t>464-6.</w:t>
      </w:r>
    </w:p>
  </w:footnote>
  <w:footnote w:id="54">
    <w:p w:rsidR="004015BB" w:rsidRPr="005A02DC" w:rsidRDefault="004015BB">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 468.</w:t>
      </w:r>
    </w:p>
  </w:footnote>
  <w:footnote w:id="55">
    <w:p w:rsidR="004015BB" w:rsidRPr="007B7359" w:rsidRDefault="004015BB">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 470.</w:t>
      </w:r>
    </w:p>
  </w:footnote>
  <w:footnote w:id="56">
    <w:p w:rsidR="004015BB" w:rsidRPr="007B7359" w:rsidRDefault="004015BB">
      <w:pPr>
        <w:pStyle w:val="FootnoteText"/>
      </w:pPr>
      <w:r w:rsidRPr="007B7359">
        <w:rPr>
          <w:rStyle w:val="FootnoteReference"/>
        </w:rPr>
        <w:footnoteRef/>
      </w:r>
      <w:r w:rsidRPr="007B7359">
        <w:t xml:space="preserve"> </w:t>
      </w:r>
      <w:proofErr w:type="spellStart"/>
      <w:r w:rsidRPr="007B7359">
        <w:rPr>
          <w:i/>
        </w:rPr>
        <w:t>Ohlendorf</w:t>
      </w:r>
      <w:proofErr w:type="spellEnd"/>
      <w:r w:rsidRPr="007B7359">
        <w:t xml:space="preserve"> </w:t>
      </w:r>
      <w:r w:rsidRPr="005A02DC">
        <w:rPr>
          <w:i/>
        </w:rPr>
        <w:t>supra</w:t>
      </w:r>
      <w:r w:rsidRPr="005A02DC">
        <w:t xml:space="preserve"> note 12, p.6, 485-8.</w:t>
      </w:r>
    </w:p>
  </w:footnote>
  <w:footnote w:id="57">
    <w:p w:rsidR="004015BB" w:rsidRPr="007B7359" w:rsidRDefault="004015BB">
      <w:pPr>
        <w:pStyle w:val="FootnoteText"/>
      </w:pPr>
      <w:r w:rsidRPr="007B7359">
        <w:rPr>
          <w:rStyle w:val="FootnoteReference"/>
        </w:rPr>
        <w:footnoteRef/>
      </w:r>
      <w:r w:rsidRPr="007B7359">
        <w:t xml:space="preserve"> </w:t>
      </w:r>
      <w:proofErr w:type="spellStart"/>
      <w:r w:rsidRPr="007B7359">
        <w:rPr>
          <w:i/>
        </w:rPr>
        <w:t>Ohlendorf</w:t>
      </w:r>
      <w:proofErr w:type="spellEnd"/>
      <w:r w:rsidRPr="007B7359">
        <w:t xml:space="preserve"> </w:t>
      </w:r>
      <w:r w:rsidRPr="005A02DC">
        <w:rPr>
          <w:i/>
        </w:rPr>
        <w:t>supra</w:t>
      </w:r>
      <w:r w:rsidRPr="005A02DC">
        <w:t xml:space="preserve"> note 12, p.6, p.480.</w:t>
      </w:r>
    </w:p>
  </w:footnote>
  <w:footnote w:id="58">
    <w:p w:rsidR="004015BB" w:rsidRPr="007B7359" w:rsidRDefault="004015BB" w:rsidP="005B6861">
      <w:pPr>
        <w:pStyle w:val="FootnoteText"/>
      </w:pPr>
      <w:r w:rsidRPr="007B7359">
        <w:rPr>
          <w:rStyle w:val="FootnoteReference"/>
        </w:rPr>
        <w:footnoteRef/>
      </w:r>
      <w:r w:rsidRPr="007B7359">
        <w:t xml:space="preserve"> </w:t>
      </w:r>
      <w:r w:rsidRPr="007B7359">
        <w:rPr>
          <w:i/>
        </w:rPr>
        <w:t xml:space="preserve">United States of America </w:t>
      </w:r>
      <w:r w:rsidRPr="00711748">
        <w:t>v.</w:t>
      </w:r>
      <w:r w:rsidRPr="007B7359">
        <w:rPr>
          <w:i/>
        </w:rPr>
        <w:t xml:space="preserve"> Wilhelm von </w:t>
      </w:r>
      <w:proofErr w:type="spellStart"/>
      <w:r w:rsidRPr="007B7359">
        <w:rPr>
          <w:i/>
        </w:rPr>
        <w:t>Leeb</w:t>
      </w:r>
      <w:proofErr w:type="spellEnd"/>
      <w:r w:rsidRPr="007B7359">
        <w:rPr>
          <w:i/>
        </w:rPr>
        <w:t xml:space="preserve"> </w:t>
      </w:r>
      <w:r w:rsidRPr="004D101A">
        <w:t>et al</w:t>
      </w:r>
      <w:r w:rsidR="004D101A">
        <w:t>.</w:t>
      </w:r>
      <w:r w:rsidR="004D101A">
        <w:rPr>
          <w:i/>
        </w:rPr>
        <w:t xml:space="preserve">, </w:t>
      </w:r>
      <w:r w:rsidR="004D101A" w:rsidRPr="007B7359">
        <w:t>27 October 1948</w:t>
      </w:r>
      <w:r w:rsidR="004D101A">
        <w:t>,</w:t>
      </w:r>
      <w:r w:rsidRPr="007B7359">
        <w:t xml:space="preserve"> US Milit</w:t>
      </w:r>
      <w:r w:rsidR="005A02DC">
        <w:t>ary Tribunal Nuremberg Judgment.</w:t>
      </w:r>
    </w:p>
  </w:footnote>
  <w:footnote w:id="59">
    <w:p w:rsidR="004015BB" w:rsidRPr="007B7359" w:rsidRDefault="004015BB">
      <w:pPr>
        <w:pStyle w:val="FootnoteText"/>
      </w:pPr>
      <w:r w:rsidRPr="007B7359">
        <w:rPr>
          <w:rStyle w:val="FootnoteReference"/>
        </w:rPr>
        <w:footnoteRef/>
      </w:r>
      <w:r w:rsidRPr="007B7359">
        <w:t xml:space="preserve"> </w:t>
      </w:r>
      <w:r w:rsidR="00BD471F">
        <w:rPr>
          <w:i/>
        </w:rPr>
        <w:t>Ibid.,</w:t>
      </w:r>
      <w:r w:rsidRPr="007B7359">
        <w:t xml:space="preserve"> </w:t>
      </w:r>
      <w:r w:rsidR="00BD471F">
        <w:t>p.</w:t>
      </w:r>
      <w:r w:rsidRPr="007B7359">
        <w:t>3.</w:t>
      </w:r>
    </w:p>
  </w:footnote>
  <w:footnote w:id="60">
    <w:p w:rsidR="004015BB" w:rsidRPr="007B7359" w:rsidRDefault="004015BB">
      <w:pPr>
        <w:pStyle w:val="FootnoteText"/>
      </w:pPr>
      <w:r w:rsidRPr="007B7359">
        <w:rPr>
          <w:rStyle w:val="FootnoteReference"/>
        </w:rPr>
        <w:footnoteRef/>
      </w:r>
      <w:r w:rsidRPr="007B7359">
        <w:t xml:space="preserve"> </w:t>
      </w:r>
      <w:r w:rsidR="00BD471F">
        <w:rPr>
          <w:i/>
        </w:rPr>
        <w:t>Ibid.,</w:t>
      </w:r>
      <w:r w:rsidR="00BD471F" w:rsidRPr="007B7359">
        <w:t xml:space="preserve"> </w:t>
      </w:r>
      <w:r w:rsidR="00BD471F">
        <w:t>p.</w:t>
      </w:r>
      <w:r w:rsidRPr="007B7359">
        <w:t>4.</w:t>
      </w:r>
    </w:p>
  </w:footnote>
  <w:footnote w:id="61">
    <w:p w:rsidR="004015BB" w:rsidRPr="007B7359" w:rsidRDefault="004015BB">
      <w:pPr>
        <w:pStyle w:val="FootnoteText"/>
      </w:pPr>
      <w:r w:rsidRPr="007B7359">
        <w:rPr>
          <w:rStyle w:val="FootnoteReference"/>
        </w:rPr>
        <w:footnoteRef/>
      </w:r>
      <w:r w:rsidRPr="007B7359">
        <w:t xml:space="preserve"> </w:t>
      </w:r>
      <w:r w:rsidR="00BD471F">
        <w:rPr>
          <w:i/>
        </w:rPr>
        <w:t>Ibid.,</w:t>
      </w:r>
      <w:r w:rsidR="00BD471F" w:rsidRPr="007B7359">
        <w:t xml:space="preserve"> </w:t>
      </w:r>
      <w:r w:rsidR="00BD471F">
        <w:t>p.</w:t>
      </w:r>
      <w:r w:rsidRPr="007B7359">
        <w:t>2.</w:t>
      </w:r>
    </w:p>
  </w:footnote>
  <w:footnote w:id="62">
    <w:p w:rsidR="004015BB" w:rsidRPr="007B7359" w:rsidRDefault="004015BB">
      <w:pPr>
        <w:pStyle w:val="FootnoteText"/>
      </w:pPr>
      <w:r w:rsidRPr="007B7359">
        <w:rPr>
          <w:rStyle w:val="FootnoteReference"/>
        </w:rPr>
        <w:footnoteRef/>
      </w:r>
      <w:r w:rsidRPr="007B7359">
        <w:t xml:space="preserve"> </w:t>
      </w:r>
      <w:r w:rsidR="00BD471F">
        <w:rPr>
          <w:i/>
        </w:rPr>
        <w:t>Ibid.,</w:t>
      </w:r>
      <w:r w:rsidR="00BD471F" w:rsidRPr="007B7359">
        <w:t xml:space="preserve"> </w:t>
      </w:r>
      <w:r w:rsidR="00BD471F">
        <w:t>p.</w:t>
      </w:r>
      <w:r w:rsidRPr="007B7359">
        <w:t>71. They also cited military necessity, which is beyond the scope of this work.</w:t>
      </w:r>
    </w:p>
  </w:footnote>
  <w:footnote w:id="63">
    <w:p w:rsidR="004015BB" w:rsidRPr="007B7359" w:rsidRDefault="004015BB">
      <w:pPr>
        <w:pStyle w:val="FootnoteText"/>
      </w:pPr>
      <w:r w:rsidRPr="007B7359">
        <w:rPr>
          <w:rStyle w:val="FootnoteReference"/>
        </w:rPr>
        <w:footnoteRef/>
      </w:r>
      <w:r w:rsidRPr="007B7359">
        <w:t xml:space="preserve"> Control Council Law No. 10.</w:t>
      </w:r>
    </w:p>
  </w:footnote>
  <w:footnote w:id="64">
    <w:p w:rsidR="004015BB" w:rsidRPr="007B7359" w:rsidRDefault="004015BB">
      <w:pPr>
        <w:pStyle w:val="FootnoteText"/>
      </w:pPr>
      <w:r w:rsidRPr="007B7359">
        <w:rPr>
          <w:rStyle w:val="FootnoteReference"/>
        </w:rPr>
        <w:footnoteRef/>
      </w:r>
      <w:r w:rsidRPr="007B7359">
        <w:t xml:space="preserve"> </w:t>
      </w:r>
      <w:r w:rsidRPr="007B7359">
        <w:rPr>
          <w:i/>
        </w:rPr>
        <w:t xml:space="preserve">von </w:t>
      </w:r>
      <w:proofErr w:type="spellStart"/>
      <w:r w:rsidRPr="007B7359">
        <w:rPr>
          <w:i/>
        </w:rPr>
        <w:t>Leeb</w:t>
      </w:r>
      <w:proofErr w:type="spellEnd"/>
      <w:r w:rsidRPr="007B7359">
        <w:rPr>
          <w:i/>
        </w:rPr>
        <w:t xml:space="preserve"> </w:t>
      </w:r>
      <w:r w:rsidR="00BD471F">
        <w:rPr>
          <w:i/>
        </w:rPr>
        <w:t xml:space="preserve">supra </w:t>
      </w:r>
      <w:r w:rsidR="00BD471F">
        <w:t>note 58, p.</w:t>
      </w:r>
      <w:r w:rsidRPr="007B7359">
        <w:t>71-2.</w:t>
      </w:r>
    </w:p>
  </w:footnote>
  <w:footnote w:id="65">
    <w:p w:rsidR="004015BB" w:rsidRPr="007B7359" w:rsidRDefault="004015BB">
      <w:pPr>
        <w:pStyle w:val="FootnoteText"/>
      </w:pPr>
      <w:r w:rsidRPr="007B7359">
        <w:rPr>
          <w:rStyle w:val="FootnoteReference"/>
        </w:rPr>
        <w:footnoteRef/>
      </w:r>
      <w:r w:rsidRPr="007B7359">
        <w:t xml:space="preserve"> See </w:t>
      </w:r>
      <w:proofErr w:type="spellStart"/>
      <w:r w:rsidRPr="007B7359">
        <w:t>Hilaire</w:t>
      </w:r>
      <w:proofErr w:type="spellEnd"/>
      <w:r w:rsidRPr="007B7359">
        <w:t xml:space="preserve"> </w:t>
      </w:r>
      <w:proofErr w:type="spellStart"/>
      <w:r w:rsidRPr="007B7359">
        <w:t>McCoubrey</w:t>
      </w:r>
      <w:proofErr w:type="spellEnd"/>
      <w:r w:rsidRPr="007B7359">
        <w:t xml:space="preserve">, ‘From Nuremberg to Rome: Restoring the defence of superior orders’ 50 </w:t>
      </w:r>
      <w:r w:rsidRPr="004D101A">
        <w:rPr>
          <w:i/>
        </w:rPr>
        <w:t xml:space="preserve">ICLQ </w:t>
      </w:r>
      <w:r w:rsidRPr="007B7359">
        <w:t>(2001) 386-394.</w:t>
      </w:r>
    </w:p>
  </w:footnote>
  <w:footnote w:id="66">
    <w:p w:rsidR="004015BB" w:rsidRPr="007B7359" w:rsidRDefault="004015BB">
      <w:pPr>
        <w:pStyle w:val="FootnoteText"/>
      </w:pPr>
      <w:r w:rsidRPr="007B7359">
        <w:rPr>
          <w:rStyle w:val="FootnoteReference"/>
        </w:rPr>
        <w:footnoteRef/>
      </w:r>
      <w:r w:rsidRPr="007B7359">
        <w:t xml:space="preserve"> </w:t>
      </w:r>
      <w:proofErr w:type="gramStart"/>
      <w:r w:rsidR="00BD471F" w:rsidRPr="007B7359">
        <w:rPr>
          <w:i/>
        </w:rPr>
        <w:t>von</w:t>
      </w:r>
      <w:proofErr w:type="gramEnd"/>
      <w:r w:rsidR="00BD471F" w:rsidRPr="007B7359">
        <w:rPr>
          <w:i/>
        </w:rPr>
        <w:t xml:space="preserve"> </w:t>
      </w:r>
      <w:proofErr w:type="spellStart"/>
      <w:r w:rsidR="00BD471F" w:rsidRPr="007B7359">
        <w:rPr>
          <w:i/>
        </w:rPr>
        <w:t>Leeb</w:t>
      </w:r>
      <w:proofErr w:type="spellEnd"/>
      <w:r w:rsidR="00BD471F" w:rsidRPr="007B7359">
        <w:rPr>
          <w:i/>
        </w:rPr>
        <w:t xml:space="preserve"> </w:t>
      </w:r>
      <w:r w:rsidR="00BD471F">
        <w:rPr>
          <w:i/>
        </w:rPr>
        <w:t xml:space="preserve">supra </w:t>
      </w:r>
      <w:r w:rsidR="00BD471F" w:rsidRPr="005A02DC">
        <w:t xml:space="preserve">note 58, </w:t>
      </w:r>
      <w:r w:rsidR="005A02DC" w:rsidRPr="005A02DC">
        <w:t xml:space="preserve">p19, </w:t>
      </w:r>
      <w:r w:rsidR="00BD471F" w:rsidRPr="005A02DC">
        <w:t>p.</w:t>
      </w:r>
      <w:r w:rsidRPr="005A02DC">
        <w:t>72.</w:t>
      </w:r>
    </w:p>
  </w:footnote>
  <w:footnote w:id="67">
    <w:p w:rsidR="004015BB" w:rsidRPr="007B7359" w:rsidRDefault="004015BB" w:rsidP="008B45ED">
      <w:pPr>
        <w:pStyle w:val="FootnoteText"/>
      </w:pPr>
      <w:r w:rsidRPr="007B7359">
        <w:rPr>
          <w:rStyle w:val="FootnoteReference"/>
        </w:rPr>
        <w:footnoteRef/>
      </w:r>
      <w:r w:rsidRPr="007B7359">
        <w:t xml:space="preserve"> </w:t>
      </w:r>
      <w:r w:rsidR="00BD471F">
        <w:rPr>
          <w:i/>
        </w:rPr>
        <w:t>Ibid.</w:t>
      </w:r>
    </w:p>
  </w:footnote>
  <w:footnote w:id="68">
    <w:p w:rsidR="004015BB" w:rsidRPr="007B7359" w:rsidRDefault="004015BB">
      <w:pPr>
        <w:pStyle w:val="FootnoteText"/>
      </w:pPr>
      <w:r w:rsidRPr="007B7359">
        <w:rPr>
          <w:rStyle w:val="FootnoteReference"/>
        </w:rPr>
        <w:footnoteRef/>
      </w:r>
      <w:r w:rsidRPr="007B7359">
        <w:t xml:space="preserve"> </w:t>
      </w:r>
      <w:r w:rsidR="00BD471F">
        <w:rPr>
          <w:i/>
        </w:rPr>
        <w:t>Ibid.</w:t>
      </w:r>
    </w:p>
  </w:footnote>
  <w:footnote w:id="69">
    <w:p w:rsidR="004015BB" w:rsidRPr="005A02DC" w:rsidRDefault="004015BB">
      <w:pPr>
        <w:pStyle w:val="FootnoteText"/>
      </w:pPr>
      <w:r w:rsidRPr="005A02DC">
        <w:rPr>
          <w:rStyle w:val="FootnoteReference"/>
        </w:rPr>
        <w:footnoteRef/>
      </w:r>
      <w:r w:rsidRPr="005A02DC">
        <w:t xml:space="preserve"> Article 47, Germany Military Penal Code 1947 in </w:t>
      </w:r>
      <w:r w:rsidR="00BD471F" w:rsidRPr="005A02DC">
        <w:rPr>
          <w:i/>
        </w:rPr>
        <w:t xml:space="preserve">von </w:t>
      </w:r>
      <w:proofErr w:type="spellStart"/>
      <w:r w:rsidR="00BD471F" w:rsidRPr="005A02DC">
        <w:rPr>
          <w:i/>
        </w:rPr>
        <w:t>Leeb</w:t>
      </w:r>
      <w:proofErr w:type="spellEnd"/>
      <w:r w:rsidR="00BD471F" w:rsidRPr="005A02DC">
        <w:rPr>
          <w:i/>
        </w:rPr>
        <w:t xml:space="preserve"> supra </w:t>
      </w:r>
      <w:r w:rsidR="00BD471F" w:rsidRPr="005A02DC">
        <w:t>note 58, p.</w:t>
      </w:r>
      <w:r w:rsidR="005A02DC" w:rsidRPr="005A02DC">
        <w:t>20.</w:t>
      </w:r>
    </w:p>
  </w:footnote>
  <w:footnote w:id="70">
    <w:p w:rsidR="004015BB" w:rsidRPr="005A02DC" w:rsidRDefault="004015BB">
      <w:pPr>
        <w:pStyle w:val="FootnoteText"/>
      </w:pPr>
      <w:r w:rsidRPr="005A02DC">
        <w:rPr>
          <w:rStyle w:val="FootnoteReference"/>
        </w:rPr>
        <w:footnoteRef/>
      </w:r>
      <w:r w:rsidRPr="005A02DC">
        <w:t xml:space="preserve"> </w:t>
      </w:r>
      <w:proofErr w:type="gramStart"/>
      <w:r w:rsidR="00BD471F" w:rsidRPr="005A02DC">
        <w:rPr>
          <w:i/>
        </w:rPr>
        <w:t>von</w:t>
      </w:r>
      <w:proofErr w:type="gramEnd"/>
      <w:r w:rsidR="00BD471F" w:rsidRPr="005A02DC">
        <w:rPr>
          <w:i/>
        </w:rPr>
        <w:t xml:space="preserve"> </w:t>
      </w:r>
      <w:proofErr w:type="spellStart"/>
      <w:r w:rsidR="00BD471F" w:rsidRPr="005A02DC">
        <w:rPr>
          <w:i/>
        </w:rPr>
        <w:t>Leeb</w:t>
      </w:r>
      <w:proofErr w:type="spellEnd"/>
      <w:r w:rsidR="00BD471F" w:rsidRPr="005A02DC">
        <w:rPr>
          <w:i/>
        </w:rPr>
        <w:t xml:space="preserve"> supra </w:t>
      </w:r>
      <w:r w:rsidR="00BD471F" w:rsidRPr="005A02DC">
        <w:t>note 58, p.</w:t>
      </w:r>
      <w:r w:rsidR="005A02DC" w:rsidRPr="005A02DC">
        <w:t>20</w:t>
      </w:r>
      <w:r w:rsidR="00BD471F" w:rsidRPr="005A02DC">
        <w:t>, p.</w:t>
      </w:r>
      <w:r w:rsidRPr="005A02DC">
        <w:t>61-2.</w:t>
      </w:r>
    </w:p>
  </w:footnote>
  <w:footnote w:id="71">
    <w:p w:rsidR="004015BB" w:rsidRPr="007B7359" w:rsidRDefault="004015BB">
      <w:pPr>
        <w:pStyle w:val="FootnoteText"/>
      </w:pPr>
      <w:r w:rsidRPr="005A02DC">
        <w:rPr>
          <w:rStyle w:val="FootnoteReference"/>
        </w:rPr>
        <w:footnoteRef/>
      </w:r>
      <w:r w:rsidRPr="005A02DC">
        <w:t xml:space="preserve"> </w:t>
      </w:r>
      <w:r w:rsidRPr="005A02DC">
        <w:rPr>
          <w:i/>
        </w:rPr>
        <w:t>Priebke</w:t>
      </w:r>
      <w:r w:rsidRPr="005A02DC">
        <w:t xml:space="preserve">, </w:t>
      </w:r>
      <w:r w:rsidRPr="005A02DC">
        <w:rPr>
          <w:i/>
        </w:rPr>
        <w:t>supra</w:t>
      </w:r>
      <w:r w:rsidRPr="005A02DC">
        <w:t xml:space="preserve"> note 12, p.6.</w:t>
      </w:r>
    </w:p>
  </w:footnote>
  <w:footnote w:id="72">
    <w:p w:rsidR="004015BB" w:rsidRPr="004015BB" w:rsidRDefault="004015BB" w:rsidP="007A17AE">
      <w:pPr>
        <w:pStyle w:val="FootnoteText"/>
      </w:pPr>
      <w:r w:rsidRPr="007B7359">
        <w:rPr>
          <w:rStyle w:val="FootnoteReference"/>
        </w:rPr>
        <w:footnoteRef/>
      </w:r>
      <w:r w:rsidRPr="007B7359">
        <w:t xml:space="preserve"> </w:t>
      </w:r>
      <w:r w:rsidRPr="00711748">
        <w:rPr>
          <w:i/>
        </w:rPr>
        <w:t>Priebke</w:t>
      </w:r>
      <w:r w:rsidRPr="007B7359">
        <w:t xml:space="preserve">, </w:t>
      </w:r>
      <w:r>
        <w:t xml:space="preserve">supra </w:t>
      </w:r>
      <w:r w:rsidRPr="005A02DC">
        <w:t>note 12, p.6, para 9-10. See</w:t>
      </w:r>
      <w:r w:rsidRPr="007B7359">
        <w:t xml:space="preserve"> Francesca </w:t>
      </w:r>
      <w:proofErr w:type="spellStart"/>
      <w:r w:rsidRPr="007B7359">
        <w:t>Martines</w:t>
      </w:r>
      <w:proofErr w:type="spellEnd"/>
      <w:r w:rsidRPr="007B7359">
        <w:t xml:space="preserve">, ‘The defences of reprisals, superior orders and duress in the Priebke case before the Italian </w:t>
      </w:r>
      <w:r w:rsidRPr="005A02DC">
        <w:t xml:space="preserve">Military Tribunal’ 1 </w:t>
      </w:r>
      <w:r w:rsidRPr="005A02DC">
        <w:rPr>
          <w:i/>
        </w:rPr>
        <w:t>YIHL</w:t>
      </w:r>
      <w:r w:rsidRPr="005A02DC">
        <w:t xml:space="preserve"> (1998) 354-361; </w:t>
      </w:r>
      <w:proofErr w:type="spellStart"/>
      <w:r w:rsidRPr="005A02DC">
        <w:t>Bassiouni</w:t>
      </w:r>
      <w:proofErr w:type="spellEnd"/>
      <w:r w:rsidRPr="005A02DC">
        <w:t xml:space="preserve">, </w:t>
      </w:r>
      <w:r w:rsidRPr="005A02DC">
        <w:rPr>
          <w:i/>
        </w:rPr>
        <w:t>supra</w:t>
      </w:r>
      <w:r w:rsidRPr="005A02DC">
        <w:t xml:space="preserve"> note 44, p.14; Sergio </w:t>
      </w:r>
      <w:proofErr w:type="spellStart"/>
      <w:r w:rsidRPr="005A02DC">
        <w:t>Marchisio</w:t>
      </w:r>
      <w:proofErr w:type="spellEnd"/>
      <w:r w:rsidRPr="005A02DC">
        <w:t>, ‘The Priebke case before the Italian Military Tribunals</w:t>
      </w:r>
      <w:r w:rsidRPr="007B7359">
        <w:t xml:space="preserve">: A reaffirmation of the principle of non-applicability of statutory limitations to war crimes and crimes against humanity’ 1 </w:t>
      </w:r>
      <w:r w:rsidRPr="004165B2">
        <w:rPr>
          <w:i/>
        </w:rPr>
        <w:t>YIHL</w:t>
      </w:r>
      <w:r w:rsidRPr="007B7359">
        <w:t xml:space="preserve"> (1998) 344-353.</w:t>
      </w:r>
    </w:p>
  </w:footnote>
  <w:footnote w:id="73">
    <w:p w:rsidR="004015BB" w:rsidRPr="007B7359" w:rsidRDefault="004015BB" w:rsidP="007A17AE">
      <w:pPr>
        <w:pStyle w:val="FootnoteText"/>
      </w:pPr>
      <w:r w:rsidRPr="007B7359">
        <w:rPr>
          <w:rStyle w:val="FootnoteReference"/>
        </w:rPr>
        <w:footnoteRef/>
      </w:r>
      <w:r w:rsidRPr="007B7359">
        <w:t xml:space="preserve"> </w:t>
      </w:r>
      <w:proofErr w:type="spellStart"/>
      <w:r w:rsidRPr="007B7359">
        <w:t>Martines</w:t>
      </w:r>
      <w:proofErr w:type="spellEnd"/>
      <w:r w:rsidRPr="007B7359">
        <w:t xml:space="preserve">, </w:t>
      </w:r>
      <w:r w:rsidRPr="007E78BE">
        <w:rPr>
          <w:i/>
        </w:rPr>
        <w:t>supra</w:t>
      </w:r>
      <w:r>
        <w:t xml:space="preserve"> note 72.</w:t>
      </w:r>
    </w:p>
  </w:footnote>
  <w:footnote w:id="74">
    <w:p w:rsidR="004015BB" w:rsidRPr="005A02DC" w:rsidRDefault="004015BB" w:rsidP="008B45ED">
      <w:pPr>
        <w:pStyle w:val="FootnoteText"/>
      </w:pPr>
      <w:r w:rsidRPr="007B7359">
        <w:rPr>
          <w:rStyle w:val="FootnoteReference"/>
        </w:rPr>
        <w:footnoteRef/>
      </w:r>
      <w:r w:rsidRPr="007B7359">
        <w:t xml:space="preserve"> </w:t>
      </w:r>
      <w:proofErr w:type="spellStart"/>
      <w:r w:rsidRPr="007B7359">
        <w:rPr>
          <w:i/>
        </w:rPr>
        <w:t>Erdemović</w:t>
      </w:r>
      <w:proofErr w:type="spellEnd"/>
      <w:r w:rsidRPr="007B7359">
        <w:t xml:space="preserve"> </w:t>
      </w:r>
      <w:r w:rsidRPr="00904986">
        <w:rPr>
          <w:i/>
        </w:rPr>
        <w:t>supra</w:t>
      </w:r>
      <w:r>
        <w:t xml:space="preserve"> </w:t>
      </w:r>
      <w:r w:rsidRPr="005A02DC">
        <w:t>note 12, p.6.</w:t>
      </w:r>
    </w:p>
  </w:footnote>
  <w:footnote w:id="75">
    <w:p w:rsidR="004015BB" w:rsidRPr="005A02DC" w:rsidRDefault="004015BB">
      <w:pPr>
        <w:pStyle w:val="FootnoteText"/>
      </w:pPr>
      <w:r w:rsidRPr="005A02DC">
        <w:rPr>
          <w:rStyle w:val="FootnoteReference"/>
        </w:rPr>
        <w:footnoteRef/>
      </w:r>
      <w:r w:rsidRPr="005A02DC">
        <w:t xml:space="preserve"> </w:t>
      </w:r>
      <w:r w:rsidR="004D101A" w:rsidRPr="005A02DC">
        <w:rPr>
          <w:i/>
        </w:rPr>
        <w:t xml:space="preserve">Prosecutor </w:t>
      </w:r>
      <w:r w:rsidR="004D101A" w:rsidRPr="005A02DC">
        <w:t>v.</w:t>
      </w:r>
      <w:r w:rsidR="004D101A" w:rsidRPr="005A02DC">
        <w:rPr>
          <w:i/>
        </w:rPr>
        <w:t xml:space="preserve"> </w:t>
      </w:r>
      <w:proofErr w:type="spellStart"/>
      <w:r w:rsidRPr="005A02DC">
        <w:rPr>
          <w:i/>
        </w:rPr>
        <w:t>Erdemović</w:t>
      </w:r>
      <w:proofErr w:type="spellEnd"/>
      <w:r w:rsidRPr="005A02DC">
        <w:t xml:space="preserve"> </w:t>
      </w:r>
      <w:r w:rsidR="004D101A" w:rsidRPr="005A02DC">
        <w:t>7 October 1997</w:t>
      </w:r>
      <w:r w:rsidR="004D101A" w:rsidRPr="005A02DC">
        <w:t xml:space="preserve">, International Criminal Tribunal for the former Yugoslavia, </w:t>
      </w:r>
      <w:r w:rsidRPr="005A02DC">
        <w:t xml:space="preserve">IT-96-22- A, Opinion of Judges </w:t>
      </w:r>
      <w:proofErr w:type="spellStart"/>
      <w:r w:rsidRPr="005A02DC">
        <w:t>Mcdonald</w:t>
      </w:r>
      <w:proofErr w:type="spellEnd"/>
      <w:r w:rsidRPr="005A02DC">
        <w:t xml:space="preserve"> and </w:t>
      </w:r>
      <w:proofErr w:type="spellStart"/>
      <w:r w:rsidRPr="005A02DC">
        <w:t>Vohrah</w:t>
      </w:r>
      <w:proofErr w:type="spellEnd"/>
      <w:r w:rsidRPr="005A02DC">
        <w:t xml:space="preserve">, paras 49 and 59-65. The importance of the use of comparative law in international criminal law is noted in Kai Ambos, ‘Remarks on the general part of International Criminal Law’ 4 </w:t>
      </w:r>
      <w:r w:rsidRPr="005A02DC">
        <w:rPr>
          <w:i/>
        </w:rPr>
        <w:t>J. Int'l Crim. Just.</w:t>
      </w:r>
      <w:r w:rsidRPr="005A02DC">
        <w:t xml:space="preserve"> (2006) 660-673, 662.</w:t>
      </w:r>
    </w:p>
  </w:footnote>
  <w:footnote w:id="76">
    <w:p w:rsidR="004015BB" w:rsidRPr="004015BB" w:rsidRDefault="004015BB">
      <w:pPr>
        <w:pStyle w:val="FootnoteText"/>
      </w:pPr>
      <w:r w:rsidRPr="005A02DC">
        <w:rPr>
          <w:rStyle w:val="FootnoteReference"/>
        </w:rPr>
        <w:footnoteRef/>
      </w:r>
      <w:r w:rsidRPr="005A02DC">
        <w:t xml:space="preserve"> </w:t>
      </w:r>
      <w:proofErr w:type="spellStart"/>
      <w:r w:rsidRPr="005A02DC">
        <w:rPr>
          <w:i/>
        </w:rPr>
        <w:t>Ohlendorf</w:t>
      </w:r>
      <w:proofErr w:type="spellEnd"/>
      <w:r w:rsidRPr="005A02DC">
        <w:t xml:space="preserve"> </w:t>
      </w:r>
      <w:r w:rsidRPr="005A02DC">
        <w:rPr>
          <w:i/>
        </w:rPr>
        <w:t>supra</w:t>
      </w:r>
      <w:r w:rsidRPr="005A02DC">
        <w:t xml:space="preserve"> note 12, p.6.</w:t>
      </w:r>
    </w:p>
  </w:footnote>
  <w:footnote w:id="77">
    <w:p w:rsidR="004015BB" w:rsidRPr="005A02DC" w:rsidRDefault="004015BB">
      <w:pPr>
        <w:pStyle w:val="FootnoteText"/>
      </w:pPr>
      <w:r w:rsidRPr="004015BB">
        <w:rPr>
          <w:rStyle w:val="FootnoteReference"/>
        </w:rPr>
        <w:footnoteRef/>
      </w:r>
      <w:r w:rsidRPr="004015BB">
        <w:t xml:space="preserve"> </w:t>
      </w:r>
      <w:proofErr w:type="spellStart"/>
      <w:r w:rsidRPr="004015BB">
        <w:rPr>
          <w:i/>
        </w:rPr>
        <w:t>Erdemović</w:t>
      </w:r>
      <w:proofErr w:type="spellEnd"/>
      <w:r w:rsidRPr="004015BB">
        <w:t xml:space="preserve"> </w:t>
      </w:r>
      <w:r w:rsidRPr="005A02DC">
        <w:rPr>
          <w:i/>
        </w:rPr>
        <w:t>supra</w:t>
      </w:r>
      <w:r w:rsidRPr="005A02DC">
        <w:t xml:space="preserve"> note 75, p.24, para 43.</w:t>
      </w:r>
    </w:p>
  </w:footnote>
  <w:footnote w:id="78">
    <w:p w:rsidR="004015BB" w:rsidRPr="005A02DC" w:rsidRDefault="004015BB">
      <w:pPr>
        <w:pStyle w:val="FootnoteText"/>
      </w:pPr>
      <w:r w:rsidRPr="005A02DC">
        <w:rPr>
          <w:rStyle w:val="FootnoteReference"/>
        </w:rPr>
        <w:footnoteRef/>
      </w:r>
      <w:r w:rsidRPr="005A02DC">
        <w:t xml:space="preserve"> </w:t>
      </w:r>
      <w:r w:rsidRPr="005A02DC">
        <w:rPr>
          <w:i/>
        </w:rPr>
        <w:t>Ibid.,</w:t>
      </w:r>
      <w:r w:rsidRPr="005A02DC">
        <w:t xml:space="preserve"> paras 49 and 66.</w:t>
      </w:r>
    </w:p>
  </w:footnote>
  <w:footnote w:id="79">
    <w:p w:rsidR="004015BB" w:rsidRPr="005A02DC" w:rsidRDefault="004015BB" w:rsidP="003A06F3">
      <w:pPr>
        <w:spacing w:after="0"/>
        <w:rPr>
          <w:rFonts w:ascii="Times New Roman" w:hAnsi="Times New Roman" w:cs="Times New Roman"/>
          <w:b/>
          <w:color w:val="0000FF"/>
          <w:sz w:val="20"/>
          <w:szCs w:val="20"/>
          <w:u w:val="single"/>
        </w:rPr>
      </w:pPr>
      <w:r w:rsidRPr="005A02DC">
        <w:rPr>
          <w:rStyle w:val="FootnoteReference"/>
          <w:rFonts w:ascii="Times New Roman" w:hAnsi="Times New Roman"/>
          <w:sz w:val="20"/>
          <w:szCs w:val="20"/>
        </w:rPr>
        <w:footnoteRef/>
      </w:r>
      <w:r w:rsidRPr="005A02DC">
        <w:rPr>
          <w:rFonts w:ascii="Times New Roman" w:hAnsi="Times New Roman" w:cs="Times New Roman"/>
          <w:sz w:val="20"/>
          <w:szCs w:val="20"/>
        </w:rPr>
        <w:t xml:space="preserve"> </w:t>
      </w:r>
      <w:r w:rsidRPr="005A02DC">
        <w:rPr>
          <w:rFonts w:ascii="Times New Roman" w:hAnsi="Times New Roman" w:cs="Times New Roman"/>
          <w:i/>
          <w:sz w:val="20"/>
          <w:szCs w:val="20"/>
        </w:rPr>
        <w:t>Ibid.,</w:t>
      </w:r>
      <w:r w:rsidRPr="005A02DC">
        <w:rPr>
          <w:rFonts w:ascii="Times New Roman" w:hAnsi="Times New Roman" w:cs="Times New Roman"/>
          <w:sz w:val="20"/>
          <w:szCs w:val="20"/>
        </w:rPr>
        <w:t xml:space="preserve"> para 72. See also M </w:t>
      </w:r>
      <w:proofErr w:type="spellStart"/>
      <w:r w:rsidRPr="005A02DC">
        <w:rPr>
          <w:rFonts w:ascii="Times New Roman" w:hAnsi="Times New Roman" w:cs="Times New Roman"/>
          <w:sz w:val="20"/>
          <w:szCs w:val="20"/>
        </w:rPr>
        <w:t>Cherif</w:t>
      </w:r>
      <w:proofErr w:type="spellEnd"/>
      <w:r w:rsidRPr="005A02DC">
        <w:rPr>
          <w:rFonts w:ascii="Times New Roman" w:hAnsi="Times New Roman" w:cs="Times New Roman"/>
          <w:sz w:val="20"/>
          <w:szCs w:val="20"/>
        </w:rPr>
        <w:t xml:space="preserve"> </w:t>
      </w:r>
      <w:proofErr w:type="spellStart"/>
      <w:r w:rsidRPr="005A02DC">
        <w:rPr>
          <w:rFonts w:ascii="Times New Roman" w:hAnsi="Times New Roman" w:cs="Times New Roman"/>
          <w:sz w:val="20"/>
          <w:szCs w:val="20"/>
        </w:rPr>
        <w:t>Bassiouni</w:t>
      </w:r>
      <w:proofErr w:type="spellEnd"/>
      <w:r w:rsidRPr="005A02DC">
        <w:rPr>
          <w:rFonts w:ascii="Times New Roman" w:hAnsi="Times New Roman" w:cs="Times New Roman"/>
          <w:sz w:val="20"/>
          <w:szCs w:val="20"/>
        </w:rPr>
        <w:t xml:space="preserve">, </w:t>
      </w:r>
      <w:r w:rsidRPr="005A02DC">
        <w:rPr>
          <w:rFonts w:ascii="Times New Roman" w:hAnsi="Times New Roman" w:cs="Times New Roman"/>
          <w:i/>
          <w:sz w:val="20"/>
          <w:szCs w:val="20"/>
        </w:rPr>
        <w:t>Crimes against humanity in international criminal law</w:t>
      </w:r>
      <w:r w:rsidRPr="005A02DC">
        <w:rPr>
          <w:rFonts w:ascii="Times New Roman" w:hAnsi="Times New Roman" w:cs="Times New Roman"/>
          <w:sz w:val="20"/>
          <w:szCs w:val="20"/>
        </w:rPr>
        <w:t xml:space="preserve"> (Kluwer Law International, The Hague, 1999) 489 </w:t>
      </w:r>
      <w:r w:rsidRPr="005A02DC">
        <w:rPr>
          <w:rFonts w:ascii="Times New Roman" w:hAnsi="Times New Roman" w:cs="Times New Roman"/>
          <w:i/>
          <w:sz w:val="20"/>
          <w:szCs w:val="20"/>
        </w:rPr>
        <w:t>et seq.</w:t>
      </w:r>
    </w:p>
  </w:footnote>
  <w:footnote w:id="80">
    <w:p w:rsidR="004015BB" w:rsidRPr="005A02DC" w:rsidRDefault="004015BB">
      <w:pPr>
        <w:pStyle w:val="FootnoteText"/>
      </w:pPr>
      <w:r w:rsidRPr="005A02DC">
        <w:rPr>
          <w:rStyle w:val="FootnoteReference"/>
        </w:rPr>
        <w:footnoteRef/>
      </w:r>
      <w:r w:rsidRPr="005A02DC">
        <w:t xml:space="preserve"> </w:t>
      </w:r>
      <w:proofErr w:type="spellStart"/>
      <w:r w:rsidRPr="005A02DC">
        <w:rPr>
          <w:i/>
        </w:rPr>
        <w:t>Erdemović</w:t>
      </w:r>
      <w:proofErr w:type="spellEnd"/>
      <w:r w:rsidRPr="005A02DC">
        <w:t xml:space="preserve"> </w:t>
      </w:r>
      <w:r w:rsidRPr="005A02DC">
        <w:rPr>
          <w:i/>
        </w:rPr>
        <w:t>supra</w:t>
      </w:r>
      <w:r w:rsidRPr="005A02DC">
        <w:t xml:space="preserve"> note 75, p.24, paras 59-61.</w:t>
      </w:r>
    </w:p>
  </w:footnote>
  <w:footnote w:id="81">
    <w:p w:rsidR="004015BB" w:rsidRPr="004015BB" w:rsidRDefault="004015BB">
      <w:pPr>
        <w:pStyle w:val="FootnoteText"/>
      </w:pPr>
      <w:r w:rsidRPr="005A02DC">
        <w:rPr>
          <w:rStyle w:val="FootnoteReference"/>
        </w:rPr>
        <w:footnoteRef/>
      </w:r>
      <w:r w:rsidRPr="005A02DC">
        <w:t xml:space="preserve"> </w:t>
      </w:r>
      <w:r w:rsidRPr="005A02DC">
        <w:rPr>
          <w:i/>
        </w:rPr>
        <w:t>Ibid.</w:t>
      </w:r>
      <w:r w:rsidRPr="005A02DC">
        <w:t>, para 60.</w:t>
      </w:r>
    </w:p>
  </w:footnote>
  <w:footnote w:id="82">
    <w:p w:rsidR="004015BB" w:rsidRPr="004015BB" w:rsidRDefault="004015BB">
      <w:pPr>
        <w:pStyle w:val="FootnoteText"/>
      </w:pPr>
      <w:r w:rsidRPr="004015BB">
        <w:rPr>
          <w:rStyle w:val="FootnoteReference"/>
        </w:rPr>
        <w:footnoteRef/>
      </w:r>
      <w:r w:rsidRPr="004015BB">
        <w:t xml:space="preserve"> </w:t>
      </w:r>
      <w:r>
        <w:rPr>
          <w:i/>
        </w:rPr>
        <w:t>Ibid.,</w:t>
      </w:r>
      <w:r>
        <w:t xml:space="preserve"> </w:t>
      </w:r>
      <w:r w:rsidRPr="004015BB">
        <w:t>para 60.</w:t>
      </w:r>
    </w:p>
  </w:footnote>
  <w:footnote w:id="83">
    <w:p w:rsidR="004015BB" w:rsidRPr="004015BB" w:rsidRDefault="004015BB">
      <w:pPr>
        <w:pStyle w:val="FootnoteText"/>
      </w:pPr>
      <w:r w:rsidRPr="004015BB">
        <w:rPr>
          <w:rStyle w:val="FootnoteReference"/>
        </w:rPr>
        <w:footnoteRef/>
      </w:r>
      <w:r w:rsidRPr="004015BB">
        <w:t xml:space="preserve"> </w:t>
      </w:r>
      <w:r>
        <w:rPr>
          <w:i/>
        </w:rPr>
        <w:t xml:space="preserve">Ibid., </w:t>
      </w:r>
      <w:r w:rsidRPr="004015BB">
        <w:t>paras 59-61.</w:t>
      </w:r>
    </w:p>
  </w:footnote>
  <w:footnote w:id="84">
    <w:p w:rsidR="004015BB" w:rsidRPr="005A02DC" w:rsidRDefault="004015BB">
      <w:pPr>
        <w:pStyle w:val="FootnoteText"/>
      </w:pPr>
      <w:r w:rsidRPr="007B7359">
        <w:rPr>
          <w:rStyle w:val="FootnoteReference"/>
        </w:rPr>
        <w:footnoteRef/>
      </w:r>
      <w:r w:rsidRPr="007B7359">
        <w:t xml:space="preserve"> </w:t>
      </w:r>
      <w:proofErr w:type="spellStart"/>
      <w:r w:rsidRPr="004015BB">
        <w:rPr>
          <w:i/>
        </w:rPr>
        <w:t>Erdemović</w:t>
      </w:r>
      <w:proofErr w:type="spellEnd"/>
      <w:r w:rsidRPr="004015BB">
        <w:t xml:space="preserve"> </w:t>
      </w:r>
      <w:r w:rsidRPr="004015BB">
        <w:rPr>
          <w:i/>
        </w:rPr>
        <w:t>supra</w:t>
      </w:r>
      <w:r w:rsidRPr="004015BB">
        <w:t xml:space="preserve"> </w:t>
      </w:r>
      <w:r w:rsidRPr="005A02DC">
        <w:t>note 75, p.24, Dissenting opinion of Judge Cassese, para 14.</w:t>
      </w:r>
    </w:p>
  </w:footnote>
  <w:footnote w:id="85">
    <w:p w:rsidR="004015BB" w:rsidRPr="005A02DC" w:rsidRDefault="004015BB">
      <w:pPr>
        <w:pStyle w:val="FootnoteText"/>
      </w:pPr>
      <w:r w:rsidRPr="005A02DC">
        <w:rPr>
          <w:rStyle w:val="FootnoteReference"/>
        </w:rPr>
        <w:footnoteRef/>
      </w:r>
      <w:r w:rsidRPr="005A02DC">
        <w:t xml:space="preserve"> </w:t>
      </w:r>
      <w:r w:rsidRPr="005A02DC">
        <w:rPr>
          <w:i/>
        </w:rPr>
        <w:t>Ibid.,</w:t>
      </w:r>
      <w:r w:rsidRPr="005A02DC">
        <w:t xml:space="preserve"> para 16.</w:t>
      </w:r>
    </w:p>
  </w:footnote>
  <w:footnote w:id="86">
    <w:p w:rsidR="004015BB" w:rsidRPr="005A02DC" w:rsidRDefault="004015BB">
      <w:pPr>
        <w:pStyle w:val="FootnoteText"/>
      </w:pPr>
      <w:r w:rsidRPr="005A02DC">
        <w:rPr>
          <w:rStyle w:val="FootnoteReference"/>
        </w:rPr>
        <w:footnoteRef/>
      </w:r>
      <w:r w:rsidRPr="005A02DC">
        <w:t xml:space="preserve"> </w:t>
      </w:r>
      <w:r w:rsidRPr="005A02DC">
        <w:rPr>
          <w:i/>
        </w:rPr>
        <w:t>Ibid.,</w:t>
      </w:r>
      <w:r w:rsidRPr="005A02DC">
        <w:t xml:space="preserve"> para 43.</w:t>
      </w:r>
    </w:p>
  </w:footnote>
  <w:footnote w:id="87">
    <w:p w:rsidR="004015BB" w:rsidRPr="007B7359" w:rsidRDefault="004015BB" w:rsidP="003A06F3">
      <w:pPr>
        <w:rPr>
          <w:rFonts w:ascii="Times New Roman" w:hAnsi="Times New Roman" w:cs="Times New Roman"/>
          <w:color w:val="0000FF"/>
          <w:sz w:val="20"/>
          <w:szCs w:val="20"/>
        </w:rPr>
      </w:pPr>
      <w:r w:rsidRPr="005A02DC">
        <w:rPr>
          <w:rStyle w:val="FootnoteReference"/>
          <w:rFonts w:ascii="Times New Roman" w:hAnsi="Times New Roman"/>
          <w:sz w:val="20"/>
          <w:szCs w:val="20"/>
        </w:rPr>
        <w:footnoteRef/>
      </w:r>
      <w:r w:rsidRPr="005A02DC">
        <w:rPr>
          <w:rFonts w:ascii="Times New Roman" w:hAnsi="Times New Roman" w:cs="Times New Roman"/>
          <w:sz w:val="20"/>
          <w:szCs w:val="20"/>
        </w:rPr>
        <w:t xml:space="preserve"> See Robert Cryer, </w:t>
      </w:r>
      <w:proofErr w:type="spellStart"/>
      <w:r w:rsidRPr="005A02DC">
        <w:rPr>
          <w:rFonts w:ascii="Times New Roman" w:hAnsi="Times New Roman" w:cs="Times New Roman"/>
          <w:sz w:val="20"/>
          <w:szCs w:val="20"/>
        </w:rPr>
        <w:t>Hakan</w:t>
      </w:r>
      <w:proofErr w:type="spellEnd"/>
      <w:r w:rsidRPr="005A02DC">
        <w:rPr>
          <w:rFonts w:ascii="Times New Roman" w:hAnsi="Times New Roman" w:cs="Times New Roman"/>
          <w:sz w:val="20"/>
          <w:szCs w:val="20"/>
        </w:rPr>
        <w:t xml:space="preserve"> </w:t>
      </w:r>
      <w:proofErr w:type="spellStart"/>
      <w:r w:rsidRPr="005A02DC">
        <w:rPr>
          <w:rFonts w:ascii="Times New Roman" w:hAnsi="Times New Roman" w:cs="Times New Roman"/>
          <w:sz w:val="20"/>
          <w:szCs w:val="20"/>
        </w:rPr>
        <w:t>Friman</w:t>
      </w:r>
      <w:proofErr w:type="spellEnd"/>
      <w:r w:rsidRPr="005A02DC">
        <w:rPr>
          <w:rFonts w:ascii="Times New Roman" w:hAnsi="Times New Roman" w:cs="Times New Roman"/>
          <w:sz w:val="20"/>
          <w:szCs w:val="20"/>
        </w:rPr>
        <w:t xml:space="preserve">, Darryl Robinson, and Elizabeth Wilmshurst, </w:t>
      </w:r>
      <w:r w:rsidRPr="005A02DC">
        <w:rPr>
          <w:rFonts w:ascii="Times New Roman" w:hAnsi="Times New Roman" w:cs="Times New Roman"/>
          <w:i/>
          <w:sz w:val="20"/>
          <w:szCs w:val="20"/>
        </w:rPr>
        <w:t>An introduction to ICL and procedure</w:t>
      </w:r>
      <w:r w:rsidRPr="007B7359">
        <w:rPr>
          <w:rFonts w:ascii="Times New Roman" w:hAnsi="Times New Roman" w:cs="Times New Roman"/>
          <w:sz w:val="20"/>
          <w:szCs w:val="20"/>
        </w:rPr>
        <w:t xml:space="preserve"> (2</w:t>
      </w:r>
      <w:r w:rsidRPr="007B7359">
        <w:rPr>
          <w:rFonts w:ascii="Times New Roman" w:hAnsi="Times New Roman" w:cs="Times New Roman"/>
          <w:sz w:val="20"/>
          <w:szCs w:val="20"/>
          <w:vertAlign w:val="superscript"/>
        </w:rPr>
        <w:t>nd</w:t>
      </w:r>
      <w:r w:rsidRPr="007B7359">
        <w:rPr>
          <w:rFonts w:ascii="Times New Roman" w:hAnsi="Times New Roman" w:cs="Times New Roman"/>
          <w:sz w:val="20"/>
          <w:szCs w:val="20"/>
        </w:rPr>
        <w:t xml:space="preserve"> </w:t>
      </w:r>
      <w:proofErr w:type="spellStart"/>
      <w:r w:rsidRPr="007B7359">
        <w:rPr>
          <w:rFonts w:ascii="Times New Roman" w:hAnsi="Times New Roman" w:cs="Times New Roman"/>
          <w:sz w:val="20"/>
          <w:szCs w:val="20"/>
        </w:rPr>
        <w:t>edn</w:t>
      </w:r>
      <w:proofErr w:type="spellEnd"/>
      <w:r w:rsidRPr="007B7359">
        <w:rPr>
          <w:rFonts w:ascii="Times New Roman" w:hAnsi="Times New Roman" w:cs="Times New Roman"/>
          <w:sz w:val="20"/>
          <w:szCs w:val="20"/>
        </w:rPr>
        <w:t>, Cambridge University Press, Cambridge, 2010).</w:t>
      </w:r>
    </w:p>
  </w:footnote>
  <w:footnote w:id="88">
    <w:p w:rsidR="004015BB" w:rsidRPr="007B7359" w:rsidRDefault="004015BB" w:rsidP="005E405F">
      <w:pPr>
        <w:autoSpaceDE w:val="0"/>
        <w:autoSpaceDN w:val="0"/>
        <w:adjustRightInd w:val="0"/>
        <w:spacing w:after="0" w:line="240" w:lineRule="auto"/>
        <w:rPr>
          <w:rFonts w:ascii="Times New Roman" w:hAnsi="Times New Roman" w:cs="Times New Roman"/>
          <w:b/>
          <w:sz w:val="20"/>
          <w:szCs w:val="20"/>
          <w:u w:val="single"/>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See Edward B</w:t>
      </w:r>
      <w:r w:rsidR="004165B2">
        <w:rPr>
          <w:rFonts w:ascii="Times New Roman" w:hAnsi="Times New Roman" w:cs="Times New Roman"/>
          <w:sz w:val="20"/>
          <w:szCs w:val="20"/>
        </w:rPr>
        <w:t>.</w:t>
      </w:r>
      <w:r w:rsidRPr="007B7359">
        <w:rPr>
          <w:rFonts w:ascii="Times New Roman" w:hAnsi="Times New Roman" w:cs="Times New Roman"/>
          <w:sz w:val="20"/>
          <w:szCs w:val="20"/>
        </w:rPr>
        <w:t xml:space="preserve"> Arnolds and Norman F. Garland, ‘</w:t>
      </w:r>
      <w:proofErr w:type="gramStart"/>
      <w:r w:rsidRPr="007B7359">
        <w:rPr>
          <w:rFonts w:ascii="Times New Roman" w:hAnsi="Times New Roman" w:cs="Times New Roman"/>
          <w:sz w:val="20"/>
          <w:szCs w:val="20"/>
        </w:rPr>
        <w:t>The</w:t>
      </w:r>
      <w:proofErr w:type="gramEnd"/>
      <w:r w:rsidRPr="007B7359">
        <w:rPr>
          <w:rFonts w:ascii="Times New Roman" w:hAnsi="Times New Roman" w:cs="Times New Roman"/>
          <w:sz w:val="20"/>
          <w:szCs w:val="20"/>
        </w:rPr>
        <w:t xml:space="preserve"> </w:t>
      </w:r>
      <w:proofErr w:type="spellStart"/>
      <w:r w:rsidRPr="007B7359">
        <w:rPr>
          <w:rFonts w:ascii="Times New Roman" w:hAnsi="Times New Roman" w:cs="Times New Roman"/>
          <w:sz w:val="20"/>
          <w:szCs w:val="20"/>
        </w:rPr>
        <w:t>defense</w:t>
      </w:r>
      <w:proofErr w:type="spellEnd"/>
      <w:r w:rsidRPr="007B7359">
        <w:rPr>
          <w:rFonts w:ascii="Times New Roman" w:hAnsi="Times New Roman" w:cs="Times New Roman"/>
          <w:sz w:val="20"/>
          <w:szCs w:val="20"/>
        </w:rPr>
        <w:t xml:space="preserve"> of necessity in criminal law: The right to choose the lesser evil’ </w:t>
      </w:r>
      <w:r w:rsidR="004165B2">
        <w:rPr>
          <w:rFonts w:ascii="Times New Roman" w:hAnsi="Times New Roman" w:cs="Times New Roman"/>
          <w:sz w:val="20"/>
          <w:szCs w:val="20"/>
        </w:rPr>
        <w:t xml:space="preserve">65 </w:t>
      </w:r>
      <w:r w:rsidRPr="004165B2">
        <w:rPr>
          <w:rFonts w:ascii="Times New Roman" w:hAnsi="Times New Roman" w:cs="Times New Roman"/>
          <w:i/>
          <w:sz w:val="20"/>
          <w:szCs w:val="20"/>
        </w:rPr>
        <w:t>J Crim L and Criminology</w:t>
      </w:r>
      <w:r w:rsidR="004165B2">
        <w:rPr>
          <w:rFonts w:ascii="Times New Roman" w:hAnsi="Times New Roman" w:cs="Times New Roman"/>
          <w:sz w:val="20"/>
          <w:szCs w:val="20"/>
        </w:rPr>
        <w:t xml:space="preserve"> </w:t>
      </w:r>
      <w:r w:rsidRPr="007B7359">
        <w:rPr>
          <w:rFonts w:ascii="Times New Roman" w:hAnsi="Times New Roman" w:cs="Times New Roman"/>
          <w:sz w:val="20"/>
          <w:szCs w:val="20"/>
        </w:rPr>
        <w:t>(1975) 289-301, George P</w:t>
      </w:r>
      <w:r w:rsidR="004165B2">
        <w:rPr>
          <w:rFonts w:ascii="Times New Roman" w:hAnsi="Times New Roman" w:cs="Times New Roman"/>
          <w:sz w:val="20"/>
          <w:szCs w:val="20"/>
        </w:rPr>
        <w:t>.</w:t>
      </w:r>
      <w:r w:rsidRPr="007B7359">
        <w:rPr>
          <w:rFonts w:ascii="Times New Roman" w:hAnsi="Times New Roman" w:cs="Times New Roman"/>
          <w:sz w:val="20"/>
          <w:szCs w:val="20"/>
        </w:rPr>
        <w:t xml:space="preserve"> Fletcher, ‘From rethinking to internationalizing criminal law’ 39 </w:t>
      </w:r>
      <w:r w:rsidRPr="004165B2">
        <w:rPr>
          <w:rFonts w:ascii="Times New Roman" w:hAnsi="Times New Roman" w:cs="Times New Roman"/>
          <w:i/>
          <w:sz w:val="20"/>
          <w:szCs w:val="20"/>
        </w:rPr>
        <w:t>Tulsa LR</w:t>
      </w:r>
      <w:r w:rsidRPr="007B7359">
        <w:rPr>
          <w:rFonts w:ascii="Times New Roman" w:hAnsi="Times New Roman" w:cs="Times New Roman"/>
          <w:sz w:val="20"/>
          <w:szCs w:val="20"/>
        </w:rPr>
        <w:t xml:space="preserve"> (2004) 979-994 and Fiona </w:t>
      </w:r>
      <w:proofErr w:type="spellStart"/>
      <w:r w:rsidRPr="007B7359">
        <w:rPr>
          <w:rFonts w:ascii="Times New Roman" w:hAnsi="Times New Roman" w:cs="Times New Roman"/>
          <w:sz w:val="20"/>
          <w:szCs w:val="20"/>
        </w:rPr>
        <w:t>Leverick</w:t>
      </w:r>
      <w:proofErr w:type="spellEnd"/>
      <w:r w:rsidRPr="007B7359">
        <w:rPr>
          <w:rFonts w:ascii="Times New Roman" w:hAnsi="Times New Roman" w:cs="Times New Roman"/>
          <w:sz w:val="20"/>
          <w:szCs w:val="20"/>
        </w:rPr>
        <w:t xml:space="preserve">, </w:t>
      </w:r>
      <w:r w:rsidRPr="007B7359">
        <w:rPr>
          <w:rFonts w:ascii="Times New Roman" w:hAnsi="Times New Roman" w:cs="Times New Roman"/>
          <w:i/>
          <w:sz w:val="20"/>
          <w:szCs w:val="20"/>
        </w:rPr>
        <w:t>Killing in self-defence (</w:t>
      </w:r>
      <w:r w:rsidRPr="007B7359">
        <w:rPr>
          <w:rFonts w:ascii="Times New Roman" w:hAnsi="Times New Roman" w:cs="Times New Roman"/>
          <w:sz w:val="20"/>
          <w:szCs w:val="20"/>
        </w:rPr>
        <w:t>Oxford University Press, Oxford, 2006).</w:t>
      </w:r>
    </w:p>
  </w:footnote>
  <w:footnote w:id="89">
    <w:p w:rsidR="004015BB" w:rsidRPr="007B7359" w:rsidRDefault="004015BB" w:rsidP="00840E00">
      <w:pPr>
        <w:autoSpaceDE w:val="0"/>
        <w:autoSpaceDN w:val="0"/>
        <w:adjustRightInd w:val="0"/>
        <w:spacing w:after="0" w:line="240" w:lineRule="auto"/>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Chris Clarkson, ‘Necessary action: A new defence’ Feb </w:t>
      </w:r>
      <w:r w:rsidRPr="004165B2">
        <w:rPr>
          <w:rFonts w:ascii="Times New Roman" w:hAnsi="Times New Roman" w:cs="Times New Roman"/>
          <w:i/>
          <w:sz w:val="20"/>
          <w:szCs w:val="20"/>
        </w:rPr>
        <w:t>Crim. L.R.</w:t>
      </w:r>
      <w:r w:rsidRPr="007B7359">
        <w:rPr>
          <w:rFonts w:ascii="Times New Roman" w:hAnsi="Times New Roman" w:cs="Times New Roman"/>
          <w:sz w:val="20"/>
          <w:szCs w:val="20"/>
        </w:rPr>
        <w:t xml:space="preserve"> (2004) 81-95.</w:t>
      </w:r>
    </w:p>
  </w:footnote>
  <w:footnote w:id="90">
    <w:p w:rsidR="004015BB" w:rsidRPr="005A02DC" w:rsidRDefault="004015BB" w:rsidP="00051B74">
      <w:pPr>
        <w:autoSpaceDE w:val="0"/>
        <w:autoSpaceDN w:val="0"/>
        <w:adjustRightInd w:val="0"/>
        <w:spacing w:after="0" w:line="240" w:lineRule="auto"/>
        <w:rPr>
          <w:rFonts w:ascii="Times New Roman" w:hAnsi="Times New Roman" w:cs="Times New Roman"/>
          <w:sz w:val="20"/>
          <w:szCs w:val="20"/>
        </w:rPr>
      </w:pPr>
      <w:r w:rsidRPr="005A02DC">
        <w:rPr>
          <w:rStyle w:val="FootnoteReference"/>
          <w:rFonts w:ascii="Times New Roman" w:hAnsi="Times New Roman"/>
          <w:sz w:val="20"/>
          <w:szCs w:val="20"/>
        </w:rPr>
        <w:footnoteRef/>
      </w:r>
      <w:r w:rsidRPr="005A02DC">
        <w:rPr>
          <w:rFonts w:ascii="Times New Roman" w:hAnsi="Times New Roman" w:cs="Times New Roman"/>
          <w:sz w:val="20"/>
          <w:szCs w:val="20"/>
        </w:rPr>
        <w:t xml:space="preserve"> Darcy in Schabas and Nadia </w:t>
      </w:r>
      <w:proofErr w:type="spellStart"/>
      <w:r w:rsidRPr="005A02DC">
        <w:rPr>
          <w:rFonts w:ascii="Times New Roman" w:hAnsi="Times New Roman" w:cs="Times New Roman"/>
          <w:sz w:val="20"/>
          <w:szCs w:val="20"/>
        </w:rPr>
        <w:t>Bernaz</w:t>
      </w:r>
      <w:proofErr w:type="spellEnd"/>
      <w:r w:rsidRPr="005A02DC">
        <w:rPr>
          <w:rFonts w:ascii="Times New Roman" w:hAnsi="Times New Roman" w:cs="Times New Roman"/>
          <w:sz w:val="20"/>
          <w:szCs w:val="20"/>
        </w:rPr>
        <w:t xml:space="preserve">, </w:t>
      </w:r>
      <w:r w:rsidRPr="005A02DC">
        <w:rPr>
          <w:rFonts w:ascii="Times New Roman" w:hAnsi="Times New Roman" w:cs="Times New Roman"/>
          <w:i/>
          <w:iCs/>
          <w:sz w:val="20"/>
          <w:szCs w:val="20"/>
        </w:rPr>
        <w:t xml:space="preserve">supra </w:t>
      </w:r>
      <w:r w:rsidRPr="005A02DC">
        <w:rPr>
          <w:rFonts w:ascii="Times New Roman" w:hAnsi="Times New Roman" w:cs="Times New Roman"/>
          <w:iCs/>
          <w:sz w:val="20"/>
          <w:szCs w:val="20"/>
        </w:rPr>
        <w:t xml:space="preserve">note 7, p.3; </w:t>
      </w:r>
      <w:r w:rsidRPr="005A02DC">
        <w:rPr>
          <w:rFonts w:ascii="Times New Roman" w:hAnsi="Times New Roman" w:cs="Times New Roman"/>
          <w:sz w:val="20"/>
          <w:szCs w:val="20"/>
        </w:rPr>
        <w:t xml:space="preserve">Massimo </w:t>
      </w:r>
      <w:proofErr w:type="spellStart"/>
      <w:r w:rsidRPr="005A02DC">
        <w:rPr>
          <w:rFonts w:ascii="Times New Roman" w:hAnsi="Times New Roman" w:cs="Times New Roman"/>
          <w:sz w:val="20"/>
          <w:szCs w:val="20"/>
        </w:rPr>
        <w:t>Scaliotti</w:t>
      </w:r>
      <w:proofErr w:type="spellEnd"/>
      <w:r w:rsidRPr="005A02DC">
        <w:rPr>
          <w:rFonts w:ascii="Times New Roman" w:hAnsi="Times New Roman" w:cs="Times New Roman"/>
          <w:sz w:val="20"/>
          <w:szCs w:val="20"/>
        </w:rPr>
        <w:t>, ‘</w:t>
      </w:r>
      <w:r w:rsidRPr="005A02DC">
        <w:rPr>
          <w:rFonts w:ascii="Times New Roman" w:hAnsi="Times New Roman" w:cs="Times New Roman"/>
          <w:bCs/>
          <w:sz w:val="20"/>
          <w:szCs w:val="20"/>
        </w:rPr>
        <w:t>Defences before the international criminal court: Substantive grounds for excluding criminal responsibility - Part 1’</w:t>
      </w:r>
      <w:r w:rsidRPr="005A02DC">
        <w:rPr>
          <w:rFonts w:ascii="Times New Roman" w:hAnsi="Times New Roman" w:cs="Times New Roman"/>
          <w:sz w:val="20"/>
          <w:szCs w:val="20"/>
        </w:rPr>
        <w:t xml:space="preserve"> </w:t>
      </w:r>
      <w:r w:rsidRPr="005A02DC">
        <w:rPr>
          <w:rFonts w:ascii="Times New Roman" w:hAnsi="Times New Roman" w:cs="Times New Roman"/>
          <w:i/>
          <w:sz w:val="20"/>
          <w:szCs w:val="20"/>
        </w:rPr>
        <w:t>1 Int'l Crim. L. Rev.</w:t>
      </w:r>
      <w:r w:rsidRPr="005A02DC">
        <w:rPr>
          <w:rFonts w:ascii="Times New Roman" w:hAnsi="Times New Roman" w:cs="Times New Roman"/>
          <w:sz w:val="20"/>
          <w:szCs w:val="20"/>
        </w:rPr>
        <w:t xml:space="preserve"> (</w:t>
      </w:r>
      <w:r w:rsidRPr="007B7359">
        <w:rPr>
          <w:rFonts w:ascii="Times New Roman" w:hAnsi="Times New Roman" w:cs="Times New Roman"/>
          <w:sz w:val="20"/>
          <w:szCs w:val="20"/>
        </w:rPr>
        <w:t xml:space="preserve">2001) 111-172; Kai Ambos, ‘Other grounds for excluding criminal responsibility’ in Antonio Cassese, Paola Gaeta and Roy Jones, </w:t>
      </w:r>
      <w:r w:rsidRPr="007B7359">
        <w:rPr>
          <w:rFonts w:ascii="Times New Roman" w:hAnsi="Times New Roman" w:cs="Times New Roman"/>
          <w:i/>
          <w:sz w:val="20"/>
          <w:szCs w:val="20"/>
        </w:rPr>
        <w:t xml:space="preserve">The Rome Statute of the International </w:t>
      </w:r>
      <w:r w:rsidRPr="005A02DC">
        <w:rPr>
          <w:rFonts w:ascii="Times New Roman" w:hAnsi="Times New Roman" w:cs="Times New Roman"/>
          <w:i/>
          <w:sz w:val="20"/>
          <w:szCs w:val="20"/>
        </w:rPr>
        <w:t>Criminal Court: A commentary</w:t>
      </w:r>
      <w:r w:rsidRPr="005A02DC">
        <w:rPr>
          <w:rFonts w:ascii="Times New Roman" w:hAnsi="Times New Roman" w:cs="Times New Roman"/>
          <w:sz w:val="20"/>
          <w:szCs w:val="20"/>
        </w:rPr>
        <w:t xml:space="preserve"> (Vol I, Oxford University Press, Oxford, 2002); Ian Johnstone, ‘The plea of necessity in international legal discourse: Humanitarian intervention and counter-terrorism’ 43 </w:t>
      </w:r>
      <w:r w:rsidRPr="005A02DC">
        <w:rPr>
          <w:rFonts w:ascii="Times New Roman" w:hAnsi="Times New Roman" w:cs="Times New Roman"/>
          <w:i/>
          <w:sz w:val="20"/>
          <w:szCs w:val="20"/>
        </w:rPr>
        <w:t xml:space="preserve">Colum. J. </w:t>
      </w:r>
      <w:proofErr w:type="spellStart"/>
      <w:r w:rsidRPr="005A02DC">
        <w:rPr>
          <w:rFonts w:ascii="Times New Roman" w:hAnsi="Times New Roman" w:cs="Times New Roman"/>
          <w:i/>
          <w:sz w:val="20"/>
          <w:szCs w:val="20"/>
        </w:rPr>
        <w:t>Transnat'l</w:t>
      </w:r>
      <w:proofErr w:type="spellEnd"/>
      <w:r w:rsidRPr="005A02DC">
        <w:rPr>
          <w:rFonts w:ascii="Times New Roman" w:hAnsi="Times New Roman" w:cs="Times New Roman"/>
          <w:i/>
          <w:sz w:val="20"/>
          <w:szCs w:val="20"/>
        </w:rPr>
        <w:t xml:space="preserve"> L.</w:t>
      </w:r>
      <w:r w:rsidRPr="005A02DC">
        <w:rPr>
          <w:rFonts w:ascii="Times New Roman" w:hAnsi="Times New Roman" w:cs="Times New Roman"/>
          <w:sz w:val="20"/>
          <w:szCs w:val="20"/>
        </w:rPr>
        <w:t xml:space="preserve"> (2005) 337-388; Murdoch, </w:t>
      </w:r>
      <w:r w:rsidRPr="005A02DC">
        <w:rPr>
          <w:rFonts w:ascii="Times New Roman" w:hAnsi="Times New Roman" w:cs="Times New Roman"/>
          <w:i/>
          <w:sz w:val="20"/>
          <w:szCs w:val="20"/>
        </w:rPr>
        <w:t>supra</w:t>
      </w:r>
      <w:r w:rsidRPr="005A02DC">
        <w:rPr>
          <w:rFonts w:ascii="Times New Roman" w:hAnsi="Times New Roman" w:cs="Times New Roman"/>
          <w:sz w:val="20"/>
          <w:szCs w:val="20"/>
        </w:rPr>
        <w:t xml:space="preserve"> note 9, p.4; </w:t>
      </w:r>
      <w:proofErr w:type="spellStart"/>
      <w:r w:rsidRPr="005A02DC">
        <w:rPr>
          <w:rFonts w:ascii="Times New Roman" w:hAnsi="Times New Roman" w:cs="Times New Roman"/>
          <w:sz w:val="20"/>
          <w:szCs w:val="20"/>
        </w:rPr>
        <w:t>Guz</w:t>
      </w:r>
      <w:proofErr w:type="spellEnd"/>
      <w:r w:rsidRPr="005A02DC">
        <w:rPr>
          <w:rFonts w:ascii="Times New Roman" w:hAnsi="Times New Roman" w:cs="Times New Roman"/>
          <w:sz w:val="20"/>
          <w:szCs w:val="20"/>
        </w:rPr>
        <w:t xml:space="preserve"> and McMahon, </w:t>
      </w:r>
      <w:r w:rsidRPr="005A02DC">
        <w:rPr>
          <w:rFonts w:ascii="Times New Roman" w:hAnsi="Times New Roman" w:cs="Times New Roman"/>
          <w:i/>
          <w:sz w:val="20"/>
          <w:szCs w:val="20"/>
        </w:rPr>
        <w:t>supra</w:t>
      </w:r>
      <w:r w:rsidRPr="005A02DC">
        <w:rPr>
          <w:rFonts w:ascii="Times New Roman" w:hAnsi="Times New Roman" w:cs="Times New Roman"/>
          <w:sz w:val="20"/>
          <w:szCs w:val="20"/>
        </w:rPr>
        <w:t xml:space="preserve"> note 9, p.4; Amir </w:t>
      </w:r>
      <w:proofErr w:type="spellStart"/>
      <w:r w:rsidRPr="005A02DC">
        <w:rPr>
          <w:rFonts w:ascii="Times New Roman" w:hAnsi="Times New Roman" w:cs="Times New Roman"/>
          <w:sz w:val="20"/>
          <w:szCs w:val="20"/>
        </w:rPr>
        <w:t>Pichhadze</w:t>
      </w:r>
      <w:proofErr w:type="spellEnd"/>
      <w:r w:rsidRPr="005A02DC">
        <w:rPr>
          <w:rFonts w:ascii="Times New Roman" w:hAnsi="Times New Roman" w:cs="Times New Roman"/>
          <w:sz w:val="20"/>
          <w:szCs w:val="20"/>
        </w:rPr>
        <w:t>, ‘</w:t>
      </w:r>
      <w:r w:rsidRPr="005A02DC">
        <w:rPr>
          <w:rFonts w:ascii="Times New Roman" w:hAnsi="Times New Roman" w:cs="Times New Roman"/>
          <w:bCs/>
          <w:sz w:val="20"/>
          <w:szCs w:val="20"/>
        </w:rPr>
        <w:t xml:space="preserve">Proposals for reforming the law of self-defence’ 72 </w:t>
      </w:r>
      <w:r w:rsidRPr="005A02DC">
        <w:rPr>
          <w:rFonts w:ascii="Times New Roman" w:hAnsi="Times New Roman" w:cs="Times New Roman"/>
          <w:i/>
          <w:sz w:val="20"/>
          <w:szCs w:val="20"/>
        </w:rPr>
        <w:t>J. Crim. L.</w:t>
      </w:r>
      <w:r w:rsidRPr="005A02DC">
        <w:rPr>
          <w:rFonts w:ascii="Times New Roman" w:hAnsi="Times New Roman" w:cs="Times New Roman"/>
          <w:sz w:val="20"/>
          <w:szCs w:val="20"/>
        </w:rPr>
        <w:t xml:space="preserve"> </w:t>
      </w:r>
      <w:r w:rsidR="004165B2" w:rsidRPr="005A02DC">
        <w:rPr>
          <w:rFonts w:ascii="Times New Roman" w:hAnsi="Times New Roman" w:cs="Times New Roman"/>
          <w:sz w:val="20"/>
          <w:szCs w:val="20"/>
        </w:rPr>
        <w:t>(</w:t>
      </w:r>
      <w:r w:rsidRPr="005A02DC">
        <w:rPr>
          <w:rFonts w:ascii="Times New Roman" w:hAnsi="Times New Roman" w:cs="Times New Roman"/>
          <w:sz w:val="20"/>
          <w:szCs w:val="20"/>
        </w:rPr>
        <w:t>2008</w:t>
      </w:r>
      <w:r w:rsidR="004165B2" w:rsidRPr="005A02DC">
        <w:rPr>
          <w:rFonts w:ascii="Times New Roman" w:hAnsi="Times New Roman" w:cs="Times New Roman"/>
          <w:sz w:val="20"/>
          <w:szCs w:val="20"/>
        </w:rPr>
        <w:t>)</w:t>
      </w:r>
      <w:r w:rsidRPr="005A02DC">
        <w:rPr>
          <w:rFonts w:ascii="Times New Roman" w:hAnsi="Times New Roman" w:cs="Times New Roman"/>
          <w:sz w:val="20"/>
          <w:szCs w:val="20"/>
        </w:rPr>
        <w:t xml:space="preserve"> 409-440.</w:t>
      </w:r>
    </w:p>
  </w:footnote>
  <w:footnote w:id="91">
    <w:p w:rsidR="004015BB" w:rsidRPr="007B7359" w:rsidRDefault="004015BB" w:rsidP="005E405F">
      <w:pPr>
        <w:autoSpaceDE w:val="0"/>
        <w:autoSpaceDN w:val="0"/>
        <w:adjustRightInd w:val="0"/>
        <w:spacing w:after="0" w:line="240" w:lineRule="auto"/>
        <w:rPr>
          <w:rFonts w:ascii="Times New Roman" w:hAnsi="Times New Roman" w:cs="Times New Roman"/>
          <w:b/>
          <w:sz w:val="20"/>
          <w:szCs w:val="20"/>
          <w:u w:val="single"/>
        </w:rPr>
      </w:pPr>
      <w:r w:rsidRPr="005A02DC">
        <w:rPr>
          <w:rStyle w:val="FootnoteReference"/>
          <w:rFonts w:ascii="Times New Roman" w:hAnsi="Times New Roman"/>
          <w:sz w:val="20"/>
          <w:szCs w:val="20"/>
        </w:rPr>
        <w:footnoteRef/>
      </w:r>
      <w:r w:rsidRPr="005A02DC">
        <w:rPr>
          <w:rFonts w:ascii="Times New Roman" w:hAnsi="Times New Roman" w:cs="Times New Roman"/>
          <w:sz w:val="20"/>
          <w:szCs w:val="20"/>
        </w:rPr>
        <w:t xml:space="preserve"> Sarah Heim, ‘The applicability of the duress </w:t>
      </w:r>
      <w:proofErr w:type="spellStart"/>
      <w:r w:rsidRPr="005A02DC">
        <w:rPr>
          <w:rFonts w:ascii="Times New Roman" w:hAnsi="Times New Roman" w:cs="Times New Roman"/>
          <w:sz w:val="20"/>
          <w:szCs w:val="20"/>
        </w:rPr>
        <w:t>defense</w:t>
      </w:r>
      <w:proofErr w:type="spellEnd"/>
      <w:r w:rsidRPr="005A02DC">
        <w:rPr>
          <w:rFonts w:ascii="Times New Roman" w:hAnsi="Times New Roman" w:cs="Times New Roman"/>
          <w:sz w:val="20"/>
          <w:szCs w:val="20"/>
        </w:rPr>
        <w:t xml:space="preserve"> to the killing of innocent persons by civilians’</w:t>
      </w:r>
      <w:r w:rsidRPr="005A02DC">
        <w:rPr>
          <w:rFonts w:ascii="Times New Roman" w:hAnsi="Times New Roman" w:cs="Times New Roman"/>
          <w:i/>
          <w:sz w:val="20"/>
          <w:szCs w:val="20"/>
        </w:rPr>
        <w:t xml:space="preserve"> </w:t>
      </w:r>
      <w:r w:rsidRPr="005A02DC">
        <w:rPr>
          <w:rFonts w:ascii="Times New Roman" w:hAnsi="Times New Roman" w:cs="Times New Roman"/>
          <w:sz w:val="20"/>
          <w:szCs w:val="20"/>
        </w:rPr>
        <w:t xml:space="preserve">(2013) 46 </w:t>
      </w:r>
      <w:r w:rsidRPr="005A02DC">
        <w:rPr>
          <w:rFonts w:ascii="Times New Roman" w:hAnsi="Times New Roman" w:cs="Times New Roman"/>
          <w:i/>
          <w:sz w:val="20"/>
          <w:szCs w:val="20"/>
        </w:rPr>
        <w:t>Cornell Int’l L J</w:t>
      </w:r>
      <w:r w:rsidRPr="005A02DC">
        <w:rPr>
          <w:rFonts w:ascii="Times New Roman" w:hAnsi="Times New Roman" w:cs="Times New Roman"/>
          <w:sz w:val="20"/>
          <w:szCs w:val="20"/>
        </w:rPr>
        <w:t xml:space="preserve"> 165-190; Marcus</w:t>
      </w:r>
      <w:r w:rsidRPr="007B7359">
        <w:rPr>
          <w:rFonts w:ascii="Times New Roman" w:hAnsi="Times New Roman" w:cs="Times New Roman"/>
          <w:sz w:val="20"/>
          <w:szCs w:val="20"/>
        </w:rPr>
        <w:t xml:space="preserve"> Joyce, ‘Duress: From Nuremberg to the International Criminal Court, finding the balance between justification and excuse’ 28 </w:t>
      </w:r>
      <w:r w:rsidRPr="004165B2">
        <w:rPr>
          <w:rFonts w:ascii="Times New Roman" w:hAnsi="Times New Roman" w:cs="Times New Roman"/>
          <w:i/>
          <w:sz w:val="20"/>
          <w:szCs w:val="20"/>
        </w:rPr>
        <w:t xml:space="preserve">L.J.I.L. </w:t>
      </w:r>
      <w:r w:rsidRPr="007B7359">
        <w:rPr>
          <w:rFonts w:ascii="Times New Roman" w:hAnsi="Times New Roman" w:cs="Times New Roman"/>
          <w:sz w:val="20"/>
          <w:szCs w:val="20"/>
        </w:rPr>
        <w:t xml:space="preserve">(2015) 623-642; Clarkson, </w:t>
      </w:r>
      <w:r w:rsidRPr="00514B4B">
        <w:rPr>
          <w:rFonts w:ascii="Times New Roman" w:hAnsi="Times New Roman" w:cs="Times New Roman"/>
          <w:i/>
          <w:sz w:val="20"/>
          <w:szCs w:val="20"/>
        </w:rPr>
        <w:t>supra</w:t>
      </w:r>
      <w:r w:rsidR="005A02DC">
        <w:rPr>
          <w:rFonts w:ascii="Times New Roman" w:hAnsi="Times New Roman" w:cs="Times New Roman"/>
          <w:sz w:val="20"/>
          <w:szCs w:val="20"/>
        </w:rPr>
        <w:t xml:space="preserve"> note 89</w:t>
      </w:r>
      <w:r>
        <w:rPr>
          <w:rFonts w:ascii="Times New Roman" w:hAnsi="Times New Roman" w:cs="Times New Roman"/>
          <w:sz w:val="20"/>
          <w:szCs w:val="20"/>
        </w:rPr>
        <w:t xml:space="preserve">; </w:t>
      </w:r>
      <w:r w:rsidRPr="007B7359">
        <w:rPr>
          <w:rFonts w:ascii="Times New Roman" w:hAnsi="Times New Roman" w:cs="Times New Roman"/>
          <w:sz w:val="20"/>
          <w:szCs w:val="20"/>
        </w:rPr>
        <w:t>D</w:t>
      </w:r>
      <w:r w:rsidR="004165B2">
        <w:rPr>
          <w:rFonts w:ascii="Times New Roman" w:hAnsi="Times New Roman" w:cs="Times New Roman"/>
          <w:sz w:val="20"/>
          <w:szCs w:val="20"/>
        </w:rPr>
        <w:t>.</w:t>
      </w:r>
      <w:r w:rsidRPr="007B7359">
        <w:rPr>
          <w:rFonts w:ascii="Times New Roman" w:hAnsi="Times New Roman" w:cs="Times New Roman"/>
          <w:sz w:val="20"/>
          <w:szCs w:val="20"/>
        </w:rPr>
        <w:t>W</w:t>
      </w:r>
      <w:r w:rsidR="004165B2">
        <w:rPr>
          <w:rFonts w:ascii="Times New Roman" w:hAnsi="Times New Roman" w:cs="Times New Roman"/>
          <w:sz w:val="20"/>
          <w:szCs w:val="20"/>
        </w:rPr>
        <w:t>.</w:t>
      </w:r>
      <w:r w:rsidRPr="007B7359">
        <w:rPr>
          <w:rFonts w:ascii="Times New Roman" w:hAnsi="Times New Roman" w:cs="Times New Roman"/>
          <w:sz w:val="20"/>
          <w:szCs w:val="20"/>
        </w:rPr>
        <w:t xml:space="preserve"> Elliott, ‘Necessity, duress and self-defence’ Sep </w:t>
      </w:r>
      <w:r w:rsidRPr="004165B2">
        <w:rPr>
          <w:rFonts w:ascii="Times New Roman" w:hAnsi="Times New Roman" w:cs="Times New Roman"/>
          <w:i/>
          <w:sz w:val="20"/>
          <w:szCs w:val="20"/>
        </w:rPr>
        <w:t>Crim. L.R.</w:t>
      </w:r>
      <w:r w:rsidRPr="007B7359">
        <w:rPr>
          <w:rFonts w:ascii="Times New Roman" w:hAnsi="Times New Roman" w:cs="Times New Roman"/>
          <w:sz w:val="20"/>
          <w:szCs w:val="20"/>
        </w:rPr>
        <w:t xml:space="preserve"> (1989) 611-621; Florian </w:t>
      </w:r>
      <w:proofErr w:type="spellStart"/>
      <w:r w:rsidRPr="007B7359">
        <w:rPr>
          <w:rFonts w:ascii="Times New Roman" w:hAnsi="Times New Roman" w:cs="Times New Roman"/>
          <w:sz w:val="20"/>
          <w:szCs w:val="20"/>
        </w:rPr>
        <w:t>Jessberger</w:t>
      </w:r>
      <w:proofErr w:type="spellEnd"/>
      <w:r w:rsidRPr="007B7359">
        <w:rPr>
          <w:rFonts w:ascii="Times New Roman" w:hAnsi="Times New Roman" w:cs="Times New Roman"/>
          <w:sz w:val="20"/>
          <w:szCs w:val="20"/>
        </w:rPr>
        <w:t xml:space="preserve"> and Gerhard </w:t>
      </w:r>
      <w:proofErr w:type="spellStart"/>
      <w:r w:rsidRPr="007B7359">
        <w:rPr>
          <w:rFonts w:ascii="Times New Roman" w:hAnsi="Times New Roman" w:cs="Times New Roman"/>
          <w:sz w:val="20"/>
          <w:szCs w:val="20"/>
        </w:rPr>
        <w:t>Werle</w:t>
      </w:r>
      <w:proofErr w:type="spellEnd"/>
      <w:r w:rsidRPr="007B7359">
        <w:rPr>
          <w:rFonts w:ascii="Times New Roman" w:hAnsi="Times New Roman" w:cs="Times New Roman"/>
          <w:sz w:val="20"/>
          <w:szCs w:val="20"/>
        </w:rPr>
        <w:t xml:space="preserve">, </w:t>
      </w:r>
      <w:r w:rsidRPr="007B7359">
        <w:rPr>
          <w:rFonts w:ascii="Times New Roman" w:hAnsi="Times New Roman" w:cs="Times New Roman"/>
          <w:i/>
          <w:sz w:val="20"/>
          <w:szCs w:val="20"/>
        </w:rPr>
        <w:t>Principles of international criminal law</w:t>
      </w:r>
      <w:r w:rsidRPr="007B7359">
        <w:rPr>
          <w:rFonts w:ascii="Times New Roman" w:hAnsi="Times New Roman" w:cs="Times New Roman"/>
          <w:sz w:val="20"/>
          <w:szCs w:val="20"/>
        </w:rPr>
        <w:t xml:space="preserve"> (3</w:t>
      </w:r>
      <w:r w:rsidRPr="007B7359">
        <w:rPr>
          <w:rFonts w:ascii="Times New Roman" w:hAnsi="Times New Roman" w:cs="Times New Roman"/>
          <w:sz w:val="20"/>
          <w:szCs w:val="20"/>
          <w:vertAlign w:val="superscript"/>
        </w:rPr>
        <w:t>rd</w:t>
      </w:r>
      <w:r w:rsidRPr="007B7359">
        <w:rPr>
          <w:rFonts w:ascii="Times New Roman" w:hAnsi="Times New Roman" w:cs="Times New Roman"/>
          <w:sz w:val="20"/>
          <w:szCs w:val="20"/>
        </w:rPr>
        <w:t xml:space="preserve"> </w:t>
      </w:r>
      <w:proofErr w:type="spellStart"/>
      <w:r w:rsidRPr="007B7359">
        <w:rPr>
          <w:rFonts w:ascii="Times New Roman" w:hAnsi="Times New Roman" w:cs="Times New Roman"/>
          <w:sz w:val="20"/>
          <w:szCs w:val="20"/>
        </w:rPr>
        <w:t>edn</w:t>
      </w:r>
      <w:proofErr w:type="spellEnd"/>
      <w:r w:rsidRPr="007B7359">
        <w:rPr>
          <w:rFonts w:ascii="Times New Roman" w:hAnsi="Times New Roman" w:cs="Times New Roman"/>
          <w:sz w:val="20"/>
          <w:szCs w:val="20"/>
        </w:rPr>
        <w:t>, Oxford University Press, Oxford, 2014).</w:t>
      </w:r>
    </w:p>
  </w:footnote>
  <w:footnote w:id="92">
    <w:p w:rsidR="004015BB" w:rsidRPr="007B7359" w:rsidRDefault="004015BB" w:rsidP="00DF336D">
      <w:pPr>
        <w:autoSpaceDE w:val="0"/>
        <w:autoSpaceDN w:val="0"/>
        <w:adjustRightInd w:val="0"/>
        <w:spacing w:after="0" w:line="240" w:lineRule="auto"/>
        <w:rPr>
          <w:rFonts w:ascii="Times New Roman" w:hAnsi="Times New Roman" w:cs="Times New Roman"/>
          <w:bCs/>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proofErr w:type="spellStart"/>
      <w:r w:rsidRPr="007B7359">
        <w:rPr>
          <w:rFonts w:ascii="Times New Roman" w:hAnsi="Times New Roman" w:cs="Times New Roman"/>
          <w:sz w:val="20"/>
          <w:szCs w:val="20"/>
        </w:rPr>
        <w:t>Scaliotti</w:t>
      </w:r>
      <w:proofErr w:type="spellEnd"/>
      <w:r w:rsidRPr="007B7359">
        <w:rPr>
          <w:rFonts w:ascii="Times New Roman" w:hAnsi="Times New Roman" w:cs="Times New Roman"/>
          <w:sz w:val="20"/>
          <w:szCs w:val="20"/>
        </w:rPr>
        <w:t xml:space="preserve">, </w:t>
      </w:r>
      <w:r w:rsidRPr="00514B4B">
        <w:rPr>
          <w:rFonts w:ascii="Times New Roman" w:hAnsi="Times New Roman" w:cs="Times New Roman"/>
          <w:i/>
          <w:sz w:val="20"/>
          <w:szCs w:val="20"/>
        </w:rPr>
        <w:t xml:space="preserve">supra </w:t>
      </w:r>
      <w:r w:rsidR="005A02DC">
        <w:rPr>
          <w:rFonts w:ascii="Times New Roman" w:hAnsi="Times New Roman" w:cs="Times New Roman"/>
          <w:sz w:val="20"/>
          <w:szCs w:val="20"/>
        </w:rPr>
        <w:t>note 90.</w:t>
      </w:r>
    </w:p>
  </w:footnote>
  <w:footnote w:id="93">
    <w:p w:rsidR="004015BB" w:rsidRPr="005A02DC" w:rsidRDefault="004015BB" w:rsidP="00657118">
      <w:pPr>
        <w:autoSpaceDE w:val="0"/>
        <w:autoSpaceDN w:val="0"/>
        <w:adjustRightInd w:val="0"/>
        <w:spacing w:after="0" w:line="240" w:lineRule="auto"/>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r w:rsidRPr="005A02DC">
        <w:rPr>
          <w:rFonts w:ascii="Times New Roman" w:hAnsi="Times New Roman" w:cs="Times New Roman"/>
          <w:sz w:val="20"/>
          <w:szCs w:val="20"/>
        </w:rPr>
        <w:t xml:space="preserve">Johnstone, </w:t>
      </w:r>
      <w:r w:rsidRPr="005A02DC">
        <w:rPr>
          <w:rFonts w:ascii="Times New Roman" w:hAnsi="Times New Roman" w:cs="Times New Roman"/>
          <w:i/>
          <w:sz w:val="20"/>
          <w:szCs w:val="20"/>
        </w:rPr>
        <w:t>supra</w:t>
      </w:r>
      <w:r w:rsidRPr="005A02DC">
        <w:rPr>
          <w:rFonts w:ascii="Times New Roman" w:hAnsi="Times New Roman" w:cs="Times New Roman"/>
          <w:sz w:val="20"/>
          <w:szCs w:val="20"/>
        </w:rPr>
        <w:t xml:space="preserve"> note 90, p.29; Murdoch, </w:t>
      </w:r>
      <w:r w:rsidRPr="005A02DC">
        <w:rPr>
          <w:rFonts w:ascii="Times New Roman" w:hAnsi="Times New Roman" w:cs="Times New Roman"/>
          <w:i/>
          <w:sz w:val="20"/>
          <w:szCs w:val="20"/>
        </w:rPr>
        <w:t>supra</w:t>
      </w:r>
      <w:r w:rsidRPr="005A02DC">
        <w:rPr>
          <w:rFonts w:ascii="Times New Roman" w:hAnsi="Times New Roman" w:cs="Times New Roman"/>
          <w:sz w:val="20"/>
          <w:szCs w:val="20"/>
        </w:rPr>
        <w:t xml:space="preserve"> note 9, p.4; </w:t>
      </w:r>
      <w:proofErr w:type="spellStart"/>
      <w:r w:rsidRPr="005A02DC">
        <w:rPr>
          <w:rFonts w:ascii="Times New Roman" w:hAnsi="Times New Roman" w:cs="Times New Roman"/>
          <w:sz w:val="20"/>
          <w:szCs w:val="20"/>
        </w:rPr>
        <w:t>Guz</w:t>
      </w:r>
      <w:proofErr w:type="spellEnd"/>
      <w:r w:rsidRPr="005A02DC">
        <w:rPr>
          <w:rFonts w:ascii="Times New Roman" w:hAnsi="Times New Roman" w:cs="Times New Roman"/>
          <w:sz w:val="20"/>
          <w:szCs w:val="20"/>
        </w:rPr>
        <w:t xml:space="preserve"> and McMahon, </w:t>
      </w:r>
      <w:r w:rsidRPr="005A02DC">
        <w:rPr>
          <w:rFonts w:ascii="Times New Roman" w:hAnsi="Times New Roman" w:cs="Times New Roman"/>
          <w:i/>
          <w:sz w:val="20"/>
          <w:szCs w:val="20"/>
        </w:rPr>
        <w:t>supra</w:t>
      </w:r>
      <w:r w:rsidRPr="005A02DC">
        <w:rPr>
          <w:rFonts w:ascii="Times New Roman" w:hAnsi="Times New Roman" w:cs="Times New Roman"/>
          <w:sz w:val="20"/>
          <w:szCs w:val="20"/>
        </w:rPr>
        <w:t xml:space="preserve"> note 9, p.4; </w:t>
      </w:r>
      <w:proofErr w:type="spellStart"/>
      <w:r w:rsidRPr="005A02DC">
        <w:rPr>
          <w:rFonts w:ascii="Times New Roman" w:hAnsi="Times New Roman" w:cs="Times New Roman"/>
          <w:sz w:val="20"/>
          <w:szCs w:val="20"/>
        </w:rPr>
        <w:t>Pichhadze</w:t>
      </w:r>
      <w:proofErr w:type="spellEnd"/>
      <w:r w:rsidRPr="005A02DC">
        <w:rPr>
          <w:rFonts w:ascii="Times New Roman" w:hAnsi="Times New Roman" w:cs="Times New Roman"/>
          <w:sz w:val="20"/>
          <w:szCs w:val="20"/>
        </w:rPr>
        <w:t xml:space="preserve">, </w:t>
      </w:r>
      <w:r w:rsidRPr="005A02DC">
        <w:rPr>
          <w:rFonts w:ascii="Times New Roman" w:hAnsi="Times New Roman" w:cs="Times New Roman"/>
          <w:i/>
          <w:sz w:val="20"/>
          <w:szCs w:val="20"/>
        </w:rPr>
        <w:t>supra</w:t>
      </w:r>
      <w:r w:rsidRPr="005A02DC">
        <w:rPr>
          <w:rFonts w:ascii="Times New Roman" w:hAnsi="Times New Roman" w:cs="Times New Roman"/>
          <w:sz w:val="20"/>
          <w:szCs w:val="20"/>
        </w:rPr>
        <w:t xml:space="preserve"> note 90, p.29; Paul Robinson, ‘</w:t>
      </w:r>
      <w:r w:rsidRPr="005A02DC">
        <w:rPr>
          <w:rFonts w:ascii="Times New Roman" w:hAnsi="Times New Roman" w:cs="Times New Roman"/>
          <w:iCs/>
          <w:sz w:val="20"/>
          <w:szCs w:val="20"/>
        </w:rPr>
        <w:t xml:space="preserve">Criminal law </w:t>
      </w:r>
      <w:proofErr w:type="spellStart"/>
      <w:r w:rsidRPr="005A02DC">
        <w:rPr>
          <w:rFonts w:ascii="Times New Roman" w:hAnsi="Times New Roman" w:cs="Times New Roman"/>
          <w:iCs/>
          <w:sz w:val="20"/>
          <w:szCs w:val="20"/>
        </w:rPr>
        <w:t>defenses</w:t>
      </w:r>
      <w:proofErr w:type="spellEnd"/>
      <w:r w:rsidRPr="005A02DC">
        <w:rPr>
          <w:rFonts w:ascii="Times New Roman" w:hAnsi="Times New Roman" w:cs="Times New Roman"/>
          <w:iCs/>
          <w:sz w:val="20"/>
          <w:szCs w:val="20"/>
        </w:rPr>
        <w:t>: A systematic analysis’</w:t>
      </w:r>
      <w:r w:rsidRPr="005A02DC">
        <w:rPr>
          <w:rFonts w:ascii="Times New Roman" w:hAnsi="Times New Roman" w:cs="Times New Roman"/>
          <w:sz w:val="20"/>
          <w:szCs w:val="20"/>
        </w:rPr>
        <w:t xml:space="preserve"> 82 </w:t>
      </w:r>
      <w:r w:rsidRPr="005A02DC">
        <w:rPr>
          <w:rFonts w:ascii="Times New Roman" w:hAnsi="Times New Roman" w:cs="Times New Roman"/>
          <w:i/>
          <w:sz w:val="20"/>
          <w:szCs w:val="20"/>
        </w:rPr>
        <w:t>Colum L</w:t>
      </w:r>
      <w:r w:rsidR="004165B2" w:rsidRPr="005A02DC">
        <w:rPr>
          <w:rFonts w:ascii="Times New Roman" w:hAnsi="Times New Roman" w:cs="Times New Roman"/>
          <w:i/>
          <w:sz w:val="20"/>
          <w:szCs w:val="20"/>
        </w:rPr>
        <w:t>.</w:t>
      </w:r>
      <w:r w:rsidRPr="005A02DC">
        <w:rPr>
          <w:rFonts w:ascii="Times New Roman" w:hAnsi="Times New Roman" w:cs="Times New Roman"/>
          <w:i/>
          <w:sz w:val="20"/>
          <w:szCs w:val="20"/>
        </w:rPr>
        <w:t xml:space="preserve"> R</w:t>
      </w:r>
      <w:r w:rsidR="004165B2" w:rsidRPr="005A02DC">
        <w:rPr>
          <w:rFonts w:ascii="Times New Roman" w:hAnsi="Times New Roman" w:cs="Times New Roman"/>
          <w:i/>
          <w:sz w:val="20"/>
          <w:szCs w:val="20"/>
        </w:rPr>
        <w:t>.</w:t>
      </w:r>
      <w:r w:rsidRPr="005A02DC">
        <w:rPr>
          <w:rFonts w:ascii="Times New Roman" w:hAnsi="Times New Roman" w:cs="Times New Roman"/>
          <w:sz w:val="20"/>
          <w:szCs w:val="20"/>
        </w:rPr>
        <w:t xml:space="preserve"> (1982) 199-291.</w:t>
      </w:r>
    </w:p>
  </w:footnote>
  <w:footnote w:id="94">
    <w:p w:rsidR="004015BB" w:rsidRPr="005A02DC" w:rsidRDefault="004015BB" w:rsidP="00CB1578">
      <w:pPr>
        <w:pStyle w:val="FootnoteText"/>
      </w:pPr>
      <w:r w:rsidRPr="005A02DC">
        <w:rPr>
          <w:rStyle w:val="FootnoteReference"/>
        </w:rPr>
        <w:footnoteRef/>
      </w:r>
      <w:r w:rsidRPr="005A02DC">
        <w:t xml:space="preserve"> Clarkson, </w:t>
      </w:r>
      <w:r w:rsidRPr="005A02DC">
        <w:rPr>
          <w:i/>
        </w:rPr>
        <w:t>supra</w:t>
      </w:r>
      <w:r w:rsidRPr="005A02DC">
        <w:t xml:space="preserve"> note 89, p.29, p.90.</w:t>
      </w:r>
    </w:p>
  </w:footnote>
  <w:footnote w:id="95">
    <w:p w:rsidR="004015BB" w:rsidRPr="005A02DC" w:rsidRDefault="004015BB" w:rsidP="00DF336D">
      <w:pPr>
        <w:pStyle w:val="FootnoteText"/>
      </w:pPr>
      <w:r w:rsidRPr="005A02DC">
        <w:rPr>
          <w:rStyle w:val="FootnoteReference"/>
        </w:rPr>
        <w:footnoteRef/>
      </w:r>
      <w:r w:rsidRPr="005A02DC">
        <w:t xml:space="preserve"> Kaufman, </w:t>
      </w:r>
      <w:r w:rsidRPr="005A02DC">
        <w:rPr>
          <w:i/>
        </w:rPr>
        <w:t>supra</w:t>
      </w:r>
      <w:r w:rsidRPr="005A02DC">
        <w:t xml:space="preserve"> note 9, p.4</w:t>
      </w:r>
      <w:r w:rsidRPr="005A02DC">
        <w:rPr>
          <w:i/>
        </w:rPr>
        <w:t>,</w:t>
      </w:r>
      <w:r w:rsidRPr="005A02DC">
        <w:t xml:space="preserve"> p.348.</w:t>
      </w:r>
    </w:p>
  </w:footnote>
  <w:footnote w:id="96">
    <w:p w:rsidR="004015BB" w:rsidRPr="005A02DC" w:rsidRDefault="004015BB" w:rsidP="005E405F">
      <w:pPr>
        <w:autoSpaceDE w:val="0"/>
        <w:autoSpaceDN w:val="0"/>
        <w:adjustRightInd w:val="0"/>
        <w:spacing w:after="0" w:line="240" w:lineRule="auto"/>
        <w:rPr>
          <w:rFonts w:ascii="Times New Roman" w:hAnsi="Times New Roman" w:cs="Times New Roman"/>
          <w:sz w:val="20"/>
          <w:szCs w:val="20"/>
        </w:rPr>
      </w:pPr>
      <w:r w:rsidRPr="005A02DC">
        <w:rPr>
          <w:rStyle w:val="FootnoteReference"/>
          <w:rFonts w:ascii="Times New Roman" w:hAnsi="Times New Roman"/>
          <w:sz w:val="20"/>
          <w:szCs w:val="20"/>
        </w:rPr>
        <w:footnoteRef/>
      </w:r>
      <w:r w:rsidRPr="005A02DC">
        <w:rPr>
          <w:rFonts w:ascii="Times New Roman" w:hAnsi="Times New Roman" w:cs="Times New Roman"/>
          <w:sz w:val="20"/>
          <w:szCs w:val="20"/>
        </w:rPr>
        <w:t xml:space="preserve"> Jeremy </w:t>
      </w:r>
      <w:proofErr w:type="spellStart"/>
      <w:r w:rsidRPr="005A02DC">
        <w:rPr>
          <w:rFonts w:ascii="Times New Roman" w:hAnsi="Times New Roman" w:cs="Times New Roman"/>
          <w:sz w:val="20"/>
          <w:szCs w:val="20"/>
        </w:rPr>
        <w:t>Horder</w:t>
      </w:r>
      <w:proofErr w:type="spellEnd"/>
      <w:r w:rsidRPr="005A02DC">
        <w:rPr>
          <w:rFonts w:ascii="Times New Roman" w:hAnsi="Times New Roman" w:cs="Times New Roman"/>
          <w:sz w:val="20"/>
          <w:szCs w:val="20"/>
        </w:rPr>
        <w:t xml:space="preserve">, </w:t>
      </w:r>
      <w:proofErr w:type="spellStart"/>
      <w:r w:rsidRPr="005A02DC">
        <w:rPr>
          <w:rFonts w:ascii="Times New Roman" w:hAnsi="Times New Roman" w:cs="Times New Roman"/>
          <w:sz w:val="20"/>
          <w:szCs w:val="20"/>
        </w:rPr>
        <w:t>‘Re</w:t>
      </w:r>
      <w:proofErr w:type="spellEnd"/>
      <w:r w:rsidRPr="005A02DC">
        <w:rPr>
          <w:rFonts w:ascii="Times New Roman" w:hAnsi="Times New Roman" w:cs="Times New Roman"/>
          <w:sz w:val="20"/>
          <w:szCs w:val="20"/>
        </w:rPr>
        <w:t xml:space="preserve">-drawing the boundaries of self-defence’ 58 </w:t>
      </w:r>
      <w:r w:rsidRPr="005A02DC">
        <w:rPr>
          <w:rFonts w:ascii="Times New Roman" w:hAnsi="Times New Roman" w:cs="Times New Roman"/>
          <w:i/>
          <w:sz w:val="20"/>
          <w:szCs w:val="20"/>
        </w:rPr>
        <w:t xml:space="preserve">Mod. L. Rev. </w:t>
      </w:r>
      <w:r w:rsidRPr="005A02DC">
        <w:rPr>
          <w:rFonts w:ascii="Times New Roman" w:hAnsi="Times New Roman" w:cs="Times New Roman"/>
          <w:sz w:val="20"/>
          <w:szCs w:val="20"/>
        </w:rPr>
        <w:t>(1995) 431-442.</w:t>
      </w:r>
    </w:p>
  </w:footnote>
  <w:footnote w:id="97">
    <w:p w:rsidR="004015BB" w:rsidRPr="005A02DC" w:rsidRDefault="004015BB" w:rsidP="00CB1578">
      <w:pPr>
        <w:autoSpaceDE w:val="0"/>
        <w:autoSpaceDN w:val="0"/>
        <w:adjustRightInd w:val="0"/>
        <w:spacing w:after="0" w:line="240" w:lineRule="auto"/>
        <w:rPr>
          <w:rFonts w:ascii="Times New Roman" w:hAnsi="Times New Roman" w:cs="Times New Roman"/>
          <w:sz w:val="20"/>
          <w:szCs w:val="20"/>
        </w:rPr>
      </w:pPr>
      <w:r w:rsidRPr="005A02DC">
        <w:rPr>
          <w:rStyle w:val="FootnoteReference"/>
          <w:rFonts w:ascii="Times New Roman" w:hAnsi="Times New Roman"/>
          <w:sz w:val="20"/>
          <w:szCs w:val="20"/>
        </w:rPr>
        <w:footnoteRef/>
      </w:r>
      <w:r w:rsidRPr="005A02DC">
        <w:rPr>
          <w:rFonts w:ascii="Times New Roman" w:hAnsi="Times New Roman" w:cs="Times New Roman"/>
          <w:sz w:val="20"/>
          <w:szCs w:val="20"/>
        </w:rPr>
        <w:t xml:space="preserve"> Richard Rosen, ‘On </w:t>
      </w:r>
      <w:proofErr w:type="spellStart"/>
      <w:r w:rsidRPr="005A02DC">
        <w:rPr>
          <w:rFonts w:ascii="Times New Roman" w:hAnsi="Times New Roman" w:cs="Times New Roman"/>
          <w:sz w:val="20"/>
          <w:szCs w:val="20"/>
        </w:rPr>
        <w:t>self-defense</w:t>
      </w:r>
      <w:proofErr w:type="spellEnd"/>
      <w:r w:rsidRPr="005A02DC">
        <w:rPr>
          <w:rFonts w:ascii="Times New Roman" w:hAnsi="Times New Roman" w:cs="Times New Roman"/>
          <w:sz w:val="20"/>
          <w:szCs w:val="20"/>
        </w:rPr>
        <w:t xml:space="preserve">, imminence and women who kill their batterers’ 71 </w:t>
      </w:r>
      <w:r w:rsidRPr="005A02DC">
        <w:rPr>
          <w:rFonts w:ascii="Times New Roman" w:hAnsi="Times New Roman" w:cs="Times New Roman"/>
          <w:i/>
          <w:sz w:val="20"/>
          <w:szCs w:val="20"/>
        </w:rPr>
        <w:t xml:space="preserve">N C L Rev </w:t>
      </w:r>
      <w:r w:rsidRPr="005A02DC">
        <w:rPr>
          <w:rFonts w:ascii="Times New Roman" w:hAnsi="Times New Roman" w:cs="Times New Roman"/>
          <w:sz w:val="20"/>
          <w:szCs w:val="20"/>
        </w:rPr>
        <w:t xml:space="preserve">(1993) 371-412, 380; Elliott, </w:t>
      </w:r>
      <w:r w:rsidRPr="005A02DC">
        <w:rPr>
          <w:rFonts w:ascii="Times New Roman" w:hAnsi="Times New Roman" w:cs="Times New Roman"/>
          <w:i/>
          <w:sz w:val="20"/>
          <w:szCs w:val="20"/>
        </w:rPr>
        <w:t xml:space="preserve">supra </w:t>
      </w:r>
      <w:r w:rsidRPr="005A02DC">
        <w:rPr>
          <w:rFonts w:ascii="Times New Roman" w:hAnsi="Times New Roman" w:cs="Times New Roman"/>
          <w:sz w:val="20"/>
          <w:szCs w:val="20"/>
        </w:rPr>
        <w:t xml:space="preserve">note 91, p.29. </w:t>
      </w:r>
    </w:p>
  </w:footnote>
  <w:footnote w:id="98">
    <w:p w:rsidR="004015BB" w:rsidRPr="007B7359" w:rsidRDefault="004015BB" w:rsidP="00CB1578">
      <w:pPr>
        <w:pStyle w:val="FootnoteText"/>
      </w:pPr>
      <w:r w:rsidRPr="005A02DC">
        <w:rPr>
          <w:rStyle w:val="FootnoteReference"/>
        </w:rPr>
        <w:footnoteRef/>
      </w:r>
      <w:r w:rsidRPr="005A02DC">
        <w:t xml:space="preserve"> Murdoch, </w:t>
      </w:r>
      <w:r w:rsidRPr="005A02DC">
        <w:rPr>
          <w:i/>
        </w:rPr>
        <w:t>supra</w:t>
      </w:r>
      <w:r w:rsidRPr="005A02DC">
        <w:t xml:space="preserve"> note 9, p.4, p.193.</w:t>
      </w:r>
    </w:p>
  </w:footnote>
  <w:footnote w:id="99">
    <w:p w:rsidR="004015BB" w:rsidRPr="007B7359" w:rsidRDefault="004015BB" w:rsidP="00CB1578">
      <w:pPr>
        <w:pStyle w:val="FootnoteText"/>
      </w:pPr>
      <w:r w:rsidRPr="007B7359">
        <w:rPr>
          <w:rStyle w:val="FootnoteReference"/>
        </w:rPr>
        <w:footnoteRef/>
      </w:r>
      <w:r w:rsidRPr="007B7359">
        <w:t xml:space="preserve"> </w:t>
      </w:r>
      <w:r w:rsidRPr="006256DF">
        <w:rPr>
          <w:i/>
        </w:rPr>
        <w:t>Ibid.</w:t>
      </w:r>
    </w:p>
  </w:footnote>
  <w:footnote w:id="100">
    <w:p w:rsidR="004015BB" w:rsidRPr="005A02DC" w:rsidRDefault="004015BB" w:rsidP="00E66A86">
      <w:pPr>
        <w:pStyle w:val="FootnoteText"/>
      </w:pPr>
      <w:r w:rsidRPr="007B7359">
        <w:rPr>
          <w:rStyle w:val="FootnoteReference"/>
        </w:rPr>
        <w:footnoteRef/>
      </w:r>
      <w:r w:rsidRPr="007B7359">
        <w:t xml:space="preserve"> </w:t>
      </w:r>
      <w:proofErr w:type="spellStart"/>
      <w:r w:rsidRPr="007B7359">
        <w:t>Onder</w:t>
      </w:r>
      <w:proofErr w:type="spellEnd"/>
      <w:r w:rsidRPr="007B7359">
        <w:t xml:space="preserve"> </w:t>
      </w:r>
      <w:proofErr w:type="spellStart"/>
      <w:r w:rsidRPr="007B7359">
        <w:t>Bakircioglu</w:t>
      </w:r>
      <w:proofErr w:type="spellEnd"/>
      <w:r w:rsidRPr="007B7359">
        <w:t>, ‘</w:t>
      </w:r>
      <w:proofErr w:type="gramStart"/>
      <w:r w:rsidRPr="007B7359">
        <w:t>The</w:t>
      </w:r>
      <w:proofErr w:type="gramEnd"/>
      <w:r w:rsidRPr="007B7359">
        <w:t xml:space="preserve"> contours of the right to self-defence: Is the requirement </w:t>
      </w:r>
      <w:r w:rsidRPr="005A02DC">
        <w:t xml:space="preserve">of imminence merely a translator for the concept of necessity?’  (2008) 72 </w:t>
      </w:r>
      <w:r w:rsidRPr="005A02DC">
        <w:rPr>
          <w:i/>
        </w:rPr>
        <w:t>JCL</w:t>
      </w:r>
      <w:r w:rsidRPr="005A02DC">
        <w:t xml:space="preserve"> 131-169.</w:t>
      </w:r>
    </w:p>
  </w:footnote>
  <w:footnote w:id="101">
    <w:p w:rsidR="004015BB" w:rsidRPr="007B7359" w:rsidRDefault="004015BB" w:rsidP="00DF336D">
      <w:pPr>
        <w:pStyle w:val="FootnoteText"/>
      </w:pPr>
      <w:r w:rsidRPr="005A02DC">
        <w:rPr>
          <w:rStyle w:val="FootnoteReference"/>
        </w:rPr>
        <w:footnoteRef/>
      </w:r>
      <w:r w:rsidRPr="005A02DC">
        <w:t xml:space="preserve"> Murdoch, </w:t>
      </w:r>
      <w:r w:rsidRPr="005A02DC">
        <w:rPr>
          <w:i/>
        </w:rPr>
        <w:t>supra</w:t>
      </w:r>
      <w:r w:rsidRPr="005A02DC">
        <w:t xml:space="preserve"> note 9, p.4, p.211</w:t>
      </w:r>
      <w:r>
        <w:t>.</w:t>
      </w:r>
    </w:p>
  </w:footnote>
  <w:footnote w:id="102">
    <w:p w:rsidR="004015BB" w:rsidRPr="007B7359" w:rsidRDefault="004015BB">
      <w:pPr>
        <w:pStyle w:val="FootnoteText"/>
      </w:pPr>
      <w:r w:rsidRPr="007B7359">
        <w:rPr>
          <w:rStyle w:val="FootnoteReference"/>
        </w:rPr>
        <w:footnoteRef/>
      </w:r>
      <w:r w:rsidRPr="007B7359">
        <w:t xml:space="preserve"> Roy S. Lee contradicts this point in Roy S Lee, ‘An assessment of the ICC Statute’ 25 </w:t>
      </w:r>
      <w:r w:rsidRPr="004165B2">
        <w:rPr>
          <w:i/>
        </w:rPr>
        <w:t>Fordham Int'l L.J.</w:t>
      </w:r>
      <w:r w:rsidRPr="007B7359">
        <w:t xml:space="preserve"> (2002) 750-766, 757, while acknowledging that the thinking behind the system lacks proper detail.</w:t>
      </w:r>
    </w:p>
  </w:footnote>
  <w:footnote w:id="103">
    <w:p w:rsidR="004015BB" w:rsidRPr="007B7359" w:rsidRDefault="004015BB">
      <w:pPr>
        <w:pStyle w:val="FootnoteText"/>
      </w:pPr>
      <w:r w:rsidRPr="007B7359">
        <w:rPr>
          <w:rStyle w:val="FootnoteReference"/>
        </w:rPr>
        <w:footnoteRef/>
      </w:r>
      <w:r w:rsidRPr="007B7359">
        <w:t xml:space="preserve"> </w:t>
      </w:r>
      <w:r w:rsidRPr="00514B4B">
        <w:rPr>
          <w:i/>
        </w:rPr>
        <w:t>See</w:t>
      </w:r>
      <w:r w:rsidRPr="007B7359">
        <w:t xml:space="preserve"> </w:t>
      </w:r>
      <w:r>
        <w:t xml:space="preserve">Arnolds and Garland, </w:t>
      </w:r>
      <w:r w:rsidRPr="00514B4B">
        <w:rPr>
          <w:i/>
        </w:rPr>
        <w:t>supra</w:t>
      </w:r>
      <w:r>
        <w:t xml:space="preserve"> </w:t>
      </w:r>
      <w:r w:rsidRPr="001E67EE">
        <w:t>note 88, p.28, Fletcher</w:t>
      </w:r>
      <w:r>
        <w:t xml:space="preserve">, </w:t>
      </w:r>
      <w:r w:rsidRPr="00514B4B">
        <w:rPr>
          <w:i/>
        </w:rPr>
        <w:t>supra</w:t>
      </w:r>
      <w:r>
        <w:t xml:space="preserve"> note 88, p.28</w:t>
      </w:r>
      <w:r w:rsidRPr="007B7359">
        <w:t xml:space="preserve"> and </w:t>
      </w:r>
      <w:proofErr w:type="spellStart"/>
      <w:r w:rsidRPr="007B7359">
        <w:t>Leverick</w:t>
      </w:r>
      <w:proofErr w:type="spellEnd"/>
      <w:r w:rsidRPr="007B7359">
        <w:t xml:space="preserve">, </w:t>
      </w:r>
      <w:r w:rsidRPr="00514B4B">
        <w:rPr>
          <w:i/>
        </w:rPr>
        <w:t>supra</w:t>
      </w:r>
      <w:r>
        <w:t xml:space="preserve"> note 88, p.28</w:t>
      </w:r>
    </w:p>
  </w:footnote>
  <w:footnote w:id="104">
    <w:p w:rsidR="004015BB" w:rsidRPr="001E67EE" w:rsidRDefault="004015BB">
      <w:pPr>
        <w:pStyle w:val="FootnoteText"/>
      </w:pPr>
      <w:r w:rsidRPr="007B7359">
        <w:rPr>
          <w:rStyle w:val="FootnoteReference"/>
        </w:rPr>
        <w:footnoteRef/>
      </w:r>
      <w:r w:rsidRPr="007B7359">
        <w:t xml:space="preserve"> Clarkson, </w:t>
      </w:r>
      <w:r w:rsidRPr="001E67EE">
        <w:rPr>
          <w:i/>
        </w:rPr>
        <w:t>supra</w:t>
      </w:r>
      <w:r w:rsidRPr="001E67EE">
        <w:t xml:space="preserve"> note 89, p.29.</w:t>
      </w:r>
    </w:p>
  </w:footnote>
  <w:footnote w:id="105">
    <w:p w:rsidR="004015BB" w:rsidRPr="007B7359" w:rsidRDefault="004015BB">
      <w:pPr>
        <w:pStyle w:val="FootnoteText"/>
      </w:pPr>
      <w:r w:rsidRPr="001E67EE">
        <w:rPr>
          <w:rStyle w:val="FootnoteReference"/>
        </w:rPr>
        <w:footnoteRef/>
      </w:r>
      <w:r w:rsidRPr="001E67EE">
        <w:rPr>
          <w:i/>
        </w:rPr>
        <w:t xml:space="preserve"> Ibid</w:t>
      </w:r>
      <w:r w:rsidRPr="001E67EE">
        <w:t>., p.92.</w:t>
      </w:r>
    </w:p>
  </w:footnote>
  <w:footnote w:id="106">
    <w:p w:rsidR="004015BB" w:rsidRPr="007B7359" w:rsidRDefault="004015BB">
      <w:pPr>
        <w:pStyle w:val="FootnoteText"/>
      </w:pPr>
      <w:r w:rsidRPr="007B7359">
        <w:rPr>
          <w:rStyle w:val="FootnoteReference"/>
        </w:rPr>
        <w:footnoteRef/>
      </w:r>
      <w:r w:rsidRPr="007B7359">
        <w:t xml:space="preserve"> </w:t>
      </w:r>
      <w:r w:rsidRPr="00514B4B">
        <w:rPr>
          <w:i/>
        </w:rPr>
        <w:t>Ibid</w:t>
      </w:r>
      <w:r>
        <w:t>.</w:t>
      </w:r>
      <w:r w:rsidRPr="007B7359">
        <w:t xml:space="preserve">, </w:t>
      </w:r>
      <w:r>
        <w:t>p.</w:t>
      </w:r>
      <w:r w:rsidRPr="007B7359">
        <w:t>87.</w:t>
      </w:r>
    </w:p>
  </w:footnote>
  <w:footnote w:id="107">
    <w:p w:rsidR="004015BB" w:rsidRPr="007B7359" w:rsidRDefault="004015BB">
      <w:pPr>
        <w:pStyle w:val="FootnoteText"/>
      </w:pPr>
      <w:r w:rsidRPr="007B7359">
        <w:rPr>
          <w:rStyle w:val="FootnoteReference"/>
        </w:rPr>
        <w:footnoteRef/>
      </w:r>
      <w:r w:rsidRPr="007B7359">
        <w:t xml:space="preserve"> </w:t>
      </w:r>
      <w:r w:rsidRPr="007B7359">
        <w:rPr>
          <w:i/>
          <w:shd w:val="clear" w:color="auto" w:fill="FFFFFF"/>
        </w:rPr>
        <w:t xml:space="preserve">R </w:t>
      </w:r>
      <w:r w:rsidRPr="00C34562">
        <w:rPr>
          <w:shd w:val="clear" w:color="auto" w:fill="FFFFFF"/>
        </w:rPr>
        <w:t>v</w:t>
      </w:r>
      <w:r>
        <w:rPr>
          <w:rStyle w:val="Emphasis"/>
          <w:bCs/>
          <w:i w:val="0"/>
          <w:iCs w:val="0"/>
        </w:rPr>
        <w:t>.</w:t>
      </w:r>
      <w:r w:rsidRPr="00C34562">
        <w:rPr>
          <w:rStyle w:val="Emphasis"/>
          <w:bCs/>
          <w:iCs w:val="0"/>
        </w:rPr>
        <w:t> </w:t>
      </w:r>
      <w:proofErr w:type="spellStart"/>
      <w:r w:rsidRPr="007B7359">
        <w:rPr>
          <w:rStyle w:val="Emphasis"/>
          <w:bCs/>
          <w:iCs w:val="0"/>
          <w:shd w:val="clear" w:color="auto" w:fill="FFFFFF"/>
        </w:rPr>
        <w:t>Perka</w:t>
      </w:r>
      <w:proofErr w:type="spellEnd"/>
      <w:r w:rsidRPr="007B7359">
        <w:rPr>
          <w:shd w:val="clear" w:color="auto" w:fill="FFFFFF"/>
        </w:rPr>
        <w:t xml:space="preserve"> [1984] 2 S.C.R. 232.</w:t>
      </w:r>
    </w:p>
  </w:footnote>
  <w:footnote w:id="108">
    <w:p w:rsidR="004015BB" w:rsidRPr="007B7359" w:rsidRDefault="004015BB" w:rsidP="00EF7F9A">
      <w:pPr>
        <w:autoSpaceDE w:val="0"/>
        <w:autoSpaceDN w:val="0"/>
        <w:adjustRightInd w:val="0"/>
        <w:spacing w:after="0" w:line="240" w:lineRule="auto"/>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proofErr w:type="spellStart"/>
      <w:r w:rsidRPr="007B7359">
        <w:rPr>
          <w:rFonts w:ascii="Times New Roman" w:hAnsi="Times New Roman" w:cs="Times New Roman"/>
          <w:sz w:val="20"/>
          <w:szCs w:val="20"/>
        </w:rPr>
        <w:t>Birju</w:t>
      </w:r>
      <w:proofErr w:type="spellEnd"/>
      <w:r w:rsidRPr="007B7359">
        <w:rPr>
          <w:rFonts w:ascii="Times New Roman" w:hAnsi="Times New Roman" w:cs="Times New Roman"/>
          <w:sz w:val="20"/>
          <w:szCs w:val="20"/>
        </w:rPr>
        <w:t xml:space="preserve"> </w:t>
      </w:r>
      <w:proofErr w:type="spellStart"/>
      <w:r w:rsidRPr="007B7359">
        <w:rPr>
          <w:rFonts w:ascii="Times New Roman" w:hAnsi="Times New Roman" w:cs="Times New Roman"/>
          <w:sz w:val="20"/>
          <w:szCs w:val="20"/>
        </w:rPr>
        <w:t>Kotecha</w:t>
      </w:r>
      <w:proofErr w:type="spellEnd"/>
      <w:r w:rsidRPr="007B7359">
        <w:rPr>
          <w:rFonts w:ascii="Times New Roman" w:hAnsi="Times New Roman" w:cs="Times New Roman"/>
          <w:sz w:val="20"/>
          <w:szCs w:val="20"/>
        </w:rPr>
        <w:t xml:space="preserve">, ‘Necessity as a defence to murder: An Anglo-Canadian perspective’ 78 </w:t>
      </w:r>
      <w:r w:rsidRPr="004165B2">
        <w:rPr>
          <w:rFonts w:ascii="Times New Roman" w:hAnsi="Times New Roman" w:cs="Times New Roman"/>
          <w:i/>
          <w:sz w:val="20"/>
          <w:szCs w:val="20"/>
        </w:rPr>
        <w:t>JCL</w:t>
      </w:r>
      <w:r w:rsidRPr="007B7359">
        <w:rPr>
          <w:rFonts w:ascii="Times New Roman" w:hAnsi="Times New Roman" w:cs="Times New Roman"/>
          <w:sz w:val="20"/>
          <w:szCs w:val="20"/>
        </w:rPr>
        <w:t xml:space="preserve"> (2014) 341-362, 353-4</w:t>
      </w:r>
    </w:p>
  </w:footnote>
  <w:footnote w:id="109">
    <w:p w:rsidR="004015BB" w:rsidRPr="007B7359" w:rsidRDefault="004015BB" w:rsidP="001073AA">
      <w:pPr>
        <w:autoSpaceDE w:val="0"/>
        <w:autoSpaceDN w:val="0"/>
        <w:adjustRightInd w:val="0"/>
        <w:spacing w:after="0" w:line="240" w:lineRule="auto"/>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r w:rsidRPr="00FC0B51">
        <w:rPr>
          <w:rFonts w:ascii="Times New Roman" w:hAnsi="Times New Roman" w:cs="Times New Roman"/>
          <w:i/>
          <w:sz w:val="20"/>
          <w:szCs w:val="20"/>
        </w:rPr>
        <w:t>Ibid.</w:t>
      </w:r>
      <w:r>
        <w:rPr>
          <w:rFonts w:ascii="Times New Roman" w:hAnsi="Times New Roman" w:cs="Times New Roman"/>
          <w:sz w:val="20"/>
          <w:szCs w:val="20"/>
        </w:rPr>
        <w:t>,</w:t>
      </w:r>
      <w:r w:rsidRPr="007B7359">
        <w:rPr>
          <w:rFonts w:ascii="Times New Roman" w:hAnsi="Times New Roman" w:cs="Times New Roman"/>
          <w:sz w:val="20"/>
          <w:szCs w:val="20"/>
        </w:rPr>
        <w:t xml:space="preserve"> </w:t>
      </w:r>
      <w:r>
        <w:rPr>
          <w:rFonts w:ascii="Times New Roman" w:hAnsi="Times New Roman" w:cs="Times New Roman"/>
          <w:sz w:val="20"/>
          <w:szCs w:val="20"/>
        </w:rPr>
        <w:t>p.</w:t>
      </w:r>
      <w:r w:rsidRPr="007B7359">
        <w:rPr>
          <w:rFonts w:ascii="Times New Roman" w:hAnsi="Times New Roman" w:cs="Times New Roman"/>
          <w:sz w:val="20"/>
          <w:szCs w:val="20"/>
        </w:rPr>
        <w:t>357.</w:t>
      </w:r>
    </w:p>
  </w:footnote>
  <w:footnote w:id="110">
    <w:p w:rsidR="004015BB" w:rsidRPr="007B7359" w:rsidRDefault="004015BB" w:rsidP="001073AA">
      <w:pPr>
        <w:autoSpaceDE w:val="0"/>
        <w:autoSpaceDN w:val="0"/>
        <w:adjustRightInd w:val="0"/>
        <w:spacing w:after="0" w:line="240" w:lineRule="auto"/>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r>
        <w:rPr>
          <w:rFonts w:ascii="Times New Roman" w:hAnsi="Times New Roman" w:cs="Times New Roman"/>
          <w:i/>
          <w:sz w:val="20"/>
          <w:szCs w:val="20"/>
        </w:rPr>
        <w:t>Ibid.</w:t>
      </w:r>
      <w:r w:rsidRPr="007B7359">
        <w:rPr>
          <w:rFonts w:ascii="Times New Roman" w:hAnsi="Times New Roman" w:cs="Times New Roman"/>
          <w:sz w:val="20"/>
          <w:szCs w:val="20"/>
        </w:rPr>
        <w:t xml:space="preserve">, </w:t>
      </w:r>
      <w:r>
        <w:rPr>
          <w:rFonts w:ascii="Times New Roman" w:hAnsi="Times New Roman" w:cs="Times New Roman"/>
          <w:sz w:val="20"/>
          <w:szCs w:val="20"/>
        </w:rPr>
        <w:t>p.</w:t>
      </w:r>
      <w:r w:rsidRPr="007B7359">
        <w:rPr>
          <w:rFonts w:ascii="Times New Roman" w:hAnsi="Times New Roman" w:cs="Times New Roman"/>
          <w:sz w:val="20"/>
          <w:szCs w:val="20"/>
        </w:rPr>
        <w:t>358</w:t>
      </w:r>
    </w:p>
  </w:footnote>
  <w:footnote w:id="111">
    <w:p w:rsidR="004015BB" w:rsidRPr="007B7359" w:rsidRDefault="004015BB" w:rsidP="000A13D1">
      <w:pPr>
        <w:autoSpaceDE w:val="0"/>
        <w:autoSpaceDN w:val="0"/>
        <w:adjustRightInd w:val="0"/>
        <w:spacing w:after="0" w:line="240" w:lineRule="auto"/>
        <w:rPr>
          <w:rFonts w:ascii="Times New Roman" w:hAnsi="Times New Roman" w:cs="Times New Roman"/>
          <w:b/>
          <w:sz w:val="20"/>
          <w:szCs w:val="20"/>
          <w:u w:val="single"/>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Stanley Yeo, ‘Compulsion and necessity in African criminal law’ (2009) 53 </w:t>
      </w:r>
      <w:r w:rsidRPr="004165B2">
        <w:rPr>
          <w:rFonts w:ascii="Times New Roman" w:hAnsi="Times New Roman" w:cs="Times New Roman"/>
          <w:i/>
          <w:sz w:val="20"/>
          <w:szCs w:val="20"/>
        </w:rPr>
        <w:t xml:space="preserve">J </w:t>
      </w:r>
      <w:proofErr w:type="spellStart"/>
      <w:r w:rsidRPr="004165B2">
        <w:rPr>
          <w:rFonts w:ascii="Times New Roman" w:hAnsi="Times New Roman" w:cs="Times New Roman"/>
          <w:i/>
          <w:sz w:val="20"/>
          <w:szCs w:val="20"/>
        </w:rPr>
        <w:t>Afr</w:t>
      </w:r>
      <w:proofErr w:type="spellEnd"/>
      <w:r w:rsidRPr="004165B2">
        <w:rPr>
          <w:rFonts w:ascii="Times New Roman" w:hAnsi="Times New Roman" w:cs="Times New Roman"/>
          <w:i/>
          <w:sz w:val="20"/>
          <w:szCs w:val="20"/>
        </w:rPr>
        <w:t xml:space="preserve"> L</w:t>
      </w:r>
      <w:r w:rsidRPr="007B7359">
        <w:rPr>
          <w:rFonts w:ascii="Times New Roman" w:hAnsi="Times New Roman" w:cs="Times New Roman"/>
          <w:sz w:val="20"/>
          <w:szCs w:val="20"/>
        </w:rPr>
        <w:t xml:space="preserve"> 90</w:t>
      </w:r>
      <w:r w:rsidR="004165B2">
        <w:rPr>
          <w:rFonts w:ascii="Times New Roman" w:hAnsi="Times New Roman" w:cs="Times New Roman"/>
          <w:sz w:val="20"/>
          <w:szCs w:val="20"/>
        </w:rPr>
        <w:t>-110</w:t>
      </w:r>
      <w:r w:rsidRPr="007B7359">
        <w:rPr>
          <w:rFonts w:ascii="Times New Roman" w:hAnsi="Times New Roman" w:cs="Times New Roman"/>
          <w:sz w:val="20"/>
          <w:szCs w:val="20"/>
        </w:rPr>
        <w:t xml:space="preserve">, </w:t>
      </w:r>
      <w:r>
        <w:rPr>
          <w:rFonts w:ascii="Times New Roman" w:hAnsi="Times New Roman" w:cs="Times New Roman"/>
          <w:sz w:val="20"/>
          <w:szCs w:val="20"/>
        </w:rPr>
        <w:t>p</w:t>
      </w:r>
      <w:r w:rsidRPr="007B7359">
        <w:rPr>
          <w:rFonts w:ascii="Times New Roman" w:hAnsi="Times New Roman" w:cs="Times New Roman"/>
          <w:sz w:val="20"/>
          <w:szCs w:val="20"/>
        </w:rPr>
        <w:t>100</w:t>
      </w:r>
      <w:r>
        <w:rPr>
          <w:rFonts w:ascii="Times New Roman" w:hAnsi="Times New Roman" w:cs="Times New Roman"/>
          <w:sz w:val="20"/>
          <w:szCs w:val="20"/>
        </w:rPr>
        <w:t>.</w:t>
      </w:r>
    </w:p>
  </w:footnote>
  <w:footnote w:id="112">
    <w:p w:rsidR="004015BB" w:rsidRPr="001E67EE" w:rsidRDefault="004015BB" w:rsidP="00C16E93">
      <w:pPr>
        <w:autoSpaceDE w:val="0"/>
        <w:autoSpaceDN w:val="0"/>
        <w:adjustRightInd w:val="0"/>
        <w:spacing w:after="0" w:line="240" w:lineRule="auto"/>
        <w:rPr>
          <w:rFonts w:ascii="Times New Roman" w:hAnsi="Times New Roman" w:cs="Times New Roman"/>
          <w:b/>
          <w:sz w:val="20"/>
          <w:szCs w:val="20"/>
          <w:u w:val="single"/>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See Aaron </w:t>
      </w:r>
      <w:proofErr w:type="spellStart"/>
      <w:r w:rsidRPr="007B7359">
        <w:rPr>
          <w:rFonts w:ascii="Times New Roman" w:hAnsi="Times New Roman" w:cs="Times New Roman"/>
          <w:sz w:val="20"/>
          <w:szCs w:val="20"/>
        </w:rPr>
        <w:t>Fichtelberg</w:t>
      </w:r>
      <w:proofErr w:type="spellEnd"/>
      <w:r w:rsidRPr="007B7359">
        <w:rPr>
          <w:rFonts w:ascii="Times New Roman" w:hAnsi="Times New Roman" w:cs="Times New Roman"/>
          <w:sz w:val="20"/>
          <w:szCs w:val="20"/>
        </w:rPr>
        <w:t xml:space="preserve">, ‘Liberal values in international criminal law:  A critique of </w:t>
      </w:r>
      <w:proofErr w:type="spellStart"/>
      <w:r w:rsidRPr="00904986">
        <w:rPr>
          <w:rFonts w:ascii="Times New Roman" w:hAnsi="Times New Roman" w:cs="Times New Roman"/>
          <w:i/>
          <w:sz w:val="20"/>
          <w:szCs w:val="20"/>
        </w:rPr>
        <w:t>Erdemovic</w:t>
      </w:r>
      <w:proofErr w:type="spellEnd"/>
      <w:r w:rsidRPr="007B7359">
        <w:rPr>
          <w:rFonts w:ascii="Times New Roman" w:hAnsi="Times New Roman" w:cs="Times New Roman"/>
          <w:sz w:val="20"/>
          <w:szCs w:val="20"/>
        </w:rPr>
        <w:t xml:space="preserve">’ 6 </w:t>
      </w:r>
      <w:r w:rsidRPr="004165B2">
        <w:rPr>
          <w:rFonts w:ascii="Times New Roman" w:hAnsi="Times New Roman" w:cs="Times New Roman"/>
          <w:i/>
          <w:sz w:val="20"/>
          <w:szCs w:val="20"/>
        </w:rPr>
        <w:t xml:space="preserve">J. </w:t>
      </w:r>
      <w:r w:rsidRPr="001E67EE">
        <w:rPr>
          <w:rFonts w:ascii="Times New Roman" w:hAnsi="Times New Roman" w:cs="Times New Roman"/>
          <w:i/>
          <w:sz w:val="20"/>
          <w:szCs w:val="20"/>
        </w:rPr>
        <w:t>Int'l Crim. Just.</w:t>
      </w:r>
      <w:r w:rsidRPr="001E67EE">
        <w:rPr>
          <w:rFonts w:ascii="Times New Roman" w:hAnsi="Times New Roman" w:cs="Times New Roman"/>
          <w:sz w:val="20"/>
          <w:szCs w:val="20"/>
        </w:rPr>
        <w:t xml:space="preserve"> (2008) 3-19.</w:t>
      </w:r>
    </w:p>
  </w:footnote>
  <w:footnote w:id="113">
    <w:p w:rsidR="004015BB" w:rsidRPr="001E67EE" w:rsidRDefault="004015BB">
      <w:pPr>
        <w:pStyle w:val="FootnoteText"/>
      </w:pPr>
      <w:r w:rsidRPr="001E67EE">
        <w:rPr>
          <w:rStyle w:val="FootnoteReference"/>
        </w:rPr>
        <w:footnoteRef/>
      </w:r>
      <w:r w:rsidRPr="001E67EE">
        <w:t xml:space="preserve"> </w:t>
      </w:r>
      <w:proofErr w:type="spellStart"/>
      <w:r w:rsidRPr="001E67EE">
        <w:t>Bassiouni</w:t>
      </w:r>
      <w:proofErr w:type="spellEnd"/>
      <w:r w:rsidRPr="001E67EE">
        <w:t xml:space="preserve">, </w:t>
      </w:r>
      <w:r w:rsidRPr="001E67EE">
        <w:rPr>
          <w:i/>
        </w:rPr>
        <w:t xml:space="preserve">supra </w:t>
      </w:r>
      <w:r w:rsidRPr="001E67EE">
        <w:t xml:space="preserve">note 79, p.25, p.489 </w:t>
      </w:r>
      <w:r w:rsidRPr="001E67EE">
        <w:rPr>
          <w:i/>
        </w:rPr>
        <w:t>et seq.</w:t>
      </w:r>
    </w:p>
  </w:footnote>
  <w:footnote w:id="114">
    <w:p w:rsidR="004015BB" w:rsidRPr="007B7359" w:rsidRDefault="004015BB" w:rsidP="009674A5">
      <w:pPr>
        <w:autoSpaceDE w:val="0"/>
        <w:autoSpaceDN w:val="0"/>
        <w:adjustRightInd w:val="0"/>
        <w:spacing w:after="0" w:line="240" w:lineRule="auto"/>
        <w:rPr>
          <w:rFonts w:ascii="Times New Roman" w:hAnsi="Times New Roman" w:cs="Times New Roman"/>
          <w:sz w:val="20"/>
          <w:szCs w:val="20"/>
        </w:rPr>
      </w:pPr>
      <w:r w:rsidRPr="001E67EE">
        <w:rPr>
          <w:rStyle w:val="FootnoteReference"/>
          <w:rFonts w:ascii="Times New Roman" w:hAnsi="Times New Roman"/>
          <w:sz w:val="20"/>
          <w:szCs w:val="20"/>
        </w:rPr>
        <w:footnoteRef/>
      </w:r>
      <w:r w:rsidRPr="001E67EE">
        <w:rPr>
          <w:rFonts w:ascii="Times New Roman" w:hAnsi="Times New Roman" w:cs="Times New Roman"/>
          <w:sz w:val="20"/>
          <w:szCs w:val="20"/>
        </w:rPr>
        <w:t xml:space="preserve"> </w:t>
      </w:r>
      <w:proofErr w:type="spellStart"/>
      <w:r w:rsidRPr="001E67EE">
        <w:rPr>
          <w:rFonts w:ascii="Times New Roman" w:hAnsi="Times New Roman" w:cs="Times New Roman"/>
          <w:sz w:val="20"/>
          <w:szCs w:val="20"/>
        </w:rPr>
        <w:t>Illan</w:t>
      </w:r>
      <w:proofErr w:type="spellEnd"/>
      <w:r w:rsidRPr="001E67EE">
        <w:rPr>
          <w:rFonts w:ascii="Times New Roman" w:hAnsi="Times New Roman" w:cs="Times New Roman"/>
          <w:sz w:val="20"/>
          <w:szCs w:val="20"/>
        </w:rPr>
        <w:t xml:space="preserve"> </w:t>
      </w:r>
      <w:proofErr w:type="spellStart"/>
      <w:r w:rsidRPr="001E67EE">
        <w:rPr>
          <w:rFonts w:ascii="Times New Roman" w:hAnsi="Times New Roman" w:cs="Times New Roman"/>
          <w:sz w:val="20"/>
          <w:szCs w:val="20"/>
        </w:rPr>
        <w:t>rua</w:t>
      </w:r>
      <w:proofErr w:type="spellEnd"/>
      <w:r w:rsidRPr="001E67EE">
        <w:rPr>
          <w:rFonts w:ascii="Times New Roman" w:hAnsi="Times New Roman" w:cs="Times New Roman"/>
          <w:sz w:val="20"/>
          <w:szCs w:val="20"/>
        </w:rPr>
        <w:t xml:space="preserve"> Wall, ‘Duress, international criminal law, and literature’ 4 </w:t>
      </w:r>
      <w:r w:rsidRPr="001E67EE">
        <w:rPr>
          <w:rFonts w:ascii="Times New Roman" w:hAnsi="Times New Roman" w:cs="Times New Roman"/>
          <w:i/>
          <w:sz w:val="20"/>
          <w:szCs w:val="20"/>
        </w:rPr>
        <w:t>J. Int'l Crim. Just.</w:t>
      </w:r>
      <w:r w:rsidRPr="001E67EE">
        <w:rPr>
          <w:rFonts w:ascii="Times New Roman" w:hAnsi="Times New Roman" w:cs="Times New Roman"/>
          <w:sz w:val="20"/>
          <w:szCs w:val="20"/>
        </w:rPr>
        <w:t xml:space="preserve"> (2006) 724-744, 729.</w:t>
      </w:r>
    </w:p>
  </w:footnote>
  <w:footnote w:id="115">
    <w:p w:rsidR="004015BB" w:rsidRPr="007B7359" w:rsidRDefault="004015BB" w:rsidP="009674A5">
      <w:pPr>
        <w:pStyle w:val="FootnoteText"/>
      </w:pPr>
      <w:r w:rsidRPr="007B7359">
        <w:rPr>
          <w:rStyle w:val="FootnoteReference"/>
        </w:rPr>
        <w:footnoteRef/>
      </w:r>
      <w:r w:rsidR="001E67EE">
        <w:t xml:space="preserve"> </w:t>
      </w:r>
      <w:proofErr w:type="gramStart"/>
      <w:r w:rsidR="001E67EE" w:rsidRPr="001E67EE">
        <w:rPr>
          <w:i/>
        </w:rPr>
        <w:t>Ibid.,</w:t>
      </w:r>
      <w:proofErr w:type="gramEnd"/>
      <w:r w:rsidR="001E67EE">
        <w:t xml:space="preserve"> </w:t>
      </w:r>
      <w:r w:rsidRPr="00EB2FBB">
        <w:rPr>
          <w:highlight w:val="yellow"/>
        </w:rPr>
        <w:t>p.727.</w:t>
      </w:r>
    </w:p>
  </w:footnote>
  <w:footnote w:id="116">
    <w:p w:rsidR="004015BB" w:rsidRPr="007B7359" w:rsidRDefault="004015BB" w:rsidP="009674A5">
      <w:pPr>
        <w:pStyle w:val="FootnoteText"/>
      </w:pPr>
      <w:r w:rsidRPr="007B7359">
        <w:rPr>
          <w:rStyle w:val="FootnoteReference"/>
        </w:rPr>
        <w:footnoteRef/>
      </w:r>
      <w:r w:rsidRPr="007B7359">
        <w:t xml:space="preserve"> </w:t>
      </w:r>
      <w:r w:rsidRPr="00FC0B51">
        <w:rPr>
          <w:i/>
        </w:rPr>
        <w:t>Ibid</w:t>
      </w:r>
      <w:r>
        <w:t>.,</w:t>
      </w:r>
      <w:r w:rsidRPr="007B7359">
        <w:t xml:space="preserve"> </w:t>
      </w:r>
      <w:r>
        <w:t>p.7</w:t>
      </w:r>
      <w:r w:rsidRPr="007B7359">
        <w:t>39</w:t>
      </w:r>
      <w:r>
        <w:t>.</w:t>
      </w:r>
    </w:p>
  </w:footnote>
  <w:footnote w:id="117">
    <w:p w:rsidR="004015BB" w:rsidRPr="007B7359" w:rsidRDefault="004015BB" w:rsidP="00C27295">
      <w:pPr>
        <w:pStyle w:val="FootnoteText"/>
      </w:pPr>
      <w:r w:rsidRPr="007B7359">
        <w:rPr>
          <w:rStyle w:val="FootnoteReference"/>
        </w:rPr>
        <w:footnoteRef/>
      </w:r>
      <w:r w:rsidRPr="007B7359">
        <w:t xml:space="preserve"> </w:t>
      </w:r>
      <w:proofErr w:type="spellStart"/>
      <w:r w:rsidRPr="007B7359">
        <w:rPr>
          <w:i/>
        </w:rPr>
        <w:t>Ohlendorf</w:t>
      </w:r>
      <w:proofErr w:type="spellEnd"/>
      <w:r w:rsidR="00BD471F">
        <w:rPr>
          <w:i/>
        </w:rPr>
        <w:t>,</w:t>
      </w:r>
      <w:r w:rsidRPr="007B7359">
        <w:t xml:space="preserve"> </w:t>
      </w:r>
      <w:r w:rsidRPr="00904986">
        <w:rPr>
          <w:i/>
        </w:rPr>
        <w:t>supra</w:t>
      </w:r>
      <w:r>
        <w:t xml:space="preserve"> note 12, </w:t>
      </w:r>
      <w:r w:rsidRPr="00904986">
        <w:rPr>
          <w:highlight w:val="yellow"/>
        </w:rPr>
        <w:t>p.6</w:t>
      </w:r>
      <w:r>
        <w:t>.</w:t>
      </w:r>
    </w:p>
  </w:footnote>
  <w:footnote w:id="118">
    <w:p w:rsidR="004015BB" w:rsidRPr="007B7359" w:rsidRDefault="004015BB" w:rsidP="00C27295">
      <w:pPr>
        <w:pStyle w:val="FootnoteText"/>
      </w:pPr>
      <w:r w:rsidRPr="007B7359">
        <w:rPr>
          <w:rStyle w:val="FootnoteReference"/>
        </w:rPr>
        <w:footnoteRef/>
      </w:r>
      <w:r w:rsidRPr="007B7359">
        <w:t xml:space="preserve"> </w:t>
      </w:r>
      <w:r w:rsidRPr="007B7359">
        <w:rPr>
          <w:i/>
        </w:rPr>
        <w:t xml:space="preserve">United States of America </w:t>
      </w:r>
      <w:r>
        <w:t>v</w:t>
      </w:r>
      <w:r w:rsidRPr="007B7359">
        <w:rPr>
          <w:i/>
        </w:rPr>
        <w:t xml:space="preserve">. Wilhelm von </w:t>
      </w:r>
      <w:proofErr w:type="spellStart"/>
      <w:r w:rsidRPr="007B7359">
        <w:rPr>
          <w:i/>
        </w:rPr>
        <w:t>Leeb</w:t>
      </w:r>
      <w:proofErr w:type="spellEnd"/>
      <w:r w:rsidRPr="007B7359">
        <w:rPr>
          <w:i/>
        </w:rPr>
        <w:t xml:space="preserve"> et al</w:t>
      </w:r>
      <w:r w:rsidRPr="007B7359">
        <w:t xml:space="preserve"> US Military Tribunal Nuremberg Judgment, 27 October 1948</w:t>
      </w:r>
    </w:p>
  </w:footnote>
  <w:footnote w:id="119">
    <w:p w:rsidR="004015BB" w:rsidRPr="007B7359" w:rsidRDefault="004015BB" w:rsidP="00C27295">
      <w:pPr>
        <w:pStyle w:val="FootnoteText"/>
      </w:pPr>
      <w:r w:rsidRPr="007B7359">
        <w:rPr>
          <w:rStyle w:val="FootnoteReference"/>
        </w:rPr>
        <w:footnoteRef/>
      </w:r>
      <w:r w:rsidRPr="007B7359">
        <w:t xml:space="preserve"> Wall, </w:t>
      </w:r>
      <w:r w:rsidRPr="00FC0B51">
        <w:rPr>
          <w:i/>
        </w:rPr>
        <w:t>supra</w:t>
      </w:r>
      <w:r>
        <w:t xml:space="preserve"> note </w:t>
      </w:r>
      <w:r w:rsidRPr="001E67EE">
        <w:t>114, p.36.</w:t>
      </w:r>
    </w:p>
  </w:footnote>
  <w:footnote w:id="120">
    <w:p w:rsidR="004015BB" w:rsidRPr="007B7359" w:rsidRDefault="004015BB" w:rsidP="00C83019">
      <w:pPr>
        <w:autoSpaceDE w:val="0"/>
        <w:autoSpaceDN w:val="0"/>
        <w:adjustRightInd w:val="0"/>
        <w:spacing w:after="0" w:line="240" w:lineRule="auto"/>
        <w:rPr>
          <w:rFonts w:ascii="Times New Roman" w:hAnsi="Times New Roman" w:cs="Times New Roman"/>
          <w:i/>
          <w:iCs/>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w:t>
      </w:r>
      <w:r w:rsidRPr="00EB2FBB">
        <w:rPr>
          <w:rFonts w:ascii="Times New Roman" w:hAnsi="Times New Roman" w:cs="Times New Roman"/>
          <w:i/>
          <w:sz w:val="20"/>
          <w:szCs w:val="20"/>
        </w:rPr>
        <w:t xml:space="preserve">See </w:t>
      </w:r>
      <w:proofErr w:type="spellStart"/>
      <w:r w:rsidRPr="007B7359">
        <w:rPr>
          <w:rFonts w:ascii="Times New Roman" w:hAnsi="Times New Roman" w:cs="Times New Roman"/>
          <w:sz w:val="20"/>
          <w:szCs w:val="20"/>
        </w:rPr>
        <w:t>Yoram</w:t>
      </w:r>
      <w:proofErr w:type="spellEnd"/>
      <w:r w:rsidRPr="007B7359">
        <w:rPr>
          <w:rFonts w:ascii="Times New Roman" w:hAnsi="Times New Roman" w:cs="Times New Roman"/>
          <w:sz w:val="20"/>
          <w:szCs w:val="20"/>
        </w:rPr>
        <w:t xml:space="preserve"> </w:t>
      </w:r>
      <w:proofErr w:type="spellStart"/>
      <w:r w:rsidRPr="007B7359">
        <w:rPr>
          <w:rFonts w:ascii="Times New Roman" w:hAnsi="Times New Roman" w:cs="Times New Roman"/>
          <w:sz w:val="20"/>
          <w:szCs w:val="20"/>
        </w:rPr>
        <w:t>Dinstein</w:t>
      </w:r>
      <w:proofErr w:type="spellEnd"/>
      <w:r w:rsidRPr="007B7359">
        <w:rPr>
          <w:rFonts w:ascii="Times New Roman" w:hAnsi="Times New Roman" w:cs="Times New Roman"/>
          <w:sz w:val="20"/>
          <w:szCs w:val="20"/>
        </w:rPr>
        <w:t xml:space="preserve">, ‘International criminal law’ 20 </w:t>
      </w:r>
      <w:proofErr w:type="spellStart"/>
      <w:r w:rsidRPr="004D101A">
        <w:rPr>
          <w:rFonts w:ascii="Times New Roman" w:hAnsi="Times New Roman" w:cs="Times New Roman"/>
          <w:i/>
          <w:sz w:val="20"/>
          <w:szCs w:val="20"/>
        </w:rPr>
        <w:t>Isr</w:t>
      </w:r>
      <w:proofErr w:type="spellEnd"/>
      <w:r w:rsidRPr="004D101A">
        <w:rPr>
          <w:rFonts w:ascii="Times New Roman" w:hAnsi="Times New Roman" w:cs="Times New Roman"/>
          <w:i/>
          <w:sz w:val="20"/>
          <w:szCs w:val="20"/>
        </w:rPr>
        <w:t xml:space="preserve"> L</w:t>
      </w:r>
      <w:r w:rsidR="004D101A">
        <w:rPr>
          <w:rFonts w:ascii="Times New Roman" w:hAnsi="Times New Roman" w:cs="Times New Roman"/>
          <w:i/>
          <w:sz w:val="20"/>
          <w:szCs w:val="20"/>
        </w:rPr>
        <w:t>.</w:t>
      </w:r>
      <w:r w:rsidRPr="004D101A">
        <w:rPr>
          <w:rFonts w:ascii="Times New Roman" w:hAnsi="Times New Roman" w:cs="Times New Roman"/>
          <w:i/>
          <w:sz w:val="20"/>
          <w:szCs w:val="20"/>
        </w:rPr>
        <w:t xml:space="preserve"> Rev</w:t>
      </w:r>
      <w:r w:rsidR="004D101A">
        <w:rPr>
          <w:rFonts w:ascii="Times New Roman" w:hAnsi="Times New Roman" w:cs="Times New Roman"/>
          <w:i/>
          <w:sz w:val="20"/>
          <w:szCs w:val="20"/>
        </w:rPr>
        <w:t>.</w:t>
      </w:r>
      <w:r w:rsidRPr="007B7359">
        <w:rPr>
          <w:rFonts w:ascii="Times New Roman" w:hAnsi="Times New Roman" w:cs="Times New Roman"/>
          <w:sz w:val="20"/>
          <w:szCs w:val="20"/>
        </w:rPr>
        <w:t xml:space="preserve"> (1985) 206-242.</w:t>
      </w:r>
    </w:p>
  </w:footnote>
  <w:footnote w:id="121">
    <w:p w:rsidR="004015BB" w:rsidRPr="007B7359" w:rsidRDefault="004015BB" w:rsidP="00AC7E2B">
      <w:pPr>
        <w:autoSpaceDE w:val="0"/>
        <w:autoSpaceDN w:val="0"/>
        <w:adjustRightInd w:val="0"/>
        <w:spacing w:after="0" w:line="240" w:lineRule="auto"/>
        <w:rPr>
          <w:rFonts w:ascii="Times New Roman" w:hAnsi="Times New Roman" w:cs="Times New Roman"/>
          <w:sz w:val="20"/>
          <w:szCs w:val="20"/>
        </w:rPr>
      </w:pPr>
      <w:r w:rsidRPr="007B7359">
        <w:rPr>
          <w:rStyle w:val="FootnoteReference"/>
          <w:rFonts w:ascii="Times New Roman" w:hAnsi="Times New Roman"/>
          <w:sz w:val="20"/>
          <w:szCs w:val="20"/>
        </w:rPr>
        <w:footnoteRef/>
      </w:r>
      <w:r w:rsidRPr="007B7359">
        <w:rPr>
          <w:rFonts w:ascii="Times New Roman" w:hAnsi="Times New Roman" w:cs="Times New Roman"/>
          <w:sz w:val="20"/>
          <w:szCs w:val="20"/>
        </w:rPr>
        <w:t xml:space="preserve"> Mark </w:t>
      </w:r>
      <w:proofErr w:type="spellStart"/>
      <w:r w:rsidRPr="007B7359">
        <w:rPr>
          <w:rFonts w:ascii="Times New Roman" w:hAnsi="Times New Roman" w:cs="Times New Roman"/>
          <w:sz w:val="20"/>
          <w:szCs w:val="20"/>
        </w:rPr>
        <w:t>Osiel</w:t>
      </w:r>
      <w:proofErr w:type="spellEnd"/>
      <w:r w:rsidRPr="007B7359">
        <w:rPr>
          <w:rFonts w:ascii="Times New Roman" w:hAnsi="Times New Roman" w:cs="Times New Roman"/>
          <w:sz w:val="20"/>
          <w:szCs w:val="20"/>
        </w:rPr>
        <w:t xml:space="preserve">, The banality of good: Aligning incentives against mass atrocity 105 </w:t>
      </w:r>
      <w:r w:rsidRPr="004D101A">
        <w:rPr>
          <w:rFonts w:ascii="Times New Roman" w:hAnsi="Times New Roman" w:cs="Times New Roman"/>
          <w:i/>
          <w:sz w:val="20"/>
          <w:szCs w:val="20"/>
        </w:rPr>
        <w:t>Colum. L. Rev.</w:t>
      </w:r>
      <w:r w:rsidRPr="007B7359">
        <w:rPr>
          <w:rFonts w:ascii="Times New Roman" w:hAnsi="Times New Roman" w:cs="Times New Roman"/>
          <w:sz w:val="20"/>
          <w:szCs w:val="20"/>
        </w:rPr>
        <w:t xml:space="preserve"> </w:t>
      </w:r>
      <w:r w:rsidR="004D101A">
        <w:rPr>
          <w:rFonts w:ascii="Times New Roman" w:hAnsi="Times New Roman" w:cs="Times New Roman"/>
          <w:sz w:val="20"/>
          <w:szCs w:val="20"/>
        </w:rPr>
        <w:t>(2005) 1751-1862</w:t>
      </w:r>
      <w:r w:rsidRPr="007B7359">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05B"/>
    <w:multiLevelType w:val="hybridMultilevel"/>
    <w:tmpl w:val="78BC5CC6"/>
    <w:lvl w:ilvl="0" w:tplc="A0380FD2">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8F6B49"/>
    <w:multiLevelType w:val="hybridMultilevel"/>
    <w:tmpl w:val="8F8427D8"/>
    <w:lvl w:ilvl="0" w:tplc="09B00BAE">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915FA"/>
    <w:multiLevelType w:val="hybridMultilevel"/>
    <w:tmpl w:val="FEF6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34ECF"/>
    <w:multiLevelType w:val="hybridMultilevel"/>
    <w:tmpl w:val="4FF013F8"/>
    <w:lvl w:ilvl="0" w:tplc="09B00BA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47980"/>
    <w:multiLevelType w:val="hybridMultilevel"/>
    <w:tmpl w:val="0E9A9FEC"/>
    <w:lvl w:ilvl="0" w:tplc="B648569C">
      <w:start w:val="5"/>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40F63"/>
    <w:multiLevelType w:val="hybridMultilevel"/>
    <w:tmpl w:val="B7744BAA"/>
    <w:lvl w:ilvl="0" w:tplc="22D0DC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B5D22"/>
    <w:multiLevelType w:val="hybridMultilevel"/>
    <w:tmpl w:val="3CA6278E"/>
    <w:lvl w:ilvl="0" w:tplc="09B00BA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37C7"/>
    <w:multiLevelType w:val="hybridMultilevel"/>
    <w:tmpl w:val="E5C2C628"/>
    <w:lvl w:ilvl="0" w:tplc="2D18724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2E0275"/>
    <w:multiLevelType w:val="hybridMultilevel"/>
    <w:tmpl w:val="F7528F28"/>
    <w:lvl w:ilvl="0" w:tplc="D668F5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17619"/>
    <w:multiLevelType w:val="hybridMultilevel"/>
    <w:tmpl w:val="3830DBCA"/>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6107E"/>
    <w:multiLevelType w:val="hybridMultilevel"/>
    <w:tmpl w:val="CCCC5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C126F"/>
    <w:multiLevelType w:val="hybridMultilevel"/>
    <w:tmpl w:val="44ACCB6C"/>
    <w:lvl w:ilvl="0" w:tplc="436627EA">
      <w:start w:val="1"/>
      <w:numFmt w:val="decimal"/>
      <w:lvlText w:val="5.%1"/>
      <w:lvlJc w:val="righ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D090BE0"/>
    <w:multiLevelType w:val="hybridMultilevel"/>
    <w:tmpl w:val="F8EE6204"/>
    <w:lvl w:ilvl="0" w:tplc="D250D69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6057D"/>
    <w:multiLevelType w:val="hybridMultilevel"/>
    <w:tmpl w:val="ADA2D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813A1"/>
    <w:multiLevelType w:val="hybridMultilevel"/>
    <w:tmpl w:val="5A36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93089"/>
    <w:multiLevelType w:val="hybridMultilevel"/>
    <w:tmpl w:val="5E58B6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5595E"/>
    <w:multiLevelType w:val="hybridMultilevel"/>
    <w:tmpl w:val="D166D9C0"/>
    <w:lvl w:ilvl="0" w:tplc="76CE2DA8">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3"/>
  </w:num>
  <w:num w:numId="5">
    <w:abstractNumId w:val="2"/>
  </w:num>
  <w:num w:numId="6">
    <w:abstractNumId w:val="6"/>
  </w:num>
  <w:num w:numId="7">
    <w:abstractNumId w:val="9"/>
  </w:num>
  <w:num w:numId="8">
    <w:abstractNumId w:val="15"/>
  </w:num>
  <w:num w:numId="9">
    <w:abstractNumId w:val="5"/>
  </w:num>
  <w:num w:numId="10">
    <w:abstractNumId w:val="1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0B"/>
    <w:rsid w:val="000123F7"/>
    <w:rsid w:val="00034D9D"/>
    <w:rsid w:val="0004423D"/>
    <w:rsid w:val="000466B6"/>
    <w:rsid w:val="00051B74"/>
    <w:rsid w:val="000846C7"/>
    <w:rsid w:val="00087B0F"/>
    <w:rsid w:val="000A13D1"/>
    <w:rsid w:val="000A4F65"/>
    <w:rsid w:val="000B2D18"/>
    <w:rsid w:val="000B359A"/>
    <w:rsid w:val="000C13B8"/>
    <w:rsid w:val="000C1548"/>
    <w:rsid w:val="000D5CE6"/>
    <w:rsid w:val="000D6022"/>
    <w:rsid w:val="000D6BCF"/>
    <w:rsid w:val="000E65F3"/>
    <w:rsid w:val="000E719F"/>
    <w:rsid w:val="000E7875"/>
    <w:rsid w:val="000F3607"/>
    <w:rsid w:val="00104228"/>
    <w:rsid w:val="00106F32"/>
    <w:rsid w:val="001073AA"/>
    <w:rsid w:val="001073C9"/>
    <w:rsid w:val="00122938"/>
    <w:rsid w:val="00136E20"/>
    <w:rsid w:val="00145D3A"/>
    <w:rsid w:val="001500BD"/>
    <w:rsid w:val="001C2886"/>
    <w:rsid w:val="001C2DE3"/>
    <w:rsid w:val="001C3A46"/>
    <w:rsid w:val="001E67EE"/>
    <w:rsid w:val="001F1875"/>
    <w:rsid w:val="001F37B2"/>
    <w:rsid w:val="001F751F"/>
    <w:rsid w:val="001F795F"/>
    <w:rsid w:val="001F7CBE"/>
    <w:rsid w:val="0023476E"/>
    <w:rsid w:val="00242417"/>
    <w:rsid w:val="0024269D"/>
    <w:rsid w:val="00273A7B"/>
    <w:rsid w:val="002954BB"/>
    <w:rsid w:val="002A2260"/>
    <w:rsid w:val="002B7CB5"/>
    <w:rsid w:val="002D76B5"/>
    <w:rsid w:val="002F428B"/>
    <w:rsid w:val="0030335A"/>
    <w:rsid w:val="00315CEC"/>
    <w:rsid w:val="00315D0C"/>
    <w:rsid w:val="0032486B"/>
    <w:rsid w:val="00336779"/>
    <w:rsid w:val="00340CBA"/>
    <w:rsid w:val="00364C71"/>
    <w:rsid w:val="0037783C"/>
    <w:rsid w:val="003804A5"/>
    <w:rsid w:val="00390727"/>
    <w:rsid w:val="00392F1C"/>
    <w:rsid w:val="003A06F3"/>
    <w:rsid w:val="003B00C7"/>
    <w:rsid w:val="003B097C"/>
    <w:rsid w:val="003B1917"/>
    <w:rsid w:val="003B3E24"/>
    <w:rsid w:val="003B45AC"/>
    <w:rsid w:val="003B4CDF"/>
    <w:rsid w:val="003B5370"/>
    <w:rsid w:val="003C39CF"/>
    <w:rsid w:val="004015BB"/>
    <w:rsid w:val="00402F16"/>
    <w:rsid w:val="00411EBE"/>
    <w:rsid w:val="004165B2"/>
    <w:rsid w:val="00420650"/>
    <w:rsid w:val="00420CEA"/>
    <w:rsid w:val="004323AC"/>
    <w:rsid w:val="004416F2"/>
    <w:rsid w:val="00447141"/>
    <w:rsid w:val="004478BC"/>
    <w:rsid w:val="00465365"/>
    <w:rsid w:val="004A475C"/>
    <w:rsid w:val="004B1A50"/>
    <w:rsid w:val="004D101A"/>
    <w:rsid w:val="00510D31"/>
    <w:rsid w:val="00514B4B"/>
    <w:rsid w:val="00533970"/>
    <w:rsid w:val="00555904"/>
    <w:rsid w:val="005611A4"/>
    <w:rsid w:val="005738B9"/>
    <w:rsid w:val="005A02DC"/>
    <w:rsid w:val="005A126E"/>
    <w:rsid w:val="005A302F"/>
    <w:rsid w:val="005B6861"/>
    <w:rsid w:val="005C189A"/>
    <w:rsid w:val="005C65C4"/>
    <w:rsid w:val="005E405F"/>
    <w:rsid w:val="005E7CEE"/>
    <w:rsid w:val="005F0B87"/>
    <w:rsid w:val="005F2CE6"/>
    <w:rsid w:val="006213C6"/>
    <w:rsid w:val="006256DF"/>
    <w:rsid w:val="006259E6"/>
    <w:rsid w:val="00640D00"/>
    <w:rsid w:val="00657118"/>
    <w:rsid w:val="006760C8"/>
    <w:rsid w:val="00695871"/>
    <w:rsid w:val="006B2505"/>
    <w:rsid w:val="006C0581"/>
    <w:rsid w:val="006C7C4B"/>
    <w:rsid w:val="006D20AC"/>
    <w:rsid w:val="006D7609"/>
    <w:rsid w:val="006E0052"/>
    <w:rsid w:val="006F061A"/>
    <w:rsid w:val="007024B3"/>
    <w:rsid w:val="00702FE2"/>
    <w:rsid w:val="00711748"/>
    <w:rsid w:val="007325E3"/>
    <w:rsid w:val="00735F63"/>
    <w:rsid w:val="00744A08"/>
    <w:rsid w:val="0075229F"/>
    <w:rsid w:val="0076248A"/>
    <w:rsid w:val="00784A4C"/>
    <w:rsid w:val="007A17AE"/>
    <w:rsid w:val="007B7359"/>
    <w:rsid w:val="007C0EF2"/>
    <w:rsid w:val="007D085A"/>
    <w:rsid w:val="007E78BE"/>
    <w:rsid w:val="007F44E7"/>
    <w:rsid w:val="0081109E"/>
    <w:rsid w:val="00813D01"/>
    <w:rsid w:val="00816EFD"/>
    <w:rsid w:val="00827AB1"/>
    <w:rsid w:val="00840552"/>
    <w:rsid w:val="00840E00"/>
    <w:rsid w:val="00847B79"/>
    <w:rsid w:val="00852B0C"/>
    <w:rsid w:val="0086230B"/>
    <w:rsid w:val="00885C5C"/>
    <w:rsid w:val="008B29D7"/>
    <w:rsid w:val="008B45ED"/>
    <w:rsid w:val="008C1E34"/>
    <w:rsid w:val="008C1E6D"/>
    <w:rsid w:val="008E65A0"/>
    <w:rsid w:val="008F5162"/>
    <w:rsid w:val="00904986"/>
    <w:rsid w:val="0090727D"/>
    <w:rsid w:val="00914D93"/>
    <w:rsid w:val="0091748F"/>
    <w:rsid w:val="00922E8A"/>
    <w:rsid w:val="00930F17"/>
    <w:rsid w:val="00935B23"/>
    <w:rsid w:val="009430DE"/>
    <w:rsid w:val="00946345"/>
    <w:rsid w:val="009674A5"/>
    <w:rsid w:val="00971250"/>
    <w:rsid w:val="009A7AAC"/>
    <w:rsid w:val="009B2A09"/>
    <w:rsid w:val="009B7378"/>
    <w:rsid w:val="009D1AB4"/>
    <w:rsid w:val="009E6B13"/>
    <w:rsid w:val="009E78D6"/>
    <w:rsid w:val="009F2047"/>
    <w:rsid w:val="00A11231"/>
    <w:rsid w:val="00A17F2F"/>
    <w:rsid w:val="00A32F13"/>
    <w:rsid w:val="00A55488"/>
    <w:rsid w:val="00A93F11"/>
    <w:rsid w:val="00AA5C5B"/>
    <w:rsid w:val="00AB7B85"/>
    <w:rsid w:val="00AC7E2B"/>
    <w:rsid w:val="00AE4E6D"/>
    <w:rsid w:val="00B05E38"/>
    <w:rsid w:val="00B1072B"/>
    <w:rsid w:val="00B141F9"/>
    <w:rsid w:val="00B16E39"/>
    <w:rsid w:val="00B21BDE"/>
    <w:rsid w:val="00B2405E"/>
    <w:rsid w:val="00B31144"/>
    <w:rsid w:val="00B44CAF"/>
    <w:rsid w:val="00B714FA"/>
    <w:rsid w:val="00B95844"/>
    <w:rsid w:val="00B968E1"/>
    <w:rsid w:val="00BA7C71"/>
    <w:rsid w:val="00BB323F"/>
    <w:rsid w:val="00BD471F"/>
    <w:rsid w:val="00BD4F56"/>
    <w:rsid w:val="00BF3400"/>
    <w:rsid w:val="00C03465"/>
    <w:rsid w:val="00C0469F"/>
    <w:rsid w:val="00C11CE3"/>
    <w:rsid w:val="00C16E93"/>
    <w:rsid w:val="00C2083B"/>
    <w:rsid w:val="00C23E8D"/>
    <w:rsid w:val="00C27295"/>
    <w:rsid w:val="00C3107E"/>
    <w:rsid w:val="00C34562"/>
    <w:rsid w:val="00C413F6"/>
    <w:rsid w:val="00C73EBA"/>
    <w:rsid w:val="00C83019"/>
    <w:rsid w:val="00C940A2"/>
    <w:rsid w:val="00C94801"/>
    <w:rsid w:val="00CB1578"/>
    <w:rsid w:val="00CC537D"/>
    <w:rsid w:val="00CC652A"/>
    <w:rsid w:val="00CD7DD3"/>
    <w:rsid w:val="00CE0229"/>
    <w:rsid w:val="00D21707"/>
    <w:rsid w:val="00D21A79"/>
    <w:rsid w:val="00D25AB5"/>
    <w:rsid w:val="00D34D83"/>
    <w:rsid w:val="00D76B21"/>
    <w:rsid w:val="00DB3378"/>
    <w:rsid w:val="00DD0A6E"/>
    <w:rsid w:val="00DD535E"/>
    <w:rsid w:val="00DE4881"/>
    <w:rsid w:val="00DF336D"/>
    <w:rsid w:val="00DF6C69"/>
    <w:rsid w:val="00E470F7"/>
    <w:rsid w:val="00E617DC"/>
    <w:rsid w:val="00E61AF5"/>
    <w:rsid w:val="00E66A86"/>
    <w:rsid w:val="00E73AD8"/>
    <w:rsid w:val="00E937EF"/>
    <w:rsid w:val="00EA7B8A"/>
    <w:rsid w:val="00EB2FBB"/>
    <w:rsid w:val="00EC3E90"/>
    <w:rsid w:val="00EF3211"/>
    <w:rsid w:val="00EF7F9A"/>
    <w:rsid w:val="00F04F45"/>
    <w:rsid w:val="00F4458D"/>
    <w:rsid w:val="00F558AD"/>
    <w:rsid w:val="00F5748B"/>
    <w:rsid w:val="00F621F8"/>
    <w:rsid w:val="00F62567"/>
    <w:rsid w:val="00F71CE2"/>
    <w:rsid w:val="00F9738D"/>
    <w:rsid w:val="00FA440F"/>
    <w:rsid w:val="00FA4735"/>
    <w:rsid w:val="00FA6D8D"/>
    <w:rsid w:val="00FC0B51"/>
    <w:rsid w:val="00FC34D9"/>
    <w:rsid w:val="00FD00D7"/>
    <w:rsid w:val="00FE0581"/>
    <w:rsid w:val="00FF0199"/>
    <w:rsid w:val="00FF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3E06E-0554-4B02-AA95-5069B2E9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8A"/>
    <w:pPr>
      <w:ind w:left="720"/>
      <w:contextualSpacing/>
    </w:pPr>
  </w:style>
  <w:style w:type="paragraph" w:styleId="FootnoteText">
    <w:name w:val="footnote text"/>
    <w:basedOn w:val="Normal"/>
    <w:link w:val="FootnoteTextChar"/>
    <w:uiPriority w:val="99"/>
    <w:rsid w:val="005A126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5A126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5A126E"/>
    <w:rPr>
      <w:rFonts w:cs="Times New Roman"/>
      <w:vertAlign w:val="superscript"/>
    </w:rPr>
  </w:style>
  <w:style w:type="character" w:styleId="CommentReference">
    <w:name w:val="annotation reference"/>
    <w:basedOn w:val="DefaultParagraphFont"/>
    <w:uiPriority w:val="99"/>
    <w:semiHidden/>
    <w:unhideWhenUsed/>
    <w:rsid w:val="005A126E"/>
    <w:rPr>
      <w:sz w:val="16"/>
      <w:szCs w:val="16"/>
    </w:rPr>
  </w:style>
  <w:style w:type="paragraph" w:styleId="CommentText">
    <w:name w:val="annotation text"/>
    <w:basedOn w:val="Normal"/>
    <w:link w:val="CommentTextChar"/>
    <w:uiPriority w:val="99"/>
    <w:semiHidden/>
    <w:unhideWhenUsed/>
    <w:rsid w:val="005A126E"/>
    <w:pPr>
      <w:spacing w:line="240" w:lineRule="auto"/>
    </w:pPr>
    <w:rPr>
      <w:sz w:val="20"/>
      <w:szCs w:val="20"/>
    </w:rPr>
  </w:style>
  <w:style w:type="character" w:customStyle="1" w:styleId="CommentTextChar">
    <w:name w:val="Comment Text Char"/>
    <w:basedOn w:val="DefaultParagraphFont"/>
    <w:link w:val="CommentText"/>
    <w:uiPriority w:val="99"/>
    <w:semiHidden/>
    <w:rsid w:val="005A126E"/>
    <w:rPr>
      <w:sz w:val="20"/>
      <w:szCs w:val="20"/>
    </w:rPr>
  </w:style>
  <w:style w:type="paragraph" w:styleId="BalloonText">
    <w:name w:val="Balloon Text"/>
    <w:basedOn w:val="Normal"/>
    <w:link w:val="BalloonTextChar"/>
    <w:uiPriority w:val="99"/>
    <w:semiHidden/>
    <w:unhideWhenUsed/>
    <w:rsid w:val="005A1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6E"/>
    <w:rPr>
      <w:rFonts w:ascii="Segoe UI" w:hAnsi="Segoe UI" w:cs="Segoe UI"/>
      <w:sz w:val="18"/>
      <w:szCs w:val="18"/>
    </w:rPr>
  </w:style>
  <w:style w:type="character" w:styleId="Hyperlink">
    <w:name w:val="Hyperlink"/>
    <w:uiPriority w:val="99"/>
    <w:unhideWhenUsed/>
    <w:rsid w:val="00EF3211"/>
    <w:rPr>
      <w:color w:val="0000FF"/>
      <w:u w:val="single"/>
    </w:rPr>
  </w:style>
  <w:style w:type="character" w:customStyle="1" w:styleId="Heading1Char">
    <w:name w:val="Heading 1 Char"/>
    <w:basedOn w:val="DefaultParagraphFont"/>
    <w:link w:val="Heading1"/>
    <w:uiPriority w:val="9"/>
    <w:rsid w:val="00122938"/>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122938"/>
    <w:rPr>
      <w:i/>
      <w:iCs/>
    </w:rPr>
  </w:style>
  <w:style w:type="character" w:styleId="FollowedHyperlink">
    <w:name w:val="FollowedHyperlink"/>
    <w:basedOn w:val="DefaultParagraphFont"/>
    <w:uiPriority w:val="99"/>
    <w:semiHidden/>
    <w:unhideWhenUsed/>
    <w:rsid w:val="004478BC"/>
    <w:rPr>
      <w:color w:val="954F72" w:themeColor="followedHyperlink"/>
      <w:u w:val="single"/>
    </w:rPr>
  </w:style>
  <w:style w:type="character" w:customStyle="1" w:styleId="apple-converted-space">
    <w:name w:val="apple-converted-space"/>
    <w:rsid w:val="003B45AC"/>
  </w:style>
  <w:style w:type="character" w:styleId="Emphasis">
    <w:name w:val="Emphasis"/>
    <w:uiPriority w:val="20"/>
    <w:qFormat/>
    <w:rsid w:val="003B45AC"/>
    <w:rPr>
      <w:i/>
      <w:iCs/>
    </w:rPr>
  </w:style>
  <w:style w:type="paragraph" w:styleId="Header">
    <w:name w:val="header"/>
    <w:basedOn w:val="Normal"/>
    <w:link w:val="HeaderChar"/>
    <w:uiPriority w:val="99"/>
    <w:unhideWhenUsed/>
    <w:rsid w:val="00145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D3A"/>
  </w:style>
  <w:style w:type="paragraph" w:styleId="Footer">
    <w:name w:val="footer"/>
    <w:basedOn w:val="Normal"/>
    <w:link w:val="FooterChar"/>
    <w:uiPriority w:val="99"/>
    <w:unhideWhenUsed/>
    <w:rsid w:val="00145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51">
      <w:bodyDiv w:val="1"/>
      <w:marLeft w:val="0"/>
      <w:marRight w:val="0"/>
      <w:marTop w:val="0"/>
      <w:marBottom w:val="0"/>
      <w:divBdr>
        <w:top w:val="none" w:sz="0" w:space="0" w:color="auto"/>
        <w:left w:val="none" w:sz="0" w:space="0" w:color="auto"/>
        <w:bottom w:val="none" w:sz="0" w:space="0" w:color="auto"/>
        <w:right w:val="none" w:sz="0" w:space="0" w:color="auto"/>
      </w:divBdr>
      <w:divsChild>
        <w:div w:id="1400246165">
          <w:marLeft w:val="0"/>
          <w:marRight w:val="0"/>
          <w:marTop w:val="0"/>
          <w:marBottom w:val="0"/>
          <w:divBdr>
            <w:top w:val="none" w:sz="0" w:space="0" w:color="auto"/>
            <w:left w:val="none" w:sz="0" w:space="0" w:color="auto"/>
            <w:bottom w:val="none" w:sz="0" w:space="0" w:color="auto"/>
            <w:right w:val="none" w:sz="0" w:space="0" w:color="auto"/>
          </w:divBdr>
        </w:div>
        <w:div w:id="1091968383">
          <w:marLeft w:val="0"/>
          <w:marRight w:val="0"/>
          <w:marTop w:val="0"/>
          <w:marBottom w:val="0"/>
          <w:divBdr>
            <w:top w:val="none" w:sz="0" w:space="0" w:color="auto"/>
            <w:left w:val="none" w:sz="0" w:space="0" w:color="auto"/>
            <w:bottom w:val="none" w:sz="0" w:space="0" w:color="auto"/>
            <w:right w:val="none" w:sz="0" w:space="0" w:color="auto"/>
          </w:divBdr>
        </w:div>
        <w:div w:id="644818110">
          <w:marLeft w:val="0"/>
          <w:marRight w:val="0"/>
          <w:marTop w:val="0"/>
          <w:marBottom w:val="0"/>
          <w:divBdr>
            <w:top w:val="none" w:sz="0" w:space="0" w:color="auto"/>
            <w:left w:val="none" w:sz="0" w:space="0" w:color="auto"/>
            <w:bottom w:val="none" w:sz="0" w:space="0" w:color="auto"/>
            <w:right w:val="none" w:sz="0" w:space="0" w:color="auto"/>
          </w:divBdr>
        </w:div>
      </w:divsChild>
    </w:div>
    <w:div w:id="1279066373">
      <w:bodyDiv w:val="1"/>
      <w:marLeft w:val="0"/>
      <w:marRight w:val="0"/>
      <w:marTop w:val="0"/>
      <w:marBottom w:val="0"/>
      <w:divBdr>
        <w:top w:val="none" w:sz="0" w:space="0" w:color="auto"/>
        <w:left w:val="none" w:sz="0" w:space="0" w:color="auto"/>
        <w:bottom w:val="none" w:sz="0" w:space="0" w:color="auto"/>
        <w:right w:val="none" w:sz="0" w:space="0" w:color="auto"/>
      </w:divBdr>
    </w:div>
    <w:div w:id="17596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EFD5-AEF2-4C6E-8899-08193E95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43</Pages>
  <Words>7567</Words>
  <Characters>43134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Clare Frances</dc:creator>
  <cp:keywords/>
  <dc:description/>
  <cp:lastModifiedBy>Moran, Clare</cp:lastModifiedBy>
  <cp:revision>20</cp:revision>
  <dcterms:created xsi:type="dcterms:W3CDTF">2017-09-21T08:15:00Z</dcterms:created>
  <dcterms:modified xsi:type="dcterms:W3CDTF">2017-09-21T16:53:00Z</dcterms:modified>
</cp:coreProperties>
</file>